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Rate Card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Rate Card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369_164975900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371_164975900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373_1649759004">
            <w:r>
              <w:rPr>
                <w:webHidden/>
                <w:rStyle w:val="IndexLink"/>
              </w:rPr>
              <w:t>3. About this rate card</w:t>
              <w:tab/>
              <w:t>4</w:t>
            </w:r>
          </w:hyperlink>
        </w:p>
        <w:p>
          <w:pPr>
            <w:pStyle w:val="TOC1"/>
            <w:tabs>
              <w:tab w:val="clear" w:pos="900"/>
              <w:tab w:val="clear" w:pos="9350"/>
              <w:tab w:val="right" w:pos="9025" w:leader="dot"/>
            </w:tabs>
            <w:rPr/>
          </w:pPr>
          <w:hyperlink w:anchor="__RefHeading___Toc3375_1649759004">
            <w:r>
              <w:rPr>
                <w:webHidden/>
                <w:rStyle w:val="IndexLink"/>
              </w:rPr>
              <w:t>4. Packages at a glance</w:t>
              <w:tab/>
              <w:t>5</w:t>
            </w:r>
          </w:hyperlink>
        </w:p>
        <w:p>
          <w:pPr>
            <w:pStyle w:val="TOC2"/>
            <w:tabs>
              <w:tab w:val="clear" w:pos="900"/>
              <w:tab w:val="clear" w:pos="9350"/>
              <w:tab w:val="right" w:pos="9025" w:leader="dot"/>
            </w:tabs>
            <w:rPr/>
          </w:pPr>
          <w:hyperlink w:anchor="__RefHeading___Toc3377_1649759004">
            <w:r>
              <w:rPr>
                <w:webHidden/>
                <w:rStyle w:val="IndexLink"/>
              </w:rPr>
              <w:t>4.1 How the packages are built</w:t>
              <w:tab/>
              <w:t>5</w:t>
            </w:r>
          </w:hyperlink>
        </w:p>
        <w:p>
          <w:pPr>
            <w:pStyle w:val="TOC2"/>
            <w:tabs>
              <w:tab w:val="clear" w:pos="900"/>
              <w:tab w:val="clear" w:pos="9350"/>
              <w:tab w:val="right" w:pos="9025" w:leader="dot"/>
            </w:tabs>
            <w:rPr/>
          </w:pPr>
          <w:hyperlink w:anchor="__RefHeading___Toc3379_1649759004">
            <w:r>
              <w:rPr>
                <w:webHidden/>
                <w:rStyle w:val="IndexLink"/>
              </w:rPr>
              <w:t>4.2 Small broker: 15 users, 5 lines of business</w:t>
              <w:tab/>
              <w:t>5</w:t>
            </w:r>
          </w:hyperlink>
        </w:p>
        <w:p>
          <w:pPr>
            <w:pStyle w:val="TOC2"/>
            <w:tabs>
              <w:tab w:val="clear" w:pos="900"/>
              <w:tab w:val="clear" w:pos="9350"/>
              <w:tab w:val="right" w:pos="9025" w:leader="dot"/>
            </w:tabs>
            <w:rPr/>
          </w:pPr>
          <w:hyperlink w:anchor="__RefHeading___Toc3381_1649759004">
            <w:r>
              <w:rPr>
                <w:webHidden/>
                <w:rStyle w:val="IndexLink"/>
              </w:rPr>
              <w:t>4.3 Medium broker: 60 users, 8 lines of business</w:t>
              <w:tab/>
              <w:t>5</w:t>
            </w:r>
          </w:hyperlink>
        </w:p>
        <w:p>
          <w:pPr>
            <w:pStyle w:val="TOC2"/>
            <w:tabs>
              <w:tab w:val="clear" w:pos="900"/>
              <w:tab w:val="clear" w:pos="9350"/>
              <w:tab w:val="right" w:pos="9025" w:leader="dot"/>
            </w:tabs>
            <w:rPr/>
          </w:pPr>
          <w:hyperlink w:anchor="__RefHeading___Toc3383_1649759004">
            <w:r>
              <w:rPr>
                <w:webHidden/>
                <w:rStyle w:val="IndexLink"/>
              </w:rPr>
              <w:t>4.4 Large broker: 180 users, 12 lines of business</w:t>
              <w:tab/>
              <w:t>5</w:t>
            </w:r>
          </w:hyperlink>
        </w:p>
        <w:p>
          <w:pPr>
            <w:pStyle w:val="TOC2"/>
            <w:tabs>
              <w:tab w:val="clear" w:pos="900"/>
              <w:tab w:val="clear" w:pos="9350"/>
              <w:tab w:val="right" w:pos="9025" w:leader="dot"/>
            </w:tabs>
            <w:rPr/>
          </w:pPr>
          <w:hyperlink w:anchor="__RefHeading___Toc3385_1649759004">
            <w:r>
              <w:rPr>
                <w:webHidden/>
                <w:rStyle w:val="IndexLink"/>
              </w:rPr>
              <w:t>4.5 Enterprise broker: 400 users, 16 lines of business</w:t>
              <w:tab/>
              <w:t>6</w:t>
            </w:r>
          </w:hyperlink>
        </w:p>
        <w:p>
          <w:pPr>
            <w:pStyle w:val="TOC2"/>
            <w:tabs>
              <w:tab w:val="clear" w:pos="900"/>
              <w:tab w:val="clear" w:pos="9350"/>
              <w:tab w:val="right" w:pos="9025" w:leader="dot"/>
            </w:tabs>
            <w:rPr/>
          </w:pPr>
          <w:hyperlink w:anchor="__RefHeading___Toc3387_1649759004">
            <w:r>
              <w:rPr>
                <w:webHidden/>
                <w:rStyle w:val="IndexLink"/>
              </w:rPr>
              <w:t>4.6 Choosing between the models</w:t>
              <w:tab/>
              <w:t>6</w:t>
            </w:r>
          </w:hyperlink>
        </w:p>
        <w:p>
          <w:pPr>
            <w:pStyle w:val="TOC1"/>
            <w:tabs>
              <w:tab w:val="clear" w:pos="900"/>
              <w:tab w:val="clear" w:pos="9350"/>
              <w:tab w:val="right" w:pos="9025" w:leader="dot"/>
            </w:tabs>
            <w:rPr/>
          </w:pPr>
          <w:hyperlink w:anchor="__RefHeading___Toc3389_1649759004">
            <w:r>
              <w:rPr>
                <w:webHidden/>
                <w:rStyle w:val="IndexLink"/>
              </w:rPr>
              <w:t>5. What every package includes</w:t>
              <w:tab/>
              <w:t>7</w:t>
            </w:r>
          </w:hyperlink>
        </w:p>
        <w:p>
          <w:pPr>
            <w:pStyle w:val="TOC2"/>
            <w:tabs>
              <w:tab w:val="clear" w:pos="900"/>
              <w:tab w:val="clear" w:pos="9350"/>
              <w:tab w:val="right" w:pos="9025" w:leader="dot"/>
            </w:tabs>
            <w:rPr/>
          </w:pPr>
          <w:hyperlink w:anchor="__RefHeading___Toc3391_1649759004">
            <w:r>
              <w:rPr>
                <w:webHidden/>
                <w:rStyle w:val="IndexLink"/>
              </w:rPr>
              <w:t>5.1 Software</w:t>
              <w:tab/>
              <w:t>7</w:t>
            </w:r>
          </w:hyperlink>
        </w:p>
        <w:p>
          <w:pPr>
            <w:pStyle w:val="TOC2"/>
            <w:tabs>
              <w:tab w:val="clear" w:pos="900"/>
              <w:tab w:val="clear" w:pos="9350"/>
              <w:tab w:val="right" w:pos="9025" w:leader="dot"/>
            </w:tabs>
            <w:rPr/>
          </w:pPr>
          <w:hyperlink w:anchor="__RefHeading___Toc3393_1649759004">
            <w:r>
              <w:rPr>
                <w:webHidden/>
                <w:rStyle w:val="IndexLink"/>
              </w:rPr>
              <w:t>5.2 Implementation</w:t>
              <w:tab/>
              <w:t>7</w:t>
            </w:r>
          </w:hyperlink>
        </w:p>
        <w:p>
          <w:pPr>
            <w:pStyle w:val="TOC2"/>
            <w:tabs>
              <w:tab w:val="clear" w:pos="900"/>
              <w:tab w:val="clear" w:pos="9350"/>
              <w:tab w:val="right" w:pos="9025" w:leader="dot"/>
            </w:tabs>
            <w:rPr/>
          </w:pPr>
          <w:hyperlink w:anchor="__RefHeading___Toc3395_1649759004">
            <w:r>
              <w:rPr>
                <w:webHidden/>
                <w:rStyle w:val="IndexLink"/>
              </w:rPr>
              <w:t>5.3 Support</w:t>
              <w:tab/>
              <w:t>7</w:t>
            </w:r>
          </w:hyperlink>
        </w:p>
        <w:p>
          <w:pPr>
            <w:pStyle w:val="TOC2"/>
            <w:tabs>
              <w:tab w:val="clear" w:pos="900"/>
              <w:tab w:val="clear" w:pos="9350"/>
              <w:tab w:val="right" w:pos="9025" w:leader="dot"/>
            </w:tabs>
            <w:rPr/>
          </w:pPr>
          <w:hyperlink w:anchor="__RefHeading___Toc3397_1649759004">
            <w:r>
              <w:rPr>
                <w:webHidden/>
                <w:rStyle w:val="IndexLink"/>
              </w:rPr>
              <w:t>5.4 Hosting (when iorta TechNXT hosts)</w:t>
              <w:tab/>
              <w:t>8</w:t>
            </w:r>
          </w:hyperlink>
        </w:p>
        <w:p>
          <w:pPr>
            <w:pStyle w:val="TOC1"/>
            <w:tabs>
              <w:tab w:val="clear" w:pos="900"/>
              <w:tab w:val="clear" w:pos="9350"/>
              <w:tab w:val="right" w:pos="9025" w:leader="dot"/>
            </w:tabs>
            <w:rPr/>
          </w:pPr>
          <w:hyperlink w:anchor="__RefHeading___Toc3399_1649759004">
            <w:r>
              <w:rPr>
                <w:webHidden/>
                <w:rStyle w:val="IndexLink"/>
              </w:rPr>
              <w:t>6. Licence models</w:t>
              <w:tab/>
              <w:t>9</w:t>
            </w:r>
          </w:hyperlink>
        </w:p>
        <w:p>
          <w:pPr>
            <w:pStyle w:val="TOC2"/>
            <w:tabs>
              <w:tab w:val="clear" w:pos="900"/>
              <w:tab w:val="clear" w:pos="9350"/>
              <w:tab w:val="right" w:pos="9025" w:leader="dot"/>
            </w:tabs>
            <w:rPr/>
          </w:pPr>
          <w:hyperlink w:anchor="__RefHeading___Toc3401_1649759004">
            <w:r>
              <w:rPr>
                <w:webHidden/>
                <w:rStyle w:val="IndexLink"/>
              </w:rPr>
              <w:t>6.1 Users and slabs</w:t>
              <w:tab/>
              <w:t>9</w:t>
            </w:r>
          </w:hyperlink>
        </w:p>
        <w:p>
          <w:pPr>
            <w:pStyle w:val="TOC2"/>
            <w:tabs>
              <w:tab w:val="clear" w:pos="900"/>
              <w:tab w:val="clear" w:pos="9350"/>
              <w:tab w:val="right" w:pos="9025" w:leader="dot"/>
            </w:tabs>
            <w:rPr/>
          </w:pPr>
          <w:hyperlink w:anchor="__RefHeading___Toc3403_1649759004">
            <w:r>
              <w:rPr>
                <w:webHidden/>
                <w:rStyle w:val="IndexLink"/>
              </w:rPr>
              <w:t>6.2 Perpetual licence with AMC</w:t>
              <w:tab/>
              <w:t>9</w:t>
            </w:r>
          </w:hyperlink>
        </w:p>
        <w:p>
          <w:pPr>
            <w:pStyle w:val="TOC2"/>
            <w:tabs>
              <w:tab w:val="clear" w:pos="900"/>
              <w:tab w:val="clear" w:pos="9350"/>
              <w:tab w:val="right" w:pos="9025" w:leader="dot"/>
            </w:tabs>
            <w:rPr/>
          </w:pPr>
          <w:hyperlink w:anchor="__RefHeading___Toc3405_1649759004">
            <w:r>
              <w:rPr>
                <w:webHidden/>
                <w:rStyle w:val="IndexLink"/>
              </w:rPr>
              <w:t>6.3 Subscription</w:t>
              <w:tab/>
              <w:t>9</w:t>
            </w:r>
          </w:hyperlink>
        </w:p>
        <w:p>
          <w:pPr>
            <w:pStyle w:val="TOC1"/>
            <w:tabs>
              <w:tab w:val="clear" w:pos="900"/>
              <w:tab w:val="clear" w:pos="9350"/>
              <w:tab w:val="right" w:pos="9025" w:leader="dot"/>
            </w:tabs>
            <w:rPr/>
          </w:pPr>
          <w:hyperlink w:anchor="__RefHeading___Toc3407_1649759004">
            <w:r>
              <w:rPr>
                <w:webHidden/>
                <w:rStyle w:val="IndexLink"/>
              </w:rPr>
              <w:t>7. Implementation fee</w:t>
              <w:tab/>
              <w:t>10</w:t>
            </w:r>
          </w:hyperlink>
        </w:p>
        <w:p>
          <w:pPr>
            <w:pStyle w:val="TOC1"/>
            <w:tabs>
              <w:tab w:val="clear" w:pos="900"/>
              <w:tab w:val="clear" w:pos="9350"/>
              <w:tab w:val="right" w:pos="9025" w:leader="dot"/>
            </w:tabs>
            <w:rPr/>
          </w:pPr>
          <w:hyperlink w:anchor="__RefHeading___Toc3409_1649759004">
            <w:r>
              <w:rPr>
                <w:webHidden/>
                <w:rStyle w:val="IndexLink"/>
              </w:rPr>
              <w:t>8. Hosting</w:t>
              <w:tab/>
              <w:t>11</w:t>
            </w:r>
          </w:hyperlink>
        </w:p>
        <w:p>
          <w:pPr>
            <w:pStyle w:val="TOC1"/>
            <w:tabs>
              <w:tab w:val="clear" w:pos="900"/>
              <w:tab w:val="clear" w:pos="9350"/>
              <w:tab w:val="right" w:pos="9025" w:leader="dot"/>
            </w:tabs>
            <w:rPr/>
          </w:pPr>
          <w:hyperlink w:anchor="__RefHeading___Toc3411_1649759004">
            <w:r>
              <w:rPr>
                <w:webHidden/>
                <w:rStyle w:val="IndexLink"/>
              </w:rPr>
              <w:t>9. Support and maintenance</w:t>
              <w:tab/>
              <w:t>12</w:t>
            </w:r>
          </w:hyperlink>
        </w:p>
        <w:p>
          <w:pPr>
            <w:pStyle w:val="TOC2"/>
            <w:tabs>
              <w:tab w:val="clear" w:pos="900"/>
              <w:tab w:val="clear" w:pos="9350"/>
              <w:tab w:val="right" w:pos="9025" w:leader="dot"/>
            </w:tabs>
            <w:rPr/>
          </w:pPr>
          <w:hyperlink w:anchor="__RefHeading___Toc3413_1649759004">
            <w:r>
              <w:rPr>
                <w:webHidden/>
                <w:rStyle w:val="IndexLink"/>
              </w:rPr>
              <w:t>9.1 Standard support</w:t>
              <w:tab/>
              <w:t>12</w:t>
            </w:r>
          </w:hyperlink>
        </w:p>
        <w:p>
          <w:pPr>
            <w:pStyle w:val="TOC2"/>
            <w:tabs>
              <w:tab w:val="clear" w:pos="900"/>
              <w:tab w:val="clear" w:pos="9350"/>
              <w:tab w:val="right" w:pos="9025" w:leader="dot"/>
            </w:tabs>
            <w:rPr/>
          </w:pPr>
          <w:hyperlink w:anchor="__RefHeading___Toc3415_1649759004">
            <w:r>
              <w:rPr>
                <w:webHidden/>
                <w:rStyle w:val="IndexLink"/>
              </w:rPr>
              <w:t>9.2 24x7 Severity 1 support (optional)</w:t>
              <w:tab/>
              <w:t>12</w:t>
            </w:r>
          </w:hyperlink>
        </w:p>
        <w:p>
          <w:pPr>
            <w:pStyle w:val="TOC1"/>
            <w:tabs>
              <w:tab w:val="clear" w:pos="900"/>
              <w:tab w:val="clear" w:pos="9350"/>
              <w:tab w:val="right" w:pos="9025" w:leader="dot"/>
            </w:tabs>
            <w:rPr/>
          </w:pPr>
          <w:hyperlink w:anchor="__RefHeading___Toc3417_1649759004">
            <w:r>
              <w:rPr>
                <w:webHidden/>
                <w:rStyle w:val="IndexLink"/>
              </w:rPr>
              <w:t>10. Optional services</w:t>
              <w:tab/>
              <w:t>13</w:t>
            </w:r>
          </w:hyperlink>
        </w:p>
        <w:p>
          <w:pPr>
            <w:pStyle w:val="TOC1"/>
            <w:tabs>
              <w:tab w:val="clear" w:pos="900"/>
              <w:tab w:val="clear" w:pos="9350"/>
              <w:tab w:val="right" w:pos="9025" w:leader="dot"/>
            </w:tabs>
            <w:rPr/>
          </w:pPr>
          <w:hyperlink w:anchor="__RefHeading___Toc3419_1649759004">
            <w:r>
              <w:rPr>
                <w:webHidden/>
                <w:rStyle w:val="IndexLink"/>
              </w:rPr>
              <w:t>11. Change requests</w:t>
              <w:tab/>
              <w:t>14</w:t>
            </w:r>
          </w:hyperlink>
        </w:p>
        <w:p>
          <w:pPr>
            <w:pStyle w:val="TOC2"/>
            <w:tabs>
              <w:tab w:val="clear" w:pos="900"/>
              <w:tab w:val="clear" w:pos="9350"/>
              <w:tab w:val="right" w:pos="9025" w:leader="dot"/>
            </w:tabs>
            <w:rPr/>
          </w:pPr>
          <w:hyperlink w:anchor="__RefHeading___Toc3421_1649759004">
            <w:r>
              <w:rPr>
                <w:webHidden/>
                <w:rStyle w:val="IndexLink"/>
              </w:rPr>
              <w:t>11.1 Day rates</w:t>
              <w:tab/>
              <w:t>14</w:t>
            </w:r>
          </w:hyperlink>
        </w:p>
        <w:p>
          <w:pPr>
            <w:pStyle w:val="TOC2"/>
            <w:tabs>
              <w:tab w:val="clear" w:pos="900"/>
              <w:tab w:val="clear" w:pos="9350"/>
              <w:tab w:val="right" w:pos="9025" w:leader="dot"/>
            </w:tabs>
            <w:rPr/>
          </w:pPr>
          <w:hyperlink w:anchor="__RefHeading___Toc3423_1649759004">
            <w:r>
              <w:rPr>
                <w:webHidden/>
                <w:rStyle w:val="IndexLink"/>
              </w:rPr>
              <w:t>11.2 How a change is priced</w:t>
              <w:tab/>
              <w:t>14</w:t>
            </w:r>
          </w:hyperlink>
        </w:p>
        <w:p>
          <w:pPr>
            <w:pStyle w:val="TOC1"/>
            <w:tabs>
              <w:tab w:val="clear" w:pos="900"/>
              <w:tab w:val="clear" w:pos="9350"/>
              <w:tab w:val="right" w:pos="9025" w:leader="dot"/>
            </w:tabs>
            <w:rPr/>
          </w:pPr>
          <w:hyperlink w:anchor="__RefHeading___Toc3425_1649759004">
            <w:r>
              <w:rPr>
                <w:webHidden/>
                <w:rStyle w:val="IndexLink"/>
              </w:rPr>
              <w:t>12. Payment terms</w:t>
              <w:tab/>
              <w:t>15</w:t>
            </w:r>
          </w:hyperlink>
        </w:p>
        <w:p>
          <w:pPr>
            <w:pStyle w:val="TOC1"/>
            <w:tabs>
              <w:tab w:val="clear" w:pos="900"/>
              <w:tab w:val="clear" w:pos="9350"/>
              <w:tab w:val="right" w:pos="9025" w:leader="dot"/>
            </w:tabs>
            <w:rPr/>
          </w:pPr>
          <w:hyperlink w:anchor="__RefHeading___Toc3427_1649759004">
            <w:r>
              <w:rPr>
                <w:webHidden/>
                <w:rStyle w:val="IndexLink"/>
              </w:rPr>
              <w:t>13. Taxes</w:t>
              <w:tab/>
              <w:t>16</w:t>
            </w:r>
          </w:hyperlink>
        </w:p>
        <w:p>
          <w:pPr>
            <w:pStyle w:val="TOC1"/>
            <w:tabs>
              <w:tab w:val="clear" w:pos="900"/>
              <w:tab w:val="clear" w:pos="9350"/>
              <w:tab w:val="right" w:pos="9025" w:leader="dot"/>
            </w:tabs>
            <w:rPr/>
          </w:pPr>
          <w:hyperlink w:anchor="__RefHeading___Toc3429_1649759004">
            <w:r>
              <w:rPr>
                <w:webHidden/>
                <w:rStyle w:val="IndexLink"/>
              </w:rPr>
              <w:t>14. Validity and conditions</w:t>
              <w:tab/>
              <w:t>17</w:t>
            </w:r>
          </w:hyperlink>
        </w:p>
        <w:p>
          <w:pPr>
            <w:pStyle w:val="TOC1"/>
            <w:tabs>
              <w:tab w:val="clear" w:pos="900"/>
              <w:tab w:val="clear" w:pos="9350"/>
              <w:tab w:val="right" w:pos="9025" w:leader="dot"/>
            </w:tabs>
            <w:rPr/>
          </w:pPr>
          <w:hyperlink w:anchor="__RefHeading___Toc3431_1649759004">
            <w:r>
              <w:rPr>
                <w:webHidden/>
                <w:rStyle w:val="IndexLink"/>
              </w:rPr>
              <w:t>15. How to proceed</w:t>
              <w:tab/>
              <w:t>18</w:t>
            </w:r>
          </w:hyperlink>
        </w:p>
        <w:p>
          <w:pPr>
            <w:pStyle w:val="TOC1"/>
            <w:tabs>
              <w:tab w:val="clear" w:pos="900"/>
              <w:tab w:val="clear" w:pos="9350"/>
              <w:tab w:val="right" w:pos="9025" w:leader="dot"/>
            </w:tabs>
            <w:rPr/>
          </w:pPr>
          <w:hyperlink w:anchor="__RefHeading___Toc3433_1649759004">
            <w:r>
              <w:rPr>
                <w:webHidden/>
                <w:rStyle w:val="IndexLink"/>
                <w:i w:val="false"/>
                <w:iCs w:val="false"/>
              </w:rPr>
              <w:t>16.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369_164975900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371_164975900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373_1649759004"/>
      <w:bookmarkEnd w:id="6"/>
      <w:r>
        <w:rPr>
          <w:rFonts w:eastAsia="Segoe UI" w:cs="Segoe UI" w:ascii="Segoe UI" w:hAnsi="Segoe UI"/>
          <w:b/>
          <w:color w:val="0F4761"/>
          <w:sz w:val="32"/>
        </w:rPr>
        <w:t>3.  About this rate card</w:t>
      </w:r>
    </w:p>
    <w:p>
      <w:pPr>
        <w:pStyle w:val="Normal"/>
        <w:spacing w:lineRule="auto" w:line="276" w:before="0" w:after="120"/>
        <w:rPr/>
      </w:pPr>
      <w:r>
        <w:rPr>
          <w:rFonts w:eastAsia="Segoe UI" w:cs="Segoe UI" w:ascii="Segoe UI" w:hAnsi="Segoe UI"/>
          <w:color w:val="101820"/>
          <w:sz w:val="21"/>
        </w:rPr>
        <w:t>This rate card sets out the list prices of iNXT BrokerVerse OOTB, the out-of-the-box version of the iNXT BrokerVerse insurance broking platform of iorta TechNXT Corp., for Philippine non-life insurance brokers. It shows ready packages for each broker size, what each package includes, the two licence models, implementation, hosting, support, optional services, change request rates, payment terms and taxes.</w:t>
      </w:r>
    </w:p>
    <w:p>
      <w:pPr>
        <w:pStyle w:val="Normal"/>
        <w:spacing w:lineRule="auto" w:line="276" w:before="0" w:after="120"/>
        <w:rPr/>
      </w:pPr>
      <w:r>
        <w:rPr>
          <w:rFonts w:eastAsia="Segoe UI" w:cs="Segoe UI" w:ascii="Segoe UI" w:hAnsi="Segoe UI"/>
          <w:color w:val="101820"/>
          <w:sz w:val="21"/>
        </w:rPr>
        <w:t>iNXT BrokerVerse OOTB covers sales and quotation, placement with insurers, policy issuance and servicing, endorsements, claims, renewals, billing, official receipts, remittance to insurers, commission, general ledger, bank and insurer reconciliation, BIR tax working papers, reinsurance and incentives. The prices are for the product as delivered. Changes to the product are change requests, priced at the day rates in this rate card.</w:t>
      </w:r>
    </w:p>
    <w:p>
      <w:pPr>
        <w:pStyle w:val="Normal"/>
        <w:shd w:val="clear" w:color="auto" w:fill="EAF2FB"/>
        <w:spacing w:before="0" w:after="160"/>
        <w:ind w:left="170"/>
        <w:rPr/>
      </w:pPr>
      <w:r>
        <w:rPr>
          <w:rFonts w:eastAsia="Segoe UI" w:cs="Segoe UI" w:ascii="Segoe UI" w:hAnsi="Segoe UI"/>
          <w:color w:val="101820"/>
          <w:sz w:val="20"/>
        </w:rPr>
        <w:t>All prices are in PHP and exclude 12% VAT. USD figures are for reference only, at PHP 62.75 per USD (BSP reference rate, 25 September 2026). This rate card is valid for 90 days from 03 October 2026. A binding price is the price in a signed Order Form.</w:t>
      </w:r>
      <w:r>
        <w:br w:type="page"/>
      </w:r>
    </w:p>
    <w:p>
      <w:pPr>
        <w:pStyle w:val="Heading1"/>
        <w:rPr/>
      </w:pPr>
      <w:bookmarkStart w:id="7" w:name="__RefHeading___Toc3375_1649759004"/>
      <w:bookmarkEnd w:id="7"/>
      <w:r>
        <w:rPr>
          <w:rFonts w:eastAsia="Segoe UI" w:cs="Segoe UI" w:ascii="Segoe UI" w:hAnsi="Segoe UI"/>
          <w:b/>
          <w:color w:val="0F4761"/>
          <w:sz w:val="32"/>
        </w:rPr>
        <w:t>4.  Packages at a glance</w:t>
      </w:r>
    </w:p>
    <w:p>
      <w:pPr>
        <w:pStyle w:val="Heading2"/>
        <w:rPr/>
      </w:pPr>
      <w:bookmarkStart w:id="8" w:name="__RefHeading___Toc3377_1649759004"/>
      <w:bookmarkEnd w:id="8"/>
      <w:r>
        <w:rPr>
          <w:rFonts w:eastAsia="Segoe UI" w:cs="Segoe UI"/>
          <w:b/>
          <w:color w:val="0F4761"/>
          <w:sz w:val="26"/>
        </w:rPr>
        <w:t>4.1  How the packages are built</w:t>
      </w:r>
    </w:p>
    <w:p>
      <w:pPr>
        <w:pStyle w:val="Normal"/>
        <w:spacing w:lineRule="auto" w:line="276" w:before="0" w:after="120"/>
        <w:rPr/>
      </w:pPr>
      <w:r>
        <w:rPr>
          <w:rFonts w:eastAsia="Segoe UI" w:cs="Segoe UI" w:ascii="Segoe UI" w:hAnsi="Segoe UI"/>
          <w:color w:val="101820"/>
          <w:sz w:val="21"/>
        </w:rPr>
        <w:t>Each broker size has four ready packages. They are priced for the reference number of users and lines of business of the size. Any other combination is priced with the same rates in the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814"/>
        <w:gridCol w:w="2198"/>
        <w:gridCol w:w="2962"/>
        <w:gridCol w:w="907"/>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8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Licence model</w:t>
            </w:r>
          </w:p>
        </w:tc>
        <w:tc>
          <w:tcPr>
            <w:tcW w:w="21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Hosting</w:t>
            </w:r>
          </w:p>
        </w:tc>
        <w:tc>
          <w:tcPr>
            <w:tcW w:w="29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Term shown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by the broker</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partner in the Philippines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 and 24x7 Severity 1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Plus also includes 2 extra training days and the migration of 1 legacy data source.</w:t>
      </w:r>
    </w:p>
    <w:p>
      <w:pPr>
        <w:pStyle w:val="Normal"/>
        <w:spacing w:lineRule="auto" w:line="276" w:before="0" w:after="120"/>
        <w:rPr/>
      </w:pPr>
      <w:r>
        <w:rPr>
          <w:rFonts w:eastAsia="Segoe UI" w:cs="Segoe UI" w:ascii="Segoe UI" w:hAnsi="Segoe UI"/>
          <w:color w:val="101820"/>
          <w:sz w:val="21"/>
        </w:rPr>
        <w:t>The figures below are list prices, excluding VAT. "One-time" is the implementation or onboarding fee, the perpetual licence fee and one-time services. "Monthly" is the subscription and the hosting from go-live. Year 1 and 5-year totals include the AMC and the yearly support where they apply, with the 5% yearly increase. The 5-year total assumes the contract continues to Year 5.</w:t>
      </w:r>
    </w:p>
    <w:p>
      <w:pPr>
        <w:pStyle w:val="Heading2"/>
        <w:rPr/>
      </w:pPr>
      <w:bookmarkStart w:id="9" w:name="__RefHeading___Toc3379_1649759004"/>
      <w:bookmarkEnd w:id="9"/>
      <w:r>
        <w:rPr>
          <w:rFonts w:eastAsia="Segoe UI" w:cs="Segoe UI"/>
          <w:b/>
          <w:color w:val="0F4761"/>
          <w:sz w:val="26"/>
        </w:rPr>
        <w:t>4.2  Small broker: 15 users, 5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329"/>
        <w:gridCol w:w="1234"/>
        <w:gridCol w:w="1707"/>
        <w:gridCol w:w="1708"/>
        <w:gridCol w:w="1708"/>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4,312,764.00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68,729</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2,066,000.00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6,112,764.00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97,415</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2,480,000.00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2,840,000.00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5,560,107.00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88,607</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2,780,000.00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3,356,000.00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7,066,259.00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112,610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297,000.00 in Year 2. Ownership Plus: AMC PHP 297,000.00 in Year 2 and 24x7 Severity 1 support PHP 240,000.00 a year.</w:t>
      </w:r>
    </w:p>
    <w:p>
      <w:pPr>
        <w:pStyle w:val="Heading2"/>
        <w:rPr/>
      </w:pPr>
      <w:bookmarkStart w:id="10" w:name="__RefHeading___Toc3381_1649759004"/>
      <w:bookmarkEnd w:id="10"/>
      <w:r>
        <w:rPr>
          <w:rFonts w:eastAsia="Segoe UI" w:cs="Segoe UI"/>
          <w:b/>
          <w:color w:val="0F4761"/>
          <w:sz w:val="26"/>
        </w:rPr>
        <w:t>4.3  Medium broker: 60 users, 8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329"/>
        <w:gridCol w:w="1234"/>
        <w:gridCol w:w="1707"/>
        <w:gridCol w:w="1708"/>
        <w:gridCol w:w="1708"/>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13,892,748.00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221,398</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240,000.00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4,970,000.00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17,612,748.00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280,681</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7,070,000.00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7,814,000.00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15,512,173.00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247,206</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7,370,000.00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8,558,000.00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18,284,476.00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291,386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1,095,600.00 in Year 2. Ownership Plus: AMC PHP 1,095,600.00 in Year 2 and 24x7 Severity 1 support PHP 480,000.00 a year.</w:t>
      </w:r>
    </w:p>
    <w:p>
      <w:pPr>
        <w:pStyle w:val="Heading2"/>
        <w:rPr/>
      </w:pPr>
      <w:bookmarkStart w:id="11" w:name="__RefHeading___Toc3383_1649759004"/>
      <w:bookmarkEnd w:id="11"/>
      <w:r>
        <w:rPr>
          <w:rFonts w:eastAsia="Segoe UI" w:cs="Segoe UI"/>
          <w:b/>
          <w:color w:val="0F4761"/>
          <w:sz w:val="26"/>
        </w:rPr>
        <w:t>4.4  Large broker: 180 users, 12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16"/>
        <w:gridCol w:w="1424"/>
        <w:gridCol w:w="1227"/>
        <w:gridCol w:w="1692"/>
        <w:gridCol w:w="1692"/>
        <w:gridCol w:w="1662"/>
      </w:tblGrid>
      <w:tr>
        <w:trPr>
          <w:tblHeader w:val="true"/>
        </w:trPr>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482,000.00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9,484,000.00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35,660,251.00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568,291</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10,828,000.00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42,380,251.00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675,382</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17,080,000.00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18,424,000.00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36,487,284.00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581,471</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17,380,000.00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19,564,000.00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41,460,352.00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660,723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2,943,600.00 in Year 2. Ownership Plus: AMC PHP 2,943,600.00 in Year 2 and 24x7 Severity 1 support PHP 900,000.00 a year.</w:t>
      </w:r>
    </w:p>
    <w:p>
      <w:pPr>
        <w:pStyle w:val="Heading2"/>
        <w:rPr/>
      </w:pPr>
      <w:bookmarkStart w:id="12" w:name="__RefHeading___Toc3385_1649759004"/>
      <w:bookmarkEnd w:id="12"/>
      <w:r>
        <w:rPr>
          <w:rFonts w:eastAsia="Segoe UI" w:cs="Segoe UI"/>
          <w:b/>
          <w:color w:val="0F4761"/>
          <w:sz w:val="26"/>
        </w:rPr>
        <w:t>4.5  Enterprise broker: 400 users, 16 lines of business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2"/>
        <w:gridCol w:w="1424"/>
        <w:gridCol w:w="1327"/>
        <w:gridCol w:w="1670"/>
        <w:gridCol w:w="1672"/>
        <w:gridCol w:w="1619"/>
      </w:tblGrid>
      <w:tr>
        <w:trPr>
          <w:tblHeader w:val="true"/>
        </w:trPr>
        <w:tc>
          <w:tcPr>
            <w:tcW w:w="13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6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970,000.00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17,440,000.00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70,118,348.00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1,117,424</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1,214,000.00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20,368,000.00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84,758,348.00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1,350,731</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32,500,000.00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35,428,000.00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72,457,674.00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1,154,704</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232,000.00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37,084,000.00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80,326,121.00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1,280,098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5,874,000.00 in Year 2. Ownership Plus: AMC PHP 5,874,000.00 in Year 2 and 24x7 Severity 1 support PHP 1,500,000.00 a year.</w:t>
      </w:r>
    </w:p>
    <w:p>
      <w:pPr>
        <w:pStyle w:val="Heading2"/>
        <w:rPr/>
      </w:pPr>
      <w:bookmarkStart w:id="13" w:name="__RefHeading___Toc3387_1649759004"/>
      <w:bookmarkEnd w:id="13"/>
      <w:r>
        <w:rPr>
          <w:rFonts w:eastAsia="Segoe UI" w:cs="Segoe UI"/>
          <w:b/>
          <w:color w:val="0F4761"/>
          <w:sz w:val="26"/>
        </w:rPr>
        <w:t>4.6  Choosing between the models</w:t>
      </w:r>
    </w:p>
    <w:p>
      <w:pPr>
        <w:pStyle w:val="Normal"/>
        <w:numPr>
          <w:ilvl w:val="0"/>
          <w:numId w:val="1"/>
        </w:numPr>
        <w:spacing w:before="0" w:after="60"/>
        <w:rPr/>
      </w:pPr>
      <w:r>
        <w:rPr>
          <w:rFonts w:eastAsia="Segoe UI" w:cs="Segoe UI" w:ascii="Segoe UI" w:hAnsi="Segoe UI"/>
          <w:color w:val="101820"/>
          <w:sz w:val="21"/>
        </w:rPr>
        <w:t>Subscription costs less in cash for the first three years. For the reference user counts, its cumulative cost passes the perpetual model in Year 4.</w:t>
      </w:r>
    </w:p>
    <w:p>
      <w:pPr>
        <w:pStyle w:val="Normal"/>
        <w:numPr>
          <w:ilvl w:val="0"/>
          <w:numId w:val="1"/>
        </w:numPr>
        <w:spacing w:before="0" w:after="60"/>
        <w:rPr/>
      </w:pPr>
      <w:r>
        <w:rPr>
          <w:rFonts w:eastAsia="Segoe UI" w:cs="Segoe UI" w:ascii="Segoe UI" w:hAnsi="Segoe UI"/>
          <w:color w:val="101820"/>
          <w:sz w:val="21"/>
        </w:rPr>
        <w:t>Perpetual costs less over a horizon of four years or more.</w:t>
      </w:r>
    </w:p>
    <w:p>
      <w:pPr>
        <w:pStyle w:val="Normal"/>
        <w:numPr>
          <w:ilvl w:val="0"/>
          <w:numId w:val="1"/>
        </w:numPr>
        <w:spacing w:before="0" w:after="60"/>
        <w:rPr/>
      </w:pPr>
      <w:r>
        <w:rPr>
          <w:rFonts w:eastAsia="Segoe UI" w:cs="Segoe UI" w:ascii="Segoe UI" w:hAnsi="Segoe UI"/>
          <w:color w:val="101820"/>
          <w:sz w:val="21"/>
        </w:rPr>
        <w:t>Hosting is priced separately in every package, so the software price can be compared on its own. The broker may always host the system itself at no hosting fee.</w:t>
      </w:r>
      <w:r>
        <w:br w:type="page"/>
      </w:r>
    </w:p>
    <w:p>
      <w:pPr>
        <w:pStyle w:val="Heading1"/>
        <w:rPr/>
      </w:pPr>
      <w:bookmarkStart w:id="14" w:name="__RefHeading___Toc3389_1649759004"/>
      <w:bookmarkEnd w:id="14"/>
      <w:r>
        <w:rPr>
          <w:rFonts w:eastAsia="Segoe UI" w:cs="Segoe UI" w:ascii="Segoe UI" w:hAnsi="Segoe UI"/>
          <w:b/>
          <w:color w:val="0F4761"/>
          <w:sz w:val="32"/>
        </w:rPr>
        <w:t>5.  What every package includes</w:t>
      </w:r>
    </w:p>
    <w:p>
      <w:pPr>
        <w:pStyle w:val="Heading2"/>
        <w:rPr/>
      </w:pPr>
      <w:bookmarkStart w:id="15" w:name="__RefHeading___Toc3391_1649759004"/>
      <w:bookmarkEnd w:id="15"/>
      <w:r>
        <w:rPr>
          <w:rFonts w:eastAsia="Segoe UI" w:cs="Segoe UI"/>
          <w:b/>
          <w:color w:val="0F4761"/>
          <w:sz w:val="26"/>
        </w:rPr>
        <w:t>5.1  Software</w:t>
      </w:r>
    </w:p>
    <w:p>
      <w:pPr>
        <w:pStyle w:val="Normal"/>
        <w:numPr>
          <w:ilvl w:val="0"/>
          <w:numId w:val="1"/>
        </w:numPr>
        <w:spacing w:before="0" w:after="60"/>
        <w:rPr/>
      </w:pPr>
      <w:r>
        <w:rPr>
          <w:rFonts w:eastAsia="Segoe UI" w:cs="Segoe UI" w:ascii="Segoe UI" w:hAnsi="Segoe UI"/>
          <w:color w:val="101820"/>
          <w:sz w:val="21"/>
        </w:rPr>
        <w:t>iNXT BrokerVerse OOTB with all its modules: sales and quotation, placement, policy issuance and servicing, endorsements, claims, renewals, billing, official receipts, collections, remittance to insurers, direct bill, commission and referrer sharing, petty cash, journals, general ledger, bank and insurer reconciliation, month-end and year-end close, BIR working papers (Form 2307, VAT Summary, SAWT, QAP, SLSP), reinsurance and incentives.</w:t>
      </w:r>
    </w:p>
    <w:p>
      <w:pPr>
        <w:pStyle w:val="Normal"/>
        <w:numPr>
          <w:ilvl w:val="0"/>
          <w:numId w:val="1"/>
        </w:numPr>
        <w:spacing w:before="0" w:after="60"/>
        <w:rPr/>
      </w:pPr>
      <w:r>
        <w:rPr>
          <w:rFonts w:eastAsia="Segoe UI" w:cs="Segoe UI" w:ascii="Segoe UI" w:hAnsi="Segoe UI"/>
          <w:color w:val="101820"/>
          <w:sz w:val="21"/>
        </w:rPr>
        <w:t>The seven delivered roles, maker-checker approvals, the authority matrix, segregation of duties checks, two-step verification and the audit trail.</w:t>
      </w:r>
    </w:p>
    <w:p>
      <w:pPr>
        <w:pStyle w:val="Normal"/>
        <w:numPr>
          <w:ilvl w:val="0"/>
          <w:numId w:val="1"/>
        </w:numPr>
        <w:spacing w:before="0" w:after="60"/>
        <w:rPr/>
      </w:pPr>
      <w:r>
        <w:rPr>
          <w:rFonts w:eastAsia="Segoe UI" w:cs="Segoe UI" w:ascii="Segoe UI" w:hAnsi="Segoe UI"/>
          <w:color w:val="101820"/>
          <w:sz w:val="21"/>
        </w:rPr>
        <w:t>Updates of the OOTB version and regulatory form updates released for all customers, while the subscription or the AMC is in force.</w:t>
      </w:r>
    </w:p>
    <w:p>
      <w:pPr>
        <w:pStyle w:val="Heading2"/>
        <w:rPr/>
      </w:pPr>
      <w:bookmarkStart w:id="16" w:name="__RefHeading___Toc3393_1649759004"/>
      <w:bookmarkEnd w:id="16"/>
      <w:r>
        <w:rPr>
          <w:rFonts w:eastAsia="Segoe UI" w:cs="Segoe UI"/>
          <w:b/>
          <w:color w:val="0F4761"/>
          <w:sz w:val="26"/>
        </w:rPr>
        <w:t>5.2  Implementation</w:t>
      </w:r>
    </w:p>
    <w:p>
      <w:pPr>
        <w:pStyle w:val="Normal"/>
        <w:numPr>
          <w:ilvl w:val="0"/>
          <w:numId w:val="1"/>
        </w:numPr>
        <w:spacing w:before="0" w:after="60"/>
        <w:rPr/>
      </w:pPr>
      <w:r>
        <w:rPr>
          <w:rFonts w:eastAsia="Segoe UI" w:cs="Segoe UI" w:ascii="Segoe UI" w:hAnsi="Segoe UI"/>
          <w:color w:val="101820"/>
          <w:sz w:val="21"/>
        </w:rPr>
        <w:t>Mobilisation, discovery and fit-gap on the delivered system, environment set-up, configuration, data migration with the standard upload templates, set-up of e-mail, bank statement formats and the delivered payment gateways, system integration test, user acceptance test support, cutover, go-live and hypercare.</w:t>
      </w:r>
    </w:p>
    <w:p>
      <w:pPr>
        <w:pStyle w:val="Normal"/>
        <w:numPr>
          <w:ilvl w:val="0"/>
          <w:numId w:val="1"/>
        </w:numPr>
        <w:spacing w:before="0" w:after="60"/>
        <w:rPr/>
      </w:pPr>
      <w:r>
        <w:rPr>
          <w:rFonts w:eastAsia="Segoe UI" w:cs="Segoe UI" w:ascii="Segoe UI" w:hAnsi="Segoe UI"/>
          <w:color w:val="101820"/>
          <w:sz w:val="21"/>
        </w:rPr>
        <w:t>Configuration of the company, branches, users and roles, insurers, commission rates, chart of accounts, account determination, posting rules, document numbering, approvals and the included lines of business.</w:t>
      </w:r>
    </w:p>
    <w:p>
      <w:pPr>
        <w:pStyle w:val="Normal"/>
        <w:numPr>
          <w:ilvl w:val="0"/>
          <w:numId w:val="1"/>
        </w:numPr>
        <w:spacing w:before="0" w:after="60"/>
        <w:rPr/>
      </w:pPr>
      <w:r>
        <w:rPr>
          <w:rFonts w:eastAsia="Segoe UI" w:cs="Segoe UI" w:ascii="Segoe UI" w:hAnsi="Segoe UI"/>
          <w:color w:val="101820"/>
          <w:sz w:val="21"/>
        </w:rPr>
        <w:t>Train-the-trainer for key users for the training days included in the size.</w:t>
      </w:r>
    </w:p>
    <w:p>
      <w:pPr>
        <w:pStyle w:val="Normal"/>
        <w:numPr>
          <w:ilvl w:val="0"/>
          <w:numId w:val="1"/>
        </w:numPr>
        <w:spacing w:before="0" w:after="60"/>
        <w:rPr/>
      </w:pPr>
      <w:r>
        <w:rPr>
          <w:rFonts w:eastAsia="Segoe UI" w:cs="Segoe UI" w:ascii="Segoe UI" w:hAnsi="Segoe UI"/>
          <w:color w:val="101820"/>
          <w:sz w:val="21"/>
        </w:rPr>
        <w:t>Hypercare until the first month-end close is done.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907"/>
        <w:gridCol w:w="2046"/>
        <w:gridCol w:w="1747"/>
        <w:gridCol w:w="3181"/>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Users</w:t>
            </w:r>
          </w:p>
        </w:tc>
        <w:tc>
          <w:tcPr>
            <w:tcW w:w="20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of business included</w:t>
            </w:r>
          </w:p>
        </w:tc>
        <w:tc>
          <w:tcPr>
            <w:tcW w:w="17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Training days included</w:t>
            </w:r>
          </w:p>
        </w:tc>
        <w:tc>
          <w:tcPr>
            <w:tcW w:w="31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to 25</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to 100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 to 300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300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or more, planned at mobilisation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implementation size and the plan are confirmed at mobilisation once the data volumes are known.</w:t>
      </w:r>
    </w:p>
    <w:p>
      <w:pPr>
        <w:pStyle w:val="Heading2"/>
        <w:rPr/>
      </w:pPr>
      <w:bookmarkStart w:id="17" w:name="__RefHeading___Toc3395_1649759004"/>
      <w:bookmarkEnd w:id="17"/>
      <w:r>
        <w:rPr>
          <w:rFonts w:eastAsia="Segoe UI" w:cs="Segoe UI"/>
          <w:b/>
          <w:color w:val="0F4761"/>
          <w:sz w:val="26"/>
        </w:rPr>
        <w:t>5.3  Support</w:t>
      </w:r>
    </w:p>
    <w:p>
      <w:pPr>
        <w:pStyle w:val="Normal"/>
        <w:numPr>
          <w:ilvl w:val="0"/>
          <w:numId w:val="1"/>
        </w:numPr>
        <w:spacing w:before="0" w:after="60"/>
        <w:rPr/>
      </w:pPr>
      <w:r>
        <w:rPr>
          <w:rFonts w:eastAsia="Segoe UI" w:cs="Segoe UI" w:ascii="Segoe UI" w:hAnsi="Segoe UI"/>
          <w:color w:val="101820"/>
          <w:sz w:val="21"/>
        </w:rPr>
        <w:t>Standard support from 08:00 to 18:00 PHT, Monday to Friday, except Philippine regular holidays, for all severities.</w:t>
      </w:r>
    </w:p>
    <w:p>
      <w:pPr>
        <w:pStyle w:val="Normal"/>
        <w:numPr>
          <w:ilvl w:val="0"/>
          <w:numId w:val="1"/>
        </w:numPr>
        <w:spacing w:before="0" w:after="60"/>
        <w:rPr/>
      </w:pPr>
      <w:r>
        <w:rPr>
          <w:rFonts w:eastAsia="Segoe UI" w:cs="Segoe UI" w:ascii="Segoe UI" w:hAnsi="Segoe UI"/>
          <w:color w:val="101820"/>
          <w:sz w:val="21"/>
        </w:rPr>
        <w:t>A service desk (portal or mailbox, and a telephone line for P1), monthly service report and monthly service review.</w:t>
      </w:r>
    </w:p>
    <w:p>
      <w:pPr>
        <w:pStyle w:val="Normal"/>
        <w:numPr>
          <w:ilvl w:val="0"/>
          <w:numId w:val="1"/>
        </w:numPr>
        <w:spacing w:before="0" w:after="60"/>
        <w:rPr/>
      </w:pPr>
      <w:r>
        <w:rPr>
          <w:rFonts w:eastAsia="Segoe UI" w:cs="Segoe UI" w:ascii="Segoe UI" w:hAnsi="Segoe UI"/>
          <w:color w:val="101820"/>
          <w:sz w:val="21"/>
        </w:rPr>
        <w:t>Response and restore targets by severity, as in the Annual Maintenance and Support Agreement.</w:t>
      </w:r>
    </w:p>
    <w:p>
      <w:pPr>
        <w:pStyle w:val="Heading2"/>
        <w:rPr/>
      </w:pPr>
      <w:bookmarkStart w:id="18" w:name="__RefHeading___Toc3397_1649759004"/>
      <w:bookmarkEnd w:id="18"/>
      <w:r>
        <w:rPr>
          <w:rFonts w:eastAsia="Segoe UI" w:cs="Segoe UI"/>
          <w:b/>
          <w:color w:val="0F4761"/>
          <w:sz w:val="26"/>
        </w:rPr>
        <w:t>5.4  Hosting (when iorta TechNXT hosts)</w:t>
      </w:r>
    </w:p>
    <w:p>
      <w:pPr>
        <w:pStyle w:val="Normal"/>
        <w:numPr>
          <w:ilvl w:val="0"/>
          <w:numId w:val="1"/>
        </w:numPr>
        <w:spacing w:before="0" w:after="60"/>
        <w:rPr/>
      </w:pPr>
      <w:r>
        <w:rPr>
          <w:rFonts w:eastAsia="Segoe UI" w:cs="Segoe UI" w:ascii="Segoe UI" w:hAnsi="Segoe UI"/>
          <w:color w:val="101820"/>
          <w:sz w:val="21"/>
        </w:rPr>
        <w:t>A production and one UAT environment, daily backups, monitoring, patching of the operating system and database, and TLS certificates.</w:t>
      </w:r>
      <w:r>
        <w:br w:type="page"/>
      </w:r>
    </w:p>
    <w:p>
      <w:pPr>
        <w:pStyle w:val="Heading1"/>
        <w:rPr/>
      </w:pPr>
      <w:bookmarkStart w:id="19" w:name="__RefHeading___Toc3399_1649759004"/>
      <w:bookmarkEnd w:id="19"/>
      <w:r>
        <w:rPr>
          <w:rFonts w:eastAsia="Segoe UI" w:cs="Segoe UI" w:ascii="Segoe UI" w:hAnsi="Segoe UI"/>
          <w:b/>
          <w:color w:val="0F4761"/>
          <w:sz w:val="32"/>
        </w:rPr>
        <w:t>6.  Licence models</w:t>
      </w:r>
    </w:p>
    <w:p>
      <w:pPr>
        <w:pStyle w:val="Heading2"/>
        <w:rPr/>
      </w:pPr>
      <w:bookmarkStart w:id="20" w:name="__RefHeading___Toc3401_1649759004"/>
      <w:bookmarkEnd w:id="20"/>
      <w:r>
        <w:rPr>
          <w:rFonts w:eastAsia="Segoe UI" w:cs="Segoe UI"/>
          <w:b/>
          <w:color w:val="0F4761"/>
          <w:sz w:val="26"/>
        </w:rPr>
        <w:t>6.1  Users and slabs</w:t>
      </w:r>
    </w:p>
    <w:p>
      <w:pPr>
        <w:pStyle w:val="Normal"/>
        <w:spacing w:lineRule="auto" w:line="276" w:before="0" w:after="120"/>
        <w:rPr/>
      </w:pPr>
      <w:r>
        <w:rPr>
          <w:rFonts w:eastAsia="Segoe UI" w:cs="Segoe UI" w:ascii="Segoe UI" w:hAnsi="Segoe UI"/>
          <w:color w:val="101820"/>
          <w:sz w:val="21"/>
        </w:rPr>
        <w:t>A user is a named person with an iNXT BrokerVerse sign-in. User prices are graduated: the first 25 users are charged at the Small rate, users 26 to 100 at the Medium rate, users 101 to 300 at the Large rate and the rest at the Enterprise rate. A broker that grows past a boundary never pays less in total than before, and the price per user falls as it grows.</w:t>
      </w:r>
    </w:p>
    <w:p>
      <w:pPr>
        <w:pStyle w:val="Heading2"/>
        <w:rPr/>
      </w:pPr>
      <w:bookmarkStart w:id="21" w:name="__RefHeading___Toc3403_1649759004"/>
      <w:bookmarkEnd w:id="21"/>
      <w:r>
        <w:rPr>
          <w:rFonts w:eastAsia="Segoe UI" w:cs="Segoe UI"/>
          <w:b/>
          <w:color w:val="0F4761"/>
          <w:sz w:val="26"/>
        </w:rPr>
        <w:t>6.2  Perpetual licence with AMC</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9"/>
        <w:gridCol w:w="4974"/>
        <w:gridCol w:w="2020"/>
      </w:tblGrid>
      <w:tr>
        <w:trPr>
          <w:tblHeader w:val="true"/>
        </w:trPr>
        <w:tc>
          <w:tcPr>
            <w:tcW w:w="20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4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Licence per user, one-time (PHP)</w:t>
            </w:r>
          </w:p>
        </w:tc>
        <w:tc>
          <w:tcPr>
            <w:tcW w:w="20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1,434</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1,243</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1,052</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54,000.00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861</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licence fee is one-time for the named users and is payable on go-live.</w:t>
      </w:r>
    </w:p>
    <w:p>
      <w:pPr>
        <w:pStyle w:val="Normal"/>
        <w:numPr>
          <w:ilvl w:val="0"/>
          <w:numId w:val="1"/>
        </w:numPr>
        <w:spacing w:before="0" w:after="60"/>
        <w:rPr/>
      </w:pPr>
      <w:r>
        <w:rPr>
          <w:rFonts w:eastAsia="Segoe UI" w:cs="Segoe UI" w:ascii="Segoe UI" w:hAnsi="Segoe UI"/>
          <w:color w:val="101820"/>
          <w:sz w:val="21"/>
        </w:rPr>
        <w:t>A 12-month warranty runs from go-live. AMC is 22% of the licence fee a year, starts in Year 2 and increases 5% at each anniversary.</w:t>
      </w:r>
    </w:p>
    <w:p>
      <w:pPr>
        <w:pStyle w:val="Normal"/>
        <w:numPr>
          <w:ilvl w:val="0"/>
          <w:numId w:val="1"/>
        </w:numPr>
        <w:spacing w:before="0" w:after="60"/>
        <w:rPr/>
      </w:pPr>
      <w:r>
        <w:rPr>
          <w:rFonts w:eastAsia="Segoe UI" w:cs="Segoe UI" w:ascii="Segoe UI" w:hAnsi="Segoe UI"/>
          <w:color w:val="101820"/>
          <w:sz w:val="21"/>
        </w:rPr>
        <w:t>AMC covers corrections, updates of the OOTB version, regulatory form updates released for all customers and standard support.</w:t>
      </w:r>
    </w:p>
    <w:p>
      <w:pPr>
        <w:pStyle w:val="Heading2"/>
        <w:rPr/>
      </w:pPr>
      <w:bookmarkStart w:id="22" w:name="__RefHeading___Toc3405_1649759004"/>
      <w:bookmarkEnd w:id="22"/>
      <w:r>
        <w:rPr>
          <w:rFonts w:eastAsia="Segoe UI" w:cs="Segoe UI"/>
          <w:b/>
          <w:color w:val="0F4761"/>
          <w:sz w:val="26"/>
        </w:rPr>
        <w:t>6.3  Subscription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1"/>
        <w:gridCol w:w="3005"/>
        <w:gridCol w:w="1303"/>
        <w:gridCol w:w="3404"/>
      </w:tblGrid>
      <w:tr>
        <w:trPr>
          <w:tblHeader w:val="true"/>
        </w:trPr>
        <w:tc>
          <w:tcPr>
            <w:tcW w:w="1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(PHP)</w:t>
            </w:r>
          </w:p>
        </w:tc>
        <w:tc>
          <w:tcPr>
            <w:tcW w:w="13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3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 of the size</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51</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(Small)</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(Medium)</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(Large)</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301 (Enterprise)</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Billed monthly in advance from go-live. Prices increase 5% at each contract anniversary.</w:t>
      </w:r>
    </w:p>
    <w:p>
      <w:pPr>
        <w:pStyle w:val="Normal"/>
        <w:numPr>
          <w:ilvl w:val="0"/>
          <w:numId w:val="1"/>
        </w:numPr>
        <w:spacing w:before="0" w:after="60"/>
        <w:rPr/>
      </w:pPr>
      <w:r>
        <w:rPr>
          <w:rFonts w:eastAsia="Segoe UI" w:cs="Segoe UI" w:ascii="Segoe UI" w:hAnsi="Segoe UI"/>
          <w:color w:val="101820"/>
          <w:sz w:val="21"/>
        </w:rPr>
        <w:t>The minimum term is 12 months.</w:t>
      </w:r>
    </w:p>
    <w:p>
      <w:pPr>
        <w:pStyle w:val="Normal"/>
        <w:numPr>
          <w:ilvl w:val="0"/>
          <w:numId w:val="1"/>
        </w:numPr>
        <w:spacing w:before="0" w:after="60"/>
        <w:rPr/>
      </w:pPr>
      <w:r>
        <w:rPr>
          <w:rFonts w:eastAsia="Segoe UI" w:cs="Segoe UI" w:ascii="Segoe UI" w:hAnsi="Segoe UI"/>
          <w:color w:val="101820"/>
          <w:sz w:val="21"/>
        </w:rPr>
        <w:t>The subscription includes the right to use the OOTB version for the term, updates and standard support. Hosting is not included.</w:t>
      </w:r>
    </w:p>
    <w:p>
      <w:pPr>
        <w:pStyle w:val="Normal"/>
        <w:numPr>
          <w:ilvl w:val="0"/>
          <w:numId w:val="1"/>
        </w:numPr>
        <w:spacing w:before="0" w:after="60"/>
        <w:rPr/>
      </w:pPr>
      <w:r>
        <w:rPr>
          <w:rFonts w:eastAsia="Segoe UI" w:cs="Segoe UI" w:ascii="Segoe UI" w:hAnsi="Segoe UI"/>
          <w:color w:val="101820"/>
          <w:sz w:val="21"/>
        </w:rPr>
        <w:t>An onboarding fee equal to the implementation fee applies, because the set-up work is the same in both models.</w:t>
      </w:r>
    </w:p>
    <w:p>
      <w:pPr>
        <w:pStyle w:val="Normal"/>
        <w:numPr>
          <w:ilvl w:val="0"/>
          <w:numId w:val="1"/>
        </w:numPr>
        <w:spacing w:before="0" w:after="60"/>
        <w:rPr/>
      </w:pPr>
      <w:r>
        <w:rPr>
          <w:rFonts w:eastAsia="Segoe UI" w:cs="Segoe UI" w:ascii="Segoe UI" w:hAnsi="Segoe UI"/>
          <w:color w:val="101820"/>
          <w:sz w:val="21"/>
        </w:rPr>
        <w:t>Example: a 40-user broker pays 25 users at PHP 3,200.00 and 15 users at PHP 2,800.00, which is PHP 122,000.00 a month.</w:t>
      </w:r>
      <w:r>
        <w:br w:type="page"/>
      </w:r>
    </w:p>
    <w:p>
      <w:pPr>
        <w:pStyle w:val="Heading1"/>
        <w:rPr/>
      </w:pPr>
      <w:bookmarkStart w:id="23" w:name="__RefHeading___Toc3407_1649759004"/>
      <w:bookmarkEnd w:id="23"/>
      <w:r>
        <w:rPr>
          <w:rFonts w:eastAsia="Segoe UI" w:cs="Segoe UI" w:ascii="Segoe UI" w:hAnsi="Segoe UI"/>
          <w:b/>
          <w:color w:val="0F4761"/>
          <w:sz w:val="32"/>
        </w:rPr>
        <w:t>7.  Implementation fee</w:t>
      </w:r>
    </w:p>
    <w:p>
      <w:pPr>
        <w:pStyle w:val="Normal"/>
        <w:spacing w:lineRule="auto" w:line="276" w:before="0" w:after="120"/>
        <w:rPr/>
      </w:pPr>
      <w:r>
        <w:rPr>
          <w:rFonts w:eastAsia="Segoe UI" w:cs="Segoe UI" w:ascii="Segoe UI" w:hAnsi="Segoe UI"/>
          <w:color w:val="101820"/>
          <w:sz w:val="21"/>
        </w:rPr>
        <w:t>The implementation fee depends on the size and on the number of lines of business to configure. Each line of business needs products and covers, rating and tax lines, policy and endorsement document templates, insurer commission rates and its own UAT test cases.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3077"/>
        <w:gridCol w:w="1243"/>
        <w:gridCol w:w="3560"/>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30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Base fee, included lines of business (PHP)</w:t>
            </w:r>
          </w:p>
        </w:tc>
        <w:tc>
          <w:tcPr>
            <w:tcW w:w="12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35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Each additional line of business at implementation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1,130,000.00 (5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18,008</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2,090,000.00 (8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33,307</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3,700,000.00 (12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58,964</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5,800,000.00 (16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92,430</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fee is the man-days of the size plus 6 man-days for each additional line of business, at the blended rate of PHP 16,100.00 a man-day, rounded to PHP 10,000.00. Example: a Small broker with 6 lines of business has 76 man-days, PHP 1,220,000.00.</w:t>
      </w:r>
      <w:r>
        <w:br w:type="page"/>
      </w:r>
    </w:p>
    <w:p>
      <w:pPr>
        <w:pStyle w:val="Heading1"/>
        <w:rPr/>
      </w:pPr>
      <w:bookmarkStart w:id="24" w:name="__RefHeading___Toc3409_1649759004"/>
      <w:bookmarkEnd w:id="24"/>
      <w:r>
        <w:rPr>
          <w:rFonts w:eastAsia="Segoe UI" w:cs="Segoe UI" w:ascii="Segoe UI" w:hAnsi="Segoe UI"/>
          <w:b/>
          <w:color w:val="0F4761"/>
          <w:sz w:val="32"/>
        </w:rPr>
        <w:t>8.  Hosting</w:t>
      </w:r>
    </w:p>
    <w:p>
      <w:pPr>
        <w:pStyle w:val="Normal"/>
        <w:spacing w:lineRule="auto" w:line="276" w:before="0" w:after="120"/>
        <w:rPr/>
      </w:pPr>
      <w:r>
        <w:rPr>
          <w:rFonts w:eastAsia="Segoe UI" w:cs="Segoe UI" w:ascii="Segoe UI" w:hAnsi="Segoe UI"/>
          <w:color w:val="101820"/>
          <w:sz w:val="21"/>
        </w:rPr>
        <w:t>Hosting is optional. The price covers a production and one UAT environment, daily backups, monitoring, patching and certificates.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711"/>
        <w:gridCol w:w="1726"/>
        <w:gridCol w:w="1892"/>
        <w:gridCol w:w="2552"/>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Hosted by the broker</w:t>
            </w:r>
          </w:p>
        </w:tc>
        <w:tc>
          <w:tcPr>
            <w:tcW w:w="1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per month (PHP)</w:t>
            </w:r>
          </w:p>
        </w:tc>
        <w:tc>
          <w:tcPr>
            <w:tcW w:w="18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Azure, per month (PHP)</w:t>
            </w:r>
          </w:p>
        </w:tc>
        <w:tc>
          <w:tcPr>
            <w:tcW w:w="25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 partner, per month (PHP)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232,000.00</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AWS and Azure are priced on their Singapore regions. Hosting in Singapore is a transfer of personal data outside the Philippines, which the broker documents under the Data Privacy Act.</w:t>
      </w:r>
    </w:p>
    <w:p>
      <w:pPr>
        <w:pStyle w:val="Normal"/>
        <w:numPr>
          <w:ilvl w:val="0"/>
          <w:numId w:val="1"/>
        </w:numPr>
        <w:spacing w:before="0" w:after="60"/>
        <w:rPr/>
      </w:pPr>
      <w:r>
        <w:rPr>
          <w:rFonts w:eastAsia="Segoe UI" w:cs="Segoe UI" w:ascii="Segoe UI" w:hAnsi="Segoe UI"/>
          <w:color w:val="101820"/>
          <w:sz w:val="21"/>
        </w:rPr>
        <w:t>The local partner option keeps the data in the Philippines.</w:t>
      </w:r>
    </w:p>
    <w:p>
      <w:pPr>
        <w:pStyle w:val="Normal"/>
        <w:numPr>
          <w:ilvl w:val="0"/>
          <w:numId w:val="1"/>
        </w:numPr>
        <w:spacing w:before="0" w:after="60"/>
        <w:rPr/>
      </w:pPr>
      <w:r>
        <w:rPr>
          <w:rFonts w:eastAsia="Segoe UI" w:cs="Segoe UI" w:ascii="Segoe UI" w:hAnsi="Segoe UI"/>
          <w:color w:val="101820"/>
          <w:sz w:val="21"/>
        </w:rPr>
        <w:t>When the broker hosts, iorta TechNXT supplies the deployment guide and charges set-up support at day rates.</w:t>
      </w:r>
    </w:p>
    <w:p>
      <w:pPr>
        <w:pStyle w:val="Normal"/>
        <w:numPr>
          <w:ilvl w:val="0"/>
          <w:numId w:val="1"/>
        </w:numPr>
        <w:spacing w:before="0" w:after="60"/>
        <w:rPr/>
      </w:pPr>
      <w:r>
        <w:rPr>
          <w:rFonts w:eastAsia="Segoe UI" w:cs="Segoe UI" w:ascii="Segoe UI" w:hAnsi="Segoe UI"/>
          <w:color w:val="101820"/>
          <w:sz w:val="21"/>
        </w:rPr>
        <w:t>Cloud prices are confirmed with the provider before the Order Form is signed.</w:t>
      </w:r>
      <w:r>
        <w:br w:type="page"/>
      </w:r>
    </w:p>
    <w:p>
      <w:pPr>
        <w:pStyle w:val="Heading1"/>
        <w:rPr/>
      </w:pPr>
      <w:bookmarkStart w:id="25" w:name="__RefHeading___Toc3411_1649759004"/>
      <w:bookmarkEnd w:id="25"/>
      <w:r>
        <w:rPr>
          <w:rFonts w:eastAsia="Segoe UI" w:cs="Segoe UI" w:ascii="Segoe UI" w:hAnsi="Segoe UI"/>
          <w:b/>
          <w:color w:val="0F4761"/>
          <w:sz w:val="32"/>
        </w:rPr>
        <w:t>9.  Support and maintenance</w:t>
      </w:r>
    </w:p>
    <w:p>
      <w:pPr>
        <w:pStyle w:val="Heading2"/>
        <w:rPr/>
      </w:pPr>
      <w:bookmarkStart w:id="26" w:name="__RefHeading___Toc3413_1649759004"/>
      <w:bookmarkEnd w:id="26"/>
      <w:r>
        <w:rPr>
          <w:rFonts w:eastAsia="Segoe UI" w:cs="Segoe UI"/>
          <w:b/>
          <w:color w:val="0F4761"/>
          <w:sz w:val="26"/>
        </w:rPr>
        <w:t>9.1  Standard support</w:t>
      </w:r>
    </w:p>
    <w:p>
      <w:pPr>
        <w:pStyle w:val="Normal"/>
        <w:spacing w:lineRule="auto" w:line="276" w:before="0" w:after="120"/>
        <w:rPr/>
      </w:pPr>
      <w:r>
        <w:rPr>
          <w:rFonts w:eastAsia="Segoe UI" w:cs="Segoe UI" w:ascii="Segoe UI" w:hAnsi="Segoe UI"/>
          <w:color w:val="101820"/>
          <w:sz w:val="21"/>
        </w:rPr>
        <w:t>Standard support is included in the subscription and in the AMC. Service hours are 08:00 to 18:00 PHT, Monday to Friday, except Philippine regular holidays.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4090"/>
        <w:gridCol w:w="1305"/>
        <w:gridCol w:w="2496"/>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4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3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24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service or workaround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down or a core process stopped for all users</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stopped for one team or branch, no acceptable workaround</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and a workaround exists</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 cosmetic issue or request for change</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with the broker</w:t>
            </w:r>
          </w:p>
        </w:tc>
      </w:tr>
    </w:tbl>
    <w:p>
      <w:pPr>
        <w:pStyle w:val="Normal"/>
        <w:spacing w:before="0" w:after="80"/>
        <w:rPr/>
      </w:pPr>
      <w:r>
        <w:rPr/>
      </w:r>
    </w:p>
    <w:p>
      <w:pPr>
        <w:pStyle w:val="Heading2"/>
        <w:rPr/>
      </w:pPr>
      <w:bookmarkStart w:id="27" w:name="__RefHeading___Toc3415_1649759004"/>
      <w:bookmarkEnd w:id="27"/>
      <w:r>
        <w:rPr>
          <w:rFonts w:eastAsia="Segoe UI" w:cs="Segoe UI"/>
          <w:b/>
          <w:color w:val="0F4761"/>
          <w:sz w:val="26"/>
        </w:rPr>
        <w:t>9.2  24x7 Severity 1 support (optional)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2"/>
        <w:gridCol w:w="4407"/>
        <w:gridCol w:w="2605"/>
      </w:tblGrid>
      <w:tr>
        <w:trPr>
          <w:tblHeader w:val="true"/>
        </w:trPr>
        <w:tc>
          <w:tcPr>
            <w:tcW w:w="2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4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 year, Year 1 (PHP)</w:t>
            </w:r>
          </w:p>
        </w:tc>
        <w:tc>
          <w:tcPr>
            <w:tcW w:w="26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3,825</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7,649</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14,343</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23,904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This option adds round-the-clock response to P1 incidents reported by telephone. It increases 5% a year.</w:t>
      </w:r>
      <w:r>
        <w:br w:type="page"/>
      </w:r>
    </w:p>
    <w:p>
      <w:pPr>
        <w:pStyle w:val="Heading1"/>
        <w:rPr/>
      </w:pPr>
      <w:bookmarkStart w:id="28" w:name="__RefHeading___Toc3417_1649759004"/>
      <w:bookmarkEnd w:id="28"/>
      <w:r>
        <w:rPr>
          <w:rFonts w:eastAsia="Segoe UI" w:cs="Segoe UI" w:ascii="Segoe UI" w:hAnsi="Segoe UI"/>
          <w:b/>
          <w:color w:val="0F4761"/>
          <w:sz w:val="32"/>
        </w:rPr>
        <w:t>10.  Optional services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61"/>
        <w:gridCol w:w="2836"/>
        <w:gridCol w:w="1318"/>
      </w:tblGrid>
      <w:tr>
        <w:trPr>
          <w:tblHeader w:val="true"/>
        </w:trPr>
        <w:tc>
          <w:tcPr>
            <w:tcW w:w="4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8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(PHP)</w:t>
            </w:r>
          </w:p>
        </w:tc>
        <w:tc>
          <w:tcPr>
            <w:tcW w:w="13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(training or second UAT), set-up</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 one-time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1,594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hosted by iorta TechNXT</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11,000.00 a month</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175</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included days</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30,000.00 per trainer 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478</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beyond the standard templates</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 per legacy source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3,825</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additional effort</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 per man-day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257</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standard</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320,000.00 per integration</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5,100</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complex</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720,000.00 per integration</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11,474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after go-live</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 per line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1,594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report or document template (typical)</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60,000.00 per item</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956</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On-site consultant day in Metro Manila</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20,000.00 per 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319</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A trainer day covers up to 15 participants. The broker provides the room and the devices.</w:t>
      </w:r>
    </w:p>
    <w:p>
      <w:pPr>
        <w:pStyle w:val="Normal"/>
        <w:numPr>
          <w:ilvl w:val="0"/>
          <w:numId w:val="1"/>
        </w:numPr>
        <w:spacing w:before="0" w:after="60"/>
        <w:rPr/>
      </w:pPr>
      <w:r>
        <w:rPr>
          <w:rFonts w:eastAsia="Segoe UI" w:cs="Segoe UI" w:ascii="Segoe UI" w:hAnsi="Segoe UI"/>
          <w:color w:val="101820"/>
          <w:sz w:val="21"/>
        </w:rPr>
        <w:t>A standard integration is one documented API or file exchange in one direction. A complex integration is two-way, has no API, or is a batch with reconciliation.</w:t>
      </w:r>
    </w:p>
    <w:p>
      <w:pPr>
        <w:pStyle w:val="Normal"/>
        <w:numPr>
          <w:ilvl w:val="0"/>
          <w:numId w:val="1"/>
        </w:numPr>
        <w:spacing w:before="0" w:after="60"/>
        <w:rPr/>
      </w:pPr>
      <w:r>
        <w:rPr>
          <w:rFonts w:eastAsia="Segoe UI" w:cs="Segoe UI" w:ascii="Segoe UI" w:hAnsi="Segoe UI"/>
          <w:color w:val="101820"/>
          <w:sz w:val="21"/>
        </w:rPr>
        <w:t>Travel, lodging and meals outside Metro Manila are billed at cost. The recurring 24x7 Severity 1 support option increases 5% a year, like the AMC and the subscription. Hosting fees do not increase each year; they change only under the pass-through clause of the Hosting and Infrastructure Services Agreement.</w:t>
      </w:r>
      <w:r>
        <w:br w:type="page"/>
      </w:r>
    </w:p>
    <w:p>
      <w:pPr>
        <w:pStyle w:val="Heading1"/>
        <w:rPr/>
      </w:pPr>
      <w:bookmarkStart w:id="29" w:name="__RefHeading___Toc3419_1649759004"/>
      <w:bookmarkEnd w:id="29"/>
      <w:r>
        <w:rPr>
          <w:rFonts w:eastAsia="Segoe UI" w:cs="Segoe UI" w:ascii="Segoe UI" w:hAnsi="Segoe UI"/>
          <w:b/>
          <w:color w:val="0F4761"/>
          <w:sz w:val="32"/>
        </w:rPr>
        <w:t>11.  Change requests</w:t>
      </w:r>
    </w:p>
    <w:p>
      <w:pPr>
        <w:pStyle w:val="Heading2"/>
        <w:rPr/>
      </w:pPr>
      <w:bookmarkStart w:id="30" w:name="__RefHeading___Toc3421_1649759004"/>
      <w:bookmarkEnd w:id="30"/>
      <w:r>
        <w:rPr>
          <w:rFonts w:eastAsia="Segoe UI" w:cs="Segoe UI"/>
          <w:b/>
          <w:color w:val="0F4761"/>
          <w:sz w:val="26"/>
        </w:rPr>
        <w:t>11.1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54"/>
        <w:gridCol w:w="2935"/>
        <w:gridCol w:w="2725"/>
      </w:tblGrid>
      <w:tr>
        <w:trPr>
          <w:tblHeader w:val="true"/>
        </w:trPr>
        <w:tc>
          <w:tcPr>
            <w:tcW w:w="33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9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w:t>
            </w:r>
          </w:p>
        </w:tc>
        <w:tc>
          <w:tcPr>
            <w:tcW w:w="2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287</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255</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191</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351</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rate</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257</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Day rates are fixed for 12 months from signing.</w:t>
      </w:r>
    </w:p>
    <w:p>
      <w:pPr>
        <w:pStyle w:val="Heading2"/>
        <w:rPr/>
      </w:pPr>
      <w:bookmarkStart w:id="31" w:name="__RefHeading___Toc3423_1649759004"/>
      <w:bookmarkEnd w:id="31"/>
      <w:r>
        <w:rPr>
          <w:rFonts w:eastAsia="Segoe UI" w:cs="Segoe UI"/>
          <w:b/>
          <w:color w:val="0F4761"/>
          <w:sz w:val="26"/>
        </w:rPr>
        <w:t>11.2  How a change is priced</w:t>
      </w:r>
    </w:p>
    <w:p>
      <w:pPr>
        <w:pStyle w:val="Normal"/>
        <w:numPr>
          <w:ilvl w:val="0"/>
          <w:numId w:val="5"/>
        </w:numPr>
        <w:spacing w:before="0" w:after="60"/>
        <w:rPr/>
      </w:pPr>
      <w:r>
        <w:rPr>
          <w:rFonts w:eastAsia="Segoe UI" w:cs="Segoe UI" w:ascii="Segoe UI" w:hAnsi="Segoe UI"/>
          <w:color w:val="101820"/>
          <w:sz w:val="21"/>
        </w:rPr>
        <w:t>The broker raises the change with the business need and examples.</w:t>
      </w:r>
    </w:p>
    <w:p>
      <w:pPr>
        <w:pStyle w:val="Normal"/>
        <w:numPr>
          <w:ilvl w:val="0"/>
          <w:numId w:val="2"/>
        </w:numPr>
        <w:spacing w:before="0" w:after="60"/>
        <w:rPr/>
      </w:pPr>
      <w:r>
        <w:rPr>
          <w:rFonts w:eastAsia="Segoe UI" w:cs="Segoe UI" w:ascii="Segoe UI" w:hAnsi="Segoe UI"/>
          <w:color w:val="101820"/>
          <w:sz w:val="21"/>
        </w:rPr>
        <w:t>iorta TechNXT estimates the developer man-days from the screens, APIs, reports, database changes and jobs affected.</w:t>
      </w:r>
    </w:p>
    <w:p>
      <w:pPr>
        <w:pStyle w:val="Normal"/>
        <w:numPr>
          <w:ilvl w:val="0"/>
          <w:numId w:val="2"/>
        </w:numPr>
        <w:spacing w:before="0" w:after="60"/>
        <w:rPr/>
      </w:pPr>
      <w:r>
        <w:rPr>
          <w:rFonts w:eastAsia="Segoe UI" w:cs="Segoe UI" w:ascii="Segoe UI" w:hAnsi="Segoe UI"/>
          <w:color w:val="101820"/>
          <w:sz w:val="21"/>
        </w:rPr>
        <w:t>Business analysis is 30% of development, testing 40% of development, project management 10% of the subtotal and contingency 10% of the total. Days round up to the half day.</w:t>
      </w:r>
    </w:p>
    <w:p>
      <w:pPr>
        <w:pStyle w:val="Normal"/>
        <w:numPr>
          <w:ilvl w:val="0"/>
          <w:numId w:val="2"/>
        </w:numPr>
        <w:spacing w:before="0" w:after="60"/>
        <w:rPr/>
      </w:pPr>
      <w:r>
        <w:rPr>
          <w:rFonts w:eastAsia="Segoe UI" w:cs="Segoe UI" w:ascii="Segoe UI" w:hAnsi="Segoe UI"/>
          <w:color w:val="101820"/>
          <w:sz w:val="21"/>
        </w:rPr>
        <w:t>The price is the days by role times the role rate. The broker approves the price before work starts.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99"/>
        <w:gridCol w:w="4712"/>
        <w:gridCol w:w="149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18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Total man-days</w:t>
            </w:r>
          </w:p>
        </w:tc>
        <w:tc>
          <w:tcPr>
            <w:tcW w:w="4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c>
          <w:tcPr>
            <w:tcW w:w="14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(PHP)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5</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developer days, 5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 to 20</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developer days, 16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20.5 to 60</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 developer days, 42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665,400.00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Work above 60 man-days is a separate project with its own statement of work.</w:t>
      </w:r>
      <w:r>
        <w:br w:type="page"/>
      </w:r>
    </w:p>
    <w:p>
      <w:pPr>
        <w:pStyle w:val="Heading1"/>
        <w:rPr/>
      </w:pPr>
      <w:bookmarkStart w:id="32" w:name="__RefHeading___Toc3425_1649759004"/>
      <w:bookmarkEnd w:id="32"/>
      <w:r>
        <w:rPr>
          <w:rFonts w:eastAsia="Segoe UI" w:cs="Segoe UI" w:ascii="Segoe UI" w:hAnsi="Segoe UI"/>
          <w:b/>
          <w:color w:val="0F4761"/>
          <w:sz w:val="32"/>
        </w:rPr>
        <w:t>12.  Payment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or onboarding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on signing, 40% on UAT sign-off, 20%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from the start of Year 2</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the date the environment is handed over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on delivery. Medium: 50% on approval, 50% on UAT sign-off. Large: 30% on approval, 50% on UAT sign-off, 20% on deployment</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days, or as quoted for fixed-price items</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Invoices are payable within 30 days of the invoice date.</w:t>
      </w:r>
    </w:p>
    <w:p>
      <w:pPr>
        <w:pStyle w:val="Normal"/>
        <w:numPr>
          <w:ilvl w:val="0"/>
          <w:numId w:val="1"/>
        </w:numPr>
        <w:spacing w:before="0" w:after="60"/>
        <w:rPr/>
      </w:pPr>
      <w:r>
        <w:rPr>
          <w:rFonts w:eastAsia="Segoe UI" w:cs="Segoe UI" w:ascii="Segoe UI" w:hAnsi="Segoe UI"/>
          <w:color w:val="101820"/>
          <w:sz w:val="21"/>
        </w:rPr>
        <w:t>Subscription and hosting may be suspended after 60 days of non-payment, after written notice.</w:t>
      </w:r>
      <w:r>
        <w:br w:type="page"/>
      </w:r>
    </w:p>
    <w:p>
      <w:pPr>
        <w:pStyle w:val="Heading1"/>
        <w:rPr/>
      </w:pPr>
      <w:bookmarkStart w:id="33" w:name="__RefHeading___Toc3427_1649759004"/>
      <w:bookmarkEnd w:id="33"/>
      <w:r>
        <w:rPr>
          <w:rFonts w:eastAsia="Segoe UI" w:cs="Segoe UI" w:ascii="Segoe UI" w:hAnsi="Segoe UI"/>
          <w:b/>
          <w:color w:val="0F4761"/>
          <w:sz w:val="32"/>
        </w:rPr>
        <w:t>13.  Taxes</w:t>
      </w:r>
    </w:p>
    <w:p>
      <w:pPr>
        <w:pStyle w:val="Normal"/>
        <w:numPr>
          <w:ilvl w:val="0"/>
          <w:numId w:val="1"/>
        </w:numPr>
        <w:spacing w:before="0" w:after="60"/>
        <w:rPr/>
      </w:pPr>
      <w:r>
        <w:rPr>
          <w:rFonts w:eastAsia="Segoe UI" w:cs="Segoe UI" w:ascii="Segoe UI" w:hAnsi="Segoe UI"/>
          <w:color w:val="101820"/>
          <w:sz w:val="21"/>
        </w:rPr>
        <w:t>All prices exclude VAT. VAT at 12% is added on each invoice.</w:t>
      </w:r>
    </w:p>
    <w:p>
      <w:pPr>
        <w:pStyle w:val="Normal"/>
        <w:numPr>
          <w:ilvl w:val="0"/>
          <w:numId w:val="1"/>
        </w:numPr>
        <w:spacing w:before="0" w:after="60"/>
        <w:rPr/>
      </w:pPr>
      <w:r>
        <w:rPr>
          <w:rFonts w:eastAsia="Segoe UI" w:cs="Segoe UI" w:ascii="Segoe UI" w:hAnsi="Segoe UI"/>
          <w:color w:val="101820"/>
          <w:sz w:val="21"/>
        </w:rPr>
        <w:t>A broker that is a withholding agent deducts creditable withholding tax as its status and the payment type require and issues BIR Form 2307 for each deduction. Withholding does not reduce the invoice price.</w:t>
      </w:r>
    </w:p>
    <w:p>
      <w:pPr>
        <w:pStyle w:val="Normal"/>
        <w:numPr>
          <w:ilvl w:val="0"/>
          <w:numId w:val="1"/>
        </w:numPr>
        <w:spacing w:before="0" w:after="60"/>
        <w:rPr/>
      </w:pPr>
      <w:r>
        <w:rPr>
          <w:rFonts w:eastAsia="Segoe UI" w:cs="Segoe UI" w:ascii="Segoe UI" w:hAnsi="Segoe UI"/>
          <w:color w:val="101820"/>
          <w:sz w:val="21"/>
        </w:rPr>
        <w:t>The withholding treatment of the perpetual licence fee is confirmed by both parties' tax advisers before the Order Form is signed.</w:t>
      </w:r>
      <w:r>
        <w:br w:type="page"/>
      </w:r>
    </w:p>
    <w:p>
      <w:pPr>
        <w:pStyle w:val="Heading1"/>
        <w:rPr/>
      </w:pPr>
      <w:bookmarkStart w:id="34" w:name="__RefHeading___Toc3429_1649759004"/>
      <w:bookmarkEnd w:id="34"/>
      <w:r>
        <w:rPr>
          <w:rFonts w:eastAsia="Segoe UI" w:cs="Segoe UI" w:ascii="Segoe UI" w:hAnsi="Segoe UI"/>
          <w:b/>
          <w:color w:val="0F4761"/>
          <w:sz w:val="32"/>
        </w:rPr>
        <w:t>14.  Validity and conditions</w:t>
      </w:r>
    </w:p>
    <w:p>
      <w:pPr>
        <w:pStyle w:val="Normal"/>
        <w:numPr>
          <w:ilvl w:val="0"/>
          <w:numId w:val="1"/>
        </w:numPr>
        <w:spacing w:before="0" w:after="60"/>
        <w:rPr/>
      </w:pPr>
      <w:r>
        <w:rPr>
          <w:rFonts w:eastAsia="Segoe UI" w:cs="Segoe UI" w:ascii="Segoe UI" w:hAnsi="Segoe UI"/>
          <w:color w:val="101820"/>
          <w:sz w:val="21"/>
        </w:rPr>
        <w:t>This rate card is valid for 90 days from 03 October 2026. A quotation is valid for 90 days from its date.</w:t>
      </w:r>
    </w:p>
    <w:p>
      <w:pPr>
        <w:pStyle w:val="Normal"/>
        <w:numPr>
          <w:ilvl w:val="0"/>
          <w:numId w:val="1"/>
        </w:numPr>
        <w:spacing w:before="0" w:after="60"/>
        <w:rPr/>
      </w:pPr>
      <w:r>
        <w:rPr>
          <w:rFonts w:eastAsia="Segoe UI" w:cs="Segoe UI" w:ascii="Segoe UI" w:hAnsi="Segoe UI"/>
          <w:color w:val="101820"/>
          <w:sz w:val="21"/>
        </w:rPr>
        <w:t>The contract currency is PHP. USD figures are for reference only.</w:t>
      </w:r>
    </w:p>
    <w:p>
      <w:pPr>
        <w:pStyle w:val="Normal"/>
        <w:numPr>
          <w:ilvl w:val="0"/>
          <w:numId w:val="1"/>
        </w:numPr>
        <w:spacing w:before="0" w:after="60"/>
        <w:rPr/>
      </w:pPr>
      <w:r>
        <w:rPr>
          <w:rFonts w:eastAsia="Segoe UI" w:cs="Segoe UI" w:ascii="Segoe UI" w:hAnsi="Segoe UI"/>
          <w:color w:val="101820"/>
          <w:sz w:val="21"/>
        </w:rPr>
        <w:t>Prices assume the OOTB version as delivered, the broker's data supplied in the standard templates, a named project manager and key users, and sign-offs on time. Delays on the broker's side may move milestones and the related payments.</w:t>
      </w:r>
    </w:p>
    <w:p>
      <w:pPr>
        <w:pStyle w:val="Normal"/>
        <w:numPr>
          <w:ilvl w:val="0"/>
          <w:numId w:val="1"/>
        </w:numPr>
        <w:spacing w:before="0" w:after="60"/>
        <w:rPr/>
      </w:pPr>
      <w:r>
        <w:rPr>
          <w:rFonts w:eastAsia="Segoe UI" w:cs="Segoe UI" w:ascii="Segoe UI" w:hAnsi="Segoe UI"/>
          <w:color w:val="101820"/>
          <w:sz w:val="21"/>
        </w:rPr>
        <w:t>Cloud prices and the local partner price are confirmed with the provider before signing.</w:t>
      </w:r>
    </w:p>
    <w:p>
      <w:pPr>
        <w:pStyle w:val="Normal"/>
        <w:numPr>
          <w:ilvl w:val="0"/>
          <w:numId w:val="1"/>
        </w:numPr>
        <w:spacing w:before="0" w:after="60"/>
        <w:rPr/>
      </w:pPr>
      <w:r>
        <w:rPr>
          <w:rFonts w:eastAsia="Segoe UI" w:cs="Segoe UI" w:ascii="Segoe UI" w:hAnsi="Segoe UI"/>
          <w:color w:val="101820"/>
          <w:sz w:val="21"/>
        </w:rPr>
        <w:t>The contract is the iorta TechNXT Master Services Agreement with an Order Form and the schedules for the chosen model.</w:t>
      </w:r>
      <w:r>
        <w:br w:type="page"/>
      </w:r>
    </w:p>
    <w:p>
      <w:pPr>
        <w:pStyle w:val="Heading1"/>
        <w:rPr/>
      </w:pPr>
      <w:bookmarkStart w:id="35" w:name="__RefHeading___Toc3431_1649759004"/>
      <w:bookmarkEnd w:id="35"/>
      <w:r>
        <w:rPr>
          <w:rFonts w:eastAsia="Segoe UI" w:cs="Segoe UI" w:ascii="Segoe UI" w:hAnsi="Segoe UI"/>
          <w:b/>
          <w:color w:val="0F4761"/>
          <w:sz w:val="32"/>
        </w:rPr>
        <w:t>15.  How to proceed</w:t>
      </w:r>
    </w:p>
    <w:p>
      <w:pPr>
        <w:pStyle w:val="Normal"/>
        <w:numPr>
          <w:ilvl w:val="0"/>
          <w:numId w:val="6"/>
        </w:numPr>
        <w:spacing w:before="0" w:after="60"/>
        <w:rPr/>
      </w:pPr>
      <w:r>
        <w:rPr>
          <w:rFonts w:eastAsia="Segoe UI" w:cs="Segoe UI" w:ascii="Segoe UI" w:hAnsi="Segoe UI"/>
          <w:color w:val="101820"/>
          <w:sz w:val="21"/>
        </w:rPr>
        <w:t>Choose a package, or ask for a quotation for your user count, lines of business, hosting and options.</w:t>
      </w:r>
    </w:p>
    <w:p>
      <w:pPr>
        <w:pStyle w:val="Normal"/>
        <w:numPr>
          <w:ilvl w:val="0"/>
          <w:numId w:val="7"/>
        </w:numPr>
        <w:spacing w:before="0" w:after="60"/>
        <w:rPr/>
      </w:pPr>
      <w:r>
        <w:rPr>
          <w:rFonts w:eastAsia="Segoe UI" w:cs="Segoe UI" w:ascii="Segoe UI" w:hAnsi="Segoe UI"/>
          <w:color w:val="101820"/>
          <w:sz w:val="21"/>
        </w:rPr>
        <w:t>Sign the Mutual Non-Disclosure Agreement before a demonstration with your own data.</w:t>
      </w:r>
    </w:p>
    <w:p>
      <w:pPr>
        <w:pStyle w:val="Normal"/>
        <w:numPr>
          <w:ilvl w:val="0"/>
          <w:numId w:val="8"/>
        </w:numPr>
        <w:spacing w:before="0" w:after="60"/>
        <w:rPr/>
      </w:pPr>
      <w:r>
        <w:rPr>
          <w:rFonts w:eastAsia="Segoe UI" w:cs="Segoe UI" w:ascii="Segoe UI" w:hAnsi="Segoe UI"/>
          <w:color w:val="101820"/>
          <w:sz w:val="21"/>
        </w:rPr>
        <w:t>Receive the quotation and the draft Order Form.</w:t>
      </w:r>
    </w:p>
    <w:p>
      <w:pPr>
        <w:pStyle w:val="Normal"/>
        <w:numPr>
          <w:ilvl w:val="0"/>
          <w:numId w:val="9"/>
        </w:numPr>
        <w:spacing w:before="0" w:after="60"/>
        <w:rPr/>
      </w:pPr>
      <w:r>
        <w:rPr>
          <w:rFonts w:eastAsia="Segoe UI" w:cs="Segoe UI" w:ascii="Segoe UI" w:hAnsi="Segoe UI"/>
          <w:color w:val="101820"/>
          <w:sz w:val="21"/>
        </w:rPr>
        <w:t>Sign the Master Services Agreement, the Order Form and the schedules for the chosen model.</w:t>
      </w:r>
    </w:p>
    <w:p>
      <w:pPr>
        <w:pStyle w:val="Normal"/>
        <w:numPr>
          <w:ilvl w:val="0"/>
          <w:numId w:val="10"/>
        </w:numPr>
        <w:spacing w:before="0" w:after="60"/>
        <w:rPr/>
      </w:pPr>
      <w:r>
        <w:rPr>
          <w:rFonts w:eastAsia="Segoe UI" w:cs="Segoe UI" w:ascii="Segoe UI" w:hAnsi="Segoe UI"/>
          <w:color w:val="101820"/>
          <w:sz w:val="21"/>
        </w:rPr>
        <w:t>Pay the first implementation milestone. The mobilisation date is agreed in the Order Form.</w:t>
      </w:r>
    </w:p>
    <w:p>
      <w:pPr>
        <w:pStyle w:val="Normal"/>
        <w:spacing w:lineRule="auto" w:line="276" w:before="0" w:after="120"/>
        <w:rPr/>
      </w:pPr>
      <w:r>
        <w:rPr>
          <w:rFonts w:eastAsia="Segoe UI" w:cs="Segoe UI" w:ascii="Segoe UI" w:hAnsi="Segoe UI"/>
          <w:color w:val="101820"/>
          <w:sz w:val="21"/>
        </w:rPr>
        <w:t>Contact: iorta TechNXT Corp., [address], [e-mail], [telephone].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6" w:name="__RefHeading___Toc3433_1649759004"/>
      <w:bookmarkStart w:id="37" w:name="_Toc233203395"/>
      <w:bookmarkEnd w:id="36"/>
      <w:r>
        <w:rPr>
          <w:rStyle w:val="BookTitle"/>
          <w:bCs w:val="false"/>
          <w:i w:val="false"/>
          <w:iCs w:val="false"/>
          <w:spacing w:val="0"/>
        </w:rPr>
        <w:t>16.  Document Sign-Off</w:t>
      </w:r>
      <w:bookmarkEnd w:id="37"/>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3">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2026-10-03T18:40:29Z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