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Document Register</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4</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How to read the register</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Summary</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Register of required documents</w:t>
        </w:r>
        <w:r>
          <w:rPr>
            <w:b/>
            <w:noProof/>
          </w:rPr>
          <w:tab/>
        </w:r>
        <w:r>
          <w:rPr>
            <w:b/>
            <w:noProof/>
          </w:rPr>
          <w:t>6</w:t>
        </w:r>
      </w:hyperlink>
    </w:p>
    <w:p xmlns:a="http://schemas.openxmlformats.org/drawingml/2006/main" xmlns:pic="http://schemas.openxmlformats.org/drawingml/2006/picture">
      <w:pPr>
        <w:pStyle w:val="TOC2"/>
      </w:pPr>
      <w:hyperlink w:anchor="_Toc300001007" w:history="1">
        <w:r>
          <w:rPr>
            <w:noProof/>
          </w:rPr>
          <w:t xml:space="preserve">4.1</w:t>
        </w:r>
        <w:r>
          <w:rPr>
            <w:noProof/>
          </w:rPr>
          <w:tab/>
        </w:r>
        <w:r>
          <w:rPr>
            <w:noProof/>
          </w:rPr>
          <w:t xml:space="preserve">Requirements</w:t>
        </w:r>
        <w:r>
          <w:rPr>
            <w:noProof/>
          </w:rPr>
          <w:tab/>
        </w:r>
        <w:r>
          <w:rPr>
            <w:noProof/>
          </w:rPr>
          <w:t>6</w:t>
        </w:r>
      </w:hyperlink>
    </w:p>
    <w:p xmlns:a="http://schemas.openxmlformats.org/drawingml/2006/main" xmlns:pic="http://schemas.openxmlformats.org/drawingml/2006/picture">
      <w:pPr>
        <w:pStyle w:val="TOC2"/>
      </w:pPr>
      <w:hyperlink w:anchor="_Toc300001008" w:history="1">
        <w:r>
          <w:rPr>
            <w:noProof/>
          </w:rPr>
          <w:t xml:space="preserve">4.2</w:t>
        </w:r>
        <w:r>
          <w:rPr>
            <w:noProof/>
          </w:rPr>
          <w:tab/>
        </w:r>
        <w:r>
          <w:rPr>
            <w:noProof/>
          </w:rPr>
          <w:t xml:space="preserve">Architecture and design</w:t>
        </w:r>
        <w:r>
          <w:rPr>
            <w:noProof/>
          </w:rPr>
          <w:tab/>
        </w:r>
        <w:r>
          <w:rPr>
            <w:noProof/>
          </w:rPr>
          <w:t>8</w:t>
        </w:r>
      </w:hyperlink>
    </w:p>
    <w:p xmlns:a="http://schemas.openxmlformats.org/drawingml/2006/main" xmlns:pic="http://schemas.openxmlformats.org/drawingml/2006/picture">
      <w:pPr>
        <w:pStyle w:val="TOC2"/>
      </w:pPr>
      <w:hyperlink w:anchor="_Toc300001009" w:history="1">
        <w:r>
          <w:rPr>
            <w:noProof/>
          </w:rPr>
          <w:t xml:space="preserve">4.3</w:t>
        </w:r>
        <w:r>
          <w:rPr>
            <w:noProof/>
          </w:rPr>
          <w:tab/>
        </w:r>
        <w:r>
          <w:rPr>
            <w:noProof/>
          </w:rPr>
          <w:t xml:space="preserve">Testing</w:t>
        </w:r>
        <w:r>
          <w:rPr>
            <w:noProof/>
          </w:rPr>
          <w:tab/>
        </w:r>
        <w:r>
          <w:rPr>
            <w:noProof/>
          </w:rPr>
          <w:t>8</w:t>
        </w:r>
      </w:hyperlink>
    </w:p>
    <w:p xmlns:a="http://schemas.openxmlformats.org/drawingml/2006/main" xmlns:pic="http://schemas.openxmlformats.org/drawingml/2006/picture">
      <w:pPr>
        <w:pStyle w:val="TOC2"/>
      </w:pPr>
      <w:hyperlink w:anchor="_Toc300001010" w:history="1">
        <w:r>
          <w:rPr>
            <w:noProof/>
          </w:rPr>
          <w:t xml:space="preserve">4.4</w:t>
        </w:r>
        <w:r>
          <w:rPr>
            <w:noProof/>
          </w:rPr>
          <w:tab/>
        </w:r>
        <w:r>
          <w:rPr>
            <w:noProof/>
          </w:rPr>
          <w:t xml:space="preserve">Operations, support and resilience</w:t>
        </w:r>
        <w:r>
          <w:rPr>
            <w:noProof/>
          </w:rPr>
          <w:tab/>
        </w:r>
        <w:r>
          <w:rPr>
            <w:noProof/>
          </w:rPr>
          <w:t>11</w:t>
        </w:r>
      </w:hyperlink>
    </w:p>
    <w:p xmlns:a="http://schemas.openxmlformats.org/drawingml/2006/main" xmlns:pic="http://schemas.openxmlformats.org/drawingml/2006/picture">
      <w:pPr>
        <w:pStyle w:val="TOC2"/>
      </w:pPr>
      <w:hyperlink w:anchor="_Toc300001011" w:history="1">
        <w:r>
          <w:rPr>
            <w:noProof/>
          </w:rPr>
          <w:t xml:space="preserve">4.5</w:t>
        </w:r>
        <w:r>
          <w:rPr>
            <w:noProof/>
          </w:rPr>
          <w:tab/>
        </w:r>
        <w:r>
          <w:rPr>
            <w:noProof/>
          </w:rPr>
          <w:t xml:space="preserve">User documentation</w:t>
        </w:r>
        <w:r>
          <w:rPr>
            <w:noProof/>
          </w:rPr>
          <w:tab/>
        </w:r>
        <w:r>
          <w:rPr>
            <w:noProof/>
          </w:rPr>
          <w:t>11</w:t>
        </w:r>
      </w:hyperlink>
    </w:p>
    <w:p xmlns:a="http://schemas.openxmlformats.org/drawingml/2006/main" xmlns:pic="http://schemas.openxmlformats.org/drawingml/2006/picture">
      <w:pPr>
        <w:pStyle w:val="TOC2"/>
      </w:pPr>
      <w:hyperlink w:anchor="_Toc300001012" w:history="1">
        <w:r>
          <w:rPr>
            <w:noProof/>
          </w:rPr>
          <w:t xml:space="preserve">4.6</w:t>
        </w:r>
        <w:r>
          <w:rPr>
            <w:noProof/>
          </w:rPr>
          <w:tab/>
        </w:r>
        <w:r>
          <w:rPr>
            <w:noProof/>
          </w:rPr>
          <w:t xml:space="preserve">Delivery, governance and transition</w:t>
        </w:r>
        <w:r>
          <w:rPr>
            <w:noProof/>
          </w:rPr>
          <w:tab/>
        </w:r>
        <w:r>
          <w:rPr>
            <w:noProof/>
          </w:rPr>
          <w:t>12</w:t>
        </w:r>
      </w:hyperlink>
    </w:p>
    <w:p xmlns:a="http://schemas.openxmlformats.org/drawingml/2006/main" xmlns:pic="http://schemas.openxmlformats.org/drawingml/2006/picture">
      <w:pPr>
        <w:pStyle w:val="TOC1"/>
      </w:pPr>
      <w:hyperlink w:anchor="_Toc300001013" w:history="1">
        <w:r>
          <w:rPr>
            <w:b/>
            <w:noProof/>
          </w:rPr>
          <w:t xml:space="preserve">5.</w:t>
        </w:r>
        <w:r>
          <w:rPr>
            <w:b/>
            <w:noProof/>
          </w:rPr>
          <w:tab/>
        </w:r>
        <w:r>
          <w:rPr>
            <w:b/>
            <w:noProof/>
          </w:rPr>
          <w:t xml:space="preserve">Further documents the programme holds</w:t>
        </w:r>
        <w:r>
          <w:rPr>
            <w:b/>
            <w:noProof/>
          </w:rPr>
          <w:tab/>
        </w:r>
        <w:r>
          <w:rPr>
            <w:b/>
            <w:noProof/>
          </w:rPr>
          <w:t>14</w:t>
        </w:r>
      </w:hyperlink>
    </w:p>
    <w:p xmlns:a="http://schemas.openxmlformats.org/drawingml/2006/main" xmlns:pic="http://schemas.openxmlformats.org/drawingml/2006/picture">
      <w:pPr>
        <w:pStyle w:val="TOC1"/>
      </w:pPr>
      <w:hyperlink w:anchor="_Toc300001014" w:history="1">
        <w:r>
          <w:rPr>
            <w:b/>
            <w:noProof/>
          </w:rPr>
          <w:t xml:space="preserve">6.</w:t>
        </w:r>
        <w:r>
          <w:rPr>
            <w:b/>
            <w:noProof/>
          </w:rPr>
          <w:tab/>
        </w:r>
        <w:r>
          <w:rPr>
            <w:b/>
            <w:noProof/>
          </w:rPr>
          <w:t xml:space="preserve">Contents of this pack</w:t>
        </w:r>
        <w:r>
          <w:rPr>
            <w:b/>
            <w:noProof/>
          </w:rPr>
          <w:tab/>
        </w:r>
        <w:r>
          <w:rPr>
            <w:b/>
            <w:noProof/>
          </w:rPr>
          <w:t>16</w:t>
        </w:r>
      </w:hyperlink>
    </w:p>
    <w:p xmlns:a="http://schemas.openxmlformats.org/drawingml/2006/main" xmlns:pic="http://schemas.openxmlformats.org/drawingml/2006/picture">
      <w:pPr>
        <w:pStyle w:val="TOC1"/>
      </w:pPr>
      <w:hyperlink w:anchor="_Toc300001015" w:history="1">
        <w:r>
          <w:rPr>
            <w:b/>
            <w:noProof/>
          </w:rPr>
          <w:t xml:space="preserve">7.</w:t>
        </w:r>
        <w:r>
          <w:rPr>
            <w:b/>
            <w:noProof/>
          </w:rPr>
          <w:tab/>
        </w:r>
        <w:r>
          <w:rPr>
            <w:b/>
            <w:noProof/>
          </w:rPr>
          <w:t xml:space="preserve">Documents still to be produced</w:t>
        </w:r>
        <w:r>
          <w:rPr>
            <w:b/>
            <w:noProof/>
          </w:rPr>
          <w:tab/>
        </w:r>
        <w:r>
          <w:rPr>
            <w:b/>
            <w:noProof/>
          </w:rPr>
          <w:t>16</w:t>
        </w:r>
      </w:hyperlink>
    </w:p>
    <w:p xmlns:a="http://schemas.openxmlformats.org/drawingml/2006/main" xmlns:pic="http://schemas.openxmlformats.org/drawingml/2006/picture">
      <w:pPr>
        <w:pStyle w:val="TOC1"/>
      </w:pPr>
      <w:hyperlink w:anchor="_Toc300001016" w:history="1">
        <w:r>
          <w:rPr>
            <w:b/>
            <w:noProof/>
          </w:rPr>
          <w:t xml:space="preserve">8.</w:t>
        </w:r>
        <w:r>
          <w:rPr>
            <w:b/>
            <w:noProof/>
          </w:rPr>
          <w:tab/>
        </w:r>
        <w:r>
          <w:rPr>
            <w:b/>
            <w:noProof/>
          </w:rPr>
          <w:t xml:space="preserve">Keeping the register current</w:t>
        </w:r>
        <w:r>
          <w:rPr>
            <w:b/>
            <w:noProof/>
          </w:rPr>
          <w:tab/>
        </w:r>
        <w:r>
          <w:rPr>
            <w:b/>
            <w:noProof/>
          </w:rPr>
          <w:t>17</w:t>
        </w:r>
      </w:hyperlink>
    </w:p>
    <w:p xmlns:a="http://schemas.openxmlformats.org/drawingml/2006/main" xmlns:pic="http://schemas.openxmlformats.org/drawingml/2006/picture">
      <w:pPr>
        <w:pStyle w:val="TOC1"/>
        <w:ind w:left="0" w:hanging="0"/>
      </w:pPr>
      <w:hyperlink w:anchor="_Toc300001017" w:history="1">
        <w:r>
          <w:rPr>
            <w:b/>
            <w:noProof/>
          </w:rPr>
          <w:t xml:space="preserve">Appendix A. File references</w:t>
        </w:r>
        <w:r>
          <w:rPr>
            <w:b/>
            <w:noProof/>
          </w:rPr>
          <w:tab/>
        </w:r>
        <w:r>
          <w:rPr>
            <w:b/>
            <w:noProof/>
          </w:rPr>
          <w:t>17</w:t>
        </w:r>
      </w:hyperlink>
    </w:p>
    <w:p xmlns:a="http://schemas.openxmlformats.org/drawingml/2006/main" xmlns:pic="http://schemas.openxmlformats.org/drawingml/2006/picture">
      <w:pPr>
        <w:pStyle w:val="TOC1"/>
      </w:pPr>
      <w:hyperlink w:anchor="_Toc300001018" w:history="1">
        <w:r>
          <w:rPr>
            <w:b/>
            <w:noProof/>
          </w:rPr>
          <w:t xml:space="preserve">9.</w:t>
        </w:r>
        <w:r>
          <w:rPr>
            <w:b/>
            <w:noProof/>
          </w:rPr>
          <w:tab/>
        </w:r>
        <w:r>
          <w:rPr>
            <w:b/>
            <w:noProof/>
          </w:rPr>
          <w:t xml:space="preserve">Pending Items</w:t>
        </w:r>
        <w:r>
          <w:rPr>
            <w:b/>
            <w:noProof/>
          </w:rPr>
          <w:tab/>
        </w:r>
        <w:r>
          <w:rPr>
            <w:b/>
            <w:noProof/>
          </w:rPr>
          <w:t>19</w:t>
        </w:r>
      </w:hyperlink>
    </w:p>
    <w:p xmlns:a="http://schemas.openxmlformats.org/drawingml/2006/main" xmlns:pic="http://schemas.openxmlformats.org/drawingml/2006/picture">
      <w:pPr>
        <w:pStyle w:val="TOC1"/>
      </w:pPr>
      <w:hyperlink w:anchor="_Toc300001019" w:history="1">
        <w:r>
          <w:rPr>
            <w:b/>
            <w:noProof/>
          </w:rPr>
          <w:t xml:space="preserve">10.</w:t>
        </w:r>
        <w:r>
          <w:rPr>
            <w:b/>
            <w:noProof/>
          </w:rPr>
          <w:tab/>
        </w:r>
        <w:r>
          <w:rPr>
            <w:b/>
            <w:noProof/>
          </w:rPr>
          <w:t xml:space="preserve">Document Sign-Off</w:t>
        </w:r>
        <w:r>
          <w:rPr>
            <w:b/>
            <w:noProof/>
          </w:rPr>
          <w:tab/>
        </w:r>
        <w:r>
          <w:rPr>
            <w:b/>
            <w:noProof/>
          </w:rPr>
          <w:t>19</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Project Manager (TISPH programme)</w:t>
            </w:r>
          </w:p>
        </w:tc>
        <w:tc>
          <w:tcPr>
            <w:tcW w:w="1565" w:type="dxa"/>
          </w:tcPr>
          <w:p>
            <w:pPr>
              <w:spacing w:before="40" w:after="40" w:line="240" w:lineRule="auto"/>
            </w:pPr>
            <w:r>
              <w:rPr>
                <w:rFonts w:ascii="Segoe UI" w:hAnsi="Segoe UI" w:cs="Segoe UI" w:eastAsia="Segoe UI"/>
                <w:sz w:val="16"/>
                <w:szCs w:val="16"/>
              </w:rPr>
              <w:t xml:space="preserve">Pending review: Project Manager (BRD section 11 signatory) (TISPH); Head of Information Technology (BRD section 11 signatory) (TISPH); Internal Audit representative (to be named) (TISPH); Engagement Director (iorta TechNXT); Solution Architect (iorta TechNXT)</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document of the TISPH required list registered with its status, owner, approver and the file and section that hold it.</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Repository references updated to the reorganised folders: pack documents in </w:t>
            </w:r>
            <w:r>
              <w:rPr>
                <w:rFonts w:ascii="Consolas" w:hAnsi="Consolas" w:cs="Consolas" w:eastAsia="Consolas"/>
                <w:color w:val="1F3B57"/>
                <w:sz w:val="14"/>
                <w:szCs w:val="14"/>
                <w:shd w:val="clear" w:color="auto" w:fill="F3F5F8"/>
              </w:rPr>
              <w:t xml:space="preserve">docs/TISPH/pack/</w:t>
            </w:r>
            <w:r>
              <w:rPr>
                <w:rFonts w:ascii="Segoe UI" w:hAnsi="Segoe UI" w:cs="Segoe UI" w:eastAsia="Segoe UI"/>
                <w:sz w:val="16"/>
                <w:szCs w:val="16"/>
              </w:rPr>
              <w:t xml:space="preserve">, FRS in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 test strategy and test pack in </w:t>
            </w:r>
            <w:r>
              <w:rPr>
                <w:rFonts w:ascii="Consolas" w:hAnsi="Consolas" w:cs="Consolas" w:eastAsia="Consolas"/>
                <w:color w:val="1F3B57"/>
                <w:sz w:val="14"/>
                <w:szCs w:val="14"/>
                <w:shd w:val="clear" w:color="auto" w:fill="F3F5F8"/>
              </w:rPr>
              <w:t xml:space="preserve">docs/TISPH/testing/</w:t>
            </w:r>
            <w:r>
              <w:rPr>
                <w:rFonts w:ascii="Segoe UI" w:hAnsi="Segoe UI" w:cs="Segoe UI" w:eastAsia="Segoe UI"/>
                <w:sz w:val="16"/>
                <w:szCs w:val="16"/>
              </w:rPr>
              <w:t xml:space="preserve">. DR-16 now points at the TISPH test strategy; the generic edition is archived under </w:t>
            </w:r>
            <w:r>
              <w:rPr>
                <w:rFonts w:ascii="Consolas" w:hAnsi="Consolas" w:cs="Consolas" w:eastAsia="Consolas"/>
                <w:color w:val="1F3B57"/>
                <w:sz w:val="14"/>
                <w:szCs w:val="14"/>
                <w:shd w:val="clear" w:color="auto" w:fill="F3F5F8"/>
              </w:rPr>
              <w:t xml:space="preserve">docs/archive/2026-10-10/package/</w:t>
            </w: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Document Register</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Project Manager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included)</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section 6.3 (non-functional), 5.13 (integrations), 5.14 (access, approval and audit), 8 (change control), 9 (delivery approach)</w:t>
            </w:r>
          </w:p>
        </w:tc>
      </w:tr>
      <w:tr>
        <w:trPr>
          <w:cantSplit/>
        </w:trPr>
        <w:tc>
          <w:tcPr>
            <w:tcW w:w="2347" w:type="dxa"/>
          </w:tcPr>
          <w:p>
            <w:pPr>
              <w:spacing w:before="40" w:after="40" w:line="240" w:lineRule="auto"/>
            </w:pPr>
            <w:r>
              <w:rPr>
                <w:rFonts w:ascii="Segoe UI" w:hAnsi="Segoe UI" w:cs="Segoe UI" w:eastAsia="Segoe UI"/>
                <w:b/>
                <w:bCs/>
                <w:sz w:val="16"/>
                <w:szCs w:val="16"/>
              </w:rPr>
              <w:t xml:space="preserve">Planning baseline</w:t>
            </w:r>
          </w:p>
        </w:tc>
        <w:tc>
          <w:tcPr>
            <w:tcW w:w="6680" w:type="dxa"/>
          </w:tcPr>
          <w:p>
            <w:pPr>
              <w:spacing w:before="40" w:after="40" w:line="240" w:lineRule="auto"/>
            </w:pPr>
            <w:r>
              <w:rPr>
                <w:rFonts w:ascii="Segoe UI" w:hAnsi="Segoe UI" w:cs="Segoe UI" w:eastAsia="Segoe UI"/>
                <w:sz w:val="16"/>
                <w:szCs w:val="16"/>
              </w:rPr>
              <w:t xml:space="preserve">Platform features build plan of 10 October 2026 (work packages W0 to MAN-B; TISPH decisions P, R, M, E, C, D); Accounts &gt; Remittance build specification of 9 October 2026 (phases R1 to R4, questions Q1 to Q20)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61"/>
        <w:gridCol w:w="1514"/>
        <w:gridCol w:w="4052"/>
      </w:tblGrid>
      <w:tr>
        <w:trPr>
          <w:cantSplit/>
          <w:tblHeader/>
          <w:trHeight w:val="400"/>
        </w:trPr>
        <w:tc>
          <w:tcPr>
            <w:tcW w:w="3461"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052"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461" w:type="dxa"/>
          </w:tcPr>
          <w:p>
            <w:pPr>
              <w:spacing w:before="40" w:after="40" w:line="240" w:lineRule="auto"/>
            </w:pPr>
            <w:r>
              <w:rPr>
                <w:rFonts w:ascii="Segoe UI" w:hAnsi="Segoe UI" w:cs="Segoe UI" w:eastAsia="Segoe UI"/>
                <w:sz w:val="16"/>
                <w:szCs w:val="16"/>
              </w:rPr>
              <w:t xml:space="preserve">Project Manager (BRD section 11 signatory)</w:t>
            </w:r>
          </w:p>
        </w:tc>
        <w:tc>
          <w:tcPr>
            <w:tcW w:w="1514" w:type="dxa"/>
          </w:tcPr>
          <w:p>
            <w:pPr>
              <w:spacing w:before="40" w:after="40" w:line="240" w:lineRule="auto"/>
            </w:pPr>
            <w:r>
              <w:rPr>
                <w:rFonts w:ascii="Segoe UI" w:hAnsi="Segoe UI" w:cs="Segoe UI" w:eastAsia="Segoe UI"/>
                <w:sz w:val="16"/>
                <w:szCs w:val="16"/>
              </w:rPr>
              <w:t xml:space="preserve">TISPH</w:t>
            </w:r>
          </w:p>
        </w:tc>
        <w:tc>
          <w:tcPr>
            <w:tcW w:w="4052" w:type="dxa"/>
          </w:tcPr>
          <w:p>
            <w:pPr>
              <w:spacing w:before="40" w:after="40" w:line="240" w:lineRule="auto"/>
            </w:pPr>
            <w:r>
              <w:rPr>
                <w:rFonts w:ascii="Segoe UI" w:hAnsi="Segoe UI" w:cs="Segoe UI" w:eastAsia="Segoe UI"/>
                <w:sz w:val="16"/>
                <w:szCs w:val="16"/>
              </w:rPr>
              <w:t xml:space="preserve">Completeness of the register against the required document list; owners</w:t>
            </w:r>
          </w:p>
        </w:tc>
      </w:tr>
      <w:tr>
        <w:trPr>
          <w:cantSplit/>
        </w:trPr>
        <w:tc>
          <w:tcPr>
            <w:tcW w:w="3461" w:type="dxa"/>
          </w:tcPr>
          <w:p>
            <w:pPr>
              <w:spacing w:before="40" w:after="40" w:line="240" w:lineRule="auto"/>
            </w:pPr>
            <w:r>
              <w:rPr>
                <w:rFonts w:ascii="Segoe UI" w:hAnsi="Segoe UI" w:cs="Segoe UI" w:eastAsia="Segoe UI"/>
                <w:sz w:val="16"/>
                <w:szCs w:val="16"/>
              </w:rPr>
              <w:t xml:space="preserve">Head of Information Technology (BRD section 11 signatory)</w:t>
            </w:r>
          </w:p>
        </w:tc>
        <w:tc>
          <w:tcPr>
            <w:tcW w:w="1514" w:type="dxa"/>
          </w:tcPr>
          <w:p>
            <w:pPr>
              <w:spacing w:before="40" w:after="40" w:line="240" w:lineRule="auto"/>
            </w:pPr>
            <w:r>
              <w:rPr>
                <w:rFonts w:ascii="Segoe UI" w:hAnsi="Segoe UI" w:cs="Segoe UI" w:eastAsia="Segoe UI"/>
                <w:sz w:val="16"/>
                <w:szCs w:val="16"/>
              </w:rPr>
              <w:t xml:space="preserve">TISPH</w:t>
            </w:r>
          </w:p>
        </w:tc>
        <w:tc>
          <w:tcPr>
            <w:tcW w:w="4052" w:type="dxa"/>
          </w:tcPr>
          <w:p>
            <w:pPr>
              <w:spacing w:before="40" w:after="40" w:line="240" w:lineRule="auto"/>
            </w:pPr>
            <w:r>
              <w:rPr>
                <w:rFonts w:ascii="Segoe UI" w:hAnsi="Segoe UI" w:cs="Segoe UI" w:eastAsia="Segoe UI"/>
                <w:sz w:val="16"/>
                <w:szCs w:val="16"/>
              </w:rPr>
              <w:t xml:space="preserve">Technical, support and DR documents</w:t>
            </w:r>
          </w:p>
        </w:tc>
      </w:tr>
      <w:tr>
        <w:trPr>
          <w:cantSplit/>
        </w:trPr>
        <w:tc>
          <w:tcPr>
            <w:tcW w:w="3461"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052" w:type="dxa"/>
          </w:tcPr>
          <w:p>
            <w:pPr>
              <w:spacing w:before="40" w:after="40" w:line="240" w:lineRule="auto"/>
            </w:pPr>
            <w:r>
              <w:rPr>
                <w:rFonts w:ascii="Segoe UI" w:hAnsi="Segoe UI" w:cs="Segoe UI" w:eastAsia="Segoe UI"/>
                <w:sz w:val="16"/>
                <w:szCs w:val="16"/>
              </w:rPr>
              <w:t xml:space="preserve">Evidence trail, traceability, retention of documents</w:t>
            </w:r>
          </w:p>
        </w:tc>
      </w:tr>
      <w:tr>
        <w:trPr>
          <w:cantSplit/>
        </w:trPr>
        <w:tc>
          <w:tcPr>
            <w:tcW w:w="3461" w:type="dxa"/>
          </w:tcPr>
          <w:p>
            <w:pPr>
              <w:spacing w:before="40" w:after="40" w:line="240" w:lineRule="auto"/>
            </w:pPr>
            <w:r>
              <w:rPr>
                <w:rFonts w:ascii="Segoe UI" w:hAnsi="Segoe UI" w:cs="Segoe UI" w:eastAsia="Segoe UI"/>
                <w:sz w:val="16"/>
                <w:szCs w:val="16"/>
              </w:rPr>
              <w:t xml:space="preserve">Engagement Director</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052" w:type="dxa"/>
          </w:tcPr>
          <w:p>
            <w:pPr>
              <w:spacing w:before="40" w:after="40" w:line="240" w:lineRule="auto"/>
            </w:pPr>
            <w:r>
              <w:rPr>
                <w:rFonts w:ascii="Segoe UI" w:hAnsi="Segoe UI" w:cs="Segoe UI" w:eastAsia="Segoe UI"/>
                <w:sz w:val="16"/>
                <w:szCs w:val="16"/>
              </w:rPr>
              <w:t xml:space="preserve">Commitments, commercial items</w:t>
            </w:r>
          </w:p>
        </w:tc>
      </w:tr>
      <w:tr>
        <w:trPr>
          <w:cantSplit/>
        </w:trPr>
        <w:tc>
          <w:tcPr>
            <w:tcW w:w="3461" w:type="dxa"/>
          </w:tcPr>
          <w:p>
            <w:pPr>
              <w:spacing w:before="40" w:after="40" w:line="240" w:lineRule="auto"/>
            </w:pPr>
            <w:r>
              <w:rPr>
                <w:rFonts w:ascii="Segoe UI" w:hAnsi="Segoe UI" w:cs="Segoe UI" w:eastAsia="Segoe UI"/>
                <w:sz w:val="16"/>
                <w:szCs w:val="16"/>
              </w:rPr>
              <w:t xml:space="preserve">Solution Architect</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052" w:type="dxa"/>
          </w:tcPr>
          <w:p>
            <w:pPr>
              <w:spacing w:before="40" w:after="40" w:line="240" w:lineRule="auto"/>
            </w:pPr>
            <w:r>
              <w:rPr>
                <w:rFonts w:ascii="Segoe UI" w:hAnsi="Segoe UI" w:cs="Segoe UI" w:eastAsia="Segoe UI"/>
                <w:sz w:val="16"/>
                <w:szCs w:val="16"/>
              </w:rPr>
              <w:t xml:space="preserve">Consistency of locations and statuses with the code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ADR</w:t>
            </w:r>
          </w:p>
        </w:tc>
        <w:tc>
          <w:tcPr>
            <w:tcW w:w="6319" w:type="dxa"/>
          </w:tcPr>
          <w:p>
            <w:pPr>
              <w:spacing w:before="40" w:after="40" w:line="240" w:lineRule="auto"/>
            </w:pPr>
            <w:r>
              <w:rPr>
                <w:rFonts w:ascii="Segoe UI" w:hAnsi="Segoe UI" w:cs="Segoe UI" w:eastAsia="Segoe UI"/>
                <w:sz w:val="16"/>
                <w:szCs w:val="16"/>
              </w:rPr>
              <w:t xml:space="preserve">Architecture decision record</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DA-n</w:t>
            </w:r>
          </w:p>
        </w:tc>
        <w:tc>
          <w:tcPr>
            <w:tcW w:w="6319" w:type="dxa"/>
          </w:tcPr>
          <w:p>
            <w:pPr>
              <w:spacing w:before="40" w:after="40" w:line="240" w:lineRule="auto"/>
            </w:pPr>
            <w:r>
              <w:rPr>
                <w:rFonts w:ascii="Segoe UI" w:hAnsi="Segoe UI" w:cs="Segoe UI" w:eastAsia="Segoe UI"/>
                <w:sz w:val="16"/>
                <w:szCs w:val="16"/>
              </w:rPr>
              <w:t xml:space="preserve">Delivery activity of the operations and governance documents (for example DA-2, DR drill)</w:t>
            </w:r>
          </w:p>
        </w:tc>
      </w:tr>
      <w:tr>
        <w:trPr>
          <w:cantSplit/>
        </w:trPr>
        <w:tc>
          <w:tcPr>
            <w:tcW w:w="2708" w:type="dxa"/>
          </w:tcPr>
          <w:p>
            <w:pPr>
              <w:spacing w:before="40" w:after="40" w:line="240" w:lineRule="auto"/>
            </w:pPr>
            <w:r>
              <w:rPr>
                <w:rFonts w:ascii="Segoe UI" w:hAnsi="Segoe UI" w:cs="Segoe UI" w:eastAsia="Segoe UI"/>
                <w:b/>
                <w:bCs/>
                <w:sz w:val="16"/>
                <w:szCs w:val="16"/>
              </w:rPr>
              <w:t xml:space="preserve">DR-nn</w:t>
            </w:r>
          </w:p>
        </w:tc>
        <w:tc>
          <w:tcPr>
            <w:tcW w:w="6319" w:type="dxa"/>
          </w:tcPr>
          <w:p>
            <w:pPr>
              <w:spacing w:before="40" w:after="40" w:line="240" w:lineRule="auto"/>
            </w:pPr>
            <w:r>
              <w:rPr>
                <w:rFonts w:ascii="Segoe UI" w:hAnsi="Segoe UI" w:cs="Segoe UI" w:eastAsia="Segoe UI"/>
                <w:sz w:val="16"/>
                <w:szCs w:val="16"/>
              </w:rPr>
              <w:t xml:space="preserve">Entry of this register</w:t>
            </w:r>
          </w:p>
        </w:tc>
      </w:tr>
      <w:tr>
        <w:trPr>
          <w:cantSplit/>
        </w:trPr>
        <w:tc>
          <w:tcPr>
            <w:tcW w:w="2708" w:type="dxa"/>
          </w:tcPr>
          <w:p>
            <w:pPr>
              <w:spacing w:before="40" w:after="40" w:line="240" w:lineRule="auto"/>
            </w:pPr>
            <w:r>
              <w:rPr>
                <w:rFonts w:ascii="Segoe UI" w:hAnsi="Segoe UI" w:cs="Segoe UI" w:eastAsia="Segoe UI"/>
                <w:b/>
                <w:bCs/>
                <w:sz w:val="16"/>
                <w:szCs w:val="16"/>
              </w:rPr>
              <w:t xml:space="preserve">ERD</w:t>
            </w:r>
          </w:p>
        </w:tc>
        <w:tc>
          <w:tcPr>
            <w:tcW w:w="6319" w:type="dxa"/>
          </w:tcPr>
          <w:p>
            <w:pPr>
              <w:spacing w:before="40" w:after="40" w:line="240" w:lineRule="auto"/>
            </w:pPr>
            <w:r>
              <w:rPr>
                <w:rFonts w:ascii="Segoe UI" w:hAnsi="Segoe UI" w:cs="Segoe UI" w:eastAsia="Segoe UI"/>
                <w:sz w:val="16"/>
                <w:szCs w:val="16"/>
              </w:rPr>
              <w:t xml:space="preserve">Entity-relationship diagram</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 one per BRD build item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GP-nn, P-nn</w:t>
            </w:r>
          </w:p>
        </w:tc>
        <w:tc>
          <w:tcPr>
            <w:tcW w:w="6319" w:type="dxa"/>
          </w:tcPr>
          <w:p>
            <w:pPr>
              <w:spacing w:before="40" w:after="40" w:line="240" w:lineRule="auto"/>
            </w:pPr>
            <w:r>
              <w:rPr>
                <w:rFonts w:ascii="Segoe UI" w:hAnsi="Segoe UI" w:cs="Segoe UI" w:eastAsia="Segoe UI"/>
                <w:sz w:val="16"/>
                <w:szCs w:val="16"/>
              </w:rPr>
              <w:t xml:space="preserve">Planned items of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docs/TISPH/pack/TISPH_Operations_and_Support.docx</w:t>
            </w:r>
          </w:p>
        </w:tc>
      </w:tr>
      <w:tr>
        <w:trPr>
          <w:cantSplit/>
        </w:trPr>
        <w:tc>
          <w:tcPr>
            <w:tcW w:w="2708" w:type="dxa"/>
          </w:tcPr>
          <w:p>
            <w:pPr>
              <w:spacing w:before="40" w:after="40" w:line="240" w:lineRule="auto"/>
            </w:pPr>
            <w:r>
              <w:rPr>
                <w:rFonts w:ascii="Segoe UI" w:hAnsi="Segoe UI" w:cs="Segoe UI" w:eastAsia="Segoe UI"/>
                <w:b/>
                <w:bCs/>
                <w:sz w:val="16"/>
                <w:szCs w:val="16"/>
              </w:rPr>
              <w:t xml:space="preserve">GQ-nn</w:t>
            </w:r>
          </w:p>
        </w:tc>
        <w:tc>
          <w:tcPr>
            <w:tcW w:w="6319" w:type="dxa"/>
          </w:tcPr>
          <w:p>
            <w:pPr>
              <w:spacing w:before="40" w:after="40" w:line="240" w:lineRule="auto"/>
            </w:pPr>
            <w:r>
              <w:rPr>
                <w:rFonts w:ascii="Segoe UI" w:hAnsi="Segoe UI" w:cs="Segoe UI" w:eastAsia="Segoe UI"/>
                <w:sz w:val="16"/>
                <w:szCs w:val="16"/>
              </w:rPr>
              <w:t xml:space="preserve">Open question of </w:t>
            </w:r>
            <w:r>
              <w:rPr>
                <w:rFonts w:ascii="Consolas" w:hAnsi="Consolas" w:cs="Consolas" w:eastAsia="Consolas"/>
                <w:color w:val="1F3B57"/>
                <w:sz w:val="14"/>
                <w:szCs w:val="14"/>
                <w:shd w:val="clear" w:color="auto" w:fill="F3F5F8"/>
              </w:rPr>
              <w:t xml:space="preserve">docs/TISPH/pack/TISPH_Delivery_Governance.docx</w:t>
            </w:r>
          </w:p>
        </w:tc>
      </w:tr>
      <w:tr>
        <w:trPr>
          <w:cantSplit/>
        </w:trPr>
        <w:tc>
          <w:tcPr>
            <w:tcW w:w="2708" w:type="dxa"/>
          </w:tcPr>
          <w:p>
            <w:pPr>
              <w:spacing w:before="40" w:after="40" w:line="240" w:lineRule="auto"/>
            </w:pPr>
            <w:r>
              <w:rPr>
                <w:rFonts w:ascii="Segoe UI" w:hAnsi="Segoe UI" w:cs="Segoe UI" w:eastAsia="Segoe UI"/>
                <w:b/>
                <w:bCs/>
                <w:sz w:val="16"/>
                <w:szCs w:val="16"/>
              </w:rPr>
              <w:t xml:space="preserve">KT</w:t>
            </w:r>
          </w:p>
        </w:tc>
        <w:tc>
          <w:tcPr>
            <w:tcW w:w="6319" w:type="dxa"/>
          </w:tcPr>
          <w:p>
            <w:pPr>
              <w:spacing w:before="40" w:after="40" w:line="240" w:lineRule="auto"/>
            </w:pPr>
            <w:r>
              <w:rPr>
                <w:rFonts w:ascii="Segoe UI" w:hAnsi="Segoe UI" w:cs="Segoe UI" w:eastAsia="Segoe UI"/>
                <w:sz w:val="16"/>
                <w:szCs w:val="16"/>
              </w:rPr>
              <w:t xml:space="preserve">Knowledge transfer</w:t>
            </w:r>
          </w:p>
        </w:tc>
      </w:tr>
      <w:tr>
        <w:trPr>
          <w:cantSplit/>
        </w:trPr>
        <w:tc>
          <w:tcPr>
            <w:tcW w:w="2708" w:type="dxa"/>
          </w:tcPr>
          <w:p>
            <w:pPr>
              <w:spacing w:before="40" w:after="40" w:line="240" w:lineRule="auto"/>
            </w:pPr>
            <w:r>
              <w:rPr>
                <w:rFonts w:ascii="Segoe UI" w:hAnsi="Segoe UI" w:cs="Segoe UI" w:eastAsia="Segoe UI"/>
                <w:b/>
                <w:bCs/>
                <w:sz w:val="16"/>
                <w:szCs w:val="16"/>
              </w:rPr>
              <w:t xml:space="preserve">NFR</w:t>
            </w:r>
          </w:p>
        </w:tc>
        <w:tc>
          <w:tcPr>
            <w:tcW w:w="6319" w:type="dxa"/>
          </w:tcPr>
          <w:p>
            <w:pPr>
              <w:spacing w:before="40" w:after="40" w:line="240" w:lineRule="auto"/>
            </w:pPr>
            <w:r>
              <w:rPr>
                <w:rFonts w:ascii="Segoe UI" w:hAnsi="Segoe UI" w:cs="Segoe UI" w:eastAsia="Segoe UI"/>
                <w:sz w:val="16"/>
                <w:szCs w:val="16"/>
              </w:rPr>
              <w:t xml:space="preserve">Non-functional requirement</w:t>
            </w:r>
          </w:p>
        </w:tc>
      </w:tr>
      <w:tr>
        <w:trPr>
          <w:cantSplit/>
        </w:trPr>
        <w:tc>
          <w:tcPr>
            <w:tcW w:w="2708" w:type="dxa"/>
          </w:tcPr>
          <w:p>
            <w:pPr>
              <w:spacing w:before="40" w:after="40" w:line="240" w:lineRule="auto"/>
            </w:pPr>
            <w:r>
              <w:rPr>
                <w:rFonts w:ascii="Segoe UI" w:hAnsi="Segoe UI" w:cs="Segoe UI" w:eastAsia="Segoe UI"/>
                <w:b/>
                <w:bCs/>
                <w:sz w:val="16"/>
                <w:szCs w:val="16"/>
              </w:rPr>
              <w:t xml:space="preserve">RACI</w:t>
            </w:r>
          </w:p>
        </w:tc>
        <w:tc>
          <w:tcPr>
            <w:tcW w:w="6319" w:type="dxa"/>
          </w:tcPr>
          <w:p>
            <w:pPr>
              <w:spacing w:before="40" w:after="40" w:line="240" w:lineRule="auto"/>
            </w:pPr>
            <w:r>
              <w:rPr>
                <w:rFonts w:ascii="Segoe UI" w:hAnsi="Segoe UI" w:cs="Segoe UI" w:eastAsia="Segoe UI"/>
                <w:sz w:val="16"/>
                <w:szCs w:val="16"/>
              </w:rPr>
              <w:t xml:space="preserve">Responsible, Accountable, Consulted, Informed</w:t>
            </w:r>
          </w:p>
        </w:tc>
      </w:tr>
      <w:tr>
        <w:trPr>
          <w:cantSplit/>
        </w:trPr>
        <w:tc>
          <w:tcPr>
            <w:tcW w:w="2708" w:type="dxa"/>
          </w:tcPr>
          <w:p>
            <w:pPr>
              <w:spacing w:before="40" w:after="40" w:line="240" w:lineRule="auto"/>
            </w:pPr>
            <w:r>
              <w:rPr>
                <w:rFonts w:ascii="Segoe UI" w:hAnsi="Segoe UI" w:cs="Segoe UI" w:eastAsia="Segoe UI"/>
                <w:b/>
                <w:bCs/>
                <w:sz w:val="16"/>
                <w:szCs w:val="16"/>
              </w:rPr>
              <w:t xml:space="preserve">SOW</w:t>
            </w:r>
          </w:p>
        </w:tc>
        <w:tc>
          <w:tcPr>
            <w:tcW w:w="6319" w:type="dxa"/>
          </w:tcPr>
          <w:p>
            <w:pPr>
              <w:spacing w:before="40" w:after="40" w:line="240" w:lineRule="auto"/>
            </w:pPr>
            <w:r>
              <w:rPr>
                <w:rFonts w:ascii="Segoe UI" w:hAnsi="Segoe UI" w:cs="Segoe UI" w:eastAsia="Segoe UI"/>
                <w:sz w:val="16"/>
                <w:szCs w:val="16"/>
              </w:rPr>
              <w:t xml:space="preserve">Statement of Work</w:t>
            </w:r>
          </w:p>
        </w:tc>
      </w:tr>
      <w:tr>
        <w:trPr>
          <w:cantSplit/>
        </w:trPr>
        <w:tc>
          <w:tcPr>
            <w:tcW w:w="2708" w:type="dxa"/>
          </w:tcPr>
          <w:p>
            <w:pPr>
              <w:spacing w:before="40" w:after="40" w:line="240" w:lineRule="auto"/>
            </w:pPr>
            <w:r>
              <w:rPr>
                <w:rFonts w:ascii="Segoe UI" w:hAnsi="Segoe UI" w:cs="Segoe UI" w:eastAsia="Segoe UI"/>
                <w:b/>
                <w:bCs/>
                <w:sz w:val="16"/>
                <w:szCs w:val="16"/>
              </w:rPr>
              <w:t xml:space="preserve">SRS</w:t>
            </w:r>
          </w:p>
        </w:tc>
        <w:tc>
          <w:tcPr>
            <w:tcW w:w="6319" w:type="dxa"/>
          </w:tcPr>
          <w:p>
            <w:pPr>
              <w:spacing w:before="40" w:after="40" w:line="240" w:lineRule="auto"/>
            </w:pPr>
            <w:r>
              <w:rPr>
                <w:rFonts w:ascii="Segoe UI" w:hAnsi="Segoe UI" w:cs="Segoe UI" w:eastAsia="Segoe UI"/>
                <w:sz w:val="16"/>
                <w:szCs w:val="16"/>
              </w:rPr>
              <w:t xml:space="preserve">Software Requirements Specification; for TISPH, the FRS set</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register lists every document TISPH requires for the BrokerVerse programme and says, for each one, where it is held today, who owns it, who approves it, and what it still depends on. It is the entry point to the document pack for TISPH IT, auditors and the support team that will maintain the platform for ten years or more.</w:t>
      </w:r>
    </w:p>
    <w:p xmlns:a="http://schemas.openxmlformats.org/drawingml/2006/main" xmlns:pic="http://schemas.openxmlformats.org/drawingml/2006/picture">
      <w:pPr>
        <w:jc w:val="both"/>
      </w:pPr>
      <w:r>
        <w:rPr>
          <w:rFonts w:ascii="Segoe UI" w:hAnsi="Segoe UI" w:cs="Segoe UI" w:eastAsia="Segoe UI"/>
        </w:rPr>
        <w:t xml:space="preserve">The register covers the documents of this pack (</w:t>
      </w:r>
      <w:r>
        <w:rPr>
          <w:rFonts w:ascii="Consolas" w:hAnsi="Consolas" w:cs="Consolas" w:eastAsia="Consolas"/>
          <w:color w:val="1F3B57"/>
          <w:shd w:val="clear" w:color="auto" w:fill="F3F5F8"/>
        </w:rPr>
        <w:t xml:space="preserve">docs/TISPH/pack/*.docx</w:t>
      </w:r>
      <w:r>
        <w:rPr>
          <w:rFonts w:ascii="Segoe UI" w:hAnsi="Segoe UI" w:cs="Segoe UI" w:eastAsia="Segoe UI"/>
        </w:rPr>
        <w:t xml:space="preserve">), documents already held in the code repository (</w:t>
      </w:r>
      <w:r>
        <w:rPr>
          <w:rFonts w:ascii="Consolas" w:hAnsi="Consolas" w:cs="Consolas" w:eastAsia="Consolas"/>
          <w:color w:val="1F3B57"/>
          <w:shd w:val="clear" w:color="auto" w:fill="F3F5F8"/>
        </w:rPr>
        <w:t xml:space="preserve">TISPH-DEV</w:t>
      </w:r>
      <w:r>
        <w:rPr>
          <w:rFonts w:ascii="Segoe UI" w:hAnsi="Segoe UI" w:cs="Segoe UI" w:eastAsia="Segoe UI"/>
        </w:rPr>
        <w:t xml:space="preserve">), the functional specifications held on the FRS branch, and documents that are still to be produced. It does not repeat their content.</w:t>
      </w:r>
    </w:p>
    <w:p xmlns:a="http://schemas.openxmlformats.org/drawingml/2006/main" xmlns:pic="http://schemas.openxmlformats.org/drawingml/2006/picture">
      <w:pPr>
        <w:jc w:val="both"/>
      </w:pPr>
      <w:r>
        <w:rPr>
          <w:rFonts w:ascii="Segoe UI" w:hAnsi="Segoe UI" w:cs="Segoe UI" w:eastAsia="Segoe UI"/>
        </w:rPr>
        <w:t xml:space="preserve">Generic BrokerVerse product documents that this pack replaces, or that do not apply to TISPH, are listed in the companion file </w:t>
      </w:r>
      <w:r>
        <w:rPr>
          <w:rFonts w:ascii="Consolas" w:hAnsi="Consolas" w:cs="Consolas" w:eastAsia="Consolas"/>
          <w:color w:val="1F3B57"/>
          <w:shd w:val="clear" w:color="auto" w:fill="F3F5F8"/>
        </w:rPr>
        <w:t xml:space="preserve">docs/TISPH/pack/TISPH_Documentation_Cleanup.docx</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How to read the register</w:t>
      </w:r>
      <w:bookmarkEnd w:id="1004"/>
    </w:p>
    <w:p xmlns:a="http://schemas.openxmlformats.org/drawingml/2006/main" xmlns:pic="http://schemas.openxmlformats.org/drawingml/2006/picture">
      <w:pPr>
        <w:jc w:val="both"/>
      </w:pPr>
      <w:r>
        <w:rPr>
          <w:rFonts w:ascii="Segoe UI" w:hAnsi="Segoe UI" w:cs="Segoe UI" w:eastAsia="Segoe UI"/>
          <w:b/>
          <w:bCs/>
        </w:rPr>
        <w:t xml:space="preserve">Status</w:t>
      </w:r>
      <w:r>
        <w:rPr>
          <w:rFonts w:ascii="Segoe UI" w:hAnsi="Segoe UI" w:cs="Segoe UI" w:eastAsia="Segoe UI"/>
        </w:rPr>
        <w:t xml:space="preserve"> takes one of the values below. A document can carry two values, for example a section drafted in this pack and a part still to be produced per module.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00"/>
        <w:gridCol w:w="7127"/>
      </w:tblGrid>
      <w:tr>
        <w:trPr>
          <w:cantSplit/>
          <w:tblHeader/>
          <w:trHeight w:val="400"/>
        </w:trPr>
        <w:tc>
          <w:tcPr>
            <w:tcW w:w="1900"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712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r>
      <w:tr>
        <w:trPr>
          <w:cantSplit/>
        </w:trPr>
        <w:tc>
          <w:tcPr>
            <w:tcW w:w="1900" w:type="dxa"/>
          </w:tcPr>
          <w:p>
            <w:pPr>
              <w:spacing w:before="40" w:after="40" w:line="240" w:lineRule="auto"/>
            </w:pPr>
            <w:r>
              <w:rPr>
                <w:rFonts w:ascii="Segoe UI" w:hAnsi="Segoe UI" w:cs="Segoe UI" w:eastAsia="Segoe UI"/>
                <w:b/>
                <w:bCs/>
                <w:sz w:val="16"/>
                <w:szCs w:val="16"/>
              </w:rPr>
              <w:t xml:space="preserve">Drafted in this pack</w:t>
            </w:r>
          </w:p>
        </w:tc>
        <w:tc>
          <w:tcPr>
            <w:tcW w:w="7127" w:type="dxa"/>
          </w:tcPr>
          <w:p>
            <w:pPr>
              <w:spacing w:before="40" w:after="40" w:line="240" w:lineRule="auto"/>
            </w:pPr>
            <w:r>
              <w:rPr>
                <w:rFonts w:ascii="Segoe UI" w:hAnsi="Segoe UI" w:cs="Segoe UI" w:eastAsia="Segoe UI"/>
                <w:sz w:val="16"/>
                <w:szCs w:val="16"/>
              </w:rPr>
              <w:t xml:space="preserve">Written for TISPH, version 0.9 Draft, describing the system as built at the code baseline. Awaiting TISPH review.</w:t>
            </w:r>
          </w:p>
        </w:tc>
      </w:tr>
      <w:tr>
        <w:trPr>
          <w:cantSplit/>
        </w:trPr>
        <w:tc>
          <w:tcPr>
            <w:tcW w:w="1900" w:type="dxa"/>
          </w:tcPr>
          <w:p>
            <w:pPr>
              <w:spacing w:before="40" w:after="40" w:line="240" w:lineRule="auto"/>
            </w:pPr>
            <w:r>
              <w:rPr>
                <w:rFonts w:ascii="Segoe UI" w:hAnsi="Segoe UI" w:cs="Segoe UI" w:eastAsia="Segoe UI"/>
                <w:b/>
                <w:bCs/>
                <w:sz w:val="16"/>
                <w:szCs w:val="16"/>
              </w:rPr>
              <w:t xml:space="preserve">Exists in repo</w:t>
            </w:r>
          </w:p>
        </w:tc>
        <w:tc>
          <w:tcPr>
            <w:tcW w:w="7127" w:type="dxa"/>
          </w:tcPr>
          <w:p>
            <w:pPr>
              <w:spacing w:before="40" w:after="40" w:line="240" w:lineRule="auto"/>
            </w:pPr>
            <w:r>
              <w:rPr>
                <w:rFonts w:ascii="Segoe UI" w:hAnsi="Segoe UI" w:cs="Segoe UI" w:eastAsia="Segoe UI"/>
                <w:sz w:val="16"/>
                <w:szCs w:val="16"/>
              </w:rPr>
              <w:t xml:space="preserve">Held in the code repository at the path given. Kept up to date with the code. May be generic to the BrokerVerse product; the Notes column says so.</w:t>
            </w:r>
          </w:p>
        </w:tc>
      </w:tr>
      <w:tr>
        <w:trPr>
          <w:cantSplit/>
        </w:trPr>
        <w:tc>
          <w:tcPr>
            <w:tcW w:w="1900" w:type="dxa"/>
          </w:tcPr>
          <w:p>
            <w:pPr>
              <w:spacing w:before="40" w:after="40" w:line="240" w:lineRule="auto"/>
            </w:pPr>
            <w:r>
              <w:rPr>
                <w:rFonts w:ascii="Segoe UI" w:hAnsi="Segoe UI" w:cs="Segoe UI" w:eastAsia="Segoe UI"/>
                <w:b/>
                <w:bCs/>
                <w:sz w:val="16"/>
                <w:szCs w:val="16"/>
              </w:rPr>
              <w:t xml:space="preserve">Per module</w:t>
            </w:r>
          </w:p>
        </w:tc>
        <w:tc>
          <w:tcPr>
            <w:tcW w:w="7127" w:type="dxa"/>
          </w:tcPr>
          <w:p>
            <w:pPr>
              <w:spacing w:before="40" w:after="40" w:line="240" w:lineRule="auto"/>
            </w:pPr>
            <w:r>
              <w:rPr>
                <w:rFonts w:ascii="Segoe UI" w:hAnsi="Segoe UI" w:cs="Segoe UI" w:eastAsia="Segoe UI"/>
                <w:sz w:val="16"/>
                <w:szCs w:val="16"/>
              </w:rPr>
              <w:t xml:space="preserve">To be produced per module as the build streams land (work package, phase or FRS named in Notes).</w:t>
            </w:r>
          </w:p>
        </w:tc>
      </w:tr>
      <w:tr>
        <w:trPr>
          <w:cantSplit/>
        </w:trPr>
        <w:tc>
          <w:tcPr>
            <w:tcW w:w="1900" w:type="dxa"/>
          </w:tcPr>
          <w:p>
            <w:pPr>
              <w:spacing w:before="40" w:after="40" w:line="240" w:lineRule="auto"/>
            </w:pPr>
            <w:r>
              <w:rPr>
                <w:rFonts w:ascii="Segoe UI" w:hAnsi="Segoe UI" w:cs="Segoe UI" w:eastAsia="Segoe UI"/>
                <w:b/>
                <w:bCs/>
                <w:sz w:val="16"/>
                <w:szCs w:val="16"/>
              </w:rPr>
              <w:t xml:space="preserve">Commercial input</w:t>
            </w:r>
          </w:p>
        </w:tc>
        <w:tc>
          <w:tcPr>
            <w:tcW w:w="7127" w:type="dxa"/>
          </w:tcPr>
          <w:p>
            <w:pPr>
              <w:spacing w:before="40" w:after="40" w:line="240" w:lineRule="auto"/>
            </w:pPr>
            <w:r>
              <w:rPr>
                <w:rFonts w:ascii="Segoe UI" w:hAnsi="Segoe UI" w:cs="Segoe UI" w:eastAsia="Segoe UI"/>
                <w:sz w:val="16"/>
                <w:szCs w:val="16"/>
              </w:rPr>
              <w:t xml:space="preserve">Cannot be completed without a commercial decision or a contract document (Statement of Work, support agreement).</w:t>
            </w:r>
          </w:p>
        </w:tc>
      </w:tr>
      <w:tr>
        <w:trPr>
          <w:cantSplit/>
        </w:trPr>
        <w:tc>
          <w:tcPr>
            <w:tcW w:w="1900" w:type="dxa"/>
          </w:tcPr>
          <w:p>
            <w:pPr>
              <w:spacing w:before="40" w:after="40" w:line="240" w:lineRule="auto"/>
            </w:pPr>
            <w:r>
              <w:rPr>
                <w:rFonts w:ascii="Segoe UI" w:hAnsi="Segoe UI" w:cs="Segoe UI" w:eastAsia="Segoe UI"/>
                <w:b/>
                <w:bCs/>
                <w:sz w:val="16"/>
                <w:szCs w:val="16"/>
              </w:rPr>
              <w:t xml:space="preserve">Planned</w:t>
            </w:r>
          </w:p>
        </w:tc>
        <w:tc>
          <w:tcPr>
            <w:tcW w:w="7127" w:type="dxa"/>
          </w:tcPr>
          <w:p>
            <w:pPr>
              <w:spacing w:before="40" w:after="40" w:line="240" w:lineRule="auto"/>
            </w:pPr>
            <w:r>
              <w:rPr>
                <w:rFonts w:ascii="Segoe UI" w:hAnsi="Segoe UI" w:cs="Segoe UI" w:eastAsia="Segoe UI"/>
                <w:sz w:val="16"/>
                <w:szCs w:val="16"/>
              </w:rPr>
              <w:t xml:space="preserve">Not yet produced; the decision or work package it depends on is named.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Owner</w:t>
      </w:r>
      <w:r>
        <w:rPr>
          <w:rFonts w:ascii="Segoe UI" w:hAnsi="Segoe UI" w:cs="Segoe UI" w:eastAsia="Segoe UI"/>
        </w:rPr>
        <w:t xml:space="preserve"> is the iorta TechNXT role that prepares and maintains the document. </w:t>
      </w:r>
      <w:r>
        <w:rPr>
          <w:rFonts w:ascii="Segoe UI" w:hAnsi="Segoe UI" w:cs="Segoe UI" w:eastAsia="Segoe UI"/>
          <w:b/>
          <w:bCs/>
        </w:rPr>
        <w:t xml:space="preserve">Approver</w:t>
      </w:r>
      <w:r>
        <w:rPr>
          <w:rFonts w:ascii="Segoe UI" w:hAnsi="Segoe UI" w:cs="Segoe UI" w:eastAsia="Segoe UI"/>
        </w:rPr>
        <w:t xml:space="preserve"> is the TISPH role that accepts it. Role names follow the governance document (</w:t>
      </w:r>
      <w:r>
        <w:rPr>
          <w:rFonts w:ascii="Consolas" w:hAnsi="Consolas" w:cs="Consolas" w:eastAsia="Consolas"/>
          <w:color w:val="1F3B57"/>
          <w:shd w:val="clear" w:color="auto" w:fill="F3F5F8"/>
        </w:rPr>
        <w:t xml:space="preserve">docs/TISPH/pack/TISPH_Delivery_Governance.docx</w:t>
      </w:r>
      <w:r>
        <w:rPr>
          <w:rFonts w:ascii="Segoe UI" w:hAnsi="Segoe UI" w:cs="Segoe UI" w:eastAsia="Segoe UI"/>
        </w:rPr>
        <w:t xml:space="preserve"> section 4); named people are open question GQ-03 of that document.</w:t>
      </w:r>
    </w:p>
    <w:p xmlns:a="http://schemas.openxmlformats.org/drawingml/2006/main" xmlns:pic="http://schemas.openxmlformats.org/drawingml/2006/picture">
      <w:pPr>
        <w:jc w:val="both"/>
      </w:pPr>
      <w:r>
        <w:rPr>
          <w:rFonts w:ascii="Segoe UI" w:hAnsi="Segoe UI" w:cs="Segoe UI" w:eastAsia="Segoe UI"/>
        </w:rPr>
        <w:t xml:space="preserve">Paths are relative to the repository root unless they start with </w:t>
      </w:r>
      <w:r>
        <w:rPr>
          <w:rFonts w:ascii="Consolas" w:hAnsi="Consolas" w:cs="Consolas" w:eastAsia="Consolas"/>
          <w:color w:val="1F3B57"/>
          <w:shd w:val="clear" w:color="auto" w:fill="F3F5F8"/>
        </w:rPr>
        <w:t xml:space="preserve">docs/TISPH/pack/</w:t>
      </w:r>
      <w:r>
        <w:rPr>
          <w:rFonts w:ascii="Segoe UI" w:hAnsi="Segoe UI" w:cs="Segoe UI" w:eastAsia="Segoe UI"/>
        </w:rPr>
        <w:t xml:space="preserve"> (this pack) or name a branch.</w:t>
      </w: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Summary</w:t>
      </w:r>
      <w:bookmarkEnd w:id="1005"/>
    </w:p>
    <w:p xmlns:a="http://schemas.openxmlformats.org/drawingml/2006/main" xmlns:pic="http://schemas.openxmlformats.org/drawingml/2006/picture">
      <w:pPr>
        <w:jc w:val="both"/>
      </w:pPr>
      <w:r>
        <w:rPr>
          <w:rFonts w:ascii="Segoe UI" w:hAnsi="Segoe UI" w:cs="Segoe UI" w:eastAsia="Segoe UI"/>
        </w:rPr>
        <w:t xml:space="preserve">The TISPH required list names 31 documents. Section 4 registers them in 32 rows, because architecture decision records appear twice in the list (DR-15 and DR-29).</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62"/>
        <w:gridCol w:w="3765"/>
      </w:tblGrid>
      <w:tr>
        <w:trPr>
          <w:cantSplit/>
          <w:tblHeader/>
          <w:trHeight w:val="400"/>
        </w:trPr>
        <w:tc>
          <w:tcPr>
            <w:tcW w:w="5262" w:type="dxa"/>
            <w:shd w:val="clear" w:color="auto" w:fill="E8F0F8"/>
            <w:vAlign w:val="center"/>
          </w:tcPr>
          <w:p>
            <w:pPr>
              <w:spacing w:before="40" w:after="40" w:line="240" w:lineRule="auto"/>
            </w:pPr>
            <w:r>
              <w:rPr>
                <w:rFonts w:ascii="Segoe UI" w:hAnsi="Segoe UI" w:cs="Segoe UI" w:eastAsia="Segoe UI"/>
                <w:b/>
                <w:bCs/>
                <w:sz w:val="16"/>
                <w:szCs w:val="16"/>
              </w:rPr>
              <w:t xml:space="preserve">Status (in whole or in part)</w:t>
            </w:r>
          </w:p>
        </w:tc>
        <w:tc>
          <w:tcPr>
            <w:tcW w:w="3765" w:type="dxa"/>
            <w:shd w:val="clear" w:color="auto" w:fill="E8F0F8"/>
            <w:vAlign w:val="center"/>
          </w:tcPr>
          <w:p>
            <w:pPr>
              <w:spacing w:before="40" w:after="40" w:line="240" w:lineRule="auto"/>
            </w:pPr>
            <w:r>
              <w:rPr>
                <w:rFonts w:ascii="Segoe UI" w:hAnsi="Segoe UI" w:cs="Segoe UI" w:eastAsia="Segoe UI"/>
                <w:b/>
                <w:bCs/>
                <w:sz w:val="16"/>
                <w:szCs w:val="16"/>
              </w:rPr>
              <w:t xml:space="preserve">Number of required documents</w:t>
            </w:r>
          </w:p>
        </w:tc>
      </w:tr>
      <w:tr>
        <w:trPr>
          <w:cantSplit/>
        </w:trPr>
        <w:tc>
          <w:tcPr>
            <w:tcW w:w="5262" w:type="dxa"/>
          </w:tcPr>
          <w:p>
            <w:pPr>
              <w:spacing w:before="40" w:after="40" w:line="240" w:lineRule="auto"/>
            </w:pPr>
            <w:r>
              <w:rPr>
                <w:rFonts w:ascii="Segoe UI" w:hAnsi="Segoe UI" w:cs="Segoe UI" w:eastAsia="Segoe UI"/>
                <w:sz w:val="16"/>
                <w:szCs w:val="16"/>
              </w:rPr>
              <w:t xml:space="preserve">Drafted in this pack</w:t>
            </w:r>
          </w:p>
        </w:tc>
        <w:tc>
          <w:tcPr>
            <w:tcW w:w="3765" w:type="dxa"/>
          </w:tcPr>
          <w:p>
            <w:pPr>
              <w:spacing w:before="40" w:after="40" w:line="240" w:lineRule="auto"/>
            </w:pPr>
            <w:r>
              <w:rPr>
                <w:rFonts w:ascii="Segoe UI" w:hAnsi="Segoe UI" w:cs="Segoe UI" w:eastAsia="Segoe UI"/>
                <w:sz w:val="16"/>
                <w:szCs w:val="16"/>
              </w:rPr>
              <w:t xml:space="preserve">22</w:t>
            </w:r>
          </w:p>
        </w:tc>
      </w:tr>
      <w:tr>
        <w:trPr>
          <w:cantSplit/>
        </w:trPr>
        <w:tc>
          <w:tcPr>
            <w:tcW w:w="5262" w:type="dxa"/>
          </w:tcPr>
          <w:p>
            <w:pPr>
              <w:spacing w:before="40" w:after="40" w:line="240" w:lineRule="auto"/>
            </w:pPr>
            <w:r>
              <w:rPr>
                <w:rFonts w:ascii="Segoe UI" w:hAnsi="Segoe UI" w:cs="Segoe UI" w:eastAsia="Segoe UI"/>
                <w:sz w:val="16"/>
                <w:szCs w:val="16"/>
              </w:rPr>
              <w:t xml:space="preserve">Exists in repo</w:t>
            </w:r>
          </w:p>
        </w:tc>
        <w:tc>
          <w:tcPr>
            <w:tcW w:w="3765" w:type="dxa"/>
          </w:tcPr>
          <w:p>
            <w:pPr>
              <w:spacing w:before="40" w:after="40" w:line="240" w:lineRule="auto"/>
            </w:pPr>
            <w:r>
              <w:rPr>
                <w:rFonts w:ascii="Segoe UI" w:hAnsi="Segoe UI" w:cs="Segoe UI" w:eastAsia="Segoe UI"/>
                <w:sz w:val="16"/>
                <w:szCs w:val="16"/>
              </w:rPr>
              <w:t xml:space="preserve">10</w:t>
            </w:r>
          </w:p>
        </w:tc>
      </w:tr>
      <w:tr>
        <w:trPr>
          <w:cantSplit/>
        </w:trPr>
        <w:tc>
          <w:tcPr>
            <w:tcW w:w="5262" w:type="dxa"/>
          </w:tcPr>
          <w:p>
            <w:pPr>
              <w:spacing w:before="40" w:after="40" w:line="240" w:lineRule="auto"/>
            </w:pPr>
            <w:r>
              <w:rPr>
                <w:rFonts w:ascii="Segoe UI" w:hAnsi="Segoe UI" w:cs="Segoe UI" w:eastAsia="Segoe UI"/>
                <w:sz w:val="16"/>
                <w:szCs w:val="16"/>
              </w:rPr>
              <w:t xml:space="preserve">Per module or Planned</w:t>
            </w:r>
          </w:p>
        </w:tc>
        <w:tc>
          <w:tcPr>
            <w:tcW w:w="3765" w:type="dxa"/>
          </w:tcPr>
          <w:p>
            <w:pPr>
              <w:spacing w:before="40" w:after="40" w:line="240" w:lineRule="auto"/>
            </w:pPr>
            <w:r>
              <w:rPr>
                <w:rFonts w:ascii="Segoe UI" w:hAnsi="Segoe UI" w:cs="Segoe UI" w:eastAsia="Segoe UI"/>
                <w:sz w:val="16"/>
                <w:szCs w:val="16"/>
              </w:rPr>
              <w:t xml:space="preserve">9</w:t>
            </w:r>
          </w:p>
        </w:tc>
      </w:tr>
      <w:tr>
        <w:trPr>
          <w:cantSplit/>
        </w:trPr>
        <w:tc>
          <w:tcPr>
            <w:tcW w:w="5262" w:type="dxa"/>
          </w:tcPr>
          <w:p>
            <w:pPr>
              <w:spacing w:before="40" w:after="40" w:line="240" w:lineRule="auto"/>
            </w:pPr>
            <w:r>
              <w:rPr>
                <w:rFonts w:ascii="Segoe UI" w:hAnsi="Segoe UI" w:cs="Segoe UI" w:eastAsia="Segoe UI"/>
                <w:sz w:val="16"/>
                <w:szCs w:val="16"/>
              </w:rPr>
              <w:t xml:space="preserve">Needs commercial input</w:t>
            </w:r>
          </w:p>
        </w:tc>
        <w:tc>
          <w:tcPr>
            <w:tcW w:w="3765" w:type="dxa"/>
          </w:tcPr>
          <w:p>
            <w:pPr>
              <w:spacing w:before="40" w:after="40" w:line="240" w:lineRule="auto"/>
            </w:pPr>
            <w:r>
              <w:rPr>
                <w:rFonts w:ascii="Segoe UI" w:hAnsi="Segoe UI" w:cs="Segoe UI" w:eastAsia="Segoe UI"/>
                <w:sz w:val="16"/>
                <w:szCs w:val="16"/>
              </w:rPr>
              <w:t xml:space="preserve">2 (DR-22 dates of the project plan, DR-25 commercials)</w:t>
            </w:r>
          </w:p>
        </w:tc>
      </w:tr>
      <w:tr>
        <w:trPr>
          <w:cantSplit/>
        </w:trPr>
        <w:tc>
          <w:tcPr>
            <w:tcW w:w="5262" w:type="dxa"/>
          </w:tcPr>
          <w:p>
            <w:pPr>
              <w:spacing w:before="40" w:after="40" w:line="240" w:lineRule="auto"/>
            </w:pPr>
            <w:r>
              <w:rPr>
                <w:rFonts w:ascii="Segoe UI" w:hAnsi="Segoe UI" w:cs="Segoe UI" w:eastAsia="Segoe UI"/>
                <w:sz w:val="16"/>
                <w:szCs w:val="16"/>
              </w:rPr>
              <w:t xml:space="preserve">Not covered at all</w:t>
            </w:r>
          </w:p>
        </w:tc>
        <w:tc>
          <w:tcPr>
            <w:tcW w:w="3765" w:type="dxa"/>
          </w:tcPr>
          <w:p>
            <w:pPr>
              <w:spacing w:before="40" w:after="40" w:line="240" w:lineRule="auto"/>
            </w:pPr>
            <w:r>
              <w:rPr>
                <w:rFonts w:ascii="Segoe UI" w:hAnsi="Segoe UI" w:cs="Segoe UI" w:eastAsia="Segoe UI"/>
                <w:sz w:val="16"/>
                <w:szCs w:val="16"/>
              </w:rPr>
              <w:t xml:space="preserve">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counts overlap because a document can carry more than one status. Seven further documents that the programme needs (environment strategy, data migration, service levels, training plan, data masking procedure, release notes, privacy impact assessment) are in section 5.</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09"/>
        <w:gridCol w:w="7918"/>
      </w:tblGrid>
      <w:tr>
        <w:trPr>
          <w:cantSplit/>
          <w:tblHeader/>
          <w:trHeight w:val="400"/>
        </w:trPr>
        <w:tc>
          <w:tcPr>
            <w:tcW w:w="1109" w:type="dxa"/>
            <w:shd w:val="clear" w:color="auto" w:fill="E8F0F8"/>
            <w:vAlign w:val="center"/>
          </w:tcPr>
          <w:p>
            <w:pPr>
              <w:spacing w:before="40" w:after="40" w:line="240" w:lineRule="auto"/>
            </w:pPr>
            <w:r>
              <w:rPr>
                <w:rFonts w:ascii="Segoe UI" w:hAnsi="Segoe UI" w:cs="Segoe UI" w:eastAsia="Segoe UI"/>
                <w:b/>
                <w:bCs/>
                <w:sz w:val="16"/>
                <w:szCs w:val="16"/>
              </w:rPr>
              <w:t xml:space="preserve">Element</w:t>
            </w:r>
          </w:p>
        </w:tc>
        <w:tc>
          <w:tcPr>
            <w:tcW w:w="7918" w:type="dxa"/>
            <w:shd w:val="clear" w:color="auto" w:fill="E8F0F8"/>
            <w:vAlign w:val="center"/>
          </w:tcPr>
          <w:p>
            <w:pPr>
              <w:spacing w:before="40" w:after="40" w:line="240" w:lineRule="auto"/>
            </w:pPr>
            <w:r>
              <w:rPr>
                <w:rFonts w:ascii="Segoe UI" w:hAnsi="Segoe UI" w:cs="Segoe UI" w:eastAsia="Segoe UI"/>
                <w:b/>
                <w:bCs/>
                <w:sz w:val="16"/>
                <w:szCs w:val="16"/>
              </w:rPr>
              <w:t xml:space="preserve">Details</w:t>
            </w:r>
          </w:p>
        </w:tc>
      </w:tr>
      <w:tr>
        <w:trPr>
          <w:cantSplit/>
        </w:trPr>
        <w:tc>
          <w:tcPr>
            <w:tcW w:w="1109" w:type="dxa"/>
          </w:tcPr>
          <w:p>
            <w:pPr>
              <w:spacing w:before="40" w:after="40" w:line="240" w:lineRule="auto"/>
            </w:pPr>
            <w:r>
              <w:rPr>
                <w:rFonts w:ascii="Segoe UI" w:hAnsi="Segoe UI" w:cs="Segoe UI" w:eastAsia="Segoe UI"/>
                <w:b/>
                <w:bCs/>
                <w:sz w:val="16"/>
                <w:szCs w:val="16"/>
              </w:rPr>
              <w:t xml:space="preserve">This pack</w:t>
            </w:r>
          </w:p>
        </w:tc>
        <w:tc>
          <w:tcPr>
            <w:tcW w:w="7918" w:type="dxa"/>
          </w:tcPr>
          <w:p>
            <w:pPr>
              <w:spacing w:before="40" w:after="40" w:line="240" w:lineRule="auto"/>
            </w:pPr>
            <w:r>
              <w:rPr>
                <w:rFonts w:ascii="Segoe UI" w:hAnsi="Segoe UI" w:cs="Segoe UI" w:eastAsia="Segoe UI"/>
                <w:sz w:val="16"/>
                <w:szCs w:val="16"/>
              </w:rPr>
              <w:t xml:space="preserve">NFR, architecture, security, data, environments, migration, operations, governance</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29"/>
        <w:gridCol w:w="1335"/>
        <w:gridCol w:w="3863"/>
      </w:tblGrid>
      <w:tr>
        <w:trPr>
          <w:cantSplit/>
          <w:tblHeader/>
          <w:trHeight w:val="400"/>
        </w:trPr>
        <w:tc>
          <w:tcPr>
            <w:tcW w:w="3829"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335" w:type="dxa"/>
            <w:shd w:val="clear" w:color="auto" w:fill="E8F0F8"/>
            <w:vAlign w:val="center"/>
          </w:tcPr>
          <w:p>
            <w:pPr>
              <w:spacing w:before="40" w:after="40" w:line="240" w:lineRule="auto"/>
            </w:pPr>
            <w:r>
              <w:rPr>
                <w:rFonts w:ascii="Segoe UI" w:hAnsi="Segoe UI" w:cs="Segoe UI" w:eastAsia="Segoe UI"/>
                <w:b/>
                <w:bCs/>
                <w:sz w:val="16"/>
                <w:szCs w:val="16"/>
              </w:rPr>
              <w:t xml:space="preserve">Connection</w:t>
            </w:r>
          </w:p>
        </w:tc>
        <w:tc>
          <w:tcPr>
            <w:tcW w:w="3863"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r>
      <w:tr>
        <w:trPr>
          <w:cantSplit/>
        </w:trPr>
        <w:tc>
          <w:tcPr>
            <w:tcW w:w="3829" w:type="dxa"/>
          </w:tcPr>
          <w:p>
            <w:pPr>
              <w:spacing w:before="40" w:after="40" w:line="240" w:lineRule="auto"/>
            </w:pPr>
            <w:r>
              <w:rPr>
                <w:rFonts w:ascii="Segoe UI" w:hAnsi="Segoe UI" w:cs="Segoe UI" w:eastAsia="Segoe UI"/>
                <w:sz w:val="16"/>
                <w:szCs w:val="16"/>
              </w:rPr>
              <w:t xml:space="preserve">Signed BRD v2.2 (TISPH)</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FRS per build item, FR + acceptance criteria</w:t>
            </w:r>
          </w:p>
        </w:tc>
      </w:tr>
      <w:tr>
        <w:trPr>
          <w:cantSplit/>
        </w:trPr>
        <w:tc>
          <w:tcPr>
            <w:tcW w:w="3829" w:type="dxa"/>
          </w:tcPr>
          <w:p>
            <w:pPr>
              <w:spacing w:before="40" w:after="40" w:line="240" w:lineRule="auto"/>
            </w:pPr>
            <w:r>
              <w:rPr>
                <w:rFonts w:ascii="Segoe UI" w:hAnsi="Segoe UI" w:cs="Segoe UI" w:eastAsia="Segoe UI"/>
                <w:sz w:val="16"/>
                <w:szCs w:val="16"/>
              </w:rPr>
              <w:t xml:space="preserve">FRS per build item, FR + acceptance criteria</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Code on TISPH-DEV, module READMEs, API export</w:t>
            </w:r>
          </w:p>
        </w:tc>
      </w:tr>
      <w:tr>
        <w:trPr>
          <w:cantSplit/>
        </w:trPr>
        <w:tc>
          <w:tcPr>
            <w:tcW w:w="3829" w:type="dxa"/>
          </w:tcPr>
          <w:p>
            <w:pPr>
              <w:spacing w:before="40" w:after="40" w:line="240" w:lineRule="auto"/>
            </w:pPr>
            <w:r>
              <w:rPr>
                <w:rFonts w:ascii="Segoe UI" w:hAnsi="Segoe UI" w:cs="Segoe UI" w:eastAsia="Segoe UI"/>
                <w:sz w:val="16"/>
                <w:szCs w:val="16"/>
              </w:rPr>
              <w:t xml:space="preserve">Code on TISPH-DEV, module READMEs, API export</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Test cases, TC per acceptance criterion</w:t>
            </w:r>
          </w:p>
        </w:tc>
      </w:tr>
      <w:tr>
        <w:trPr>
          <w:cantSplit/>
        </w:trPr>
        <w:tc>
          <w:tcPr>
            <w:tcW w:w="3829" w:type="dxa"/>
          </w:tcPr>
          <w:p>
            <w:pPr>
              <w:spacing w:before="40" w:after="40" w:line="240" w:lineRule="auto"/>
            </w:pPr>
            <w:r>
              <w:rPr>
                <w:rFonts w:ascii="Segoe UI" w:hAnsi="Segoe UI" w:cs="Segoe UI" w:eastAsia="Segoe UI"/>
                <w:sz w:val="16"/>
                <w:szCs w:val="16"/>
              </w:rPr>
              <w:t xml:space="preserve">Test cases, TC per acceptance criterion</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UAT sign-off</w:t>
            </w:r>
          </w:p>
        </w:tc>
      </w:tr>
      <w:tr>
        <w:trPr>
          <w:cantSplit/>
        </w:trPr>
        <w:tc>
          <w:tcPr>
            <w:tcW w:w="3829" w:type="dxa"/>
          </w:tcPr>
          <w:p>
            <w:pPr>
              <w:spacing w:before="40" w:after="40" w:line="240" w:lineRule="auto"/>
            </w:pPr>
            <w:r>
              <w:rPr>
                <w:rFonts w:ascii="Segoe UI" w:hAnsi="Segoe UI" w:cs="Segoe UI" w:eastAsia="Segoe UI"/>
                <w:sz w:val="16"/>
                <w:szCs w:val="16"/>
              </w:rPr>
              <w:t xml:space="preserve">Signed BRD v2.2 (TISPH)</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This pack</w:t>
            </w:r>
          </w:p>
        </w:tc>
      </w:tr>
      <w:tr>
        <w:trPr>
          <w:cantSplit/>
        </w:trPr>
        <w:tc>
          <w:tcPr>
            <w:tcW w:w="3829" w:type="dxa"/>
          </w:tcPr>
          <w:p>
            <w:pPr>
              <w:spacing w:before="40" w:after="40" w:line="240" w:lineRule="auto"/>
            </w:pPr>
            <w:r>
              <w:rPr>
                <w:rFonts w:ascii="Segoe UI" w:hAnsi="Segoe UI" w:cs="Segoe UI" w:eastAsia="Segoe UI"/>
                <w:sz w:val="16"/>
                <w:szCs w:val="16"/>
              </w:rPr>
              <w:t xml:space="preserve">This pack</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Production readiness, go-live, hypercare</w:t>
            </w:r>
          </w:p>
        </w:tc>
      </w:tr>
      <w:tr>
        <w:trPr>
          <w:cantSplit/>
        </w:trPr>
        <w:tc>
          <w:tcPr>
            <w:tcW w:w="3829" w:type="dxa"/>
          </w:tcPr>
          <w:p>
            <w:pPr>
              <w:spacing w:before="40" w:after="40" w:line="240" w:lineRule="auto"/>
            </w:pPr>
            <w:r>
              <w:rPr>
                <w:rFonts w:ascii="Segoe UI" w:hAnsi="Segoe UI" w:cs="Segoe UI" w:eastAsia="Segoe UI"/>
                <w:sz w:val="16"/>
                <w:szCs w:val="16"/>
              </w:rPr>
              <w:t xml:space="preserve">UAT sign-off</w:t>
            </w:r>
          </w:p>
        </w:tc>
        <w:tc>
          <w:tcPr>
            <w:tcW w:w="1335" w:type="dxa"/>
          </w:tcPr>
          <w:p>
            <w:pPr>
              <w:spacing w:before="40" w:after="40" w:line="240" w:lineRule="auto"/>
            </w:pPr>
            <w:r>
              <w:rPr>
                <w:rFonts w:ascii="Segoe UI" w:hAnsi="Segoe UI" w:cs="Segoe UI" w:eastAsia="Segoe UI"/>
                <w:sz w:val="16"/>
                <w:szCs w:val="16"/>
              </w:rPr>
              <w:t xml:space="preserve">-</w:t>
            </w:r>
          </w:p>
        </w:tc>
        <w:tc>
          <w:tcPr>
            <w:tcW w:w="3863" w:type="dxa"/>
          </w:tcPr>
          <w:p>
            <w:pPr>
              <w:spacing w:before="40" w:after="40" w:line="240" w:lineRule="auto"/>
            </w:pPr>
            <w:r>
              <w:rPr>
                <w:rFonts w:ascii="Segoe UI" w:hAnsi="Segoe UI" w:cs="Segoe UI" w:eastAsia="Segoe UI"/>
                <w:sz w:val="16"/>
                <w:szCs w:val="16"/>
              </w:rPr>
              <w:t xml:space="preserve">Production readiness, go-live, hypercare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chain from BRD to UAT sign-off is the one of BRD 9.2 ("Traceability"). The documents of this register sit on that chain: the FRS set carries the functional requirements and acceptance criteria, this pack carries the non-functional, technical and governance documents.</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Register of required documents</w:t>
      </w:r>
      <w:bookmarkEnd w:id="1006"/>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xmlns:a="http://schemas.openxmlformats.org/drawingml/2006/main" xmlns:pic="http://schemas.openxmlformats.org/drawingml/2006/picture">
      <w:pPr>
        <w:pStyle w:val="Heading2"/>
        <w:numPr>
          <w:ilvl w:val="1"/>
          <w:numId w:val="14"/>
        </w:numPr>
      </w:pPr>
      <w:bookmarkStart w:id="1007" w:name="_Toc300001007"/>
      <w:r>
        <w:rPr>
          <w:rFonts w:ascii="Segoe UI" w:hAnsi="Segoe UI" w:cs="Segoe UI" w:eastAsia="Segoe UI"/>
        </w:rPr>
        <w:t xml:space="preserve">Requirements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1847"/>
        <w:gridCol w:w="2129"/>
        <w:gridCol w:w="3069"/>
        <w:gridCol w:w="1568"/>
        <w:gridCol w:w="1566"/>
        <w:gridCol w:w="3072"/>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847"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2129"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069"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568"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566"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3072" w:type="dxa"/>
            <w:shd w:val="clear" w:color="auto" w:fill="E8F0F8"/>
            <w:vAlign w:val="center"/>
          </w:tcPr>
          <w:p>
            <w:pPr>
              <w:spacing w:before="40" w:after="40" w:line="240" w:lineRule="auto"/>
            </w:pPr>
            <w:r>
              <w:rPr>
                <w:rFonts w:ascii="Segoe UI" w:hAnsi="Segoe UI" w:cs="Segoe UI" w:eastAsia="Segoe UI"/>
                <w:b/>
                <w:bCs/>
                <w:sz w:val="16"/>
                <w:szCs w:val="16"/>
              </w:rPr>
              <w:t xml:space="preserve">Notes and dependencies</w:t>
            </w:r>
          </w:p>
        </w:tc>
      </w:tr>
      <w:tr>
        <w:trPr>
          <w:cantSplit/>
        </w:trPr>
        <w:tc>
          <w:tcPr>
            <w:tcW w:w="708" w:type="dxa"/>
          </w:tcPr>
          <w:p>
            <w:pPr>
              <w:spacing w:before="40" w:after="40" w:line="240" w:lineRule="auto"/>
            </w:pPr>
            <w:r>
              <w:rPr>
                <w:rFonts w:ascii="Segoe UI" w:hAnsi="Segoe UI" w:cs="Segoe UI" w:eastAsia="Segoe UI"/>
                <w:sz w:val="16"/>
                <w:szCs w:val="16"/>
              </w:rPr>
              <w:t xml:space="preserve">DR-01</w:t>
            </w:r>
          </w:p>
        </w:tc>
        <w:tc>
          <w:tcPr>
            <w:tcW w:w="1847" w:type="dxa"/>
          </w:tcPr>
          <w:p>
            <w:pPr>
              <w:spacing w:before="40" w:after="40" w:line="240" w:lineRule="auto"/>
            </w:pPr>
            <w:r>
              <w:rPr>
                <w:rFonts w:ascii="Segoe UI" w:hAnsi="Segoe UI" w:cs="Segoe UI" w:eastAsia="Segoe UI"/>
                <w:sz w:val="16"/>
                <w:szCs w:val="16"/>
              </w:rPr>
              <w:t xml:space="preserve">Software Requirements Specification (SRS)</w:t>
            </w:r>
          </w:p>
        </w:tc>
        <w:tc>
          <w:tcPr>
            <w:tcW w:w="2129" w:type="dxa"/>
          </w:tcPr>
          <w:p>
            <w:pPr>
              <w:spacing w:before="40" w:after="40" w:line="240" w:lineRule="auto"/>
            </w:pPr>
            <w:r>
              <w:rPr>
                <w:rFonts w:ascii="Segoe UI" w:hAnsi="Segoe UI" w:cs="Segoe UI" w:eastAsia="Segoe UI"/>
                <w:sz w:val="16"/>
                <w:szCs w:val="16"/>
              </w:rPr>
              <w:t xml:space="preserve">Exists in repo (10 items); Per module</w:t>
            </w:r>
          </w:p>
        </w:tc>
        <w:tc>
          <w:tcPr>
            <w:tcW w:w="3069" w:type="dxa"/>
          </w:tcPr>
          <w:p>
            <w:pPr>
              <w:spacing w:before="40" w:after="40" w:line="240" w:lineRule="auto"/>
            </w:pPr>
            <w:r>
              <w:rPr>
                <w:rFonts w:ascii="Segoe UI" w:hAnsi="Segoe UI" w:cs="Segoe UI" w:eastAsia="Segoe UI"/>
                <w:sz w:val="16"/>
                <w:szCs w:val="16"/>
              </w:rPr>
              <w:t xml:space="preserve">Functional Requirement Specifications, one per BRD build item, folder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FRS_TIS-BRD-&lt;ref&gt;_&lt;title&gt;_v&lt;n&gt;.docx</w:t>
            </w:r>
            <w:r>
              <w:rPr>
                <w:rFonts w:ascii="Segoe UI" w:hAnsi="Segoe UI" w:cs="Segoe UI" w:eastAsia="Segoe UI"/>
                <w:sz w:val="16"/>
                <w:szCs w:val="16"/>
              </w:rPr>
              <w:t xml:space="preserve">)</w:t>
            </w:r>
          </w:p>
        </w:tc>
        <w:tc>
          <w:tcPr>
            <w:tcW w:w="1568" w:type="dxa"/>
          </w:tcPr>
          <w:p>
            <w:pPr>
              <w:spacing w:before="40" w:after="40" w:line="240" w:lineRule="auto"/>
            </w:pPr>
            <w:r>
              <w:rPr>
                <w:rFonts w:ascii="Segoe UI" w:hAnsi="Segoe UI" w:cs="Segoe UI" w:eastAsia="Segoe UI"/>
                <w:sz w:val="16"/>
                <w:szCs w:val="16"/>
              </w:rPr>
              <w:t xml:space="preserve">iorta TechNXT Business Analysis</w:t>
            </w:r>
          </w:p>
        </w:tc>
        <w:tc>
          <w:tcPr>
            <w:tcW w:w="1566" w:type="dxa"/>
          </w:tcPr>
          <w:p>
            <w:pPr>
              <w:spacing w:before="40" w:after="40" w:line="240" w:lineRule="auto"/>
            </w:pPr>
            <w:r>
              <w:rPr>
                <w:rFonts w:ascii="Segoe UI" w:hAnsi="Segoe UI" w:cs="Segoe UI" w:eastAsia="Segoe UI"/>
                <w:sz w:val="16"/>
                <w:szCs w:val="16"/>
              </w:rPr>
              <w:t xml:space="preserve">Business Process Owner of the area</w:t>
            </w:r>
          </w:p>
        </w:tc>
        <w:tc>
          <w:tcPr>
            <w:tcW w:w="3072" w:type="dxa"/>
          </w:tcPr>
          <w:p>
            <w:pPr>
              <w:spacing w:before="40" w:after="40" w:line="240" w:lineRule="auto"/>
            </w:pPr>
            <w:r>
              <w:rPr>
                <w:rFonts w:ascii="Segoe UI" w:hAnsi="Segoe UI" w:cs="Segoe UI" w:eastAsia="Segoe UI"/>
                <w:sz w:val="16"/>
                <w:szCs w:val="16"/>
              </w:rPr>
              <w:t xml:space="preserve">Ten FRS issued for TISPH review: COLL-05, COMM-06, COMM-08, LEAD-09, PJRN-09, PROD-15 (v1.2), PROD-16, SCHM-01, SCHM-02, SCHM-03. Further FRS are written per build item as streams land (BRD 9.2: "the FRS cites the BRD reference"). The FRS set is held on </w:t>
            </w: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in </w:t>
            </w:r>
            <w:r>
              <w:rPr>
                <w:rFonts w:ascii="Consolas" w:hAnsi="Consolas" w:cs="Consolas" w:eastAsia="Consolas"/>
                <w:color w:val="1F3B57"/>
                <w:sz w:val="14"/>
                <w:szCs w:val="14"/>
                <w:shd w:val="clear" w:color="auto" w:fill="F3F5F8"/>
              </w:rPr>
              <w:t xml:space="preserve">docs/TISPH/frs/</w:t>
            </w:r>
            <w:r>
              <w:rPr>
                <w:rFonts w:ascii="Segoe UI" w:hAnsi="Segoe UI" w:cs="Segoe UI" w:eastAsia="Segoe UI"/>
                <w:sz w:val="16"/>
                <w:szCs w:val="16"/>
              </w:rPr>
              <w:t xml:space="preserve">. The signed BRD v2.2 itself is held by TISPH and is not in the repository.</w:t>
            </w:r>
          </w:p>
        </w:tc>
      </w:tr>
      <w:tr>
        <w:trPr>
          <w:cantSplit/>
        </w:trPr>
        <w:tc>
          <w:tcPr>
            <w:tcW w:w="708" w:type="dxa"/>
          </w:tcPr>
          <w:p>
            <w:pPr>
              <w:spacing w:before="40" w:after="40" w:line="240" w:lineRule="auto"/>
            </w:pPr>
            <w:r>
              <w:rPr>
                <w:rFonts w:ascii="Segoe UI" w:hAnsi="Segoe UI" w:cs="Segoe UI" w:eastAsia="Segoe UI"/>
                <w:sz w:val="16"/>
                <w:szCs w:val="16"/>
              </w:rPr>
              <w:t xml:space="preserve">DR-02</w:t>
            </w:r>
          </w:p>
        </w:tc>
        <w:tc>
          <w:tcPr>
            <w:tcW w:w="1847" w:type="dxa"/>
          </w:tcPr>
          <w:p>
            <w:pPr>
              <w:spacing w:before="40" w:after="40" w:line="240" w:lineRule="auto"/>
            </w:pPr>
            <w:r>
              <w:rPr>
                <w:rFonts w:ascii="Segoe UI" w:hAnsi="Segoe UI" w:cs="Segoe UI" w:eastAsia="Segoe UI"/>
                <w:sz w:val="16"/>
                <w:szCs w:val="16"/>
              </w:rPr>
              <w:t xml:space="preserve">Non-Functional Requirements (NFR)</w:t>
            </w:r>
          </w:p>
        </w:tc>
        <w:tc>
          <w:tcPr>
            <w:tcW w:w="2129" w:type="dxa"/>
          </w:tcPr>
          <w:p>
            <w:pPr>
              <w:spacing w:before="40" w:after="40" w:line="240" w:lineRule="auto"/>
            </w:pPr>
            <w:r>
              <w:rPr>
                <w:rFonts w:ascii="Segoe UI" w:hAnsi="Segoe UI" w:cs="Segoe UI" w:eastAsia="Segoe UI"/>
                <w:sz w:val="16"/>
                <w:szCs w:val="16"/>
              </w:rPr>
              <w:t xml:space="preserve">Drafted in this pack</w:t>
            </w:r>
          </w:p>
        </w:tc>
        <w:tc>
          <w:tcPr>
            <w:tcW w:w="3069"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(compliance matrix, section 5; cross-cutting assessments, section 6)</w:t>
            </w:r>
          </w:p>
        </w:tc>
        <w:tc>
          <w:tcPr>
            <w:tcW w:w="1568" w:type="dxa"/>
          </w:tcPr>
          <w:p>
            <w:pPr>
              <w:spacing w:before="40" w:after="40" w:line="240" w:lineRule="auto"/>
            </w:pPr>
            <w:r>
              <w:rPr>
                <w:rFonts w:ascii="Segoe UI" w:hAnsi="Segoe UI" w:cs="Segoe UI" w:eastAsia="Segoe UI"/>
                <w:sz w:val="16"/>
                <w:szCs w:val="16"/>
              </w:rPr>
              <w:t xml:space="preserve">iorta TechNXT Delivery Lead</w:t>
            </w:r>
          </w:p>
        </w:tc>
        <w:tc>
          <w:tcPr>
            <w:tcW w:w="1566" w:type="dxa"/>
          </w:tcPr>
          <w:p>
            <w:pPr>
              <w:spacing w:before="40" w:after="40" w:line="240" w:lineRule="auto"/>
            </w:pPr>
            <w:r>
              <w:rPr>
                <w:rFonts w:ascii="Segoe UI" w:hAnsi="Segoe UI" w:cs="Segoe UI" w:eastAsia="Segoe UI"/>
                <w:sz w:val="16"/>
                <w:szCs w:val="16"/>
              </w:rPr>
              <w:t xml:space="preserve">Head of IT; Information Security</w:t>
            </w:r>
          </w:p>
        </w:tc>
        <w:tc>
          <w:tcPr>
            <w:tcW w:w="3072" w:type="dxa"/>
          </w:tcPr>
          <w:p>
            <w:pPr>
              <w:spacing w:before="40" w:after="40" w:line="240" w:lineRule="auto"/>
            </w:pPr>
            <w:r>
              <w:rPr>
                <w:rFonts w:ascii="Segoe UI" w:hAnsi="Segoe UI" w:cs="Segoe UI" w:eastAsia="Segoe UI"/>
                <w:sz w:val="16"/>
                <w:szCs w:val="16"/>
              </w:rPr>
              <w:t xml:space="preserve">Every NFR row of BRD 6.3 assessed against the code with evidence, status, proving test, planned work and open questions (Q1 to Q23).</w:t>
            </w:r>
          </w:p>
        </w:tc>
      </w:tr>
      <w:tr>
        <w:trPr>
          <w:cantSplit/>
        </w:trPr>
        <w:tc>
          <w:tcPr>
            <w:tcW w:w="708" w:type="dxa"/>
          </w:tcPr>
          <w:p>
            <w:pPr>
              <w:spacing w:before="40" w:after="40" w:line="240" w:lineRule="auto"/>
            </w:pPr>
            <w:r>
              <w:rPr>
                <w:rFonts w:ascii="Segoe UI" w:hAnsi="Segoe UI" w:cs="Segoe UI" w:eastAsia="Segoe UI"/>
                <w:sz w:val="16"/>
                <w:szCs w:val="16"/>
              </w:rPr>
              <w:t xml:space="preserve">DR-03</w:t>
            </w:r>
          </w:p>
        </w:tc>
        <w:tc>
          <w:tcPr>
            <w:tcW w:w="1847" w:type="dxa"/>
          </w:tcPr>
          <w:p>
            <w:pPr>
              <w:spacing w:before="40" w:after="40" w:line="240" w:lineRule="auto"/>
            </w:pPr>
            <w:r>
              <w:rPr>
                <w:rFonts w:ascii="Segoe UI" w:hAnsi="Segoe UI" w:cs="Segoe UI" w:eastAsia="Segoe UI"/>
                <w:sz w:val="16"/>
                <w:szCs w:val="16"/>
              </w:rPr>
              <w:t xml:space="preserve">User stories</w:t>
            </w:r>
          </w:p>
        </w:tc>
        <w:tc>
          <w:tcPr>
            <w:tcW w:w="2129" w:type="dxa"/>
          </w:tcPr>
          <w:p>
            <w:pPr>
              <w:spacing w:before="40" w:after="40" w:line="240" w:lineRule="auto"/>
            </w:pPr>
            <w:r>
              <w:rPr>
                <w:rFonts w:ascii="Segoe UI" w:hAnsi="Segoe UI" w:cs="Segoe UI" w:eastAsia="Segoe UI"/>
                <w:sz w:val="16"/>
                <w:szCs w:val="16"/>
              </w:rPr>
              <w:t xml:space="preserve">Per module</w:t>
            </w:r>
          </w:p>
        </w:tc>
        <w:tc>
          <w:tcPr>
            <w:tcW w:w="3069" w:type="dxa"/>
          </w:tcPr>
          <w:p>
            <w:pPr>
              <w:spacing w:before="40" w:after="40" w:line="240" w:lineRule="auto"/>
            </w:pPr>
            <w:r>
              <w:rPr>
                <w:rFonts w:ascii="Segoe UI" w:hAnsi="Segoe UI" w:cs="Segoe UI" w:eastAsia="Segoe UI"/>
                <w:sz w:val="16"/>
                <w:szCs w:val="16"/>
              </w:rPr>
              <w:t xml:space="preserve">Expressed as functional requirements (FR-xxx) with personas in each FRS (DR-01), section 3 "Personas and roles" and section 4 "Functional requirements"</w:t>
            </w:r>
          </w:p>
        </w:tc>
        <w:tc>
          <w:tcPr>
            <w:tcW w:w="1568" w:type="dxa"/>
          </w:tcPr>
          <w:p>
            <w:pPr>
              <w:spacing w:before="40" w:after="40" w:line="240" w:lineRule="auto"/>
            </w:pPr>
            <w:r>
              <w:rPr>
                <w:rFonts w:ascii="Segoe UI" w:hAnsi="Segoe UI" w:cs="Segoe UI" w:eastAsia="Segoe UI"/>
                <w:sz w:val="16"/>
                <w:szCs w:val="16"/>
              </w:rPr>
              <w:t xml:space="preserve">iorta TechNXT Business Analysis</w:t>
            </w:r>
          </w:p>
        </w:tc>
        <w:tc>
          <w:tcPr>
            <w:tcW w:w="1566" w:type="dxa"/>
          </w:tcPr>
          <w:p>
            <w:pPr>
              <w:spacing w:before="40" w:after="40" w:line="240" w:lineRule="auto"/>
            </w:pPr>
            <w:r>
              <w:rPr>
                <w:rFonts w:ascii="Segoe UI" w:hAnsi="Segoe UI" w:cs="Segoe UI" w:eastAsia="Segoe UI"/>
                <w:sz w:val="16"/>
                <w:szCs w:val="16"/>
              </w:rPr>
              <w:t xml:space="preserve">Business Process Owner of the area</w:t>
            </w:r>
          </w:p>
        </w:tc>
        <w:tc>
          <w:tcPr>
            <w:tcW w:w="3072" w:type="dxa"/>
          </w:tcPr>
          <w:p>
            <w:pPr>
              <w:spacing w:before="40" w:after="40" w:line="240" w:lineRule="auto"/>
            </w:pPr>
            <w:r>
              <w:rPr>
                <w:rFonts w:ascii="Segoe UI" w:hAnsi="Segoe UI" w:cs="Segoe UI" w:eastAsia="Segoe UI"/>
                <w:sz w:val="16"/>
                <w:szCs w:val="16"/>
              </w:rPr>
              <w:t xml:space="preserve">No separate user story backlog is held in the repository. Each FRS states the persona, the requirement and its rules; a backlog in TISPH's or iorta TechNXT's work-tracking tool, if wanted, is derived from the FRS.</w:t>
            </w:r>
          </w:p>
        </w:tc>
      </w:tr>
      <w:tr>
        <w:trPr>
          <w:cantSplit/>
        </w:trPr>
        <w:tc>
          <w:tcPr>
            <w:tcW w:w="708" w:type="dxa"/>
          </w:tcPr>
          <w:p>
            <w:pPr>
              <w:spacing w:before="40" w:after="40" w:line="240" w:lineRule="auto"/>
            </w:pPr>
            <w:r>
              <w:rPr>
                <w:rFonts w:ascii="Segoe UI" w:hAnsi="Segoe UI" w:cs="Segoe UI" w:eastAsia="Segoe UI"/>
                <w:sz w:val="16"/>
                <w:szCs w:val="16"/>
              </w:rPr>
              <w:t xml:space="preserve">DR-04</w:t>
            </w:r>
          </w:p>
        </w:tc>
        <w:tc>
          <w:tcPr>
            <w:tcW w:w="1847" w:type="dxa"/>
          </w:tcPr>
          <w:p>
            <w:pPr>
              <w:spacing w:before="40" w:after="40" w:line="240" w:lineRule="auto"/>
            </w:pPr>
            <w:r>
              <w:rPr>
                <w:rFonts w:ascii="Segoe UI" w:hAnsi="Segoe UI" w:cs="Segoe UI" w:eastAsia="Segoe UI"/>
                <w:sz w:val="16"/>
                <w:szCs w:val="16"/>
              </w:rPr>
              <w:t xml:space="preserve">Acceptance criteria</w:t>
            </w:r>
          </w:p>
        </w:tc>
        <w:tc>
          <w:tcPr>
            <w:tcW w:w="2129" w:type="dxa"/>
          </w:tcPr>
          <w:p>
            <w:pPr>
              <w:spacing w:before="40" w:after="40" w:line="240" w:lineRule="auto"/>
            </w:pPr>
            <w:r>
              <w:rPr>
                <w:rFonts w:ascii="Segoe UI" w:hAnsi="Segoe UI" w:cs="Segoe UI" w:eastAsia="Segoe UI"/>
                <w:sz w:val="16"/>
                <w:szCs w:val="16"/>
              </w:rPr>
              <w:t xml:space="preserve">Exists in repo (10 items); Per module</w:t>
            </w:r>
          </w:p>
        </w:tc>
        <w:tc>
          <w:tcPr>
            <w:tcW w:w="3069" w:type="dxa"/>
          </w:tcPr>
          <w:p>
            <w:pPr>
              <w:spacing w:before="40" w:after="40" w:line="240" w:lineRule="auto"/>
            </w:pPr>
            <w:r>
              <w:rPr>
                <w:rFonts w:ascii="Segoe UI" w:hAnsi="Segoe UI" w:cs="Segoe UI" w:eastAsia="Segoe UI"/>
                <w:sz w:val="16"/>
                <w:szCs w:val="16"/>
              </w:rPr>
              <w:t xml:space="preserve">Numbered acceptance criteria under every functional requirement of each FRS (DR-01)</w:t>
            </w:r>
          </w:p>
        </w:tc>
        <w:tc>
          <w:tcPr>
            <w:tcW w:w="1568" w:type="dxa"/>
          </w:tcPr>
          <w:p>
            <w:pPr>
              <w:spacing w:before="40" w:after="40" w:line="240" w:lineRule="auto"/>
            </w:pPr>
            <w:r>
              <w:rPr>
                <w:rFonts w:ascii="Segoe UI" w:hAnsi="Segoe UI" w:cs="Segoe UI" w:eastAsia="Segoe UI"/>
                <w:sz w:val="16"/>
                <w:szCs w:val="16"/>
              </w:rPr>
              <w:t xml:space="preserve">iorta TechNXT Business Analysis</w:t>
            </w:r>
          </w:p>
        </w:tc>
        <w:tc>
          <w:tcPr>
            <w:tcW w:w="1566" w:type="dxa"/>
          </w:tcPr>
          <w:p>
            <w:pPr>
              <w:spacing w:before="40" w:after="40" w:line="240" w:lineRule="auto"/>
            </w:pPr>
            <w:r>
              <w:rPr>
                <w:rFonts w:ascii="Segoe UI" w:hAnsi="Segoe UI" w:cs="Segoe UI" w:eastAsia="Segoe UI"/>
                <w:sz w:val="16"/>
                <w:szCs w:val="16"/>
              </w:rPr>
              <w:t xml:space="preserve">Business Process Owner of the area</w:t>
            </w:r>
          </w:p>
        </w:tc>
        <w:tc>
          <w:tcPr>
            <w:tcW w:w="3072" w:type="dxa"/>
          </w:tcPr>
          <w:p>
            <w:pPr>
              <w:spacing w:before="40" w:after="40" w:line="240" w:lineRule="auto"/>
            </w:pPr>
            <w:r>
              <w:rPr>
                <w:rFonts w:ascii="Segoe UI" w:hAnsi="Segoe UI" w:cs="Segoe UI" w:eastAsia="Segoe UI"/>
                <w:sz w:val="16"/>
                <w:szCs w:val="16"/>
              </w:rPr>
              <w:t xml:space="preserve">Every FRS issued so far carries numbered acceptance criteria for each FR; they are the basis of the test cases (DR-17). Acceptance of non-functional requirements: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section 7.</w:t>
            </w:r>
          </w:p>
        </w:tc>
      </w:tr>
      <w:tr>
        <w:trPr/>
        <w:tc>
          <w:tcPr>
            <w:tcW w:w="708" w:type="dxa"/>
          </w:tcPr>
          <w:p>
            <w:pPr>
              <w:spacing w:before="40" w:after="40" w:line="240" w:lineRule="auto"/>
            </w:pPr>
            <w:r>
              <w:rPr>
                <w:rFonts w:ascii="Segoe UI" w:hAnsi="Segoe UI" w:cs="Segoe UI" w:eastAsia="Segoe UI"/>
                <w:sz w:val="16"/>
                <w:szCs w:val="16"/>
              </w:rPr>
              <w:t xml:space="preserve">DR-05</w:t>
            </w:r>
          </w:p>
        </w:tc>
        <w:tc>
          <w:tcPr>
            <w:tcW w:w="1847" w:type="dxa"/>
          </w:tcPr>
          <w:p>
            <w:pPr>
              <w:spacing w:before="40" w:after="40" w:line="240" w:lineRule="auto"/>
            </w:pPr>
            <w:r>
              <w:rPr>
                <w:rFonts w:ascii="Segoe UI" w:hAnsi="Segoe UI" w:cs="Segoe UI" w:eastAsia="Segoe UI"/>
                <w:sz w:val="16"/>
                <w:szCs w:val="16"/>
              </w:rPr>
              <w:t xml:space="preserve">Requirements traceability matrix</w:t>
            </w:r>
          </w:p>
        </w:tc>
        <w:tc>
          <w:tcPr>
            <w:tcW w:w="2129" w:type="dxa"/>
          </w:tcPr>
          <w:p>
            <w:pPr>
              <w:spacing w:before="40" w:after="40" w:line="240" w:lineRule="auto"/>
            </w:pPr>
            <w:r>
              <w:rPr>
                <w:rFonts w:ascii="Segoe UI" w:hAnsi="Segoe UI" w:cs="Segoe UI" w:eastAsia="Segoe UI"/>
                <w:sz w:val="16"/>
                <w:szCs w:val="16"/>
              </w:rPr>
              <w:t xml:space="preserve">Drafted in this pack (non-functional and technical); Per module (functional)</w:t>
            </w:r>
          </w:p>
        </w:tc>
        <w:tc>
          <w:tcPr>
            <w:tcW w:w="3069" w:type="dxa"/>
          </w:tcPr>
          <w:p>
            <w:pPr>
              <w:spacing w:before="40" w:after="40" w:line="240" w:lineRule="auto"/>
            </w:pPr>
            <w:r>
              <w:rPr>
                <w:rFonts w:ascii="Segoe UI" w:hAnsi="Segoe UI" w:cs="Segoe UI" w:eastAsia="Segoe UI"/>
                <w:sz w:val="16"/>
                <w:szCs w:val="16"/>
              </w:rPr>
              <w:t xml:space="preserve">Non-functional: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(matrix, Appendix B index of BRD NFR identifiers). Each pack document ends with a "Requirements traceability" section. Functional: section 8 "Traceability" of each FRS (FR to acceptance criterion to test case)</w:t>
            </w:r>
          </w:p>
        </w:tc>
        <w:tc>
          <w:tcPr>
            <w:tcW w:w="1568" w:type="dxa"/>
          </w:tcPr>
          <w:p>
            <w:pPr>
              <w:spacing w:before="40" w:after="40" w:line="240" w:lineRule="auto"/>
            </w:pPr>
            <w:r>
              <w:rPr>
                <w:rFonts w:ascii="Segoe UI" w:hAnsi="Segoe UI" w:cs="Segoe UI" w:eastAsia="Segoe UI"/>
                <w:sz w:val="16"/>
                <w:szCs w:val="16"/>
              </w:rPr>
              <w:t xml:space="preserve">iorta TechNXT Delivery Lead (QA Lead for the test links)</w:t>
            </w:r>
          </w:p>
        </w:tc>
        <w:tc>
          <w:tcPr>
            <w:tcW w:w="1566" w:type="dxa"/>
          </w:tcPr>
          <w:p>
            <w:pPr>
              <w:spacing w:before="40" w:after="40" w:line="240" w:lineRule="auto"/>
            </w:pPr>
            <w:r>
              <w:rPr>
                <w:rFonts w:ascii="Segoe UI" w:hAnsi="Segoe UI" w:cs="Segoe UI" w:eastAsia="Segoe UI"/>
                <w:sz w:val="16"/>
                <w:szCs w:val="16"/>
              </w:rPr>
              <w:t xml:space="preserve">TISPH Project Manager; Internal Audit</w:t>
            </w:r>
          </w:p>
        </w:tc>
        <w:tc>
          <w:tcPr>
            <w:tcW w:w="3072" w:type="dxa"/>
          </w:tcPr>
          <w:p>
            <w:pPr>
              <w:spacing w:before="40" w:after="40" w:line="240" w:lineRule="auto"/>
            </w:pPr>
            <w:r>
              <w:rPr>
                <w:rFonts w:ascii="Segoe UI" w:hAnsi="Segoe UI" w:cs="Segoe UI" w:eastAsia="Segoe UI"/>
                <w:sz w:val="16"/>
                <w:szCs w:val="16"/>
              </w:rPr>
              <w:t xml:space="preserve">The end-to-end matrix BRD reference &gt; FRS &gt; build item &gt; test case &gt; UAT sign-off (BRD 9.2; governance Go/No-Go criterion GN-01) is assembled per module as FRS, builds and test cases land. Planned: one consolidated workbook before UAT sign-off (gate 2 of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2.2).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Architecture and design</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286"/>
        <w:gridCol w:w="1263"/>
        <w:gridCol w:w="3113"/>
        <w:gridCol w:w="1584"/>
        <w:gridCol w:w="1889"/>
        <w:gridCol w:w="3116"/>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286"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1263"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113"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584"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889"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3116" w:type="dxa"/>
            <w:shd w:val="clear" w:color="auto" w:fill="E8F0F8"/>
            <w:vAlign w:val="center"/>
          </w:tcPr>
          <w:p>
            <w:pPr>
              <w:spacing w:before="40" w:after="40" w:line="240" w:lineRule="auto"/>
            </w:pPr>
            <w:r>
              <w:rPr>
                <w:rFonts w:ascii="Segoe UI" w:hAnsi="Segoe UI" w:cs="Segoe UI" w:eastAsia="Segoe UI"/>
                <w:b/>
                <w:bCs/>
                <w:sz w:val="16"/>
                <w:szCs w:val="16"/>
              </w:rPr>
              <w:t xml:space="preserve">Notes and dependencies</w:t>
            </w:r>
          </w:p>
        </w:tc>
      </w:tr>
      <w:tr>
        <w:trPr>
          <w:cantSplit/>
        </w:trPr>
        <w:tc>
          <w:tcPr>
            <w:tcW w:w="708" w:type="dxa"/>
          </w:tcPr>
          <w:p>
            <w:pPr>
              <w:spacing w:before="40" w:after="40" w:line="240" w:lineRule="auto"/>
            </w:pPr>
            <w:r>
              <w:rPr>
                <w:rFonts w:ascii="Segoe UI" w:hAnsi="Segoe UI" w:cs="Segoe UI" w:eastAsia="Segoe UI"/>
                <w:sz w:val="16"/>
                <w:szCs w:val="16"/>
              </w:rPr>
              <w:t xml:space="preserve">DR-06</w:t>
            </w:r>
          </w:p>
        </w:tc>
        <w:tc>
          <w:tcPr>
            <w:tcW w:w="2286" w:type="dxa"/>
          </w:tcPr>
          <w:p>
            <w:pPr>
              <w:spacing w:before="40" w:after="40" w:line="240" w:lineRule="auto"/>
            </w:pPr>
            <w:r>
              <w:rPr>
                <w:rFonts w:ascii="Segoe UI" w:hAnsi="Segoe UI" w:cs="Segoe UI" w:eastAsia="Segoe UI"/>
                <w:sz w:val="16"/>
                <w:szCs w:val="16"/>
              </w:rPr>
              <w:t xml:space="preserve">Architecture document (solution and application architecture)</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sections 2 to 8 (context, container, application, API-first design, events and jobs, configuration)</w:t>
            </w:r>
          </w:p>
        </w:tc>
        <w:tc>
          <w:tcPr>
            <w:tcW w:w="1584" w:type="dxa"/>
          </w:tcPr>
          <w:p>
            <w:pPr>
              <w:spacing w:before="40" w:after="40" w:line="240" w:lineRule="auto"/>
            </w:pPr>
            <w:r>
              <w:rPr>
                <w:rFonts w:ascii="Segoe UI" w:hAnsi="Segoe UI" w:cs="Segoe UI" w:eastAsia="Segoe UI"/>
                <w:sz w:val="16"/>
                <w:szCs w:val="16"/>
              </w:rPr>
              <w:t xml:space="preserve">iorta TechNXT Solution Architect</w:t>
            </w:r>
          </w:p>
        </w:tc>
        <w:tc>
          <w:tcPr>
            <w:tcW w:w="1889" w:type="dxa"/>
          </w:tcPr>
          <w:p>
            <w:pPr>
              <w:spacing w:before="40" w:after="40" w:line="240" w:lineRule="auto"/>
            </w:pPr>
            <w:r>
              <w:rPr>
                <w:rFonts w:ascii="Segoe UI" w:hAnsi="Segoe UI" w:cs="Segoe UI" w:eastAsia="Segoe UI"/>
                <w:sz w:val="16"/>
                <w:szCs w:val="16"/>
              </w:rPr>
              <w:t xml:space="preserve">Head of IT; Design Authority</w:t>
            </w:r>
          </w:p>
        </w:tc>
        <w:tc>
          <w:tcPr>
            <w:tcW w:w="3116" w:type="dxa"/>
          </w:tcPr>
          <w:p>
            <w:pPr>
              <w:spacing w:before="40" w:after="40" w:line="240" w:lineRule="auto"/>
            </w:pPr>
            <w:r>
              <w:rPr>
                <w:rFonts w:ascii="Segoe UI" w:hAnsi="Segoe UI" w:cs="Segoe UI" w:eastAsia="Segoe UI"/>
                <w:sz w:val="16"/>
                <w:szCs w:val="16"/>
              </w:rPr>
              <w:t xml:space="preserve">Planned architecture items are listed in its section 15; open questions Q1 to Q13 in section 17.</w:t>
            </w:r>
          </w:p>
        </w:tc>
      </w:tr>
      <w:tr>
        <w:trPr>
          <w:cantSplit/>
        </w:trPr>
        <w:tc>
          <w:tcPr>
            <w:tcW w:w="708" w:type="dxa"/>
          </w:tcPr>
          <w:p>
            <w:pPr>
              <w:spacing w:before="40" w:after="40" w:line="240" w:lineRule="auto"/>
            </w:pPr>
            <w:r>
              <w:rPr>
                <w:rFonts w:ascii="Segoe UI" w:hAnsi="Segoe UI" w:cs="Segoe UI" w:eastAsia="Segoe UI"/>
                <w:sz w:val="16"/>
                <w:szCs w:val="16"/>
              </w:rPr>
              <w:t xml:space="preserve">DR-07</w:t>
            </w:r>
          </w:p>
        </w:tc>
        <w:tc>
          <w:tcPr>
            <w:tcW w:w="2286" w:type="dxa"/>
          </w:tcPr>
          <w:p>
            <w:pPr>
              <w:spacing w:before="40" w:after="40" w:line="240" w:lineRule="auto"/>
            </w:pPr>
            <w:r>
              <w:rPr>
                <w:rFonts w:ascii="Segoe UI" w:hAnsi="Segoe UI" w:cs="Segoe UI" w:eastAsia="Segoe UI"/>
                <w:sz w:val="16"/>
                <w:szCs w:val="16"/>
              </w:rPr>
              <w:t xml:space="preserve">Deployment architecture</w:t>
            </w:r>
          </w:p>
        </w:tc>
        <w:tc>
          <w:tcPr>
            <w:tcW w:w="1263" w:type="dxa"/>
          </w:tcPr>
          <w:p>
            <w:pPr>
              <w:spacing w:before="40" w:after="40" w:line="240" w:lineRule="auto"/>
            </w:pPr>
            <w:r>
              <w:rPr>
                <w:rFonts w:ascii="Segoe UI" w:hAnsi="Segoe UI" w:cs="Segoe UI" w:eastAsia="Segoe UI"/>
                <w:sz w:val="16"/>
                <w:szCs w:val="16"/>
              </w:rPr>
              <w:t xml:space="preserve">Drafted in this pack; Exists in repo</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sections 4 to 6; runbook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workflows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azure-deploy-environment.yml</w:t>
            </w:r>
          </w:p>
        </w:tc>
        <w:tc>
          <w:tcPr>
            <w:tcW w:w="1584" w:type="dxa"/>
          </w:tcPr>
          <w:p>
            <w:pPr>
              <w:spacing w:before="40" w:after="40" w:line="240" w:lineRule="auto"/>
            </w:pPr>
            <w:r>
              <w:rPr>
                <w:rFonts w:ascii="Segoe UI" w:hAnsi="Segoe UI" w:cs="Segoe UI" w:eastAsia="Segoe UI"/>
                <w:sz w:val="16"/>
                <w:szCs w:val="16"/>
              </w:rPr>
              <w:t xml:space="preserve">iorta TechNXT DevOps Lead</w:t>
            </w:r>
          </w:p>
        </w:tc>
        <w:tc>
          <w:tcPr>
            <w:tcW w:w="1889" w:type="dxa"/>
          </w:tcPr>
          <w:p>
            <w:pPr>
              <w:spacing w:before="40" w:after="40" w:line="240" w:lineRule="auto"/>
            </w:pPr>
            <w:r>
              <w:rPr>
                <w:rFonts w:ascii="Segoe UI" w:hAnsi="Segoe UI" w:cs="Segoe UI" w:eastAsia="Segoe UI"/>
                <w:sz w:val="16"/>
                <w:szCs w:val="16"/>
              </w:rPr>
              <w:t xml:space="preserve">Head of IT</w:t>
            </w:r>
          </w:p>
        </w:tc>
        <w:tc>
          <w:tcPr>
            <w:tcW w:w="3116" w:type="dxa"/>
          </w:tcPr>
          <w:p>
            <w:pPr>
              <w:spacing w:before="40" w:after="40" w:line="240" w:lineRule="auto"/>
            </w:pPr>
            <w:r>
              <w:rPr>
                <w:rFonts w:ascii="Segoe UI" w:hAnsi="Segoe UI" w:cs="Segoe UI" w:eastAsia="Segoe UI"/>
                <w:sz w:val="16"/>
                <w:szCs w:val="16"/>
              </w:rPr>
              <w:t xml:space="preserve">PRE-PROD on Azure is Planned (GP-01, TISPH decision E1).</w:t>
            </w:r>
          </w:p>
        </w:tc>
      </w:tr>
      <w:tr>
        <w:trPr>
          <w:cantSplit/>
        </w:trPr>
        <w:tc>
          <w:tcPr>
            <w:tcW w:w="708" w:type="dxa"/>
          </w:tcPr>
          <w:p>
            <w:pPr>
              <w:spacing w:before="40" w:after="40" w:line="240" w:lineRule="auto"/>
            </w:pPr>
            <w:r>
              <w:rPr>
                <w:rFonts w:ascii="Segoe UI" w:hAnsi="Segoe UI" w:cs="Segoe UI" w:eastAsia="Segoe UI"/>
                <w:sz w:val="16"/>
                <w:szCs w:val="16"/>
              </w:rPr>
              <w:t xml:space="preserve">DR-08</w:t>
            </w:r>
          </w:p>
        </w:tc>
        <w:tc>
          <w:tcPr>
            <w:tcW w:w="2286" w:type="dxa"/>
          </w:tcPr>
          <w:p>
            <w:pPr>
              <w:spacing w:before="40" w:after="40" w:line="240" w:lineRule="auto"/>
            </w:pPr>
            <w:r>
              <w:rPr>
                <w:rFonts w:ascii="Segoe UI" w:hAnsi="Segoe UI" w:cs="Segoe UI" w:eastAsia="Segoe UI"/>
                <w:sz w:val="16"/>
                <w:szCs w:val="16"/>
              </w:rPr>
              <w:t xml:space="preserve">Infrastructure architecture</w:t>
            </w:r>
          </w:p>
        </w:tc>
        <w:tc>
          <w:tcPr>
            <w:tcW w:w="1263" w:type="dxa"/>
          </w:tcPr>
          <w:p>
            <w:pPr>
              <w:spacing w:before="40" w:after="40" w:line="240" w:lineRule="auto"/>
            </w:pPr>
            <w:r>
              <w:rPr>
                <w:rFonts w:ascii="Segoe UI" w:hAnsi="Segoe UI" w:cs="Segoe UI" w:eastAsia="Segoe UI"/>
                <w:sz w:val="16"/>
                <w:szCs w:val="16"/>
              </w:rPr>
              <w:t xml:space="preserve">Drafted in this pack; Exists in repo</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sections 4 and 5; Terraform in </w:t>
            </w:r>
            <w:r>
              <w:rPr>
                <w:rFonts w:ascii="Consolas" w:hAnsi="Consolas" w:cs="Consolas" w:eastAsia="Consolas"/>
                <w:color w:val="1F3B57"/>
                <w:sz w:val="14"/>
                <w:szCs w:val="14"/>
                <w:shd w:val="clear" w:color="auto" w:fill="F3F5F8"/>
              </w:rPr>
              <w:t xml:space="preserve">deploy/azure/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bootstrap/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shared/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modules/environment/</w:t>
            </w:r>
            <w:r>
              <w:rPr>
                <w:rFonts w:ascii="Segoe UI" w:hAnsi="Segoe UI" w:cs="Segoe UI" w:eastAsia="Segoe UI"/>
                <w:sz w:val="16"/>
                <w:szCs w:val="16"/>
              </w:rPr>
              <w:t xml:space="preserve">)</w:t>
            </w:r>
          </w:p>
        </w:tc>
        <w:tc>
          <w:tcPr>
            <w:tcW w:w="1584" w:type="dxa"/>
          </w:tcPr>
          <w:p>
            <w:pPr>
              <w:spacing w:before="40" w:after="40" w:line="240" w:lineRule="auto"/>
            </w:pPr>
            <w:r>
              <w:rPr>
                <w:rFonts w:ascii="Segoe UI" w:hAnsi="Segoe UI" w:cs="Segoe UI" w:eastAsia="Segoe UI"/>
                <w:sz w:val="16"/>
                <w:szCs w:val="16"/>
              </w:rPr>
              <w:t xml:space="preserve">iorta TechNXT DevOps Lead</w:t>
            </w:r>
          </w:p>
        </w:tc>
        <w:tc>
          <w:tcPr>
            <w:tcW w:w="1889" w:type="dxa"/>
          </w:tcPr>
          <w:p>
            <w:pPr>
              <w:spacing w:before="40" w:after="40" w:line="240" w:lineRule="auto"/>
            </w:pPr>
            <w:r>
              <w:rPr>
                <w:rFonts w:ascii="Segoe UI" w:hAnsi="Segoe UI" w:cs="Segoe UI" w:eastAsia="Segoe UI"/>
                <w:sz w:val="16"/>
                <w:szCs w:val="16"/>
              </w:rPr>
              <w:t xml:space="preserve">Head of IT; Infrastructure / cloud lead</w:t>
            </w:r>
          </w:p>
        </w:tc>
        <w:tc>
          <w:tcPr>
            <w:tcW w:w="3116" w:type="dxa"/>
          </w:tcPr>
          <w:p>
            <w:pPr>
              <w:spacing w:before="40" w:after="40" w:line="240" w:lineRule="auto"/>
            </w:pPr>
            <w:r>
              <w:rPr>
                <w:rFonts w:ascii="Segoe UI" w:hAnsi="Segoe UI" w:cs="Segoe UI" w:eastAsia="Segoe UI"/>
                <w:sz w:val="16"/>
                <w:szCs w:val="16"/>
              </w:rPr>
              <w:t xml:space="preserve">Terraform is the infrastructure definition; the documents describe it. Kubernetes manifests are Planned only if TISPH standardises on AKS (GP-20).</w:t>
            </w:r>
          </w:p>
        </w:tc>
      </w:tr>
      <w:tr>
        <w:trPr>
          <w:cantSplit/>
        </w:trPr>
        <w:tc>
          <w:tcPr>
            <w:tcW w:w="708" w:type="dxa"/>
          </w:tcPr>
          <w:p>
            <w:pPr>
              <w:spacing w:before="40" w:after="40" w:line="240" w:lineRule="auto"/>
            </w:pPr>
            <w:r>
              <w:rPr>
                <w:rFonts w:ascii="Segoe UI" w:hAnsi="Segoe UI" w:cs="Segoe UI" w:eastAsia="Segoe UI"/>
                <w:sz w:val="16"/>
                <w:szCs w:val="16"/>
              </w:rPr>
              <w:t xml:space="preserve">DR-09</w:t>
            </w:r>
          </w:p>
        </w:tc>
        <w:tc>
          <w:tcPr>
            <w:tcW w:w="2286" w:type="dxa"/>
          </w:tcPr>
          <w:p>
            <w:pPr>
              <w:spacing w:before="40" w:after="40" w:line="240" w:lineRule="auto"/>
            </w:pPr>
            <w:r>
              <w:rPr>
                <w:rFonts w:ascii="Segoe UI" w:hAnsi="Segoe UI" w:cs="Segoe UI" w:eastAsia="Segoe UI"/>
                <w:sz w:val="16"/>
                <w:szCs w:val="16"/>
              </w:rPr>
              <w:t xml:space="preserve">Security architecture</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docs/TISPH/pack/TISPH_Security_Architecture.docx</w:t>
            </w:r>
            <w:r>
              <w:rPr>
                <w:rFonts w:ascii="Segoe UI" w:hAnsi="Segoe UI" w:cs="Segoe UI" w:eastAsia="Segoe UI"/>
                <w:sz w:val="16"/>
                <w:szCs w:val="16"/>
              </w:rPr>
              <w:t xml:space="preserve"> (identity, RBAC, maker-checker and SoD, masking and field encryption, secrets, encryption, audit trail, OWASP and ASVS mapping, STRIDE threat model, security testing, penetration-test readiness)</w:t>
            </w:r>
          </w:p>
        </w:tc>
        <w:tc>
          <w:tcPr>
            <w:tcW w:w="1584" w:type="dxa"/>
          </w:tcPr>
          <w:p>
            <w:pPr>
              <w:spacing w:before="40" w:after="40" w:line="240" w:lineRule="auto"/>
            </w:pPr>
            <w:r>
              <w:rPr>
                <w:rFonts w:ascii="Segoe UI" w:hAnsi="Segoe UI" w:cs="Segoe UI" w:eastAsia="Segoe UI"/>
                <w:sz w:val="16"/>
                <w:szCs w:val="16"/>
              </w:rPr>
              <w:t xml:space="preserve">iorta TechNXT Solution Architect (security)</w:t>
            </w:r>
          </w:p>
        </w:tc>
        <w:tc>
          <w:tcPr>
            <w:tcW w:w="1889" w:type="dxa"/>
          </w:tcPr>
          <w:p>
            <w:pPr>
              <w:spacing w:before="40" w:after="40" w:line="240" w:lineRule="auto"/>
            </w:pPr>
            <w:r>
              <w:rPr>
                <w:rFonts w:ascii="Segoe UI" w:hAnsi="Segoe UI" w:cs="Segoe UI" w:eastAsia="Segoe UI"/>
                <w:sz w:val="16"/>
                <w:szCs w:val="16"/>
              </w:rPr>
              <w:t xml:space="preserve">Information Security Officer; Data Protection Officer</w:t>
            </w:r>
          </w:p>
        </w:tc>
        <w:tc>
          <w:tcPr>
            <w:tcW w:w="3116" w:type="dxa"/>
          </w:tcPr>
          <w:p>
            <w:pPr>
              <w:spacing w:before="40" w:after="40" w:line="240" w:lineRule="auto"/>
            </w:pPr>
            <w:r>
              <w:rPr>
                <w:rFonts w:ascii="Segoe UI" w:hAnsi="Segoe UI" w:cs="Segoe UI" w:eastAsia="Segoe UI"/>
                <w:sz w:val="16"/>
                <w:szCs w:val="16"/>
              </w:rPr>
              <w:t xml:space="preserve">Open questions SEC-Q1 onwards in its section 20. VA, MBSS scans and penetration test are Planned (GP-17, activity DA-3).</w:t>
            </w:r>
          </w:p>
        </w:tc>
      </w:tr>
      <w:tr>
        <w:trPr>
          <w:cantSplit/>
        </w:trPr>
        <w:tc>
          <w:tcPr>
            <w:tcW w:w="708" w:type="dxa"/>
          </w:tcPr>
          <w:p>
            <w:pPr>
              <w:spacing w:before="40" w:after="40" w:line="240" w:lineRule="auto"/>
            </w:pPr>
            <w:r>
              <w:rPr>
                <w:rFonts w:ascii="Segoe UI" w:hAnsi="Segoe UI" w:cs="Segoe UI" w:eastAsia="Segoe UI"/>
                <w:sz w:val="16"/>
                <w:szCs w:val="16"/>
              </w:rPr>
              <w:t xml:space="preserve">DR-10</w:t>
            </w:r>
          </w:p>
        </w:tc>
        <w:tc>
          <w:tcPr>
            <w:tcW w:w="2286" w:type="dxa"/>
          </w:tcPr>
          <w:p>
            <w:pPr>
              <w:spacing w:before="40" w:after="40" w:line="240" w:lineRule="auto"/>
            </w:pPr>
            <w:r>
              <w:rPr>
                <w:rFonts w:ascii="Segoe UI" w:hAnsi="Segoe UI" w:cs="Segoe UI" w:eastAsia="Segoe UI"/>
                <w:sz w:val="16"/>
                <w:szCs w:val="16"/>
              </w:rPr>
              <w:t xml:space="preserve">Data architecture</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sections 2, 3 and 6 to 15 (domains and ownership, master and reference data, lineage to the SAP GL file, reconciliations, quality, retention, audit, masking, governance)</w:t>
            </w:r>
          </w:p>
        </w:tc>
        <w:tc>
          <w:tcPr>
            <w:tcW w:w="1584" w:type="dxa"/>
          </w:tcPr>
          <w:p>
            <w:pPr>
              <w:spacing w:before="40" w:after="40" w:line="240" w:lineRule="auto"/>
            </w:pPr>
            <w:r>
              <w:rPr>
                <w:rFonts w:ascii="Segoe UI" w:hAnsi="Segoe UI" w:cs="Segoe UI" w:eastAsia="Segoe UI"/>
                <w:sz w:val="16"/>
                <w:szCs w:val="16"/>
              </w:rPr>
              <w:t xml:space="preserve">iorta TechNXT Solution Architect (data)</w:t>
            </w:r>
          </w:p>
        </w:tc>
        <w:tc>
          <w:tcPr>
            <w:tcW w:w="1889" w:type="dxa"/>
          </w:tcPr>
          <w:p>
            <w:pPr>
              <w:spacing w:before="40" w:after="40" w:line="240" w:lineRule="auto"/>
            </w:pPr>
            <w:r>
              <w:rPr>
                <w:rFonts w:ascii="Segoe UI" w:hAnsi="Segoe UI" w:cs="Segoe UI" w:eastAsia="Segoe UI"/>
                <w:sz w:val="16"/>
                <w:szCs w:val="16"/>
              </w:rPr>
              <w:t xml:space="preserve">Head of IT; Data Protection Officer; Finance lead</w:t>
            </w:r>
          </w:p>
        </w:tc>
        <w:tc>
          <w:tcPr>
            <w:tcW w:w="3116" w:type="dxa"/>
          </w:tcPr>
          <w:p>
            <w:pPr>
              <w:spacing w:before="40" w:after="40" w:line="240" w:lineRule="auto"/>
            </w:pPr>
          </w:p>
        </w:tc>
      </w:tr>
      <w:tr>
        <w:trPr>
          <w:cantSplit/>
        </w:trPr>
        <w:tc>
          <w:tcPr>
            <w:tcW w:w="708" w:type="dxa"/>
          </w:tcPr>
          <w:p>
            <w:pPr>
              <w:spacing w:before="40" w:after="40" w:line="240" w:lineRule="auto"/>
            </w:pPr>
            <w:r>
              <w:rPr>
                <w:rFonts w:ascii="Segoe UI" w:hAnsi="Segoe UI" w:cs="Segoe UI" w:eastAsia="Segoe UI"/>
                <w:sz w:val="16"/>
                <w:szCs w:val="16"/>
              </w:rPr>
              <w:t xml:space="preserve">DR-11</w:t>
            </w:r>
          </w:p>
        </w:tc>
        <w:tc>
          <w:tcPr>
            <w:tcW w:w="2286" w:type="dxa"/>
          </w:tcPr>
          <w:p>
            <w:pPr>
              <w:spacing w:before="40" w:after="40" w:line="240" w:lineRule="auto"/>
            </w:pPr>
            <w:r>
              <w:rPr>
                <w:rFonts w:ascii="Segoe UI" w:hAnsi="Segoe UI" w:cs="Segoe UI" w:eastAsia="Segoe UI"/>
                <w:sz w:val="16"/>
                <w:szCs w:val="16"/>
              </w:rPr>
              <w:t xml:space="preserve">Integration architecture</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9 (interfaces against BRD 5.13, INTG-01 to INTG-05);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section 6.7</w:t>
            </w:r>
          </w:p>
        </w:tc>
        <w:tc>
          <w:tcPr>
            <w:tcW w:w="1584" w:type="dxa"/>
          </w:tcPr>
          <w:p>
            <w:pPr>
              <w:spacing w:before="40" w:after="40" w:line="240" w:lineRule="auto"/>
            </w:pPr>
            <w:r>
              <w:rPr>
                <w:rFonts w:ascii="Segoe UI" w:hAnsi="Segoe UI" w:cs="Segoe UI" w:eastAsia="Segoe UI"/>
                <w:sz w:val="16"/>
                <w:szCs w:val="16"/>
              </w:rPr>
              <w:t xml:space="preserve">iorta TechNXT Solution Architect</w:t>
            </w:r>
          </w:p>
        </w:tc>
        <w:tc>
          <w:tcPr>
            <w:tcW w:w="1889" w:type="dxa"/>
          </w:tcPr>
          <w:p>
            <w:pPr>
              <w:spacing w:before="40" w:after="40" w:line="240" w:lineRule="auto"/>
            </w:pPr>
            <w:r>
              <w:rPr>
                <w:rFonts w:ascii="Segoe UI" w:hAnsi="Segoe UI" w:cs="Segoe UI" w:eastAsia="Segoe UI"/>
                <w:sz w:val="16"/>
                <w:szCs w:val="16"/>
              </w:rPr>
              <w:t xml:space="preserve">Head of IT</w:t>
            </w:r>
          </w:p>
        </w:tc>
        <w:tc>
          <w:tcPr>
            <w:tcW w:w="3116" w:type="dxa"/>
          </w:tcPr>
          <w:p>
            <w:pPr>
              <w:spacing w:before="40" w:after="40" w:line="240" w:lineRule="auto"/>
            </w:pPr>
            <w:r>
              <w:rPr>
                <w:rFonts w:ascii="Segoe UI" w:hAnsi="Segoe UI" w:cs="Segoe UI" w:eastAsia="Segoe UI"/>
                <w:sz w:val="16"/>
                <w:szCs w:val="16"/>
              </w:rPr>
              <w:t xml:space="preserve">Planned interfaces: SAP GL transfer over SFTP (GP-21), bank file pick-up and drop (GP-22), dedicated TFS feed (GP-23), BIR EIS live operation (GP-24). Each depends on a TISPH choice or a file specification (Architecture Q1, Q2, Q4, Q5).</w:t>
            </w:r>
          </w:p>
        </w:tc>
      </w:tr>
      <w:tr>
        <w:trPr>
          <w:cantSplit/>
        </w:trPr>
        <w:tc>
          <w:tcPr>
            <w:tcW w:w="708" w:type="dxa"/>
          </w:tcPr>
          <w:p>
            <w:pPr>
              <w:spacing w:before="40" w:after="40" w:line="240" w:lineRule="auto"/>
            </w:pPr>
            <w:r>
              <w:rPr>
                <w:rFonts w:ascii="Segoe UI" w:hAnsi="Segoe UI" w:cs="Segoe UI" w:eastAsia="Segoe UI"/>
                <w:sz w:val="16"/>
                <w:szCs w:val="16"/>
              </w:rPr>
              <w:t xml:space="preserve">DR-12</w:t>
            </w:r>
          </w:p>
        </w:tc>
        <w:tc>
          <w:tcPr>
            <w:tcW w:w="2286" w:type="dxa"/>
          </w:tcPr>
          <w:p>
            <w:pPr>
              <w:spacing w:before="40" w:after="40" w:line="240" w:lineRule="auto"/>
            </w:pPr>
            <w:r>
              <w:rPr>
                <w:rFonts w:ascii="Segoe UI" w:hAnsi="Segoe UI" w:cs="Segoe UI" w:eastAsia="Segoe UI"/>
                <w:sz w:val="16"/>
                <w:szCs w:val="16"/>
              </w:rPr>
              <w:t xml:space="preserve">API specifications</w:t>
            </w:r>
          </w:p>
        </w:tc>
        <w:tc>
          <w:tcPr>
            <w:tcW w:w="1263" w:type="dxa"/>
          </w:tcPr>
          <w:p>
            <w:pPr>
              <w:spacing w:before="40" w:after="40" w:line="240" w:lineRule="auto"/>
            </w:pPr>
            <w:r>
              <w:rPr>
                <w:rFonts w:ascii="Segoe UI" w:hAnsi="Segoe UI" w:cs="Segoe UI" w:eastAsia="Segoe UI"/>
                <w:sz w:val="16"/>
                <w:szCs w:val="16"/>
              </w:rPr>
              <w:t xml:space="preserve">Exists in repo</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backend/docs/api/openapi.json</w:t>
            </w:r>
            <w:r>
              <w:rPr>
                <w:rFonts w:ascii="Segoe UI" w:hAnsi="Segoe UI" w:cs="Segoe UI" w:eastAsia="Segoe UI"/>
                <w:sz w:val="16"/>
                <w:szCs w:val="16"/>
              </w:rPr>
              <w:t xml:space="preserve"> (OpenAPI 3.1.0), </w:t>
            </w:r>
            <w:r>
              <w:rPr>
                <w:rFonts w:ascii="Consolas" w:hAnsi="Consolas" w:cs="Consolas" w:eastAsia="Consolas"/>
                <w:color w:val="1F3B57"/>
                <w:sz w:val="14"/>
                <w:szCs w:val="14"/>
                <w:shd w:val="clear" w:color="auto" w:fill="F3F5F8"/>
              </w:rPr>
              <w:t xml:space="preserve">BrokerVerse.postman_collection.json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BrokerVerse.postman_environment.json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BrokerVerse_API_Touchpoints.xlsx</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.csv</w:t>
            </w:r>
            <w:r>
              <w:rPr>
                <w:rFonts w:ascii="Segoe UI" w:hAnsi="Segoe UI" w:cs="Segoe UI" w:eastAsia="Segoe UI"/>
                <w:sz w:val="16"/>
                <w:szCs w:val="16"/>
              </w:rPr>
              <w:t xml:space="preserve">; design rules in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6</w:t>
            </w:r>
          </w:p>
        </w:tc>
        <w:tc>
          <w:tcPr>
            <w:tcW w:w="1584" w:type="dxa"/>
          </w:tcPr>
          <w:p>
            <w:pPr>
              <w:spacing w:before="40" w:after="40" w:line="240" w:lineRule="auto"/>
            </w:pPr>
            <w:r>
              <w:rPr>
                <w:rFonts w:ascii="Segoe UI" w:hAnsi="Segoe UI" w:cs="Segoe UI" w:eastAsia="Segoe UI"/>
                <w:sz w:val="16"/>
                <w:szCs w:val="16"/>
              </w:rPr>
              <w:t xml:space="preserve">iorta TechNXT Tech Lead (back end)</w:t>
            </w:r>
          </w:p>
        </w:tc>
        <w:tc>
          <w:tcPr>
            <w:tcW w:w="1889" w:type="dxa"/>
          </w:tcPr>
          <w:p>
            <w:pPr>
              <w:spacing w:before="40" w:after="40" w:line="240" w:lineRule="auto"/>
            </w:pPr>
            <w:r>
              <w:rPr>
                <w:rFonts w:ascii="Segoe UI" w:hAnsi="Segoe UI" w:cs="Segoe UI" w:eastAsia="Segoe UI"/>
                <w:sz w:val="16"/>
                <w:szCs w:val="16"/>
              </w:rPr>
              <w:t xml:space="preserve">Head of IT</w:t>
            </w:r>
          </w:p>
        </w:tc>
        <w:tc>
          <w:tcPr>
            <w:tcW w:w="3116" w:type="dxa"/>
          </w:tcPr>
          <w:p>
            <w:pPr>
              <w:spacing w:before="40" w:after="40" w:line="240" w:lineRule="auto"/>
            </w:pPr>
            <w:r>
              <w:rPr>
                <w:rFonts w:ascii="Segoe UI" w:hAnsi="Segoe UI" w:cs="Segoe UI" w:eastAsia="Segoe UI"/>
                <w:sz w:val="16"/>
                <w:szCs w:val="16"/>
              </w:rPr>
              <w:t xml:space="preserve">Generated from the route registry with </w:t>
            </w:r>
            <w:r>
              <w:rPr>
                <w:rFonts w:ascii="Consolas" w:hAnsi="Consolas" w:cs="Consolas" w:eastAsia="Consolas"/>
                <w:color w:val="1F3B57"/>
                <w:sz w:val="14"/>
                <w:szCs w:val="14"/>
                <w:shd w:val="clear" w:color="auto" w:fill="F3F5F8"/>
              </w:rPr>
              <w:t xml:space="preserve">npm run export:api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backend/src/tools/export-api.js</w:t>
            </w:r>
            <w:r>
              <w:rPr>
                <w:rFonts w:ascii="Segoe UI" w:hAnsi="Segoe UI" w:cs="Segoe UI" w:eastAsia="Segoe UI"/>
                <w:sz w:val="16"/>
                <w:szCs w:val="16"/>
              </w:rPr>
              <w:t xml:space="preserve">); regenerated with each change, so it always matches the code.</w:t>
            </w:r>
          </w:p>
        </w:tc>
      </w:tr>
      <w:tr>
        <w:trPr>
          <w:cantSplit/>
        </w:trPr>
        <w:tc>
          <w:tcPr>
            <w:tcW w:w="708" w:type="dxa"/>
          </w:tcPr>
          <w:p>
            <w:pPr>
              <w:spacing w:before="40" w:after="40" w:line="240" w:lineRule="auto"/>
            </w:pPr>
            <w:r>
              <w:rPr>
                <w:rFonts w:ascii="Segoe UI" w:hAnsi="Segoe UI" w:cs="Segoe UI" w:eastAsia="Segoe UI"/>
                <w:sz w:val="16"/>
                <w:szCs w:val="16"/>
              </w:rPr>
              <w:t xml:space="preserve">DR-13</w:t>
            </w:r>
          </w:p>
        </w:tc>
        <w:tc>
          <w:tcPr>
            <w:tcW w:w="2286" w:type="dxa"/>
          </w:tcPr>
          <w:p>
            <w:pPr>
              <w:spacing w:before="40" w:after="40" w:line="240" w:lineRule="auto"/>
            </w:pPr>
            <w:r>
              <w:rPr>
                <w:rFonts w:ascii="Segoe UI" w:hAnsi="Segoe UI" w:cs="Segoe UI" w:eastAsia="Segoe UI"/>
                <w:sz w:val="16"/>
                <w:szCs w:val="16"/>
              </w:rPr>
              <w:t xml:space="preserve">Entity-relationship diagram (ERD)</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4 (one diagram per data domain)</w:t>
            </w:r>
          </w:p>
        </w:tc>
        <w:tc>
          <w:tcPr>
            <w:tcW w:w="1584" w:type="dxa"/>
          </w:tcPr>
          <w:p>
            <w:pPr>
              <w:spacing w:before="40" w:after="40" w:line="240" w:lineRule="auto"/>
            </w:pPr>
            <w:r>
              <w:rPr>
                <w:rFonts w:ascii="Segoe UI" w:hAnsi="Segoe UI" w:cs="Segoe UI" w:eastAsia="Segoe UI"/>
                <w:sz w:val="16"/>
                <w:szCs w:val="16"/>
              </w:rPr>
              <w:t xml:space="preserve">iorta TechNXT Solution Architect (data)</w:t>
            </w:r>
          </w:p>
        </w:tc>
        <w:tc>
          <w:tcPr>
            <w:tcW w:w="1889" w:type="dxa"/>
          </w:tcPr>
          <w:p>
            <w:pPr>
              <w:spacing w:before="40" w:after="40" w:line="240" w:lineRule="auto"/>
            </w:pPr>
            <w:r>
              <w:rPr>
                <w:rFonts w:ascii="Segoe UI" w:hAnsi="Segoe UI" w:cs="Segoe UI" w:eastAsia="Segoe UI"/>
                <w:sz w:val="16"/>
                <w:szCs w:val="16"/>
              </w:rPr>
              <w:t xml:space="preserve">Head of IT</w:t>
            </w:r>
          </w:p>
        </w:tc>
        <w:tc>
          <w:tcPr>
            <w:tcW w:w="3116" w:type="dxa"/>
          </w:tcPr>
          <w:p>
            <w:pPr>
              <w:spacing w:before="40" w:after="40" w:line="240" w:lineRule="auto"/>
            </w:pPr>
            <w:r>
              <w:rPr>
                <w:rFonts w:ascii="Segoe UI" w:hAnsi="Segoe UI" w:cs="Segoe UI" w:eastAsia="Segoe UI"/>
                <w:sz w:val="16"/>
                <w:szCs w:val="16"/>
              </w:rPr>
              <w:t xml:space="preserve">Read from a database migrated with all 174 migrations. Regenerate at each release (</w:t>
            </w: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14).</w:t>
            </w:r>
          </w:p>
        </w:tc>
      </w:tr>
      <w:tr>
        <w:trPr>
          <w:cantSplit/>
        </w:trPr>
        <w:tc>
          <w:tcPr>
            <w:tcW w:w="708" w:type="dxa"/>
          </w:tcPr>
          <w:p>
            <w:pPr>
              <w:spacing w:before="40" w:after="40" w:line="240" w:lineRule="auto"/>
            </w:pPr>
            <w:r>
              <w:rPr>
                <w:rFonts w:ascii="Segoe UI" w:hAnsi="Segoe UI" w:cs="Segoe UI" w:eastAsia="Segoe UI"/>
                <w:sz w:val="16"/>
                <w:szCs w:val="16"/>
              </w:rPr>
              <w:t xml:space="preserve">DR-14</w:t>
            </w:r>
          </w:p>
        </w:tc>
        <w:tc>
          <w:tcPr>
            <w:tcW w:w="2286" w:type="dxa"/>
          </w:tcPr>
          <w:p>
            <w:pPr>
              <w:spacing w:before="40" w:after="40" w:line="240" w:lineRule="auto"/>
            </w:pPr>
            <w:r>
              <w:rPr>
                <w:rFonts w:ascii="Segoe UI" w:hAnsi="Segoe UI" w:cs="Segoe UI" w:eastAsia="Segoe UI"/>
                <w:sz w:val="16"/>
                <w:szCs w:val="16"/>
              </w:rPr>
              <w:t xml:space="preserve">Data dictionary</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5 (every table and column) and Appendix B (table inventory)</w:t>
            </w:r>
          </w:p>
        </w:tc>
        <w:tc>
          <w:tcPr>
            <w:tcW w:w="1584" w:type="dxa"/>
          </w:tcPr>
          <w:p>
            <w:pPr>
              <w:spacing w:before="40" w:after="40" w:line="240" w:lineRule="auto"/>
            </w:pPr>
            <w:r>
              <w:rPr>
                <w:rFonts w:ascii="Segoe UI" w:hAnsi="Segoe UI" w:cs="Segoe UI" w:eastAsia="Segoe UI"/>
                <w:sz w:val="16"/>
                <w:szCs w:val="16"/>
              </w:rPr>
              <w:t xml:space="preserve">iorta TechNXT Solution Architect (data)</w:t>
            </w:r>
          </w:p>
        </w:tc>
        <w:tc>
          <w:tcPr>
            <w:tcW w:w="1889" w:type="dxa"/>
          </w:tcPr>
          <w:p>
            <w:pPr>
              <w:spacing w:before="40" w:after="40" w:line="240" w:lineRule="auto"/>
            </w:pPr>
            <w:r>
              <w:rPr>
                <w:rFonts w:ascii="Segoe UI" w:hAnsi="Segoe UI" w:cs="Segoe UI" w:eastAsia="Segoe UI"/>
                <w:sz w:val="16"/>
                <w:szCs w:val="16"/>
              </w:rPr>
              <w:t xml:space="preserve">Head of IT; Data Protection Officer</w:t>
            </w:r>
          </w:p>
        </w:tc>
        <w:tc>
          <w:tcPr>
            <w:tcW w:w="3116" w:type="dxa"/>
          </w:tcPr>
          <w:p>
            <w:pPr>
              <w:spacing w:before="40" w:after="40" w:line="240" w:lineRule="auto"/>
            </w:pPr>
            <w:r>
              <w:rPr>
                <w:rFonts w:ascii="Segoe UI" w:hAnsi="Segoe UI" w:cs="Segoe UI" w:eastAsia="Segoe UI"/>
                <w:sz w:val="16"/>
                <w:szCs w:val="16"/>
              </w:rPr>
              <w:t xml:space="preserve">Regenerate at each release from a migrated database.</w:t>
            </w:r>
          </w:p>
        </w:tc>
      </w:tr>
      <w:tr>
        <w:trPr>
          <w:cantSplit/>
        </w:trPr>
        <w:tc>
          <w:tcPr>
            <w:tcW w:w="708" w:type="dxa"/>
          </w:tcPr>
          <w:p>
            <w:pPr>
              <w:spacing w:before="40" w:after="40" w:line="240" w:lineRule="auto"/>
            </w:pPr>
            <w:r>
              <w:rPr>
                <w:rFonts w:ascii="Segoe UI" w:hAnsi="Segoe UI" w:cs="Segoe UI" w:eastAsia="Segoe UI"/>
                <w:sz w:val="16"/>
                <w:szCs w:val="16"/>
              </w:rPr>
              <w:t xml:space="preserve">DR-15</w:t>
            </w:r>
          </w:p>
        </w:tc>
        <w:tc>
          <w:tcPr>
            <w:tcW w:w="2286" w:type="dxa"/>
          </w:tcPr>
          <w:p>
            <w:pPr>
              <w:spacing w:before="40" w:after="40" w:line="240" w:lineRule="auto"/>
            </w:pPr>
            <w:r>
              <w:rPr>
                <w:rFonts w:ascii="Segoe UI" w:hAnsi="Segoe UI" w:cs="Segoe UI" w:eastAsia="Segoe UI"/>
                <w:sz w:val="16"/>
                <w:szCs w:val="16"/>
              </w:rPr>
              <w:t xml:space="preserve">Architecture decision records (ADRs)</w:t>
            </w:r>
          </w:p>
        </w:tc>
        <w:tc>
          <w:tcPr>
            <w:tcW w:w="1263" w:type="dxa"/>
          </w:tcPr>
          <w:p>
            <w:pPr>
              <w:spacing w:before="40" w:after="40" w:line="240" w:lineRule="auto"/>
            </w:pPr>
            <w:r>
              <w:rPr>
                <w:rFonts w:ascii="Segoe UI" w:hAnsi="Segoe UI" w:cs="Segoe UI" w:eastAsia="Segoe UI"/>
                <w:sz w:val="16"/>
                <w:szCs w:val="16"/>
              </w:rPr>
              <w:t xml:space="preserve">Drafted in this pack</w:t>
            </w:r>
          </w:p>
        </w:tc>
        <w:tc>
          <w:tcPr>
            <w:tcW w:w="3113"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6 (ADR-01 to ADR-17) and the summary in </w:t>
            </w:r>
            <w:r>
              <w:rPr>
                <w:rFonts w:ascii="Consolas" w:hAnsi="Consolas" w:cs="Consolas" w:eastAsia="Consolas"/>
                <w:color w:val="1F3B57"/>
                <w:sz w:val="14"/>
                <w:szCs w:val="14"/>
                <w:shd w:val="clear" w:color="auto" w:fill="F3F5F8"/>
              </w:rPr>
              <w:t xml:space="preserve">docs/TISPH/pack/TISPH_Solution_Architecture.docx</w:t>
            </w:r>
            <w:r>
              <w:rPr>
                <w:rFonts w:ascii="Segoe UI" w:hAnsi="Segoe UI" w:cs="Segoe UI" w:eastAsia="Segoe UI"/>
                <w:sz w:val="16"/>
                <w:szCs w:val="16"/>
              </w:rPr>
              <w:t xml:space="preserve"> section 16</w:t>
            </w:r>
          </w:p>
        </w:tc>
        <w:tc>
          <w:tcPr>
            <w:tcW w:w="1584" w:type="dxa"/>
          </w:tcPr>
          <w:p>
            <w:pPr>
              <w:spacing w:before="40" w:after="40" w:line="240" w:lineRule="auto"/>
            </w:pPr>
            <w:r>
              <w:rPr>
                <w:rFonts w:ascii="Segoe UI" w:hAnsi="Segoe UI" w:cs="Segoe UI" w:eastAsia="Segoe UI"/>
                <w:sz w:val="16"/>
                <w:szCs w:val="16"/>
              </w:rPr>
              <w:t xml:space="preserve">iorta TechNXT Solution Architect</w:t>
            </w:r>
          </w:p>
        </w:tc>
        <w:tc>
          <w:tcPr>
            <w:tcW w:w="1889" w:type="dxa"/>
          </w:tcPr>
          <w:p>
            <w:pPr>
              <w:spacing w:before="40" w:after="40" w:line="240" w:lineRule="auto"/>
            </w:pPr>
            <w:r>
              <w:rPr>
                <w:rFonts w:ascii="Segoe UI" w:hAnsi="Segoe UI" w:cs="Segoe UI" w:eastAsia="Segoe UI"/>
                <w:sz w:val="16"/>
                <w:szCs w:val="16"/>
              </w:rPr>
              <w:t xml:space="preserve">Design Authority (GQ-10)</w:t>
            </w:r>
          </w:p>
        </w:tc>
        <w:tc>
          <w:tcPr>
            <w:tcW w:w="3116" w:type="dxa"/>
          </w:tcPr>
          <w:p>
            <w:pPr>
              <w:spacing w:before="40" w:after="40" w:line="240" w:lineRule="auto"/>
            </w:pPr>
            <w:r>
              <w:rPr>
                <w:rFonts w:ascii="Segoe UI" w:hAnsi="Segoe UI" w:cs="Segoe UI" w:eastAsia="Segoe UI"/>
                <w:sz w:val="16"/>
                <w:szCs w:val="16"/>
              </w:rPr>
              <w:t xml:space="preserve">All seventeen record decisions as built. New decisions are added as ADR-18 onwards (rules in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6.1).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Testing</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1215"/>
        <w:gridCol w:w="2555"/>
        <w:gridCol w:w="3580"/>
        <w:gridCol w:w="1165"/>
        <w:gridCol w:w="1711"/>
        <w:gridCol w:w="3025"/>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215"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2555"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580"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165"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711"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3025" w:type="dxa"/>
            <w:shd w:val="clear" w:color="auto" w:fill="E8F0F8"/>
            <w:vAlign w:val="center"/>
          </w:tcPr>
          <w:p>
            <w:pPr>
              <w:spacing w:before="40" w:after="40" w:line="240" w:lineRule="auto"/>
            </w:pPr>
            <w:r>
              <w:rPr>
                <w:rFonts w:ascii="Segoe UI" w:hAnsi="Segoe UI" w:cs="Segoe UI" w:eastAsia="Segoe UI"/>
                <w:b/>
                <w:bCs/>
                <w:sz w:val="16"/>
                <w:szCs w:val="16"/>
              </w:rPr>
              <w:t xml:space="preserve">Notes and dependencies</w:t>
            </w:r>
          </w:p>
        </w:tc>
      </w:tr>
      <w:tr>
        <w:trPr/>
        <w:tc>
          <w:tcPr>
            <w:tcW w:w="708" w:type="dxa"/>
          </w:tcPr>
          <w:p>
            <w:pPr>
              <w:spacing w:before="40" w:after="40" w:line="240" w:lineRule="auto"/>
            </w:pPr>
            <w:r>
              <w:rPr>
                <w:rFonts w:ascii="Segoe UI" w:hAnsi="Segoe UI" w:cs="Segoe UI" w:eastAsia="Segoe UI"/>
                <w:sz w:val="16"/>
                <w:szCs w:val="16"/>
              </w:rPr>
              <w:t xml:space="preserve">DR-16</w:t>
            </w:r>
          </w:p>
        </w:tc>
        <w:tc>
          <w:tcPr>
            <w:tcW w:w="1215" w:type="dxa"/>
          </w:tcPr>
          <w:p>
            <w:pPr>
              <w:spacing w:before="40" w:after="40" w:line="240" w:lineRule="auto"/>
            </w:pPr>
            <w:r>
              <w:rPr>
                <w:rFonts w:ascii="Segoe UI" w:hAnsi="Segoe UI" w:cs="Segoe UI" w:eastAsia="Segoe UI"/>
                <w:sz w:val="16"/>
                <w:szCs w:val="16"/>
              </w:rPr>
              <w:t xml:space="preserve">Test strategy</w:t>
            </w:r>
          </w:p>
        </w:tc>
        <w:tc>
          <w:tcPr>
            <w:tcW w:w="2555" w:type="dxa"/>
          </w:tcPr>
          <w:p>
            <w:pPr>
              <w:spacing w:before="40" w:after="40" w:line="240" w:lineRule="auto"/>
            </w:pPr>
            <w:r>
              <w:rPr>
                <w:rFonts w:ascii="Segoe UI" w:hAnsi="Segoe UI" w:cs="Segoe UI" w:eastAsia="Segoe UI"/>
                <w:sz w:val="16"/>
                <w:szCs w:val="16"/>
              </w:rPr>
              <w:t xml:space="preserve">Exists in repo (TISPH edition); generic edition archived</w:t>
            </w:r>
          </w:p>
        </w:tc>
        <w:tc>
          <w:tcPr>
            <w:tcW w:w="3580" w:type="dxa"/>
          </w:tcPr>
          <w:p>
            <w:pPr>
              <w:spacing w:before="40" w:after="40" w:line="240" w:lineRule="auto"/>
            </w:pPr>
            <w:r>
              <w:rPr>
                <w:rFonts w:ascii="Segoe UI" w:hAnsi="Segoe UI" w:cs="Segoe UI" w:eastAsia="Segoe UI"/>
                <w:sz w:val="16"/>
                <w:szCs w:val="16"/>
              </w:rPr>
              <w:t xml:space="preserve">TISPH edition: </w:t>
            </w:r>
            <w:r>
              <w:rPr>
                <w:rFonts w:ascii="Consolas" w:hAnsi="Consolas" w:cs="Consolas" w:eastAsia="Consolas"/>
                <w:color w:val="1F3B57"/>
                <w:sz w:val="14"/>
                <w:szCs w:val="14"/>
                <w:shd w:val="clear" w:color="auto" w:fill="F3F5F8"/>
              </w:rPr>
              <w:t xml:space="preserve">docs/TISPH/testing/TISPH_Test_Strategy.docx</w:t>
            </w:r>
            <w:r>
              <w:rPr>
                <w:rFonts w:ascii="Segoe UI" w:hAnsi="Segoe UI" w:cs="Segoe UI" w:eastAsia="Segoe UI"/>
                <w:sz w:val="16"/>
                <w:szCs w:val="16"/>
              </w:rPr>
              <w:t xml:space="preserve">, with the test pack </w:t>
            </w:r>
            <w:r>
              <w:rPr>
                <w:rFonts w:ascii="Consolas" w:hAnsi="Consolas" w:cs="Consolas" w:eastAsia="Consolas"/>
                <w:color w:val="1F3B57"/>
                <w:sz w:val="14"/>
                <w:szCs w:val="14"/>
                <w:shd w:val="clear" w:color="auto" w:fill="F3F5F8"/>
              </w:rPr>
              <w:t xml:space="preserve">docs/TISPH/testing/TISPH_Test_Pack.xlsx</w:t>
            </w:r>
            <w:r>
              <w:rPr>
                <w:rFonts w:ascii="Segoe UI" w:hAnsi="Segoe UI" w:cs="Segoe UI" w:eastAsia="Segoe UI"/>
                <w:sz w:val="16"/>
                <w:szCs w:val="16"/>
              </w:rPr>
              <w:t xml:space="preserve"> (requirements, scenarios, conditions, traceability, gaps, execution log and defects). Related TISPH parts in this pack: test gates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2.2), tests that prove the NFR matrix (</w:t>
            </w:r>
            <w:r>
              <w:rPr>
                <w:rFonts w:ascii="Consolas" w:hAnsi="Consolas" w:cs="Consolas" w:eastAsia="Consolas"/>
                <w:color w:val="1F3B57"/>
                <w:sz w:val="14"/>
                <w:szCs w:val="14"/>
                <w:shd w:val="clear" w:color="auto" w:fill="F3F5F8"/>
              </w:rPr>
              <w:t xml:space="preserve">docs/TISPH/pack/TISPH_NFR_Compliance.docx</w:t>
            </w:r>
            <w:r>
              <w:rPr>
                <w:rFonts w:ascii="Segoe UI" w:hAnsi="Segoe UI" w:cs="Segoe UI" w:eastAsia="Segoe UI"/>
                <w:sz w:val="16"/>
                <w:szCs w:val="16"/>
              </w:rPr>
              <w:t xml:space="preserve"> section 7), security testing pipeline (</w:t>
            </w:r>
            <w:r>
              <w:rPr>
                <w:rFonts w:ascii="Consolas" w:hAnsi="Consolas" w:cs="Consolas" w:eastAsia="Consolas"/>
                <w:color w:val="1F3B57"/>
                <w:sz w:val="14"/>
                <w:szCs w:val="14"/>
                <w:shd w:val="clear" w:color="auto" w:fill="F3F5F8"/>
              </w:rPr>
              <w:t xml:space="preserve">docs/TISPH/pack/TISPH_Security_Architecture.docx</w:t>
            </w:r>
            <w:r>
              <w:rPr>
                <w:rFonts w:ascii="Segoe UI" w:hAnsi="Segoe UI" w:cs="Segoe UI" w:eastAsia="Segoe UI"/>
                <w:sz w:val="16"/>
                <w:szCs w:val="16"/>
              </w:rPr>
              <w:t xml:space="preserve"> section 17), CI pipeline and smoke tests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sections 6 and 10), mock migrations (</w:t>
            </w:r>
            <w:r>
              <w:rPr>
                <w:rFonts w:ascii="Consolas" w:hAnsi="Consolas" w:cs="Consolas" w:eastAsia="Consolas"/>
                <w:color w:val="1F3B57"/>
                <w:sz w:val="14"/>
                <w:szCs w:val="14"/>
                <w:shd w:val="clear" w:color="auto" w:fill="F3F5F8"/>
              </w:rPr>
              <w:t xml:space="preserve">docs/TISPH/pack/TISPH_Data_Migration_and_Cutover.docx</w:t>
            </w:r>
            <w:r>
              <w:rPr>
                <w:rFonts w:ascii="Segoe UI" w:hAnsi="Segoe UI" w:cs="Segoe UI" w:eastAsia="Segoe UI"/>
                <w:sz w:val="16"/>
                <w:szCs w:val="16"/>
              </w:rPr>
              <w:t xml:space="preserve"> section 11). The generic product edition (</w:t>
            </w:r>
            <w:r>
              <w:rPr>
                <w:rFonts w:ascii="Consolas" w:hAnsi="Consolas" w:cs="Consolas" w:eastAsia="Consolas"/>
                <w:color w:val="1F3B57"/>
                <w:sz w:val="14"/>
                <w:szCs w:val="14"/>
                <w:shd w:val="clear" w:color="auto" w:fill="F3F5F8"/>
              </w:rPr>
              <w:t xml:space="preserve">BrokerVerse_Test_Strategy.docx</w:t>
            </w:r>
            <w:r>
              <w:rPr>
                <w:rFonts w:ascii="Segoe UI" w:hAnsi="Segoe UI" w:cs="Segoe UI" w:eastAsia="Segoe UI"/>
                <w:sz w:val="16"/>
                <w:szCs w:val="16"/>
              </w:rPr>
              <w:t xml:space="preserve"> and its source </w:t>
            </w:r>
            <w:r>
              <w:rPr>
                <w:rFonts w:ascii="Consolas" w:hAnsi="Consolas" w:cs="Consolas" w:eastAsia="Consolas"/>
                <w:color w:val="1F3B57"/>
                <w:sz w:val="14"/>
                <w:szCs w:val="14"/>
                <w:shd w:val="clear" w:color="auto" w:fill="F3F5F8"/>
              </w:rPr>
              <w:t xml:space="preserve">test-strategy.md</w:t>
            </w:r>
            <w:r>
              <w:rPr>
                <w:rFonts w:ascii="Segoe UI" w:hAnsi="Segoe UI" w:cs="Segoe UI" w:eastAsia="Segoe UI"/>
                <w:sz w:val="16"/>
                <w:szCs w:val="16"/>
              </w:rPr>
              <w:t xml:space="preserve">) is archived under </w:t>
            </w:r>
            <w:r>
              <w:rPr>
                <w:rFonts w:ascii="Consolas" w:hAnsi="Consolas" w:cs="Consolas" w:eastAsia="Consolas"/>
                <w:color w:val="1F3B57"/>
                <w:sz w:val="14"/>
                <w:szCs w:val="14"/>
                <w:shd w:val="clear" w:color="auto" w:fill="F3F5F8"/>
              </w:rPr>
              <w:t xml:space="preserve">docs/archive/2026-10-10/package/</w:t>
            </w:r>
            <w:r>
              <w:rPr>
                <w:rFonts w:ascii="Segoe UI" w:hAnsi="Segoe UI" w:cs="Segoe UI" w:eastAsia="Segoe UI"/>
                <w:sz w:val="16"/>
                <w:szCs w:val="16"/>
              </w:rPr>
              <w:t xml:space="preserve">.</w:t>
            </w:r>
          </w:p>
        </w:tc>
        <w:tc>
          <w:tcPr>
            <w:tcW w:w="1165" w:type="dxa"/>
          </w:tcPr>
          <w:p>
            <w:pPr>
              <w:spacing w:before="40" w:after="40" w:line="240" w:lineRule="auto"/>
            </w:pPr>
            <w:r>
              <w:rPr>
                <w:rFonts w:ascii="Segoe UI" w:hAnsi="Segoe UI" w:cs="Segoe UI" w:eastAsia="Segoe UI"/>
                <w:sz w:val="16"/>
                <w:szCs w:val="16"/>
              </w:rPr>
              <w:t xml:space="preserve">iorta TechNXT QA Lead</w:t>
            </w:r>
          </w:p>
        </w:tc>
        <w:tc>
          <w:tcPr>
            <w:tcW w:w="1711" w:type="dxa"/>
          </w:tcPr>
          <w:p>
            <w:pPr>
              <w:spacing w:before="40" w:after="40" w:line="240" w:lineRule="auto"/>
            </w:pPr>
            <w:r>
              <w:rPr>
                <w:rFonts w:ascii="Segoe UI" w:hAnsi="Segoe UI" w:cs="Segoe UI" w:eastAsia="Segoe UI"/>
                <w:sz w:val="16"/>
                <w:szCs w:val="16"/>
              </w:rPr>
              <w:t xml:space="preserve">TISPH Project Manager; Head of IT</w:t>
            </w:r>
          </w:p>
        </w:tc>
        <w:tc>
          <w:tcPr>
            <w:tcW w:w="3025" w:type="dxa"/>
          </w:tcPr>
          <w:p>
            <w:pPr>
              <w:spacing w:before="40" w:after="40" w:line="240" w:lineRule="auto"/>
            </w:pPr>
            <w:r>
              <w:rPr>
                <w:rFonts w:ascii="Segoe UI" w:hAnsi="Segoe UI" w:cs="Segoe UI" w:eastAsia="Segoe UI"/>
                <w:sz w:val="16"/>
                <w:szCs w:val="16"/>
              </w:rPr>
              <w:t xml:space="preserve">Version 1.0, draft for review by the TISPH project steering group. Performance (GP-15, DA-1), DR drill (GP-16, DA-2), security scans (GP-17, DA-3) and accessibility (GP-19, DA-5) tests depend on the Azure UAT and Pre-Prod environments.</w:t>
            </w:r>
          </w:p>
        </w:tc>
      </w:tr>
      <w:tr>
        <w:trPr>
          <w:cantSplit/>
        </w:trPr>
        <w:tc>
          <w:tcPr>
            <w:tcW w:w="708" w:type="dxa"/>
          </w:tcPr>
          <w:p>
            <w:pPr>
              <w:spacing w:before="40" w:after="40" w:line="240" w:lineRule="auto"/>
            </w:pPr>
            <w:r>
              <w:rPr>
                <w:rFonts w:ascii="Segoe UI" w:hAnsi="Segoe UI" w:cs="Segoe UI" w:eastAsia="Segoe UI"/>
                <w:sz w:val="16"/>
                <w:szCs w:val="16"/>
              </w:rPr>
              <w:t xml:space="preserve">DR-17</w:t>
            </w:r>
          </w:p>
        </w:tc>
        <w:tc>
          <w:tcPr>
            <w:tcW w:w="1215" w:type="dxa"/>
          </w:tcPr>
          <w:p>
            <w:pPr>
              <w:spacing w:before="40" w:after="40" w:line="240" w:lineRule="auto"/>
            </w:pPr>
            <w:r>
              <w:rPr>
                <w:rFonts w:ascii="Segoe UI" w:hAnsi="Segoe UI" w:cs="Segoe UI" w:eastAsia="Segoe UI"/>
                <w:sz w:val="16"/>
                <w:szCs w:val="16"/>
              </w:rPr>
              <w:t xml:space="preserve">Test cases</w:t>
            </w:r>
          </w:p>
        </w:tc>
        <w:tc>
          <w:tcPr>
            <w:tcW w:w="2555" w:type="dxa"/>
          </w:tcPr>
          <w:p>
            <w:pPr>
              <w:spacing w:before="40" w:after="40" w:line="240" w:lineRule="auto"/>
            </w:pPr>
            <w:r>
              <w:rPr>
                <w:rFonts w:ascii="Segoe UI" w:hAnsi="Segoe UI" w:cs="Segoe UI" w:eastAsia="Segoe UI"/>
                <w:sz w:val="16"/>
                <w:szCs w:val="16"/>
              </w:rPr>
              <w:t xml:space="preserve">Exists in repo (automated, generic UAT scripts); Per module (TISPH UAT cases)</w:t>
            </w:r>
          </w:p>
        </w:tc>
        <w:tc>
          <w:tcPr>
            <w:tcW w:w="3580" w:type="dxa"/>
          </w:tcPr>
          <w:p>
            <w:pPr>
              <w:spacing w:before="40" w:after="40" w:line="240" w:lineRule="auto"/>
            </w:pPr>
            <w:r>
              <w:rPr>
                <w:rFonts w:ascii="Segoe UI" w:hAnsi="Segoe UI" w:cs="Segoe UI" w:eastAsia="Segoe UI"/>
                <w:sz w:val="16"/>
                <w:szCs w:val="16"/>
              </w:rPr>
              <w:t xml:space="preserve">FRS test cases, one per acceptance criterion (FRS section 8, DR-01); automated tests in </w:t>
            </w:r>
            <w:r>
              <w:rPr>
                <w:rFonts w:ascii="Consolas" w:hAnsi="Consolas" w:cs="Consolas" w:eastAsia="Consolas"/>
                <w:color w:val="1F3B57"/>
                <w:sz w:val="14"/>
                <w:szCs w:val="14"/>
                <w:shd w:val="clear" w:color="auto" w:fill="F3F5F8"/>
              </w:rPr>
              <w:t xml:space="preserve">backend/test/</w:t>
            </w:r>
            <w:r>
              <w:rPr>
                <w:rFonts w:ascii="Segoe UI" w:hAnsi="Segoe UI" w:cs="Segoe UI" w:eastAsia="Segoe UI"/>
                <w:sz w:val="16"/>
                <w:szCs w:val="16"/>
              </w:rPr>
              <w:t xml:space="preserve"> (Vitest) and </w:t>
            </w:r>
            <w:r>
              <w:rPr>
                <w:rFonts w:ascii="Consolas" w:hAnsi="Consolas" w:cs="Consolas" w:eastAsia="Consolas"/>
                <w:color w:val="1F3B57"/>
                <w:sz w:val="14"/>
                <w:szCs w:val="14"/>
                <w:shd w:val="clear" w:color="auto" w:fill="F3F5F8"/>
              </w:rPr>
              <w:t xml:space="preserve">brokerverse/src/**/*.test.js</w:t>
            </w:r>
            <w:r>
              <w:rPr>
                <w:rFonts w:ascii="Segoe UI" w:hAnsi="Segoe UI" w:cs="Segoe UI" w:eastAsia="Segoe UI"/>
                <w:sz w:val="16"/>
                <w:szCs w:val="16"/>
              </w:rPr>
              <w:t xml:space="preserve"> (Jest, </w:t>
            </w:r>
            <w:r>
              <w:rPr>
                <w:rFonts w:ascii="Consolas" w:hAnsi="Consolas" w:cs="Consolas" w:eastAsia="Consolas"/>
                <w:color w:val="1F3B57"/>
                <w:sz w:val="14"/>
                <w:szCs w:val="14"/>
                <w:shd w:val="clear" w:color="auto" w:fill="F3F5F8"/>
              </w:rPr>
              <w:t xml:space="preserve">craco test</w:t>
            </w:r>
            <w:r>
              <w:rPr>
                <w:rFonts w:ascii="Segoe UI" w:hAnsi="Segoe UI" w:cs="Segoe UI" w:eastAsia="Segoe UI"/>
                <w:sz w:val="16"/>
                <w:szCs w:val="16"/>
              </w:rPr>
              <w:t xml:space="preserve">); UAT scenario script </w:t>
            </w:r>
            <w:r>
              <w:rPr>
                <w:rFonts w:ascii="Consolas" w:hAnsi="Consolas" w:cs="Consolas" w:eastAsia="Consolas"/>
                <w:color w:val="1F3B57"/>
                <w:sz w:val="14"/>
                <w:szCs w:val="14"/>
                <w:shd w:val="clear" w:color="auto" w:fill="F3F5F8"/>
              </w:rPr>
              <w:t xml:space="preserve">backend/scripts/uat-scenario.js</w:t>
            </w:r>
            <w:r>
              <w:rPr>
                <w:rFonts w:ascii="Segoe UI" w:hAnsi="Segoe UI" w:cs="Segoe UI" w:eastAsia="Segoe UI"/>
                <w:sz w:val="16"/>
                <w:szCs w:val="16"/>
              </w:rPr>
              <w:t xml:space="preserve"> with its run log </w:t>
            </w:r>
            <w:r>
              <w:rPr>
                <w:rFonts w:ascii="Consolas" w:hAnsi="Consolas" w:cs="Consolas" w:eastAsia="Consolas"/>
                <w:color w:val="1F3B57"/>
                <w:sz w:val="14"/>
                <w:szCs w:val="14"/>
                <w:shd w:val="clear" w:color="auto" w:fill="F3F5F8"/>
              </w:rPr>
              <w:t xml:space="preserve">docs/e2e/UAT_SCENARIO_RUN.md</w:t>
            </w:r>
            <w:r>
              <w:rPr>
                <w:rFonts w:ascii="Segoe UI" w:hAnsi="Segoe UI" w:cs="Segoe UI" w:eastAsia="Segoe UI"/>
                <w:sz w:val="16"/>
                <w:szCs w:val="16"/>
              </w:rPr>
              <w:t xml:space="preserve">; role-based UAT scripts </w:t>
            </w:r>
            <w:r>
              <w:rPr>
                <w:rFonts w:ascii="Consolas" w:hAnsi="Consolas" w:cs="Consolas" w:eastAsia="Consolas"/>
                <w:color w:val="1F3B57"/>
                <w:sz w:val="14"/>
                <w:szCs w:val="14"/>
                <w:shd w:val="clear" w:color="auto" w:fill="F3F5F8"/>
              </w:rPr>
              <w:t xml:space="preserve">docs/onboarding/UAT_SCRIPTS.md</w:t>
            </w:r>
            <w:r>
              <w:rPr>
                <w:rFonts w:ascii="Segoe UI" w:hAnsi="Segoe UI" w:cs="Segoe UI" w:eastAsia="Segoe UI"/>
                <w:sz w:val="16"/>
                <w:szCs w:val="16"/>
              </w:rPr>
              <w:t xml:space="preserve"> (generic broker roles)</w:t>
            </w:r>
          </w:p>
        </w:tc>
        <w:tc>
          <w:tcPr>
            <w:tcW w:w="1165" w:type="dxa"/>
          </w:tcPr>
          <w:p>
            <w:pPr>
              <w:spacing w:before="40" w:after="40" w:line="240" w:lineRule="auto"/>
            </w:pPr>
            <w:r>
              <w:rPr>
                <w:rFonts w:ascii="Segoe UI" w:hAnsi="Segoe UI" w:cs="Segoe UI" w:eastAsia="Segoe UI"/>
                <w:sz w:val="16"/>
                <w:szCs w:val="16"/>
              </w:rPr>
              <w:t xml:space="preserve">iorta TechNXT QA Lead</w:t>
            </w:r>
          </w:p>
        </w:tc>
        <w:tc>
          <w:tcPr>
            <w:tcW w:w="1711" w:type="dxa"/>
          </w:tcPr>
          <w:p>
            <w:pPr>
              <w:spacing w:before="40" w:after="40" w:line="240" w:lineRule="auto"/>
            </w:pPr>
            <w:r>
              <w:rPr>
                <w:rFonts w:ascii="Segoe UI" w:hAnsi="Segoe UI" w:cs="Segoe UI" w:eastAsia="Segoe UI"/>
                <w:sz w:val="16"/>
                <w:szCs w:val="16"/>
              </w:rPr>
              <w:t xml:space="preserve">Business Process Owners (UAT sign-off)</w:t>
            </w:r>
          </w:p>
        </w:tc>
        <w:tc>
          <w:tcPr>
            <w:tcW w:w="3025" w:type="dxa"/>
          </w:tcPr>
          <w:p>
            <w:pPr>
              <w:spacing w:before="40" w:after="40" w:line="240" w:lineRule="auto"/>
            </w:pPr>
            <w:r>
              <w:rPr>
                <w:rFonts w:ascii="Segoe UI" w:hAnsi="Segoe UI" w:cs="Segoe UI" w:eastAsia="Segoe UI"/>
                <w:sz w:val="16"/>
                <w:szCs w:val="16"/>
              </w:rPr>
              <w:t xml:space="preserve">TISPH UAT test cases per persona are written per module from the FRS acceptance criteria. Go/No-Go criterion GN-01 requires traceability from UAT test cases to BRD references.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Operations, support and resilience</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1855"/>
        <w:gridCol w:w="1338"/>
        <w:gridCol w:w="3288"/>
        <w:gridCol w:w="1575"/>
        <w:gridCol w:w="1903"/>
        <w:gridCol w:w="3292"/>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855"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133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288"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575"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903"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3292" w:type="dxa"/>
            <w:shd w:val="clear" w:color="auto" w:fill="E8F0F8"/>
            <w:vAlign w:val="center"/>
          </w:tcPr>
          <w:p>
            <w:pPr>
              <w:spacing w:before="40" w:after="40" w:line="240" w:lineRule="auto"/>
            </w:pPr>
            <w:r>
              <w:rPr>
                <w:rFonts w:ascii="Segoe UI" w:hAnsi="Segoe UI" w:cs="Segoe UI" w:eastAsia="Segoe UI"/>
                <w:b/>
                <w:bCs/>
                <w:sz w:val="16"/>
                <w:szCs w:val="16"/>
              </w:rPr>
              <w:t xml:space="preserve">Notes and dependencies</w:t>
            </w:r>
          </w:p>
        </w:tc>
      </w:tr>
      <w:tr>
        <w:trPr>
          <w:cantSplit/>
        </w:trPr>
        <w:tc>
          <w:tcPr>
            <w:tcW w:w="708" w:type="dxa"/>
          </w:tcPr>
          <w:p>
            <w:pPr>
              <w:spacing w:before="40" w:after="40" w:line="240" w:lineRule="auto"/>
            </w:pPr>
            <w:r>
              <w:rPr>
                <w:rFonts w:ascii="Segoe UI" w:hAnsi="Segoe UI" w:cs="Segoe UI" w:eastAsia="Segoe UI"/>
                <w:sz w:val="16"/>
                <w:szCs w:val="16"/>
              </w:rPr>
              <w:t xml:space="preserve">DR-18</w:t>
            </w:r>
          </w:p>
        </w:tc>
        <w:tc>
          <w:tcPr>
            <w:tcW w:w="1855" w:type="dxa"/>
          </w:tcPr>
          <w:p>
            <w:pPr>
              <w:spacing w:before="40" w:after="40" w:line="240" w:lineRule="auto"/>
            </w:pPr>
            <w:r>
              <w:rPr>
                <w:rFonts w:ascii="Segoe UI" w:hAnsi="Segoe UI" w:cs="Segoe UI" w:eastAsia="Segoe UI"/>
                <w:sz w:val="16"/>
                <w:szCs w:val="16"/>
              </w:rPr>
              <w:t xml:space="preserve">Disaster recovery and business continuity plan (DR/BCP)</w:t>
            </w:r>
          </w:p>
        </w:tc>
        <w:tc>
          <w:tcPr>
            <w:tcW w:w="1338" w:type="dxa"/>
          </w:tcPr>
          <w:p>
            <w:pPr>
              <w:spacing w:before="40" w:after="40" w:line="240" w:lineRule="auto"/>
            </w:pPr>
            <w:r>
              <w:rPr>
                <w:rFonts w:ascii="Segoe UI" w:hAnsi="Segoe UI" w:cs="Segoe UI" w:eastAsia="Segoe UI"/>
                <w:sz w:val="16"/>
                <w:szCs w:val="16"/>
              </w:rPr>
              <w:t xml:space="preserve">Drafted in this pack</w:t>
            </w:r>
          </w:p>
        </w:tc>
        <w:tc>
          <w:tcPr>
            <w:tcW w:w="3288"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sections 11 (backup and restore), 12 (disaster recovery), 13 (business continuity)</w:t>
            </w:r>
          </w:p>
        </w:tc>
        <w:tc>
          <w:tcPr>
            <w:tcW w:w="1575" w:type="dxa"/>
          </w:tcPr>
          <w:p>
            <w:pPr>
              <w:spacing w:before="40" w:after="40" w:line="240" w:lineRule="auto"/>
            </w:pPr>
            <w:r>
              <w:rPr>
                <w:rFonts w:ascii="Segoe UI" w:hAnsi="Segoe UI" w:cs="Segoe UI" w:eastAsia="Segoe UI"/>
                <w:sz w:val="16"/>
                <w:szCs w:val="16"/>
              </w:rPr>
              <w:t xml:space="preserve">iorta TechNXT Production Support Lead</w:t>
            </w:r>
          </w:p>
        </w:tc>
        <w:tc>
          <w:tcPr>
            <w:tcW w:w="1903" w:type="dxa"/>
          </w:tcPr>
          <w:p>
            <w:pPr>
              <w:spacing w:before="40" w:after="40" w:line="240" w:lineRule="auto"/>
            </w:pPr>
            <w:r>
              <w:rPr>
                <w:rFonts w:ascii="Segoe UI" w:hAnsi="Segoe UI" w:cs="Segoe UI" w:eastAsia="Segoe UI"/>
                <w:sz w:val="16"/>
                <w:szCs w:val="16"/>
              </w:rPr>
              <w:t xml:space="preserve">Head of IT; Infrastructure / cloud lead</w:t>
            </w:r>
          </w:p>
        </w:tc>
        <w:tc>
          <w:tcPr>
            <w:tcW w:w="3292" w:type="dxa"/>
          </w:tcPr>
          <w:p>
            <w:pPr>
              <w:spacing w:before="40" w:after="40" w:line="240" w:lineRule="auto"/>
            </w:pPr>
            <w:r>
              <w:rPr>
                <w:rFonts w:ascii="Segoe UI" w:hAnsi="Segoe UI" w:cs="Segoe UI" w:eastAsia="Segoe UI"/>
                <w:sz w:val="16"/>
                <w:szCs w:val="16"/>
              </w:rPr>
              <w:t xml:space="preserve">First DR drill and geo-restore rehearsal Planned (P18, GP-16, DA-2). Ten-year backup retention and off-subscription backup copy Planned (P16, P17; question Q8). Business continuity fallbacks to be agreed with business owners (P19, Q10).</w:t>
            </w:r>
          </w:p>
        </w:tc>
      </w:tr>
      <w:tr>
        <w:trPr/>
        <w:tc>
          <w:tcPr>
            <w:tcW w:w="708" w:type="dxa"/>
          </w:tcPr>
          <w:p>
            <w:pPr>
              <w:spacing w:before="40" w:after="40" w:line="240" w:lineRule="auto"/>
            </w:pPr>
            <w:r>
              <w:rPr>
                <w:rFonts w:ascii="Segoe UI" w:hAnsi="Segoe UI" w:cs="Segoe UI" w:eastAsia="Segoe UI"/>
                <w:sz w:val="16"/>
                <w:szCs w:val="16"/>
              </w:rPr>
              <w:t xml:space="preserve">DR-19</w:t>
            </w:r>
          </w:p>
        </w:tc>
        <w:tc>
          <w:tcPr>
            <w:tcW w:w="1855" w:type="dxa"/>
          </w:tcPr>
          <w:p>
            <w:pPr>
              <w:spacing w:before="40" w:after="40" w:line="240" w:lineRule="auto"/>
            </w:pPr>
            <w:r>
              <w:rPr>
                <w:rFonts w:ascii="Segoe UI" w:hAnsi="Segoe UI" w:cs="Segoe UI" w:eastAsia="Segoe UI"/>
                <w:sz w:val="16"/>
                <w:szCs w:val="16"/>
              </w:rPr>
              <w:t xml:space="preserve">Support guides</w:t>
            </w:r>
          </w:p>
        </w:tc>
        <w:tc>
          <w:tcPr>
            <w:tcW w:w="1338" w:type="dxa"/>
          </w:tcPr>
          <w:p>
            <w:pPr>
              <w:spacing w:before="40" w:after="40" w:line="240" w:lineRule="auto"/>
            </w:pPr>
            <w:r>
              <w:rPr>
                <w:rFonts w:ascii="Segoe UI" w:hAnsi="Segoe UI" w:cs="Segoe UI" w:eastAsia="Segoe UI"/>
                <w:sz w:val="16"/>
                <w:szCs w:val="16"/>
              </w:rPr>
              <w:t xml:space="preserve">Drafted in this pack; Exists in repo</w:t>
            </w:r>
          </w:p>
        </w:tc>
        <w:tc>
          <w:tcPr>
            <w:tcW w:w="3288" w:type="dxa"/>
          </w:tcPr>
          <w:p>
            <w:pPr>
              <w:spacing w:before="40" w:after="40" w:line="240" w:lineRule="auto"/>
            </w:pPr>
            <w:r>
              <w:rPr>
                <w:rFonts w:ascii="Segoe UI" w:hAnsi="Segoe UI" w:cs="Segoe UI" w:eastAsia="Segoe UI"/>
                <w:sz w:val="16"/>
                <w:szCs w:val="16"/>
              </w:rPr>
              <w:t xml:space="preserve">Support model, incident, problem and change management, monitoring, scheduled jobs and runbooks: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sections 4 to 10. Runtime reference </w:t>
            </w:r>
            <w:r>
              <w:rPr>
                <w:rFonts w:ascii="Consolas" w:hAnsi="Consolas" w:cs="Consolas" w:eastAsia="Consolas"/>
                <w:color w:val="1F3B57"/>
                <w:sz w:val="14"/>
                <w:szCs w:val="14"/>
                <w:shd w:val="clear" w:color="auto" w:fill="F3F5F8"/>
              </w:rPr>
              <w:t xml:space="preserve">deploy/REFERENCE.md</w:t>
            </w:r>
            <w:r>
              <w:rPr>
                <w:rFonts w:ascii="Segoe UI" w:hAnsi="Segoe UI" w:cs="Segoe UI" w:eastAsia="Segoe UI"/>
                <w:sz w:val="16"/>
                <w:szCs w:val="16"/>
              </w:rPr>
              <w:t xml:space="preserve">; Azure runbook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developer and production support guide </w:t>
            </w:r>
            <w:r>
              <w:rPr>
                <w:rFonts w:ascii="Consolas" w:hAnsi="Consolas" w:cs="Consolas" w:eastAsia="Consolas"/>
                <w:color w:val="1F3B57"/>
                <w:sz w:val="14"/>
                <w:szCs w:val="14"/>
                <w:shd w:val="clear" w:color="auto" w:fill="F3F5F8"/>
              </w:rPr>
              <w:t xml:space="preserve">docs/developer-guide/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frontend.md</w:t>
            </w:r>
            <w:r>
              <w:rPr>
                <w:rFonts w:ascii="Segoe UI" w:hAnsi="Segoe UI" w:cs="Segoe UI" w:eastAsia="Segoe UI"/>
                <w:sz w:val="16"/>
                <w:szCs w:val="16"/>
              </w:rPr>
              <w:t xml:space="preserve">); module guides </w:t>
            </w:r>
            <w:r>
              <w:rPr>
                <w:rFonts w:ascii="Consolas" w:hAnsi="Consolas" w:cs="Consolas" w:eastAsia="Consolas"/>
                <w:color w:val="1F3B57"/>
                <w:sz w:val="14"/>
                <w:szCs w:val="14"/>
                <w:shd w:val="clear" w:color="auto" w:fill="F3F5F8"/>
              </w:rPr>
              <w:t xml:space="preserve">backend/src/modules/*/README.md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backend/docs/MODULE_GUIDE.md</w:t>
            </w:r>
            <w:r>
              <w:rPr>
                <w:rFonts w:ascii="Segoe UI" w:hAnsi="Segoe UI" w:cs="Segoe UI" w:eastAsia="Segoe UI"/>
                <w:sz w:val="16"/>
                <w:szCs w:val="16"/>
              </w:rPr>
              <w:t xml:space="preserve">; user-facing support procedure </w:t>
            </w:r>
            <w:r>
              <w:rPr>
                <w:rFonts w:ascii="Consolas" w:hAnsi="Consolas" w:cs="Consolas" w:eastAsia="Consolas"/>
                <w:color w:val="1F3B57"/>
                <w:sz w:val="14"/>
                <w:szCs w:val="14"/>
                <w:shd w:val="clear" w:color="auto" w:fill="F3F5F8"/>
              </w:rPr>
              <w:t xml:space="preserve">docs/onboarding/SUPPORT_AND_ESCALATION.md</w:t>
            </w:r>
          </w:p>
        </w:tc>
        <w:tc>
          <w:tcPr>
            <w:tcW w:w="1575" w:type="dxa"/>
          </w:tcPr>
          <w:p>
            <w:pPr>
              <w:spacing w:before="40" w:after="40" w:line="240" w:lineRule="auto"/>
            </w:pPr>
            <w:r>
              <w:rPr>
                <w:rFonts w:ascii="Segoe UI" w:hAnsi="Segoe UI" w:cs="Segoe UI" w:eastAsia="Segoe UI"/>
                <w:sz w:val="16"/>
                <w:szCs w:val="16"/>
              </w:rPr>
              <w:t xml:space="preserve">iorta TechNXT Production Support Lead</w:t>
            </w:r>
          </w:p>
        </w:tc>
        <w:tc>
          <w:tcPr>
            <w:tcW w:w="1903" w:type="dxa"/>
          </w:tcPr>
          <w:p>
            <w:pPr>
              <w:spacing w:before="40" w:after="40" w:line="240" w:lineRule="auto"/>
            </w:pPr>
            <w:r>
              <w:rPr>
                <w:rFonts w:ascii="Segoe UI" w:hAnsi="Segoe UI" w:cs="Segoe UI" w:eastAsia="Segoe UI"/>
                <w:sz w:val="16"/>
                <w:szCs w:val="16"/>
              </w:rPr>
              <w:t xml:space="preserve">IT AppSupport lead</w:t>
            </w:r>
          </w:p>
        </w:tc>
        <w:tc>
          <w:tcPr>
            <w:tcW w:w="3292" w:type="dxa"/>
          </w:tcPr>
          <w:p>
            <w:pPr>
              <w:spacing w:before="40" w:after="40" w:line="240" w:lineRule="auto"/>
            </w:pPr>
            <w:r>
              <w:rPr>
                <w:rFonts w:ascii="Consolas" w:hAnsi="Consolas" w:cs="Consolas" w:eastAsia="Consolas"/>
                <w:color w:val="1F3B57"/>
                <w:sz w:val="14"/>
                <w:szCs w:val="14"/>
                <w:shd w:val="clear" w:color="auto" w:fill="F3F5F8"/>
              </w:rPr>
              <w:t xml:space="preserve">SUPPORT_AND_ESCALATION.md</w:t>
            </w:r>
            <w:r>
              <w:rPr>
                <w:rFonts w:ascii="Segoe UI" w:hAnsi="Segoe UI" w:cs="Segoe UI" w:eastAsia="Segoe UI"/>
                <w:sz w:val="16"/>
                <w:szCs w:val="16"/>
              </w:rPr>
              <w:t xml:space="preserve"> still describes generic product jobs removed from the TISPH build and the generic release route: tailoring is Planned (P29, DA-4). Support hours and channels need the support agreement (P1, P2).</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User documentation</w:t>
      </w:r>
      <w:bookmarkEnd w:id="101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1248"/>
        <w:gridCol w:w="2030"/>
        <w:gridCol w:w="3491"/>
        <w:gridCol w:w="1733"/>
        <w:gridCol w:w="1823"/>
        <w:gridCol w:w="2926"/>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248"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2030"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491"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733"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823"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2926" w:type="dxa"/>
            <w:shd w:val="clear" w:color="auto" w:fill="E8F0F8"/>
            <w:vAlign w:val="center"/>
          </w:tcPr>
          <w:p>
            <w:pPr>
              <w:spacing w:before="40" w:after="40" w:line="240" w:lineRule="auto"/>
            </w:pPr>
            <w:r>
              <w:rPr>
                <w:rFonts w:ascii="Segoe UI" w:hAnsi="Segoe UI" w:cs="Segoe UI" w:eastAsia="Segoe UI"/>
                <w:b/>
                <w:bCs/>
                <w:sz w:val="16"/>
                <w:szCs w:val="16"/>
              </w:rPr>
              <w:t xml:space="preserve">Notes and dependencies</w:t>
            </w:r>
          </w:p>
        </w:tc>
      </w:tr>
      <w:tr>
        <w:trPr/>
        <w:tc>
          <w:tcPr>
            <w:tcW w:w="708" w:type="dxa"/>
          </w:tcPr>
          <w:p>
            <w:pPr>
              <w:spacing w:before="40" w:after="40" w:line="240" w:lineRule="auto"/>
            </w:pPr>
            <w:r>
              <w:rPr>
                <w:rFonts w:ascii="Segoe UI" w:hAnsi="Segoe UI" w:cs="Segoe UI" w:eastAsia="Segoe UI"/>
                <w:sz w:val="16"/>
                <w:szCs w:val="16"/>
              </w:rPr>
              <w:t xml:space="preserve">DR-20</w:t>
            </w:r>
          </w:p>
        </w:tc>
        <w:tc>
          <w:tcPr>
            <w:tcW w:w="1248" w:type="dxa"/>
          </w:tcPr>
          <w:p>
            <w:pPr>
              <w:spacing w:before="40" w:after="40" w:line="240" w:lineRule="auto"/>
            </w:pPr>
            <w:r>
              <w:rPr>
                <w:rFonts w:ascii="Segoe UI" w:hAnsi="Segoe UI" w:cs="Segoe UI" w:eastAsia="Segoe UI"/>
                <w:sz w:val="16"/>
                <w:szCs w:val="16"/>
              </w:rPr>
              <w:t xml:space="preserve">User manual</w:t>
            </w:r>
          </w:p>
        </w:tc>
        <w:tc>
          <w:tcPr>
            <w:tcW w:w="2030" w:type="dxa"/>
          </w:tcPr>
          <w:p>
            <w:pPr>
              <w:spacing w:before="40" w:after="40" w:line="240" w:lineRule="auto"/>
            </w:pPr>
            <w:r>
              <w:rPr>
                <w:rFonts w:ascii="Segoe UI" w:hAnsi="Segoe UI" w:cs="Segoe UI" w:eastAsia="Segoe UI"/>
                <w:sz w:val="16"/>
                <w:szCs w:val="16"/>
              </w:rPr>
              <w:t xml:space="preserve">Exists in repo (base edition); Planned (TISPH edition)</w:t>
            </w:r>
          </w:p>
        </w:tc>
        <w:tc>
          <w:tcPr>
            <w:tcW w:w="3491" w:type="dxa"/>
          </w:tcPr>
          <w:p>
            <w:pPr>
              <w:spacing w:before="40" w:after="40" w:line="240" w:lineRule="auto"/>
            </w:pPr>
            <w:r>
              <w:rPr>
                <w:rFonts w:ascii="Segoe UI" w:hAnsi="Segoe UI" w:cs="Segoe UI" w:eastAsia="Segoe UI"/>
                <w:sz w:val="16"/>
                <w:szCs w:val="16"/>
              </w:rPr>
              <w:t xml:space="preserve">Base edition 1.2.6, served in the application Help panel (F1): </w:t>
            </w:r>
            <w:r>
              <w:rPr>
                <w:rFonts w:ascii="Consolas" w:hAnsi="Consolas" w:cs="Consolas" w:eastAsia="Consolas"/>
                <w:color w:val="1F3B57"/>
                <w:sz w:val="14"/>
                <w:szCs w:val="14"/>
                <w:shd w:val="clear" w:color="auto" w:fill="F3F5F8"/>
              </w:rPr>
              <w:t xml:space="preserve">brokerverse/public/help/</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user-manual.html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BrokerVerse_User_Manual.pdf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sections.json</w:t>
            </w:r>
            <w:r>
              <w:rPr>
                <w:rFonts w:ascii="Segoe UI" w:hAnsi="Segoe UI" w:cs="Segoe UI" w:eastAsia="Segoe UI"/>
                <w:sz w:val="16"/>
                <w:szCs w:val="16"/>
              </w:rPr>
              <w:t xml:space="preserve">); source </w:t>
            </w:r>
            <w:r>
              <w:rPr>
                <w:rFonts w:ascii="Consolas" w:hAnsi="Consolas" w:cs="Consolas" w:eastAsia="Consolas"/>
                <w:color w:val="1F3B57"/>
                <w:sz w:val="14"/>
                <w:szCs w:val="14"/>
                <w:shd w:val="clear" w:color="auto" w:fill="F3F5F8"/>
              </w:rPr>
              <w:t xml:space="preserve">docs/package/source/user-manual.md</w:t>
            </w:r>
            <w:r>
              <w:rPr>
                <w:rFonts w:ascii="Segoe UI" w:hAnsi="Segoe UI" w:cs="Segoe UI" w:eastAsia="Segoe UI"/>
                <w:sz w:val="16"/>
                <w:szCs w:val="16"/>
              </w:rPr>
              <w:t xml:space="preserve">; Word and PDF in </w:t>
            </w:r>
            <w:r>
              <w:rPr>
                <w:rFonts w:ascii="Consolas" w:hAnsi="Consolas" w:cs="Consolas" w:eastAsia="Consolas"/>
                <w:color w:val="1F3B57"/>
                <w:sz w:val="14"/>
                <w:szCs w:val="14"/>
                <w:shd w:val="clear" w:color="auto" w:fill="F3F5F8"/>
              </w:rPr>
              <w:t xml:space="preserve">docs/package/05_Delivery/BrokerVerse_User_Manual.*</w:t>
            </w:r>
            <w:r>
              <w:rPr>
                <w:rFonts w:ascii="Segoe UI" w:hAnsi="Segoe UI" w:cs="Segoe UI" w:eastAsia="Segoe UI"/>
                <w:sz w:val="16"/>
                <w:szCs w:val="16"/>
              </w:rPr>
              <w:t xml:space="preserve">. First-use guide </w:t>
            </w:r>
            <w:r>
              <w:rPr>
                <w:rFonts w:ascii="Consolas" w:hAnsi="Consolas" w:cs="Consolas" w:eastAsia="Consolas"/>
                <w:color w:val="1F3B57"/>
                <w:sz w:val="14"/>
                <w:szCs w:val="14"/>
                <w:shd w:val="clear" w:color="auto" w:fill="F3F5F8"/>
              </w:rPr>
              <w:t xml:space="preserve">docs/onboarding/GETTING_STARTED.md</w:t>
            </w:r>
          </w:p>
        </w:tc>
        <w:tc>
          <w:tcPr>
            <w:tcW w:w="1733" w:type="dxa"/>
          </w:tcPr>
          <w:p>
            <w:pPr>
              <w:spacing w:before="40" w:after="40" w:line="240" w:lineRule="auto"/>
            </w:pPr>
            <w:r>
              <w:rPr>
                <w:rFonts w:ascii="Segoe UI" w:hAnsi="Segoe UI" w:cs="Segoe UI" w:eastAsia="Segoe UI"/>
                <w:sz w:val="16"/>
                <w:szCs w:val="16"/>
              </w:rPr>
              <w:t xml:space="preserve">iorta TechNXT Technical Writer</w:t>
            </w:r>
          </w:p>
        </w:tc>
        <w:tc>
          <w:tcPr>
            <w:tcW w:w="1823" w:type="dxa"/>
          </w:tcPr>
          <w:p>
            <w:pPr>
              <w:spacing w:before="40" w:after="40" w:line="240" w:lineRule="auto"/>
            </w:pPr>
            <w:r>
              <w:rPr>
                <w:rFonts w:ascii="Segoe UI" w:hAnsi="Segoe UI" w:cs="Segoe UI" w:eastAsia="Segoe UI"/>
                <w:sz w:val="16"/>
                <w:szCs w:val="16"/>
              </w:rPr>
              <w:t xml:space="preserve">Business Process Owners; TISPH Project Manager</w:t>
            </w:r>
          </w:p>
        </w:tc>
        <w:tc>
          <w:tcPr>
            <w:tcW w:w="2926" w:type="dxa"/>
          </w:tcPr>
          <w:p>
            <w:pPr>
              <w:spacing w:before="40" w:after="40" w:line="240" w:lineRule="auto"/>
            </w:pPr>
            <w:r>
              <w:rPr>
                <w:rFonts w:ascii="Segoe UI" w:hAnsi="Segoe UI" w:cs="Segoe UI" w:eastAsia="Segoe UI"/>
                <w:sz w:val="16"/>
                <w:szCs w:val="16"/>
              </w:rPr>
              <w:t xml:space="preserve">The base edition names the generic broker roles. TISPH edition Planned (GP-12): work packages MAN-A (engineering) and MAN-B (content, screenshots, sign-off); TISPH decisions D1 to D14 (system name, document control, logo, role chapter names, language and others).</w:t>
            </w:r>
          </w:p>
        </w:tc>
      </w:tr>
      <w:tr>
        <w:trPr>
          <w:cantSplit/>
        </w:trPr>
        <w:tc>
          <w:tcPr>
            <w:tcW w:w="708" w:type="dxa"/>
          </w:tcPr>
          <w:p>
            <w:pPr>
              <w:spacing w:before="40" w:after="40" w:line="240" w:lineRule="auto"/>
            </w:pPr>
            <w:r>
              <w:rPr>
                <w:rFonts w:ascii="Segoe UI" w:hAnsi="Segoe UI" w:cs="Segoe UI" w:eastAsia="Segoe UI"/>
                <w:sz w:val="16"/>
                <w:szCs w:val="16"/>
              </w:rPr>
              <w:t xml:space="preserve">DR-21</w:t>
            </w:r>
          </w:p>
        </w:tc>
        <w:tc>
          <w:tcPr>
            <w:tcW w:w="1248" w:type="dxa"/>
          </w:tcPr>
          <w:p>
            <w:pPr>
              <w:spacing w:before="40" w:after="40" w:line="240" w:lineRule="auto"/>
            </w:pPr>
            <w:r>
              <w:rPr>
                <w:rFonts w:ascii="Segoe UI" w:hAnsi="Segoe UI" w:cs="Segoe UI" w:eastAsia="Segoe UI"/>
                <w:sz w:val="16"/>
                <w:szCs w:val="16"/>
              </w:rPr>
              <w:t xml:space="preserve">Persona manuals</w:t>
            </w:r>
          </w:p>
        </w:tc>
        <w:tc>
          <w:tcPr>
            <w:tcW w:w="2030" w:type="dxa"/>
          </w:tcPr>
          <w:p>
            <w:pPr>
              <w:spacing w:before="40" w:after="40" w:line="240" w:lineRule="auto"/>
            </w:pPr>
            <w:r>
              <w:rPr>
                <w:rFonts w:ascii="Segoe UI" w:hAnsi="Segoe UI" w:cs="Segoe UI" w:eastAsia="Segoe UI"/>
                <w:sz w:val="16"/>
                <w:szCs w:val="16"/>
              </w:rPr>
              <w:t xml:space="preserve">Exists in repo (generic role decks); Planned (TISPH personas)</w:t>
            </w:r>
          </w:p>
        </w:tc>
        <w:tc>
          <w:tcPr>
            <w:tcW w:w="3491" w:type="dxa"/>
          </w:tcPr>
          <w:p>
            <w:pPr>
              <w:spacing w:before="40" w:after="40" w:line="240" w:lineRule="auto"/>
            </w:pPr>
            <w:r>
              <w:rPr>
                <w:rFonts w:ascii="Segoe UI" w:hAnsi="Segoe UI" w:cs="Segoe UI" w:eastAsia="Segoe UI"/>
                <w:sz w:val="16"/>
                <w:szCs w:val="16"/>
              </w:rPr>
              <w:t xml:space="preserve">Seven role decks for the generic broker roles: </w:t>
            </w:r>
            <w:r>
              <w:rPr>
                <w:rFonts w:ascii="Consolas" w:hAnsi="Consolas" w:cs="Consolas" w:eastAsia="Consolas"/>
                <w:color w:val="1F3B57"/>
                <w:sz w:val="14"/>
                <w:szCs w:val="14"/>
                <w:shd w:val="clear" w:color="auto" w:fill="F3F5F8"/>
              </w:rPr>
              <w:t xml:space="preserve">docs/decks/*.pptx</w:t>
            </w:r>
            <w:r>
              <w:rPr>
                <w:rFonts w:ascii="Segoe UI" w:hAnsi="Segoe UI" w:cs="Segoe UI" w:eastAsia="Segoe UI"/>
                <w:sz w:val="16"/>
                <w:szCs w:val="16"/>
              </w:rPr>
              <w:t xml:space="preserve"> (index </w:t>
            </w:r>
            <w:r>
              <w:rPr>
                <w:rFonts w:ascii="Consolas" w:hAnsi="Consolas" w:cs="Consolas" w:eastAsia="Consolas"/>
                <w:color w:val="1F3B57"/>
                <w:sz w:val="14"/>
                <w:szCs w:val="14"/>
                <w:shd w:val="clear" w:color="auto" w:fill="F3F5F8"/>
              </w:rPr>
              <w:t xml:space="preserve">docs/decks/README.md</w:t>
            </w:r>
            <w:r>
              <w:rPr>
                <w:rFonts w:ascii="Segoe UI" w:hAnsi="Segoe UI" w:cs="Segoe UI" w:eastAsia="Segoe UI"/>
                <w:sz w:val="16"/>
                <w:szCs w:val="16"/>
              </w:rPr>
              <w:t xml:space="preserve">). TISPH personas and their training curriculum: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sections 3.2 and 11.3</w:t>
            </w:r>
          </w:p>
        </w:tc>
        <w:tc>
          <w:tcPr>
            <w:tcW w:w="1733" w:type="dxa"/>
          </w:tcPr>
          <w:p>
            <w:pPr>
              <w:spacing w:before="40" w:after="40" w:line="240" w:lineRule="auto"/>
            </w:pPr>
            <w:r>
              <w:rPr>
                <w:rFonts w:ascii="Segoe UI" w:hAnsi="Segoe UI" w:cs="Segoe UI" w:eastAsia="Segoe UI"/>
                <w:sz w:val="16"/>
                <w:szCs w:val="16"/>
              </w:rPr>
              <w:t xml:space="preserve">iorta TechNXT Technical Writer; Training Lead</w:t>
            </w:r>
          </w:p>
        </w:tc>
        <w:tc>
          <w:tcPr>
            <w:tcW w:w="1823" w:type="dxa"/>
          </w:tcPr>
          <w:p>
            <w:pPr>
              <w:spacing w:before="40" w:after="40" w:line="240" w:lineRule="auto"/>
            </w:pPr>
            <w:r>
              <w:rPr>
                <w:rFonts w:ascii="Segoe UI" w:hAnsi="Segoe UI" w:cs="Segoe UI" w:eastAsia="Segoe UI"/>
                <w:sz w:val="16"/>
                <w:szCs w:val="16"/>
              </w:rPr>
              <w:t xml:space="preserve">Business Process Owner of each persona</w:t>
            </w:r>
          </w:p>
        </w:tc>
        <w:tc>
          <w:tcPr>
            <w:tcW w:w="2926" w:type="dxa"/>
          </w:tcPr>
          <w:p>
            <w:pPr>
              <w:spacing w:before="40" w:after="40" w:line="240" w:lineRule="auto"/>
            </w:pPr>
            <w:r>
              <w:rPr>
                <w:rFonts w:ascii="Segoe UI" w:hAnsi="Segoe UI" w:cs="Segoe UI" w:eastAsia="Segoe UI"/>
                <w:sz w:val="16"/>
                <w:szCs w:val="16"/>
              </w:rPr>
              <w:t xml:space="preserve">Planned: one manual chapter per TISPH role in MAN-B (GP-12, decision D4 "role chapter names"); persona training scripts (governance risk R-21).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Delivery, governance and transition</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1573"/>
        <w:gridCol w:w="1733"/>
        <w:gridCol w:w="3267"/>
        <w:gridCol w:w="1689"/>
        <w:gridCol w:w="1718"/>
        <w:gridCol w:w="3271"/>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573"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1733"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267"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68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718"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3271" w:type="dxa"/>
            <w:shd w:val="clear" w:color="auto" w:fill="E8F0F8"/>
            <w:vAlign w:val="center"/>
          </w:tcPr>
          <w:p>
            <w:pPr>
              <w:spacing w:before="40" w:after="40" w:line="240" w:lineRule="auto"/>
            </w:pPr>
            <w:r>
              <w:rPr>
                <w:rFonts w:ascii="Segoe UI" w:hAnsi="Segoe UI" w:cs="Segoe UI" w:eastAsia="Segoe UI"/>
                <w:b/>
                <w:bCs/>
                <w:sz w:val="16"/>
                <w:szCs w:val="16"/>
              </w:rPr>
              <w:t xml:space="preserve">Notes and dependencies</w:t>
            </w:r>
          </w:p>
        </w:tc>
      </w:tr>
      <w:tr>
        <w:trPr>
          <w:cantSplit/>
        </w:trPr>
        <w:tc>
          <w:tcPr>
            <w:tcW w:w="708" w:type="dxa"/>
          </w:tcPr>
          <w:p>
            <w:pPr>
              <w:spacing w:before="40" w:after="40" w:line="240" w:lineRule="auto"/>
            </w:pPr>
            <w:r>
              <w:rPr>
                <w:rFonts w:ascii="Segoe UI" w:hAnsi="Segoe UI" w:cs="Segoe UI" w:eastAsia="Segoe UI"/>
                <w:sz w:val="16"/>
                <w:szCs w:val="16"/>
              </w:rPr>
              <w:t xml:space="preserve">DR-22</w:t>
            </w:r>
          </w:p>
        </w:tc>
        <w:tc>
          <w:tcPr>
            <w:tcW w:w="1573" w:type="dxa"/>
          </w:tcPr>
          <w:p>
            <w:pPr>
              <w:spacing w:before="40" w:after="40" w:line="240" w:lineRule="auto"/>
            </w:pPr>
            <w:r>
              <w:rPr>
                <w:rFonts w:ascii="Segoe UI" w:hAnsi="Segoe UI" w:cs="Segoe UI" w:eastAsia="Segoe UI"/>
                <w:sz w:val="16"/>
                <w:szCs w:val="16"/>
              </w:rPr>
              <w:t xml:space="preserve">Project plan</w:t>
            </w:r>
          </w:p>
        </w:tc>
        <w:tc>
          <w:tcPr>
            <w:tcW w:w="1733" w:type="dxa"/>
          </w:tcPr>
          <w:p>
            <w:pPr>
              <w:spacing w:before="40" w:after="40" w:line="240" w:lineRule="auto"/>
            </w:pPr>
            <w:r>
              <w:rPr>
                <w:rFonts w:ascii="Segoe UI" w:hAnsi="Segoe UI" w:cs="Segoe UI" w:eastAsia="Segoe UI"/>
                <w:sz w:val="16"/>
                <w:szCs w:val="16"/>
              </w:rPr>
              <w:t xml:space="preserve">Drafted in this pack (structure); Commercial input (dates)</w:t>
            </w:r>
          </w:p>
        </w:tc>
        <w:tc>
          <w:tcPr>
            <w:tcW w:w="3267" w:type="dxa"/>
          </w:tcPr>
          <w:p>
            <w:pPr>
              <w:spacing w:before="40" w:after="40" w:line="240" w:lineRule="auto"/>
            </w:pPr>
            <w:r>
              <w:rPr>
                <w:rFonts w:ascii="Segoe UI" w:hAnsi="Segoe UI" w:cs="Segoe UI" w:eastAsia="Segoe UI"/>
                <w:sz w:val="16"/>
                <w:szCs w:val="16"/>
              </w:rPr>
              <w:t xml:space="preserve">Delivery sequence, gates and governance bodies: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2; go-live timeline relative to go-live date: section 8.2; build order and effort: platform features build plan (work packages W0 to MAN-B) and the remittance build specification (phases R1 to R4)</w:t>
            </w:r>
          </w:p>
        </w:tc>
        <w:tc>
          <w:tcPr>
            <w:tcW w:w="1689" w:type="dxa"/>
          </w:tcPr>
          <w:p>
            <w:pPr>
              <w:spacing w:before="40" w:after="40" w:line="240" w:lineRule="auto"/>
            </w:pPr>
            <w:r>
              <w:rPr>
                <w:rFonts w:ascii="Segoe UI" w:hAnsi="Segoe UI" w:cs="Segoe UI" w:eastAsia="Segoe UI"/>
                <w:sz w:val="16"/>
                <w:szCs w:val="16"/>
              </w:rPr>
              <w:t xml:space="preserve">iorta TechNXT Project Manager</w:t>
            </w:r>
          </w:p>
        </w:tc>
        <w:tc>
          <w:tcPr>
            <w:tcW w:w="1718" w:type="dxa"/>
          </w:tcPr>
          <w:p>
            <w:pPr>
              <w:spacing w:before="40" w:after="40" w:line="240" w:lineRule="auto"/>
            </w:pPr>
            <w:r>
              <w:rPr>
                <w:rFonts w:ascii="Segoe UI" w:hAnsi="Segoe UI" w:cs="Segoe UI" w:eastAsia="Segoe UI"/>
                <w:sz w:val="16"/>
                <w:szCs w:val="16"/>
              </w:rPr>
              <w:t xml:space="preserve">TISPH Project Manager; Project Sponsor</w:t>
            </w:r>
          </w:p>
        </w:tc>
        <w:tc>
          <w:tcPr>
            <w:tcW w:w="3271" w:type="dxa"/>
          </w:tcPr>
          <w:p>
            <w:pPr>
              <w:spacing w:before="40" w:after="40" w:line="240" w:lineRule="auto"/>
            </w:pPr>
            <w:r>
              <w:rPr>
                <w:rFonts w:ascii="Segoe UI" w:hAnsi="Segoe UI" w:cs="Segoe UI" w:eastAsia="Segoe UI"/>
                <w:sz w:val="16"/>
                <w:szCs w:val="16"/>
              </w:rPr>
              <w:t xml:space="preserve">A dated plan needs the go-live date and the SOW milestones (BRD 1.2 "timeline as stipulated in the signed SOW"; question GQ-02).</w:t>
            </w:r>
          </w:p>
        </w:tc>
      </w:tr>
      <w:tr>
        <w:trPr>
          <w:cantSplit/>
        </w:trPr>
        <w:tc>
          <w:tcPr>
            <w:tcW w:w="708" w:type="dxa"/>
          </w:tcPr>
          <w:p>
            <w:pPr>
              <w:spacing w:before="40" w:after="40" w:line="240" w:lineRule="auto"/>
            </w:pPr>
            <w:r>
              <w:rPr>
                <w:rFonts w:ascii="Segoe UI" w:hAnsi="Segoe UI" w:cs="Segoe UI" w:eastAsia="Segoe UI"/>
                <w:sz w:val="16"/>
                <w:szCs w:val="16"/>
              </w:rPr>
              <w:t xml:space="preserve">DR-23</w:t>
            </w:r>
          </w:p>
        </w:tc>
        <w:tc>
          <w:tcPr>
            <w:tcW w:w="1573" w:type="dxa"/>
          </w:tcPr>
          <w:p>
            <w:pPr>
              <w:spacing w:before="40" w:after="40" w:line="240" w:lineRule="auto"/>
            </w:pPr>
            <w:r>
              <w:rPr>
                <w:rFonts w:ascii="Segoe UI" w:hAnsi="Segoe UI" w:cs="Segoe UI" w:eastAsia="Segoe UI"/>
                <w:sz w:val="16"/>
                <w:szCs w:val="16"/>
              </w:rPr>
              <w:t xml:space="preserve">Delivery methodology</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sections 2 (governance structure, delivery sequence and the BRD 9.2 traceability chain) and 3 (workstreams); release method in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section 7</w:t>
            </w:r>
          </w:p>
        </w:tc>
        <w:tc>
          <w:tcPr>
            <w:tcW w:w="1689" w:type="dxa"/>
          </w:tcPr>
          <w:p>
            <w:pPr>
              <w:spacing w:before="40" w:after="40" w:line="240" w:lineRule="auto"/>
            </w:pPr>
            <w:r>
              <w:rPr>
                <w:rFonts w:ascii="Segoe UI" w:hAnsi="Segoe UI" w:cs="Segoe UI" w:eastAsia="Segoe UI"/>
                <w:sz w:val="16"/>
                <w:szCs w:val="16"/>
              </w:rPr>
              <w:t xml:space="preserve">iorta TechNXT Project Manager</w:t>
            </w:r>
          </w:p>
        </w:tc>
        <w:tc>
          <w:tcPr>
            <w:tcW w:w="1718" w:type="dxa"/>
          </w:tcPr>
          <w:p>
            <w:pPr>
              <w:spacing w:before="40" w:after="40" w:line="240" w:lineRule="auto"/>
            </w:pPr>
            <w:r>
              <w:rPr>
                <w:rFonts w:ascii="Segoe UI" w:hAnsi="Segoe UI" w:cs="Segoe UI" w:eastAsia="Segoe UI"/>
                <w:sz w:val="16"/>
                <w:szCs w:val="16"/>
              </w:rPr>
              <w:t xml:space="preserve">TISPH Project Manager</w:t>
            </w:r>
          </w:p>
        </w:tc>
        <w:tc>
          <w:tcPr>
            <w:tcW w:w="3271" w:type="dxa"/>
          </w:tcPr>
          <w:p>
            <w:pPr>
              <w:spacing w:before="40" w:after="40" w:line="240" w:lineRule="auto"/>
            </w:pPr>
          </w:p>
        </w:tc>
      </w:tr>
      <w:tr>
        <w:trPr>
          <w:cantSplit/>
        </w:trPr>
        <w:tc>
          <w:tcPr>
            <w:tcW w:w="708" w:type="dxa"/>
          </w:tcPr>
          <w:p>
            <w:pPr>
              <w:spacing w:before="40" w:after="40" w:line="240" w:lineRule="auto"/>
            </w:pPr>
            <w:r>
              <w:rPr>
                <w:rFonts w:ascii="Segoe UI" w:hAnsi="Segoe UI" w:cs="Segoe UI" w:eastAsia="Segoe UI"/>
                <w:sz w:val="16"/>
                <w:szCs w:val="16"/>
              </w:rPr>
              <w:t xml:space="preserve">DR-24</w:t>
            </w:r>
          </w:p>
        </w:tc>
        <w:tc>
          <w:tcPr>
            <w:tcW w:w="1573" w:type="dxa"/>
          </w:tcPr>
          <w:p>
            <w:pPr>
              <w:spacing w:before="40" w:after="40" w:line="240" w:lineRule="auto"/>
            </w:pPr>
            <w:r>
              <w:rPr>
                <w:rFonts w:ascii="Segoe UI" w:hAnsi="Segoe UI" w:cs="Segoe UI" w:eastAsia="Segoe UI"/>
                <w:sz w:val="16"/>
                <w:szCs w:val="16"/>
              </w:rPr>
              <w:t xml:space="preserve">RACI</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4 (per workstream, 4.1; per persona, 4.2); support RACI in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4</w:t>
            </w:r>
          </w:p>
        </w:tc>
        <w:tc>
          <w:tcPr>
            <w:tcW w:w="1689" w:type="dxa"/>
          </w:tcPr>
          <w:p>
            <w:pPr>
              <w:spacing w:before="40" w:after="40" w:line="240" w:lineRule="auto"/>
            </w:pPr>
            <w:r>
              <w:rPr>
                <w:rFonts w:ascii="Segoe UI" w:hAnsi="Segoe UI" w:cs="Segoe UI" w:eastAsia="Segoe UI"/>
                <w:sz w:val="16"/>
                <w:szCs w:val="16"/>
              </w:rPr>
              <w:t xml:space="preserve">iorta TechNXT Project Manager</w:t>
            </w:r>
          </w:p>
        </w:tc>
        <w:tc>
          <w:tcPr>
            <w:tcW w:w="1718" w:type="dxa"/>
          </w:tcPr>
          <w:p>
            <w:pPr>
              <w:spacing w:before="40" w:after="40" w:line="240" w:lineRule="auto"/>
            </w:pPr>
            <w:r>
              <w:rPr>
                <w:rFonts w:ascii="Segoe UI" w:hAnsi="Segoe UI" w:cs="Segoe UI" w:eastAsia="Segoe UI"/>
                <w:sz w:val="16"/>
                <w:szCs w:val="16"/>
              </w:rPr>
              <w:t xml:space="preserve">TISPH Project Manager</w:t>
            </w:r>
          </w:p>
        </w:tc>
        <w:tc>
          <w:tcPr>
            <w:tcW w:w="3271" w:type="dxa"/>
          </w:tcPr>
          <w:p>
            <w:pPr>
              <w:spacing w:before="40" w:after="40" w:line="240" w:lineRule="auto"/>
            </w:pPr>
            <w:r>
              <w:rPr>
                <w:rFonts w:ascii="Segoe UI" w:hAnsi="Segoe UI" w:cs="Segoe UI" w:eastAsia="Segoe UI"/>
                <w:sz w:val="16"/>
                <w:szCs w:val="16"/>
              </w:rPr>
              <w:t xml:space="preserve">Named people per role: question GQ-03.</w:t>
            </w:r>
          </w:p>
        </w:tc>
      </w:tr>
      <w:tr>
        <w:trPr>
          <w:cantSplit/>
        </w:trPr>
        <w:tc>
          <w:tcPr>
            <w:tcW w:w="708" w:type="dxa"/>
          </w:tcPr>
          <w:p>
            <w:pPr>
              <w:spacing w:before="40" w:after="40" w:line="240" w:lineRule="auto"/>
            </w:pPr>
            <w:r>
              <w:rPr>
                <w:rFonts w:ascii="Segoe UI" w:hAnsi="Segoe UI" w:cs="Segoe UI" w:eastAsia="Segoe UI"/>
                <w:sz w:val="16"/>
                <w:szCs w:val="16"/>
              </w:rPr>
              <w:t xml:space="preserve">DR-25</w:t>
            </w:r>
          </w:p>
        </w:tc>
        <w:tc>
          <w:tcPr>
            <w:tcW w:w="1573" w:type="dxa"/>
          </w:tcPr>
          <w:p>
            <w:pPr>
              <w:spacing w:before="40" w:after="40" w:line="240" w:lineRule="auto"/>
            </w:pPr>
            <w:r>
              <w:rPr>
                <w:rFonts w:ascii="Segoe UI" w:hAnsi="Segoe UI" w:cs="Segoe UI" w:eastAsia="Segoe UI"/>
                <w:sz w:val="16"/>
                <w:szCs w:val="16"/>
              </w:rPr>
              <w:t xml:space="preserve">Commercials</w:t>
            </w:r>
          </w:p>
        </w:tc>
        <w:tc>
          <w:tcPr>
            <w:tcW w:w="1733" w:type="dxa"/>
          </w:tcPr>
          <w:p>
            <w:pPr>
              <w:spacing w:before="40" w:after="40" w:line="240" w:lineRule="auto"/>
            </w:pPr>
            <w:r>
              <w:rPr>
                <w:rFonts w:ascii="Segoe UI" w:hAnsi="Segoe UI" w:cs="Segoe UI" w:eastAsia="Segoe UI"/>
                <w:sz w:val="16"/>
                <w:szCs w:val="16"/>
              </w:rPr>
              <w:t xml:space="preserve">Commercial input</w:t>
            </w:r>
          </w:p>
        </w:tc>
        <w:tc>
          <w:tcPr>
            <w:tcW w:w="3267" w:type="dxa"/>
          </w:tcPr>
          <w:p>
            <w:pPr>
              <w:spacing w:before="40" w:after="40" w:line="240" w:lineRule="auto"/>
            </w:pPr>
            <w:r>
              <w:rPr>
                <w:rFonts w:ascii="Segoe UI" w:hAnsi="Segoe UI" w:cs="Segoe UI" w:eastAsia="Segoe UI"/>
                <w:sz w:val="16"/>
                <w:szCs w:val="16"/>
              </w:rPr>
              <w:t xml:space="preserve">Not part of this pack. Governed by the signed Statement of Work and the contract documents between TISPH and iorta TechNXT</w:t>
            </w:r>
          </w:p>
        </w:tc>
        <w:tc>
          <w:tcPr>
            <w:tcW w:w="1689" w:type="dxa"/>
          </w:tcPr>
          <w:p>
            <w:pPr>
              <w:spacing w:before="40" w:after="40" w:line="240" w:lineRule="auto"/>
            </w:pPr>
            <w:r>
              <w:rPr>
                <w:rFonts w:ascii="Segoe UI" w:hAnsi="Segoe UI" w:cs="Segoe UI" w:eastAsia="Segoe UI"/>
                <w:sz w:val="16"/>
                <w:szCs w:val="16"/>
              </w:rPr>
              <w:t xml:space="preserve">iorta TechNXT Engagement Director</w:t>
            </w:r>
          </w:p>
        </w:tc>
        <w:tc>
          <w:tcPr>
            <w:tcW w:w="1718" w:type="dxa"/>
          </w:tcPr>
          <w:p>
            <w:pPr>
              <w:spacing w:before="40" w:after="40" w:line="240" w:lineRule="auto"/>
            </w:pPr>
            <w:r>
              <w:rPr>
                <w:rFonts w:ascii="Segoe UI" w:hAnsi="Segoe UI" w:cs="Segoe UI" w:eastAsia="Segoe UI"/>
                <w:sz w:val="16"/>
                <w:szCs w:val="16"/>
              </w:rPr>
              <w:t xml:space="preserve">TISPH Project Sponsor; Procurement</w:t>
            </w:r>
          </w:p>
        </w:tc>
        <w:tc>
          <w:tcPr>
            <w:tcW w:w="3271" w:type="dxa"/>
          </w:tcPr>
          <w:p>
            <w:pPr>
              <w:spacing w:before="40" w:after="40" w:line="240" w:lineRule="auto"/>
            </w:pPr>
            <w:r>
              <w:rPr>
                <w:rFonts w:ascii="Segoe UI" w:hAnsi="Segoe UI" w:cs="Segoe UI" w:eastAsia="Segoe UI"/>
                <w:sz w:val="16"/>
                <w:szCs w:val="16"/>
              </w:rPr>
              <w:t xml:space="preserve">Generic product price book and rate card in the repository are internal or pre-sales material and are not the TISPH commercials (</w:t>
            </w:r>
            <w:r>
              <w:rPr>
                <w:rFonts w:ascii="Consolas" w:hAnsi="Consolas" w:cs="Consolas" w:eastAsia="Consolas"/>
                <w:color w:val="1F3B57"/>
                <w:sz w:val="14"/>
                <w:szCs w:val="14"/>
                <w:shd w:val="clear" w:color="auto" w:fill="F3F5F8"/>
              </w:rPr>
              <w:t xml:space="preserve">docs/TISPH/pack/TISPH_Documentation_Cleanup.docx</w:t>
            </w:r>
            <w:r>
              <w:rPr>
                <w:rFonts w:ascii="Segoe UI" w:hAnsi="Segoe UI" w:cs="Segoe UI" w:eastAsia="Segoe UI"/>
                <w:sz w:val="16"/>
                <w:szCs w:val="16"/>
              </w:rPr>
              <w:t xml:space="preserve">). Items of this pack that need a commercial decision: support agreement (GP-18, DA-4), hypercare duration (GQ-06), source code escrow (GQ-14), exit and transition plan (P25).</w:t>
            </w:r>
          </w:p>
        </w:tc>
      </w:tr>
      <w:tr>
        <w:trPr>
          <w:cantSplit/>
        </w:trPr>
        <w:tc>
          <w:tcPr>
            <w:tcW w:w="708" w:type="dxa"/>
          </w:tcPr>
          <w:p>
            <w:pPr>
              <w:spacing w:before="40" w:after="40" w:line="240" w:lineRule="auto"/>
            </w:pPr>
            <w:r>
              <w:rPr>
                <w:rFonts w:ascii="Segoe UI" w:hAnsi="Segoe UI" w:cs="Segoe UI" w:eastAsia="Segoe UI"/>
                <w:sz w:val="16"/>
                <w:szCs w:val="16"/>
              </w:rPr>
              <w:t xml:space="preserve">DR-26</w:t>
            </w:r>
          </w:p>
        </w:tc>
        <w:tc>
          <w:tcPr>
            <w:tcW w:w="1573" w:type="dxa"/>
          </w:tcPr>
          <w:p>
            <w:pPr>
              <w:spacing w:before="40" w:after="40" w:line="240" w:lineRule="auto"/>
            </w:pPr>
            <w:r>
              <w:rPr>
                <w:rFonts w:ascii="Segoe UI" w:hAnsi="Segoe UI" w:cs="Segoe UI" w:eastAsia="Segoe UI"/>
                <w:sz w:val="16"/>
                <w:szCs w:val="16"/>
              </w:rPr>
              <w:t xml:space="preserve">Knowledge transfer (KT) plan</w:t>
            </w:r>
          </w:p>
        </w:tc>
        <w:tc>
          <w:tcPr>
            <w:tcW w:w="1733" w:type="dxa"/>
          </w:tcPr>
          <w:p>
            <w:pPr>
              <w:spacing w:before="40" w:after="40" w:line="240" w:lineRule="auto"/>
            </w:pPr>
            <w:r>
              <w:rPr>
                <w:rFonts w:ascii="Segoe UI" w:hAnsi="Segoe UI" w:cs="Segoe UI" w:eastAsia="Segoe UI"/>
                <w:sz w:val="16"/>
                <w:szCs w:val="16"/>
              </w:rPr>
              <w:t xml:space="preserve">Drafted in this pack (Planned schedule)</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15.3 (phases KT-1 to KT-6) and 15.1 (knowledge sources); knowledge retention over ten years: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12.3</w:t>
            </w:r>
          </w:p>
        </w:tc>
        <w:tc>
          <w:tcPr>
            <w:tcW w:w="1689" w:type="dxa"/>
          </w:tcPr>
          <w:p>
            <w:pPr>
              <w:spacing w:before="40" w:after="40" w:line="240" w:lineRule="auto"/>
            </w:pPr>
            <w:r>
              <w:rPr>
                <w:rFonts w:ascii="Segoe UI" w:hAnsi="Segoe UI" w:cs="Segoe UI" w:eastAsia="Segoe UI"/>
                <w:sz w:val="16"/>
                <w:szCs w:val="16"/>
              </w:rPr>
              <w:t xml:space="preserve">iorta TechNXT Production Support Lead</w:t>
            </w:r>
          </w:p>
        </w:tc>
        <w:tc>
          <w:tcPr>
            <w:tcW w:w="1718" w:type="dxa"/>
          </w:tcPr>
          <w:p>
            <w:pPr>
              <w:spacing w:before="40" w:after="40" w:line="240" w:lineRule="auto"/>
            </w:pPr>
            <w:r>
              <w:rPr>
                <w:rFonts w:ascii="Segoe UI" w:hAnsi="Segoe UI" w:cs="Segoe UI" w:eastAsia="Segoe UI"/>
                <w:sz w:val="16"/>
                <w:szCs w:val="16"/>
              </w:rPr>
              <w:t xml:space="preserve">Head of IT</w:t>
            </w:r>
          </w:p>
        </w:tc>
        <w:tc>
          <w:tcPr>
            <w:tcW w:w="3271" w:type="dxa"/>
          </w:tcPr>
          <w:p>
            <w:pPr>
              <w:spacing w:before="40" w:after="40" w:line="240" w:lineRule="auto"/>
            </w:pPr>
            <w:r>
              <w:rPr>
                <w:rFonts w:ascii="Segoe UI" w:hAnsi="Segoe UI" w:cs="Segoe UI" w:eastAsia="Segoe UI"/>
                <w:sz w:val="16"/>
                <w:szCs w:val="16"/>
              </w:rPr>
              <w:t xml:space="preserve">The phases are drafted; their dates are Planned (P24) and depend on the delivery plan (DR-22) and the support agreement (DA-4).</w:t>
            </w:r>
          </w:p>
        </w:tc>
      </w:tr>
      <w:tr>
        <w:trPr>
          <w:cantSplit/>
        </w:trPr>
        <w:tc>
          <w:tcPr>
            <w:tcW w:w="708" w:type="dxa"/>
          </w:tcPr>
          <w:p>
            <w:pPr>
              <w:spacing w:before="40" w:after="40" w:line="240" w:lineRule="auto"/>
            </w:pPr>
            <w:r>
              <w:rPr>
                <w:rFonts w:ascii="Segoe UI" w:hAnsi="Segoe UI" w:cs="Segoe UI" w:eastAsia="Segoe UI"/>
                <w:sz w:val="16"/>
                <w:szCs w:val="16"/>
              </w:rPr>
              <w:t xml:space="preserve">DR-27</w:t>
            </w:r>
          </w:p>
        </w:tc>
        <w:tc>
          <w:tcPr>
            <w:tcW w:w="1573" w:type="dxa"/>
          </w:tcPr>
          <w:p>
            <w:pPr>
              <w:spacing w:before="40" w:after="40" w:line="240" w:lineRule="auto"/>
            </w:pPr>
            <w:r>
              <w:rPr>
                <w:rFonts w:ascii="Segoe UI" w:hAnsi="Segoe UI" w:cs="Segoe UI" w:eastAsia="Segoe UI"/>
                <w:sz w:val="16"/>
                <w:szCs w:val="16"/>
              </w:rPr>
              <w:t xml:space="preserve">Change management</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Segoe UI" w:hAnsi="Segoe UI" w:cs="Segoe UI" w:eastAsia="Segoe UI"/>
                <w:sz w:val="16"/>
                <w:szCs w:val="16"/>
              </w:rPr>
              <w:t xml:space="preserve">Scope change (BRD 8), release change, configuration change in production, emergency access, organisational change and stakeholder map: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10; operational change process: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7; environment promotion governance: </w:t>
            </w:r>
            <w:r>
              <w:rPr>
                <w:rFonts w:ascii="Consolas" w:hAnsi="Consolas" w:cs="Consolas" w:eastAsia="Consolas"/>
                <w:color w:val="1F3B57"/>
                <w:sz w:val="14"/>
                <w:szCs w:val="14"/>
                <w:shd w:val="clear" w:color="auto" w:fill="F3F5F8"/>
              </w:rPr>
              <w:t xml:space="preserve">docs/TISPH/pack/TISPH_Environments_and_Release.docx</w:t>
            </w:r>
            <w:r>
              <w:rPr>
                <w:rFonts w:ascii="Segoe UI" w:hAnsi="Segoe UI" w:cs="Segoe UI" w:eastAsia="Segoe UI"/>
                <w:sz w:val="16"/>
                <w:szCs w:val="16"/>
              </w:rPr>
              <w:t xml:space="preserve"> section 12</w:t>
            </w:r>
          </w:p>
        </w:tc>
        <w:tc>
          <w:tcPr>
            <w:tcW w:w="1689" w:type="dxa"/>
          </w:tcPr>
          <w:p>
            <w:pPr>
              <w:spacing w:before="40" w:after="40" w:line="240" w:lineRule="auto"/>
            </w:pPr>
            <w:r>
              <w:rPr>
                <w:rFonts w:ascii="Segoe UI" w:hAnsi="Segoe UI" w:cs="Segoe UI" w:eastAsia="Segoe UI"/>
                <w:sz w:val="16"/>
                <w:szCs w:val="16"/>
              </w:rPr>
              <w:t xml:space="preserve">iorta TechNXT Project Manager</w:t>
            </w:r>
          </w:p>
        </w:tc>
        <w:tc>
          <w:tcPr>
            <w:tcW w:w="1718" w:type="dxa"/>
          </w:tcPr>
          <w:p>
            <w:pPr>
              <w:spacing w:before="40" w:after="40" w:line="240" w:lineRule="auto"/>
            </w:pPr>
            <w:r>
              <w:rPr>
                <w:rFonts w:ascii="Segoe UI" w:hAnsi="Segoe UI" w:cs="Segoe UI" w:eastAsia="Segoe UI"/>
                <w:sz w:val="16"/>
                <w:szCs w:val="16"/>
              </w:rPr>
              <w:t xml:space="preserve">TISPH Project Manager; Change Control Board</w:t>
            </w:r>
          </w:p>
        </w:tc>
        <w:tc>
          <w:tcPr>
            <w:tcW w:w="3271" w:type="dxa"/>
          </w:tcPr>
          <w:p>
            <w:pPr>
              <w:spacing w:before="40" w:after="40" w:line="240" w:lineRule="auto"/>
            </w:pPr>
            <w:r>
              <w:rPr>
                <w:rFonts w:ascii="Segoe UI" w:hAnsi="Segoe UI" w:cs="Segoe UI" w:eastAsia="Segoe UI"/>
                <w:sz w:val="16"/>
                <w:szCs w:val="16"/>
              </w:rPr>
              <w:t xml:space="preserve">Change board membership and freeze periods: P6, GQ-01, GQ-05. Environment Promotion module Planned (GP-05).</w:t>
            </w:r>
          </w:p>
        </w:tc>
      </w:tr>
      <w:tr>
        <w:trPr>
          <w:cantSplit/>
        </w:trPr>
        <w:tc>
          <w:tcPr>
            <w:tcW w:w="708" w:type="dxa"/>
          </w:tcPr>
          <w:p>
            <w:pPr>
              <w:spacing w:before="40" w:after="40" w:line="240" w:lineRule="auto"/>
            </w:pPr>
            <w:r>
              <w:rPr>
                <w:rFonts w:ascii="Segoe UI" w:hAnsi="Segoe UI" w:cs="Segoe UI" w:eastAsia="Segoe UI"/>
                <w:sz w:val="16"/>
                <w:szCs w:val="16"/>
              </w:rPr>
              <w:t xml:space="preserve">DR-28</w:t>
            </w:r>
          </w:p>
        </w:tc>
        <w:tc>
          <w:tcPr>
            <w:tcW w:w="1573" w:type="dxa"/>
          </w:tcPr>
          <w:p>
            <w:pPr>
              <w:spacing w:before="40" w:after="40" w:line="240" w:lineRule="auto"/>
            </w:pPr>
            <w:r>
              <w:rPr>
                <w:rFonts w:ascii="Segoe UI" w:hAnsi="Segoe UI" w:cs="Segoe UI" w:eastAsia="Segoe UI"/>
                <w:sz w:val="16"/>
                <w:szCs w:val="16"/>
              </w:rPr>
              <w:t xml:space="preserve">Risk register</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5.1 (risks), 5.2 (decision log of open TISPH decisions)</w:t>
            </w:r>
          </w:p>
        </w:tc>
        <w:tc>
          <w:tcPr>
            <w:tcW w:w="1689" w:type="dxa"/>
          </w:tcPr>
          <w:p>
            <w:pPr>
              <w:spacing w:before="40" w:after="40" w:line="240" w:lineRule="auto"/>
            </w:pPr>
            <w:r>
              <w:rPr>
                <w:rFonts w:ascii="Segoe UI" w:hAnsi="Segoe UI" w:cs="Segoe UI" w:eastAsia="Segoe UI"/>
                <w:sz w:val="16"/>
                <w:szCs w:val="16"/>
              </w:rPr>
              <w:t xml:space="preserve">iorta TechNXT Project Manager</w:t>
            </w:r>
          </w:p>
        </w:tc>
        <w:tc>
          <w:tcPr>
            <w:tcW w:w="1718" w:type="dxa"/>
          </w:tcPr>
          <w:p>
            <w:pPr>
              <w:spacing w:before="40" w:after="40" w:line="240" w:lineRule="auto"/>
            </w:pPr>
            <w:r>
              <w:rPr>
                <w:rFonts w:ascii="Segoe UI" w:hAnsi="Segoe UI" w:cs="Segoe UI" w:eastAsia="Segoe UI"/>
                <w:sz w:val="16"/>
                <w:szCs w:val="16"/>
              </w:rPr>
              <w:t xml:space="preserve">Head, Risk Management; Project Sponsor</w:t>
            </w:r>
          </w:p>
        </w:tc>
        <w:tc>
          <w:tcPr>
            <w:tcW w:w="3271" w:type="dxa"/>
          </w:tcPr>
          <w:p>
            <w:pPr>
              <w:spacing w:before="40" w:after="40" w:line="240" w:lineRule="auto"/>
            </w:pPr>
            <w:r>
              <w:rPr>
                <w:rFonts w:ascii="Segoe UI" w:hAnsi="Segoe UI" w:cs="Segoe UI" w:eastAsia="Segoe UI"/>
                <w:sz w:val="16"/>
                <w:szCs w:val="16"/>
              </w:rPr>
              <w:t xml:space="preserve">Operational risks also in </w:t>
            </w: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17.</w:t>
            </w:r>
          </w:p>
        </w:tc>
      </w:tr>
      <w:tr>
        <w:trPr>
          <w:cantSplit/>
        </w:trPr>
        <w:tc>
          <w:tcPr>
            <w:tcW w:w="708" w:type="dxa"/>
          </w:tcPr>
          <w:p>
            <w:pPr>
              <w:spacing w:before="40" w:after="40" w:line="240" w:lineRule="auto"/>
            </w:pPr>
            <w:r>
              <w:rPr>
                <w:rFonts w:ascii="Segoe UI" w:hAnsi="Segoe UI" w:cs="Segoe UI" w:eastAsia="Segoe UI"/>
                <w:sz w:val="16"/>
                <w:szCs w:val="16"/>
              </w:rPr>
              <w:t xml:space="preserve">DR-29</w:t>
            </w:r>
          </w:p>
        </w:tc>
        <w:tc>
          <w:tcPr>
            <w:tcW w:w="1573" w:type="dxa"/>
          </w:tcPr>
          <w:p>
            <w:pPr>
              <w:spacing w:before="40" w:after="40" w:line="240" w:lineRule="auto"/>
            </w:pPr>
            <w:r>
              <w:rPr>
                <w:rFonts w:ascii="Segoe UI" w:hAnsi="Segoe UI" w:cs="Segoe UI" w:eastAsia="Segoe UI"/>
                <w:sz w:val="16"/>
                <w:szCs w:val="16"/>
              </w:rPr>
              <w:t xml:space="preserve">Architecture decision records</w:t>
            </w:r>
          </w:p>
        </w:tc>
        <w:tc>
          <w:tcPr>
            <w:tcW w:w="1733" w:type="dxa"/>
          </w:tcPr>
          <w:p>
            <w:pPr>
              <w:spacing w:before="40" w:after="40" w:line="240" w:lineRule="auto"/>
            </w:pPr>
            <w:r>
              <w:rPr>
                <w:rFonts w:ascii="Segoe UI" w:hAnsi="Segoe UI" w:cs="Segoe UI" w:eastAsia="Segoe UI"/>
                <w:sz w:val="16"/>
                <w:szCs w:val="16"/>
              </w:rPr>
              <w:t xml:space="preserve">See DR-15</w:t>
            </w:r>
          </w:p>
        </w:tc>
        <w:tc>
          <w:tcPr>
            <w:tcW w:w="3267" w:type="dxa"/>
          </w:tcPr>
          <w:p>
            <w:pPr>
              <w:spacing w:before="40" w:after="40" w:line="240" w:lineRule="auto"/>
            </w:pPr>
          </w:p>
        </w:tc>
        <w:tc>
          <w:tcPr>
            <w:tcW w:w="1689" w:type="dxa"/>
          </w:tcPr>
          <w:p>
            <w:pPr>
              <w:spacing w:before="40" w:after="40" w:line="240" w:lineRule="auto"/>
            </w:pPr>
          </w:p>
        </w:tc>
        <w:tc>
          <w:tcPr>
            <w:tcW w:w="1718" w:type="dxa"/>
          </w:tcPr>
          <w:p>
            <w:pPr>
              <w:spacing w:before="40" w:after="40" w:line="240" w:lineRule="auto"/>
            </w:pPr>
          </w:p>
        </w:tc>
        <w:tc>
          <w:tcPr>
            <w:tcW w:w="3271" w:type="dxa"/>
          </w:tcPr>
          <w:p>
            <w:pPr>
              <w:spacing w:before="40" w:after="40" w:line="240" w:lineRule="auto"/>
            </w:pPr>
            <w:r>
              <w:rPr>
                <w:rFonts w:ascii="Segoe UI" w:hAnsi="Segoe UI" w:cs="Segoe UI" w:eastAsia="Segoe UI"/>
                <w:sz w:val="16"/>
                <w:szCs w:val="16"/>
              </w:rPr>
              <w:t xml:space="preserve">Listed again because the TISPH required list names ADRs separately.</w:t>
            </w:r>
          </w:p>
        </w:tc>
      </w:tr>
      <w:tr>
        <w:trPr>
          <w:cantSplit/>
        </w:trPr>
        <w:tc>
          <w:tcPr>
            <w:tcW w:w="708" w:type="dxa"/>
          </w:tcPr>
          <w:p>
            <w:pPr>
              <w:spacing w:before="40" w:after="40" w:line="240" w:lineRule="auto"/>
            </w:pPr>
            <w:r>
              <w:rPr>
                <w:rFonts w:ascii="Segoe UI" w:hAnsi="Segoe UI" w:cs="Segoe UI" w:eastAsia="Segoe UI"/>
                <w:sz w:val="16"/>
                <w:szCs w:val="16"/>
              </w:rPr>
              <w:t xml:space="preserve">DR-30</w:t>
            </w:r>
          </w:p>
        </w:tc>
        <w:tc>
          <w:tcPr>
            <w:tcW w:w="1573" w:type="dxa"/>
          </w:tcPr>
          <w:p>
            <w:pPr>
              <w:spacing w:before="40" w:after="40" w:line="240" w:lineRule="auto"/>
            </w:pPr>
            <w:r>
              <w:rPr>
                <w:rFonts w:ascii="Segoe UI" w:hAnsi="Segoe UI" w:cs="Segoe UI" w:eastAsia="Segoe UI"/>
                <w:sz w:val="16"/>
                <w:szCs w:val="16"/>
              </w:rPr>
              <w:t xml:space="preserve">Production readiness checklist</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7 (areas A to H)</w:t>
            </w:r>
          </w:p>
        </w:tc>
        <w:tc>
          <w:tcPr>
            <w:tcW w:w="1689" w:type="dxa"/>
          </w:tcPr>
          <w:p>
            <w:pPr>
              <w:spacing w:before="40" w:after="40" w:line="240" w:lineRule="auto"/>
            </w:pPr>
            <w:r>
              <w:rPr>
                <w:rFonts w:ascii="Segoe UI" w:hAnsi="Segoe UI" w:cs="Segoe UI" w:eastAsia="Segoe UI"/>
                <w:sz w:val="16"/>
                <w:szCs w:val="16"/>
              </w:rPr>
              <w:t xml:space="preserve">iorta TechNXT Project Manager; DevOps Lead</w:t>
            </w:r>
          </w:p>
        </w:tc>
        <w:tc>
          <w:tcPr>
            <w:tcW w:w="1718" w:type="dxa"/>
          </w:tcPr>
          <w:p>
            <w:pPr>
              <w:spacing w:before="40" w:after="40" w:line="240" w:lineRule="auto"/>
            </w:pPr>
            <w:r>
              <w:rPr>
                <w:rFonts w:ascii="Segoe UI" w:hAnsi="Segoe UI" w:cs="Segoe UI" w:eastAsia="Segoe UI"/>
                <w:sz w:val="16"/>
                <w:szCs w:val="16"/>
              </w:rPr>
              <w:t xml:space="preserve">Head of IT; Internal Audit</w:t>
            </w:r>
          </w:p>
        </w:tc>
        <w:tc>
          <w:tcPr>
            <w:tcW w:w="3271" w:type="dxa"/>
          </w:tcPr>
          <w:p>
            <w:pPr>
              <w:spacing w:before="40" w:after="40" w:line="240" w:lineRule="auto"/>
            </w:pPr>
            <w:r>
              <w:rPr>
                <w:rFonts w:ascii="Segoe UI" w:hAnsi="Segoe UI" w:cs="Segoe UI" w:eastAsia="Segoe UI"/>
                <w:sz w:val="16"/>
                <w:szCs w:val="16"/>
              </w:rPr>
              <w:t xml:space="preserve">Several items depend on Planned work: Azure UAT and PROD provisioning, DR drill, scans, performance test, support agreement.</w:t>
            </w:r>
          </w:p>
        </w:tc>
      </w:tr>
      <w:tr>
        <w:trPr>
          <w:cantSplit/>
        </w:trPr>
        <w:tc>
          <w:tcPr>
            <w:tcW w:w="708" w:type="dxa"/>
          </w:tcPr>
          <w:p>
            <w:pPr>
              <w:spacing w:before="40" w:after="40" w:line="240" w:lineRule="auto"/>
            </w:pPr>
            <w:r>
              <w:rPr>
                <w:rFonts w:ascii="Segoe UI" w:hAnsi="Segoe UI" w:cs="Segoe UI" w:eastAsia="Segoe UI"/>
                <w:sz w:val="16"/>
                <w:szCs w:val="16"/>
              </w:rPr>
              <w:t xml:space="preserve">DR-31</w:t>
            </w:r>
          </w:p>
        </w:tc>
        <w:tc>
          <w:tcPr>
            <w:tcW w:w="1573" w:type="dxa"/>
          </w:tcPr>
          <w:p>
            <w:pPr>
              <w:spacing w:before="40" w:after="40" w:line="240" w:lineRule="auto"/>
            </w:pPr>
            <w:r>
              <w:rPr>
                <w:rFonts w:ascii="Segoe UI" w:hAnsi="Segoe UI" w:cs="Segoe UI" w:eastAsia="Segoe UI"/>
                <w:sz w:val="16"/>
                <w:szCs w:val="16"/>
              </w:rPr>
              <w:t xml:space="preserve">Go-live plan</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8 (approach, timeline, decision rights, Go/No-Go criteria, communications, evidence pack); cutover runbook </w:t>
            </w:r>
            <w:r>
              <w:rPr>
                <w:rFonts w:ascii="Consolas" w:hAnsi="Consolas" w:cs="Consolas" w:eastAsia="Consolas"/>
                <w:color w:val="1F3B57"/>
                <w:sz w:val="14"/>
                <w:szCs w:val="14"/>
                <w:shd w:val="clear" w:color="auto" w:fill="F3F5F8"/>
              </w:rPr>
              <w:t xml:space="preserve">docs/TISPH/pack/TISPH_Data_Migration_and_Cutover.docx</w:t>
            </w:r>
            <w:r>
              <w:rPr>
                <w:rFonts w:ascii="Segoe UI" w:hAnsi="Segoe UI" w:cs="Segoe UI" w:eastAsia="Segoe UI"/>
                <w:sz w:val="16"/>
                <w:szCs w:val="16"/>
              </w:rPr>
              <w:t xml:space="preserve"> section 13</w:t>
            </w:r>
          </w:p>
        </w:tc>
        <w:tc>
          <w:tcPr>
            <w:tcW w:w="1689" w:type="dxa"/>
          </w:tcPr>
          <w:p>
            <w:pPr>
              <w:spacing w:before="40" w:after="40" w:line="240" w:lineRule="auto"/>
            </w:pPr>
            <w:r>
              <w:rPr>
                <w:rFonts w:ascii="Segoe UI" w:hAnsi="Segoe UI" w:cs="Segoe UI" w:eastAsia="Segoe UI"/>
                <w:sz w:val="16"/>
                <w:szCs w:val="16"/>
              </w:rPr>
              <w:t xml:space="preserve">iorta TechNXT Project Manager; Migration Lead</w:t>
            </w:r>
          </w:p>
        </w:tc>
        <w:tc>
          <w:tcPr>
            <w:tcW w:w="1718" w:type="dxa"/>
          </w:tcPr>
          <w:p>
            <w:pPr>
              <w:spacing w:before="40" w:after="40" w:line="240" w:lineRule="auto"/>
            </w:pPr>
            <w:r>
              <w:rPr>
                <w:rFonts w:ascii="Segoe UI" w:hAnsi="Segoe UI" w:cs="Segoe UI" w:eastAsia="Segoe UI"/>
                <w:sz w:val="16"/>
                <w:szCs w:val="16"/>
              </w:rPr>
              <w:t xml:space="preserve">Project Sponsor (Go/No-Go body)</w:t>
            </w:r>
          </w:p>
        </w:tc>
        <w:tc>
          <w:tcPr>
            <w:tcW w:w="3271" w:type="dxa"/>
          </w:tcPr>
          <w:p>
            <w:pPr>
              <w:spacing w:before="40" w:after="40" w:line="240" w:lineRule="auto"/>
            </w:pPr>
            <w:r>
              <w:rPr>
                <w:rFonts w:ascii="Segoe UI" w:hAnsi="Segoe UI" w:cs="Segoe UI" w:eastAsia="Segoe UI"/>
                <w:sz w:val="16"/>
                <w:szCs w:val="16"/>
              </w:rPr>
              <w:t xml:space="preserve">Go-live date: GQ-02. Rehearsal on TISPH environments outstanding.</w:t>
            </w:r>
          </w:p>
        </w:tc>
      </w:tr>
      <w:tr>
        <w:trPr>
          <w:cantSplit/>
        </w:trPr>
        <w:tc>
          <w:tcPr>
            <w:tcW w:w="708" w:type="dxa"/>
          </w:tcPr>
          <w:p>
            <w:pPr>
              <w:spacing w:before="40" w:after="40" w:line="240" w:lineRule="auto"/>
            </w:pPr>
            <w:r>
              <w:rPr>
                <w:rFonts w:ascii="Segoe UI" w:hAnsi="Segoe UI" w:cs="Segoe UI" w:eastAsia="Segoe UI"/>
                <w:sz w:val="16"/>
                <w:szCs w:val="16"/>
              </w:rPr>
              <w:t xml:space="preserve">DR-32</w:t>
            </w:r>
          </w:p>
        </w:tc>
        <w:tc>
          <w:tcPr>
            <w:tcW w:w="1573" w:type="dxa"/>
          </w:tcPr>
          <w:p>
            <w:pPr>
              <w:spacing w:before="40" w:after="40" w:line="240" w:lineRule="auto"/>
            </w:pPr>
            <w:r>
              <w:rPr>
                <w:rFonts w:ascii="Segoe UI" w:hAnsi="Segoe UI" w:cs="Segoe UI" w:eastAsia="Segoe UI"/>
                <w:sz w:val="16"/>
                <w:szCs w:val="16"/>
              </w:rPr>
              <w:t xml:space="preserve">Hypercare plan</w:t>
            </w:r>
          </w:p>
        </w:tc>
        <w:tc>
          <w:tcPr>
            <w:tcW w:w="1733" w:type="dxa"/>
          </w:tcPr>
          <w:p>
            <w:pPr>
              <w:spacing w:before="40" w:after="40" w:line="240" w:lineRule="auto"/>
            </w:pPr>
            <w:r>
              <w:rPr>
                <w:rFonts w:ascii="Segoe UI" w:hAnsi="Segoe UI" w:cs="Segoe UI" w:eastAsia="Segoe UI"/>
                <w:sz w:val="16"/>
                <w:szCs w:val="16"/>
              </w:rPr>
              <w:t xml:space="preserve">Drafted in this pack</w:t>
            </w:r>
          </w:p>
        </w:tc>
        <w:tc>
          <w:tcPr>
            <w:tcW w:w="3267"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9 (duration, team, support flow, checks, releases, exit criteria); migration hypercare </w:t>
            </w:r>
            <w:r>
              <w:rPr>
                <w:rFonts w:ascii="Consolas" w:hAnsi="Consolas" w:cs="Consolas" w:eastAsia="Consolas"/>
                <w:color w:val="1F3B57"/>
                <w:sz w:val="14"/>
                <w:szCs w:val="14"/>
                <w:shd w:val="clear" w:color="auto" w:fill="F3F5F8"/>
              </w:rPr>
              <w:t xml:space="preserve">docs/TISPH/pack/TISPH_Data_Migration_and_Cutover.docx</w:t>
            </w:r>
            <w:r>
              <w:rPr>
                <w:rFonts w:ascii="Segoe UI" w:hAnsi="Segoe UI" w:cs="Segoe UI" w:eastAsia="Segoe UI"/>
                <w:sz w:val="16"/>
                <w:szCs w:val="16"/>
              </w:rPr>
              <w:t xml:space="preserve"> section 18</w:t>
            </w:r>
          </w:p>
        </w:tc>
        <w:tc>
          <w:tcPr>
            <w:tcW w:w="1689" w:type="dxa"/>
          </w:tcPr>
          <w:p>
            <w:pPr>
              <w:spacing w:before="40" w:after="40" w:line="240" w:lineRule="auto"/>
            </w:pPr>
            <w:r>
              <w:rPr>
                <w:rFonts w:ascii="Segoe UI" w:hAnsi="Segoe UI" w:cs="Segoe UI" w:eastAsia="Segoe UI"/>
                <w:sz w:val="16"/>
                <w:szCs w:val="16"/>
              </w:rPr>
              <w:t xml:space="preserve">iorta TechNXT Production Support Lead</w:t>
            </w:r>
          </w:p>
        </w:tc>
        <w:tc>
          <w:tcPr>
            <w:tcW w:w="1718" w:type="dxa"/>
          </w:tcPr>
          <w:p>
            <w:pPr>
              <w:spacing w:before="40" w:after="40" w:line="240" w:lineRule="auto"/>
            </w:pPr>
            <w:r>
              <w:rPr>
                <w:rFonts w:ascii="Segoe UI" w:hAnsi="Segoe UI" w:cs="Segoe UI" w:eastAsia="Segoe UI"/>
                <w:sz w:val="16"/>
                <w:szCs w:val="16"/>
              </w:rPr>
              <w:t xml:space="preserve">Head of IT; Project Sponsor</w:t>
            </w:r>
          </w:p>
        </w:tc>
        <w:tc>
          <w:tcPr>
            <w:tcW w:w="3271" w:type="dxa"/>
          </w:tcPr>
          <w:p>
            <w:pPr>
              <w:spacing w:before="40" w:after="40" w:line="240" w:lineRule="auto"/>
            </w:pPr>
            <w:r>
              <w:rPr>
                <w:rFonts w:ascii="Segoe UI" w:hAnsi="Segoe UI" w:cs="Segoe UI" w:eastAsia="Segoe UI"/>
                <w:sz w:val="16"/>
                <w:szCs w:val="16"/>
              </w:rPr>
              <w:t xml:space="preserve">Duration and exit signatory: GQ-06 (commercial).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Further documents the programme holds</w:t>
      </w:r>
      <w:bookmarkEnd w:id="1013"/>
    </w:p>
    <w:p xmlns:a="http://schemas.openxmlformats.org/drawingml/2006/main" xmlns:pic="http://schemas.openxmlformats.org/drawingml/2006/picture">
      <w:pPr>
        <w:jc w:val="both"/>
      </w:pPr>
      <w:r>
        <w:rPr>
          <w:rFonts w:ascii="Segoe UI" w:hAnsi="Segoe UI" w:cs="Segoe UI" w:eastAsia="Segoe UI"/>
        </w:rPr>
        <w:t xml:space="preserve">These are not on the TISPH required list by name but are referred to by the documents above.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2068"/>
        <w:gridCol w:w="1708"/>
        <w:gridCol w:w="3081"/>
        <w:gridCol w:w="1757"/>
        <w:gridCol w:w="1554"/>
        <w:gridCol w:w="3083"/>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2068"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1708" w:type="dxa"/>
            <w:shd w:val="clear" w:color="auto" w:fill="E8F0F8"/>
            <w:vAlign w:val="center"/>
          </w:tcPr>
          <w:p>
            <w:pPr>
              <w:spacing w:before="40" w:after="40" w:line="240" w:lineRule="auto"/>
            </w:pPr>
            <w:r>
              <w:rPr>
                <w:rFonts w:ascii="Segoe UI" w:hAnsi="Segoe UI" w:cs="Segoe UI" w:eastAsia="Segoe UI"/>
                <w:b/>
                <w:bCs/>
                <w:sz w:val="16"/>
                <w:szCs w:val="16"/>
              </w:rPr>
              <w:t xml:space="preserve">Status</w:t>
            </w:r>
          </w:p>
        </w:tc>
        <w:tc>
          <w:tcPr>
            <w:tcW w:w="3081"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held</w:t>
            </w:r>
          </w:p>
        </w:tc>
        <w:tc>
          <w:tcPr>
            <w:tcW w:w="1757"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554" w:type="dxa"/>
            <w:shd w:val="clear" w:color="auto" w:fill="E8F0F8"/>
            <w:vAlign w:val="center"/>
          </w:tcPr>
          <w:p>
            <w:pPr>
              <w:spacing w:before="40" w:after="40" w:line="240" w:lineRule="auto"/>
            </w:pPr>
            <w:r>
              <w:rPr>
                <w:rFonts w:ascii="Segoe UI" w:hAnsi="Segoe UI" w:cs="Segoe UI" w:eastAsia="Segoe UI"/>
                <w:b/>
                <w:bCs/>
                <w:sz w:val="16"/>
                <w:szCs w:val="16"/>
              </w:rPr>
              <w:t xml:space="preserve">Approver (TISPH)</w:t>
            </w:r>
          </w:p>
        </w:tc>
        <w:tc>
          <w:tcPr>
            <w:tcW w:w="3083" w:type="dxa"/>
            <w:shd w:val="clear" w:color="auto" w:fill="E8F0F8"/>
            <w:vAlign w:val="center"/>
          </w:tcPr>
          <w:p>
            <w:pPr>
              <w:spacing w:before="40" w:after="40" w:line="240" w:lineRule="auto"/>
            </w:pPr>
            <w:r>
              <w:rPr>
                <w:rFonts w:ascii="Segoe UI" w:hAnsi="Segoe UI" w:cs="Segoe UI" w:eastAsia="Segoe UI"/>
                <w:b/>
                <w:bCs/>
                <w:sz w:val="16"/>
                <w:szCs w:val="16"/>
              </w:rPr>
              <w:t xml:space="preserve">Notes</w:t>
            </w:r>
          </w:p>
        </w:tc>
      </w:tr>
      <w:tr>
        <w:trPr>
          <w:cantSplit/>
        </w:trPr>
        <w:tc>
          <w:tcPr>
            <w:tcW w:w="708" w:type="dxa"/>
          </w:tcPr>
          <w:p>
            <w:pPr>
              <w:spacing w:before="40" w:after="40" w:line="240" w:lineRule="auto"/>
            </w:pPr>
            <w:r>
              <w:rPr>
                <w:rFonts w:ascii="Segoe UI" w:hAnsi="Segoe UI" w:cs="Segoe UI" w:eastAsia="Segoe UI"/>
                <w:sz w:val="16"/>
                <w:szCs w:val="16"/>
              </w:rPr>
              <w:t xml:space="preserve">DR-33</w:t>
            </w:r>
          </w:p>
        </w:tc>
        <w:tc>
          <w:tcPr>
            <w:tcW w:w="2068" w:type="dxa"/>
          </w:tcPr>
          <w:p>
            <w:pPr>
              <w:spacing w:before="40" w:after="40" w:line="240" w:lineRule="auto"/>
            </w:pPr>
            <w:r>
              <w:rPr>
                <w:rFonts w:ascii="Segoe UI" w:hAnsi="Segoe UI" w:cs="Segoe UI" w:eastAsia="Segoe UI"/>
                <w:sz w:val="16"/>
                <w:szCs w:val="16"/>
              </w:rPr>
              <w:t xml:space="preserve">Environment strategy, CI/CD, release, promotion and rollback</w:t>
            </w:r>
          </w:p>
        </w:tc>
        <w:tc>
          <w:tcPr>
            <w:tcW w:w="1708" w:type="dxa"/>
          </w:tcPr>
          <w:p>
            <w:pPr>
              <w:spacing w:before="40" w:after="40" w:line="240" w:lineRule="auto"/>
            </w:pPr>
            <w:r>
              <w:rPr>
                <w:rFonts w:ascii="Segoe UI" w:hAnsi="Segoe UI" w:cs="Segoe UI" w:eastAsia="Segoe UI"/>
                <w:sz w:val="16"/>
                <w:szCs w:val="16"/>
              </w:rPr>
              <w:t xml:space="preserve">Drafted in this pack</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docs/TISPH/pack/TISPH_Environments_and_Release.docx</w:t>
            </w:r>
          </w:p>
        </w:tc>
        <w:tc>
          <w:tcPr>
            <w:tcW w:w="1757" w:type="dxa"/>
          </w:tcPr>
          <w:p>
            <w:pPr>
              <w:spacing w:before="40" w:after="40" w:line="240" w:lineRule="auto"/>
            </w:pPr>
            <w:r>
              <w:rPr>
                <w:rFonts w:ascii="Segoe UI" w:hAnsi="Segoe UI" w:cs="Segoe UI" w:eastAsia="Segoe UI"/>
                <w:sz w:val="16"/>
                <w:szCs w:val="16"/>
              </w:rPr>
              <w:t xml:space="preserve">iorta TechNXT DevOps Lead</w:t>
            </w:r>
          </w:p>
        </w:tc>
        <w:tc>
          <w:tcPr>
            <w:tcW w:w="1554" w:type="dxa"/>
          </w:tcPr>
          <w:p>
            <w:pPr>
              <w:spacing w:before="40" w:after="40" w:line="240" w:lineRule="auto"/>
            </w:pPr>
            <w:r>
              <w:rPr>
                <w:rFonts w:ascii="Segoe UI" w:hAnsi="Segoe UI" w:cs="Segoe UI" w:eastAsia="Segoe UI"/>
                <w:sz w:val="16"/>
                <w:szCs w:val="16"/>
              </w:rPr>
              <w:t xml:space="preserve">Head of IT; Internal Audit</w:t>
            </w:r>
          </w:p>
        </w:tc>
        <w:tc>
          <w:tcPr>
            <w:tcW w:w="3083" w:type="dxa"/>
          </w:tcPr>
          <w:p>
            <w:pPr>
              <w:spacing w:before="40" w:after="40" w:line="240" w:lineRule="auto"/>
            </w:pPr>
            <w:r>
              <w:rPr>
                <w:rFonts w:ascii="Segoe UI" w:hAnsi="Segoe UI" w:cs="Segoe UI" w:eastAsia="Segoe UI"/>
                <w:sz w:val="16"/>
                <w:szCs w:val="16"/>
              </w:rPr>
              <w:t xml:space="preserve">Supports DR-07, DR-08, DR-27.</w:t>
            </w:r>
          </w:p>
        </w:tc>
      </w:tr>
      <w:tr>
        <w:trPr>
          <w:cantSplit/>
        </w:trPr>
        <w:tc>
          <w:tcPr>
            <w:tcW w:w="708" w:type="dxa"/>
          </w:tcPr>
          <w:p>
            <w:pPr>
              <w:spacing w:before="40" w:after="40" w:line="240" w:lineRule="auto"/>
            </w:pPr>
            <w:r>
              <w:rPr>
                <w:rFonts w:ascii="Segoe UI" w:hAnsi="Segoe UI" w:cs="Segoe UI" w:eastAsia="Segoe UI"/>
                <w:sz w:val="16"/>
                <w:szCs w:val="16"/>
              </w:rPr>
              <w:t xml:space="preserve">DR-34</w:t>
            </w:r>
          </w:p>
        </w:tc>
        <w:tc>
          <w:tcPr>
            <w:tcW w:w="2068" w:type="dxa"/>
          </w:tcPr>
          <w:p>
            <w:pPr>
              <w:spacing w:before="40" w:after="40" w:line="240" w:lineRule="auto"/>
            </w:pPr>
            <w:r>
              <w:rPr>
                <w:rFonts w:ascii="Segoe UI" w:hAnsi="Segoe UI" w:cs="Segoe UI" w:eastAsia="Segoe UI"/>
                <w:sz w:val="16"/>
                <w:szCs w:val="16"/>
              </w:rPr>
              <w:t xml:space="preserve">Data migration and cutover plan</w:t>
            </w:r>
          </w:p>
        </w:tc>
        <w:tc>
          <w:tcPr>
            <w:tcW w:w="1708" w:type="dxa"/>
          </w:tcPr>
          <w:p>
            <w:pPr>
              <w:spacing w:before="40" w:after="40" w:line="240" w:lineRule="auto"/>
            </w:pPr>
            <w:r>
              <w:rPr>
                <w:rFonts w:ascii="Segoe UI" w:hAnsi="Segoe UI" w:cs="Segoe UI" w:eastAsia="Segoe UI"/>
                <w:sz w:val="16"/>
                <w:szCs w:val="16"/>
              </w:rPr>
              <w:t xml:space="preserve">Drafted in this pack</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docs/TISPH/pack/TISPH_Data_Migration_and_Cutover.docx</w:t>
            </w:r>
            <w:r>
              <w:rPr>
                <w:rFonts w:ascii="Segoe UI" w:hAnsi="Segoe UI" w:cs="Segoe UI" w:eastAsia="Segoe UI"/>
                <w:sz w:val="16"/>
                <w:szCs w:val="16"/>
              </w:rPr>
              <w:t xml:space="preserve">; templates generated into </w:t>
            </w:r>
            <w:r>
              <w:rPr>
                <w:rFonts w:ascii="Consolas" w:hAnsi="Consolas" w:cs="Consolas" w:eastAsia="Consolas"/>
                <w:color w:val="1F3B57"/>
                <w:sz w:val="14"/>
                <w:szCs w:val="14"/>
                <w:shd w:val="clear" w:color="auto" w:fill="F3F5F8"/>
              </w:rPr>
              <w:t xml:space="preserve">docs/package/05_Delivery/Upload_Templates/</w:t>
            </w:r>
            <w:r>
              <w:rPr>
                <w:rFonts w:ascii="Segoe UI" w:hAnsi="Segoe UI" w:cs="Segoe UI" w:eastAsia="Segoe UI"/>
                <w:sz w:val="16"/>
                <w:szCs w:val="16"/>
              </w:rPr>
              <w:t xml:space="preserve">; procedures </w:t>
            </w:r>
            <w:r>
              <w:rPr>
                <w:rFonts w:ascii="Consolas" w:hAnsi="Consolas" w:cs="Consolas" w:eastAsia="Consolas"/>
                <w:color w:val="1F3B57"/>
                <w:sz w:val="14"/>
                <w:szCs w:val="14"/>
                <w:shd w:val="clear" w:color="auto" w:fill="F3F5F8"/>
              </w:rPr>
              <w:t xml:space="preserve">docs/onboarding/GO_LIVE_DATA_SETUP.md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GO_LIVE_DATA_WORKBENCH.md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SMOKE_TEST_AND_RESET.md</w:t>
            </w:r>
          </w:p>
        </w:tc>
        <w:tc>
          <w:tcPr>
            <w:tcW w:w="1757" w:type="dxa"/>
          </w:tcPr>
          <w:p>
            <w:pPr>
              <w:spacing w:before="40" w:after="40" w:line="240" w:lineRule="auto"/>
            </w:pPr>
            <w:r>
              <w:rPr>
                <w:rFonts w:ascii="Segoe UI" w:hAnsi="Segoe UI" w:cs="Segoe UI" w:eastAsia="Segoe UI"/>
                <w:sz w:val="16"/>
                <w:szCs w:val="16"/>
              </w:rPr>
              <w:t xml:space="preserve">iorta TechNXT Migration Lead</w:t>
            </w:r>
          </w:p>
        </w:tc>
        <w:tc>
          <w:tcPr>
            <w:tcW w:w="1554" w:type="dxa"/>
          </w:tcPr>
          <w:p>
            <w:pPr>
              <w:spacing w:before="40" w:after="40" w:line="240" w:lineRule="auto"/>
            </w:pPr>
            <w:r>
              <w:rPr>
                <w:rFonts w:ascii="Segoe UI" w:hAnsi="Segoe UI" w:cs="Segoe UI" w:eastAsia="Segoe UI"/>
                <w:sz w:val="16"/>
                <w:szCs w:val="16"/>
              </w:rPr>
              <w:t xml:space="preserve">Finance Head; Operations Unit Head; Project Sponsor</w:t>
            </w:r>
          </w:p>
        </w:tc>
        <w:tc>
          <w:tcPr>
            <w:tcW w:w="3083" w:type="dxa"/>
          </w:tcPr>
          <w:p>
            <w:pPr>
              <w:spacing w:before="40" w:after="40" w:line="240" w:lineRule="auto"/>
            </w:pPr>
            <w:r>
              <w:rPr>
                <w:rFonts w:ascii="Segoe UI" w:hAnsi="Segoe UI" w:cs="Segoe UI" w:eastAsia="Segoe UI"/>
                <w:sz w:val="16"/>
                <w:szCs w:val="16"/>
              </w:rPr>
              <w:t xml:space="preserve">Upload with template on every master and the Setup Workbook are Planned (GP-04, MU-A, MU-B).</w:t>
            </w:r>
          </w:p>
        </w:tc>
      </w:tr>
      <w:tr>
        <w:trPr>
          <w:cantSplit/>
        </w:trPr>
        <w:tc>
          <w:tcPr>
            <w:tcW w:w="708" w:type="dxa"/>
          </w:tcPr>
          <w:p>
            <w:pPr>
              <w:spacing w:before="40" w:after="40" w:line="240" w:lineRule="auto"/>
            </w:pPr>
            <w:r>
              <w:rPr>
                <w:rFonts w:ascii="Segoe UI" w:hAnsi="Segoe UI" w:cs="Segoe UI" w:eastAsia="Segoe UI"/>
                <w:sz w:val="16"/>
                <w:szCs w:val="16"/>
              </w:rPr>
              <w:t xml:space="preserve">DR-35</w:t>
            </w:r>
          </w:p>
        </w:tc>
        <w:tc>
          <w:tcPr>
            <w:tcW w:w="2068" w:type="dxa"/>
          </w:tcPr>
          <w:p>
            <w:pPr>
              <w:spacing w:before="40" w:after="40" w:line="240" w:lineRule="auto"/>
            </w:pPr>
            <w:r>
              <w:rPr>
                <w:rFonts w:ascii="Segoe UI" w:hAnsi="Segoe UI" w:cs="Segoe UI" w:eastAsia="Segoe UI"/>
                <w:sz w:val="16"/>
                <w:szCs w:val="16"/>
              </w:rPr>
              <w:t xml:space="preserve">Service levels (SLA and SLO proposal)</w:t>
            </w:r>
          </w:p>
        </w:tc>
        <w:tc>
          <w:tcPr>
            <w:tcW w:w="1708" w:type="dxa"/>
          </w:tcPr>
          <w:p>
            <w:pPr>
              <w:spacing w:before="40" w:after="40" w:line="240" w:lineRule="auto"/>
            </w:pPr>
            <w:r>
              <w:rPr>
                <w:rFonts w:ascii="Segoe UI" w:hAnsi="Segoe UI" w:cs="Segoe UI" w:eastAsia="Segoe UI"/>
                <w:sz w:val="16"/>
                <w:szCs w:val="16"/>
              </w:rPr>
              <w:t xml:space="preserve">Drafted in this pack (proposal); Commercial input</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r>
              <w:rPr>
                <w:rFonts w:ascii="Segoe UI" w:hAnsi="Segoe UI" w:cs="Segoe UI" w:eastAsia="Segoe UI"/>
                <w:sz w:val="16"/>
                <w:szCs w:val="16"/>
              </w:rPr>
              <w:t xml:space="preserve"> section 14</w:t>
            </w:r>
          </w:p>
        </w:tc>
        <w:tc>
          <w:tcPr>
            <w:tcW w:w="1757" w:type="dxa"/>
          </w:tcPr>
          <w:p>
            <w:pPr>
              <w:spacing w:before="40" w:after="40" w:line="240" w:lineRule="auto"/>
            </w:pPr>
            <w:r>
              <w:rPr>
                <w:rFonts w:ascii="Segoe UI" w:hAnsi="Segoe UI" w:cs="Segoe UI" w:eastAsia="Segoe UI"/>
                <w:sz w:val="16"/>
                <w:szCs w:val="16"/>
              </w:rPr>
              <w:t xml:space="preserve">iorta TechNXT Production Support Lead</w:t>
            </w:r>
          </w:p>
        </w:tc>
        <w:tc>
          <w:tcPr>
            <w:tcW w:w="1554" w:type="dxa"/>
          </w:tcPr>
          <w:p>
            <w:pPr>
              <w:spacing w:before="40" w:after="40" w:line="240" w:lineRule="auto"/>
            </w:pPr>
            <w:r>
              <w:rPr>
                <w:rFonts w:ascii="Segoe UI" w:hAnsi="Segoe UI" w:cs="Segoe UI" w:eastAsia="Segoe UI"/>
                <w:sz w:val="16"/>
                <w:szCs w:val="16"/>
              </w:rPr>
              <w:t xml:space="preserve">Head of IT</w:t>
            </w:r>
          </w:p>
        </w:tc>
        <w:tc>
          <w:tcPr>
            <w:tcW w:w="3083" w:type="dxa"/>
          </w:tcPr>
          <w:p>
            <w:pPr>
              <w:spacing w:before="40" w:after="40" w:line="240" w:lineRule="auto"/>
            </w:pPr>
            <w:r>
              <w:rPr>
                <w:rFonts w:ascii="Segoe UI" w:hAnsi="Segoe UI" w:cs="Segoe UI" w:eastAsia="Segoe UI"/>
                <w:sz w:val="16"/>
                <w:szCs w:val="16"/>
              </w:rPr>
              <w:t xml:space="preserve">Binding service levels belong to the support agreement (P20, GP-18).</w:t>
            </w:r>
          </w:p>
        </w:tc>
      </w:tr>
      <w:tr>
        <w:trPr>
          <w:cantSplit/>
        </w:trPr>
        <w:tc>
          <w:tcPr>
            <w:tcW w:w="708" w:type="dxa"/>
          </w:tcPr>
          <w:p>
            <w:pPr>
              <w:spacing w:before="40" w:after="40" w:line="240" w:lineRule="auto"/>
            </w:pPr>
            <w:r>
              <w:rPr>
                <w:rFonts w:ascii="Segoe UI" w:hAnsi="Segoe UI" w:cs="Segoe UI" w:eastAsia="Segoe UI"/>
                <w:sz w:val="16"/>
                <w:szCs w:val="16"/>
              </w:rPr>
              <w:t xml:space="preserve">DR-36</w:t>
            </w:r>
          </w:p>
        </w:tc>
        <w:tc>
          <w:tcPr>
            <w:tcW w:w="2068" w:type="dxa"/>
          </w:tcPr>
          <w:p>
            <w:pPr>
              <w:spacing w:before="40" w:after="40" w:line="240" w:lineRule="auto"/>
            </w:pPr>
            <w:r>
              <w:rPr>
                <w:rFonts w:ascii="Segoe UI" w:hAnsi="Segoe UI" w:cs="Segoe UI" w:eastAsia="Segoe UI"/>
                <w:sz w:val="16"/>
                <w:szCs w:val="16"/>
              </w:rPr>
              <w:t xml:space="preserve">Training and adoption plan</w:t>
            </w:r>
          </w:p>
        </w:tc>
        <w:tc>
          <w:tcPr>
            <w:tcW w:w="1708" w:type="dxa"/>
          </w:tcPr>
          <w:p>
            <w:pPr>
              <w:spacing w:before="40" w:after="40" w:line="240" w:lineRule="auto"/>
            </w:pPr>
            <w:r>
              <w:rPr>
                <w:rFonts w:ascii="Segoe UI" w:hAnsi="Segoe UI" w:cs="Segoe UI" w:eastAsia="Segoe UI"/>
                <w:sz w:val="16"/>
                <w:szCs w:val="16"/>
              </w:rPr>
              <w:t xml:space="preserve">Drafted in this pack</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11</w:t>
            </w:r>
          </w:p>
        </w:tc>
        <w:tc>
          <w:tcPr>
            <w:tcW w:w="1757" w:type="dxa"/>
          </w:tcPr>
          <w:p>
            <w:pPr>
              <w:spacing w:before="40" w:after="40" w:line="240" w:lineRule="auto"/>
            </w:pPr>
            <w:r>
              <w:rPr>
                <w:rFonts w:ascii="Segoe UI" w:hAnsi="Segoe UI" w:cs="Segoe UI" w:eastAsia="Segoe UI"/>
                <w:sz w:val="16"/>
                <w:szCs w:val="16"/>
              </w:rPr>
              <w:t xml:space="preserve">iorta TechNXT Training Lead</w:t>
            </w:r>
          </w:p>
        </w:tc>
        <w:tc>
          <w:tcPr>
            <w:tcW w:w="1554" w:type="dxa"/>
          </w:tcPr>
          <w:p>
            <w:pPr>
              <w:spacing w:before="40" w:after="40" w:line="240" w:lineRule="auto"/>
            </w:pPr>
            <w:r>
              <w:rPr>
                <w:rFonts w:ascii="Segoe UI" w:hAnsi="Segoe UI" w:cs="Segoe UI" w:eastAsia="Segoe UI"/>
                <w:sz w:val="16"/>
                <w:szCs w:val="16"/>
              </w:rPr>
              <w:t xml:space="preserve">Business Process Owners</w:t>
            </w:r>
          </w:p>
        </w:tc>
        <w:tc>
          <w:tcPr>
            <w:tcW w:w="3083" w:type="dxa"/>
          </w:tcPr>
          <w:p>
            <w:pPr>
              <w:spacing w:before="40" w:after="40" w:line="240" w:lineRule="auto"/>
            </w:pPr>
            <w:r>
              <w:rPr>
                <w:rFonts w:ascii="Segoe UI" w:hAnsi="Segoe UI" w:cs="Segoe UI" w:eastAsia="Segoe UI"/>
                <w:sz w:val="16"/>
                <w:szCs w:val="16"/>
              </w:rPr>
              <w:t xml:space="preserve">Venue, environment and pass mark: GQ-08.</w:t>
            </w:r>
          </w:p>
        </w:tc>
      </w:tr>
      <w:tr>
        <w:trPr>
          <w:cantSplit/>
        </w:trPr>
        <w:tc>
          <w:tcPr>
            <w:tcW w:w="708" w:type="dxa"/>
          </w:tcPr>
          <w:p>
            <w:pPr>
              <w:spacing w:before="40" w:after="40" w:line="240" w:lineRule="auto"/>
            </w:pPr>
            <w:r>
              <w:rPr>
                <w:rFonts w:ascii="Segoe UI" w:hAnsi="Segoe UI" w:cs="Segoe UI" w:eastAsia="Segoe UI"/>
                <w:sz w:val="16"/>
                <w:szCs w:val="16"/>
              </w:rPr>
              <w:t xml:space="preserve">DR-37</w:t>
            </w:r>
          </w:p>
        </w:tc>
        <w:tc>
          <w:tcPr>
            <w:tcW w:w="2068" w:type="dxa"/>
          </w:tcPr>
          <w:p>
            <w:pPr>
              <w:spacing w:before="40" w:after="40" w:line="240" w:lineRule="auto"/>
            </w:pPr>
            <w:r>
              <w:rPr>
                <w:rFonts w:ascii="Segoe UI" w:hAnsi="Segoe UI" w:cs="Segoe UI" w:eastAsia="Segoe UI"/>
                <w:sz w:val="16"/>
                <w:szCs w:val="16"/>
              </w:rPr>
              <w:t xml:space="preserve">Non-production data masking procedure</w:t>
            </w:r>
          </w:p>
        </w:tc>
        <w:tc>
          <w:tcPr>
            <w:tcW w:w="1708" w:type="dxa"/>
          </w:tcPr>
          <w:p>
            <w:pPr>
              <w:spacing w:before="40" w:after="40" w:line="240" w:lineRule="auto"/>
            </w:pPr>
            <w:r>
              <w:rPr>
                <w:rFonts w:ascii="Segoe UI" w:hAnsi="Segoe UI" w:cs="Segoe UI" w:eastAsia="Segoe UI"/>
                <w:sz w:val="16"/>
                <w:szCs w:val="16"/>
              </w:rPr>
              <w:t xml:space="preserve">Exists in repo</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docs/onboarding/DATA_MASKING.md</w:t>
            </w:r>
            <w:r>
              <w:rPr>
                <w:rFonts w:ascii="Segoe UI" w:hAnsi="Segoe UI" w:cs="Segoe UI" w:eastAsia="Segoe UI"/>
                <w:sz w:val="16"/>
                <w:szCs w:val="16"/>
              </w:rPr>
              <w:t xml:space="preserve"> (tool </w:t>
            </w:r>
            <w:r>
              <w:rPr>
                <w:rFonts w:ascii="Consolas" w:hAnsi="Consolas" w:cs="Consolas" w:eastAsia="Consolas"/>
                <w:color w:val="1F3B57"/>
                <w:sz w:val="14"/>
                <w:szCs w:val="14"/>
                <w:shd w:val="clear" w:color="auto" w:fill="F3F5F8"/>
              </w:rPr>
              <w:t xml:space="preserve">npm run mask:data</w:t>
            </w:r>
            <w:r>
              <w:rPr>
                <w:rFonts w:ascii="Segoe UI" w:hAnsi="Segoe UI" w:cs="Segoe UI" w:eastAsia="Segoe UI"/>
                <w:sz w:val="16"/>
                <w:szCs w:val="16"/>
              </w:rPr>
              <w:t xml:space="preserve">); described in </w:t>
            </w: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13 and </w:t>
            </w:r>
            <w:r>
              <w:rPr>
                <w:rFonts w:ascii="Consolas" w:hAnsi="Consolas" w:cs="Consolas" w:eastAsia="Consolas"/>
                <w:color w:val="1F3B57"/>
                <w:sz w:val="14"/>
                <w:szCs w:val="14"/>
                <w:shd w:val="clear" w:color="auto" w:fill="F3F5F8"/>
              </w:rPr>
              <w:t xml:space="preserve">docs/TISPH/pack/TISPH_Security_Architecture.docx</w:t>
            </w:r>
            <w:r>
              <w:rPr>
                <w:rFonts w:ascii="Segoe UI" w:hAnsi="Segoe UI" w:cs="Segoe UI" w:eastAsia="Segoe UI"/>
                <w:sz w:val="16"/>
                <w:szCs w:val="16"/>
              </w:rPr>
              <w:t xml:space="preserve"> section 7</w:t>
            </w:r>
          </w:p>
        </w:tc>
        <w:tc>
          <w:tcPr>
            <w:tcW w:w="1757" w:type="dxa"/>
          </w:tcPr>
          <w:p>
            <w:pPr>
              <w:spacing w:before="40" w:after="40" w:line="240" w:lineRule="auto"/>
            </w:pPr>
            <w:r>
              <w:rPr>
                <w:rFonts w:ascii="Segoe UI" w:hAnsi="Segoe UI" w:cs="Segoe UI" w:eastAsia="Segoe UI"/>
                <w:sz w:val="16"/>
                <w:szCs w:val="16"/>
              </w:rPr>
              <w:t xml:space="preserve">iorta TechNXT DevOps Lead</w:t>
            </w:r>
          </w:p>
        </w:tc>
        <w:tc>
          <w:tcPr>
            <w:tcW w:w="1554" w:type="dxa"/>
          </w:tcPr>
          <w:p>
            <w:pPr>
              <w:spacing w:before="40" w:after="40" w:line="240" w:lineRule="auto"/>
            </w:pPr>
            <w:r>
              <w:rPr>
                <w:rFonts w:ascii="Segoe UI" w:hAnsi="Segoe UI" w:cs="Segoe UI" w:eastAsia="Segoe UI"/>
                <w:sz w:val="16"/>
                <w:szCs w:val="16"/>
              </w:rPr>
              <w:t xml:space="preserve">Data Protection Officer</w:t>
            </w:r>
          </w:p>
        </w:tc>
        <w:tc>
          <w:tcPr>
            <w:tcW w:w="3083" w:type="dxa"/>
          </w:tcPr>
          <w:p>
            <w:pPr>
              <w:spacing w:before="40" w:after="40" w:line="240" w:lineRule="auto"/>
            </w:pPr>
          </w:p>
        </w:tc>
      </w:tr>
      <w:tr>
        <w:trPr>
          <w:cantSplit/>
        </w:trPr>
        <w:tc>
          <w:tcPr>
            <w:tcW w:w="708" w:type="dxa"/>
          </w:tcPr>
          <w:p>
            <w:pPr>
              <w:spacing w:before="40" w:after="40" w:line="240" w:lineRule="auto"/>
            </w:pPr>
            <w:r>
              <w:rPr>
                <w:rFonts w:ascii="Segoe UI" w:hAnsi="Segoe UI" w:cs="Segoe UI" w:eastAsia="Segoe UI"/>
                <w:sz w:val="16"/>
                <w:szCs w:val="16"/>
              </w:rPr>
              <w:t xml:space="preserve">DR-38</w:t>
            </w:r>
          </w:p>
        </w:tc>
        <w:tc>
          <w:tcPr>
            <w:tcW w:w="2068" w:type="dxa"/>
          </w:tcPr>
          <w:p>
            <w:pPr>
              <w:spacing w:before="40" w:after="40" w:line="240" w:lineRule="auto"/>
            </w:pPr>
            <w:r>
              <w:rPr>
                <w:rFonts w:ascii="Segoe UI" w:hAnsi="Segoe UI" w:cs="Segoe UI" w:eastAsia="Segoe UI"/>
                <w:sz w:val="16"/>
                <w:szCs w:val="16"/>
              </w:rPr>
              <w:t xml:space="preserve">Release notes</w:t>
            </w:r>
          </w:p>
        </w:tc>
        <w:tc>
          <w:tcPr>
            <w:tcW w:w="1708" w:type="dxa"/>
          </w:tcPr>
          <w:p>
            <w:pPr>
              <w:spacing w:before="40" w:after="40" w:line="240" w:lineRule="auto"/>
            </w:pPr>
            <w:r>
              <w:rPr>
                <w:rFonts w:ascii="Segoe UI" w:hAnsi="Segoe UI" w:cs="Segoe UI" w:eastAsia="Segoe UI"/>
                <w:sz w:val="16"/>
                <w:szCs w:val="16"/>
              </w:rPr>
              <w:t xml:space="preserve">Exists in repo (template)</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docs/package/06_Support/BrokerVerse_Release_Notes_Template.docx</w:t>
            </w:r>
          </w:p>
        </w:tc>
        <w:tc>
          <w:tcPr>
            <w:tcW w:w="1757" w:type="dxa"/>
          </w:tcPr>
          <w:p>
            <w:pPr>
              <w:spacing w:before="40" w:after="40" w:line="240" w:lineRule="auto"/>
            </w:pPr>
            <w:r>
              <w:rPr>
                <w:rFonts w:ascii="Segoe UI" w:hAnsi="Segoe UI" w:cs="Segoe UI" w:eastAsia="Segoe UI"/>
                <w:sz w:val="16"/>
                <w:szCs w:val="16"/>
              </w:rPr>
              <w:t xml:space="preserve">iorta TechNXT Release Manager</w:t>
            </w:r>
          </w:p>
        </w:tc>
        <w:tc>
          <w:tcPr>
            <w:tcW w:w="1554" w:type="dxa"/>
          </w:tcPr>
          <w:p>
            <w:pPr>
              <w:spacing w:before="40" w:after="40" w:line="240" w:lineRule="auto"/>
            </w:pPr>
            <w:r>
              <w:rPr>
                <w:rFonts w:ascii="Segoe UI" w:hAnsi="Segoe UI" w:cs="Segoe UI" w:eastAsia="Segoe UI"/>
                <w:sz w:val="16"/>
                <w:szCs w:val="16"/>
              </w:rPr>
              <w:t xml:space="preserve">Release and Change Advisory</w:t>
            </w:r>
          </w:p>
        </w:tc>
        <w:tc>
          <w:tcPr>
            <w:tcW w:w="3083" w:type="dxa"/>
          </w:tcPr>
          <w:p>
            <w:pPr>
              <w:spacing w:before="40" w:after="40" w:line="240" w:lineRule="auto"/>
            </w:pPr>
            <w:r>
              <w:rPr>
                <w:rFonts w:ascii="Segoe UI" w:hAnsi="Segoe UI" w:cs="Segoe UI" w:eastAsia="Segoe UI"/>
                <w:sz w:val="16"/>
                <w:szCs w:val="16"/>
              </w:rPr>
              <w:t xml:space="preserve">Referred to by production readiness item B-07 in </w:t>
            </w:r>
            <w:r>
              <w:rPr>
                <w:rFonts w:ascii="Consolas" w:hAnsi="Consolas" w:cs="Consolas" w:eastAsia="Consolas"/>
                <w:color w:val="1F3B57"/>
                <w:sz w:val="14"/>
                <w:szCs w:val="14"/>
                <w:shd w:val="clear" w:color="auto" w:fill="F3F5F8"/>
              </w:rPr>
              <w:t xml:space="preserve">docs/TISPH/pack/TISPH_Delivery_Governance.docx</w:t>
            </w:r>
            <w:r>
              <w:rPr>
                <w:rFonts w:ascii="Segoe UI" w:hAnsi="Segoe UI" w:cs="Segoe UI" w:eastAsia="Segoe UI"/>
                <w:sz w:val="16"/>
                <w:szCs w:val="16"/>
              </w:rPr>
              <w:t xml:space="preserve"> section 7.</w:t>
            </w:r>
          </w:p>
        </w:tc>
      </w:tr>
      <w:tr>
        <w:trPr>
          <w:cantSplit/>
        </w:trPr>
        <w:tc>
          <w:tcPr>
            <w:tcW w:w="708" w:type="dxa"/>
          </w:tcPr>
          <w:p>
            <w:pPr>
              <w:spacing w:before="40" w:after="40" w:line="240" w:lineRule="auto"/>
            </w:pPr>
            <w:r>
              <w:rPr>
                <w:rFonts w:ascii="Segoe UI" w:hAnsi="Segoe UI" w:cs="Segoe UI" w:eastAsia="Segoe UI"/>
                <w:sz w:val="16"/>
                <w:szCs w:val="16"/>
              </w:rPr>
              <w:t xml:space="preserve">DR-39</w:t>
            </w:r>
          </w:p>
        </w:tc>
        <w:tc>
          <w:tcPr>
            <w:tcW w:w="2068" w:type="dxa"/>
          </w:tcPr>
          <w:p>
            <w:pPr>
              <w:spacing w:before="40" w:after="40" w:line="240" w:lineRule="auto"/>
            </w:pPr>
            <w:r>
              <w:rPr>
                <w:rFonts w:ascii="Segoe UI" w:hAnsi="Segoe UI" w:cs="Segoe UI" w:eastAsia="Segoe UI"/>
                <w:sz w:val="16"/>
                <w:szCs w:val="16"/>
              </w:rPr>
              <w:t xml:space="preserve">Privacy impact assessment and records of processing</w:t>
            </w:r>
          </w:p>
        </w:tc>
        <w:tc>
          <w:tcPr>
            <w:tcW w:w="1708" w:type="dxa"/>
          </w:tcPr>
          <w:p>
            <w:pPr>
              <w:spacing w:before="40" w:after="40" w:line="240" w:lineRule="auto"/>
            </w:pPr>
            <w:r>
              <w:rPr>
                <w:rFonts w:ascii="Segoe UI" w:hAnsi="Segoe UI" w:cs="Segoe UI" w:eastAsia="Segoe UI"/>
                <w:sz w:val="16"/>
                <w:szCs w:val="16"/>
              </w:rPr>
              <w:t xml:space="preserve">Exists in repo (generic templates); Planned (TISPH completion)</w:t>
            </w:r>
          </w:p>
        </w:tc>
        <w:tc>
          <w:tcPr>
            <w:tcW w:w="3081" w:type="dxa"/>
          </w:tcPr>
          <w:p>
            <w:pPr>
              <w:spacing w:before="40" w:after="40" w:line="240" w:lineRule="auto"/>
            </w:pPr>
            <w:r>
              <w:rPr>
                <w:rFonts w:ascii="Consolas" w:hAnsi="Consolas" w:cs="Consolas" w:eastAsia="Consolas"/>
                <w:color w:val="1F3B57"/>
                <w:sz w:val="14"/>
                <w:szCs w:val="14"/>
                <w:shd w:val="clear" w:color="auto" w:fill="F3F5F8"/>
              </w:rPr>
              <w:t xml:space="preserve">docs/package/04_Onboarding_and_Go_Live/BrokerVerse_Privacy_Impact_Assessment_and_Records_of_Processing_Templates.*</w:t>
            </w:r>
          </w:p>
        </w:tc>
        <w:tc>
          <w:tcPr>
            <w:tcW w:w="1757" w:type="dxa"/>
          </w:tcPr>
          <w:p>
            <w:pPr>
              <w:spacing w:before="40" w:after="40" w:line="240" w:lineRule="auto"/>
            </w:pPr>
            <w:r>
              <w:rPr>
                <w:rFonts w:ascii="Segoe UI" w:hAnsi="Segoe UI" w:cs="Segoe UI" w:eastAsia="Segoe UI"/>
                <w:sz w:val="16"/>
                <w:szCs w:val="16"/>
              </w:rPr>
              <w:t xml:space="preserve">TISPH Data Protection Officer, supported by iorta TechNXT Solution Architect (data)</w:t>
            </w:r>
          </w:p>
        </w:tc>
        <w:tc>
          <w:tcPr>
            <w:tcW w:w="1554" w:type="dxa"/>
          </w:tcPr>
          <w:p>
            <w:pPr>
              <w:spacing w:before="40" w:after="40" w:line="240" w:lineRule="auto"/>
            </w:pPr>
            <w:r>
              <w:rPr>
                <w:rFonts w:ascii="Segoe UI" w:hAnsi="Segoe UI" w:cs="Segoe UI" w:eastAsia="Segoe UI"/>
                <w:sz w:val="16"/>
                <w:szCs w:val="16"/>
              </w:rPr>
              <w:t xml:space="preserve">Data Protection Officer</w:t>
            </w:r>
          </w:p>
        </w:tc>
        <w:tc>
          <w:tcPr>
            <w:tcW w:w="3083" w:type="dxa"/>
          </w:tcPr>
          <w:p>
            <w:pPr>
              <w:spacing w:before="40" w:after="40" w:line="240" w:lineRule="auto"/>
            </w:pPr>
            <w:r>
              <w:rPr>
                <w:rFonts w:ascii="Segoe UI" w:hAnsi="Segoe UI" w:cs="Segoe UI" w:eastAsia="Segoe UI"/>
                <w:sz w:val="16"/>
                <w:szCs w:val="16"/>
              </w:rPr>
              <w:t xml:space="preserve">Completion is TISPH's; the personal data catalogue it needs is in </w:t>
            </w:r>
            <w:r>
              <w:rPr>
                <w:rFonts w:ascii="Consolas" w:hAnsi="Consolas" w:cs="Consolas" w:eastAsia="Consolas"/>
                <w:color w:val="1F3B57"/>
                <w:sz w:val="14"/>
                <w:szCs w:val="14"/>
                <w:shd w:val="clear" w:color="auto" w:fill="F3F5F8"/>
              </w:rPr>
              <w:t xml:space="preserve">docs/TISPH/pack/TISPH_Data_Architecture.docx</w:t>
            </w:r>
            <w:r>
              <w:rPr>
                <w:rFonts w:ascii="Segoe UI" w:hAnsi="Segoe UI" w:cs="Segoe UI" w:eastAsia="Segoe UI"/>
                <w:sz w:val="16"/>
                <w:szCs w:val="16"/>
              </w:rPr>
              <w:t xml:space="preserve"> section 13 and </w:t>
            </w:r>
            <w:r>
              <w:rPr>
                <w:rFonts w:ascii="Consolas" w:hAnsi="Consolas" w:cs="Consolas" w:eastAsia="Consolas"/>
                <w:color w:val="1F3B57"/>
                <w:sz w:val="14"/>
                <w:szCs w:val="14"/>
                <w:shd w:val="clear" w:color="auto" w:fill="F3F5F8"/>
              </w:rPr>
              <w:t xml:space="preserve">docs/TISPH/pack/TISPH_Security_Architecture.docx</w:t>
            </w:r>
            <w:r>
              <w:rPr>
                <w:rFonts w:ascii="Segoe UI" w:hAnsi="Segoe UI" w:cs="Segoe UI" w:eastAsia="Segoe UI"/>
                <w:sz w:val="16"/>
                <w:szCs w:val="16"/>
              </w:rPr>
              <w:t xml:space="preserve"> section 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spacing w:before="0" w:after="0" w:line="20" w:lineRule="exact"/>
        <w:sectPr w:rsidR="008501FA" w:rsidRPr="00EF479A" w:rsidSect="004477F0">
          <w:footerReference w:type="default" r:id="rId19"/>
          <w:headerReference w:type="first" r:id="rId15"/>
          <w:footerReference w:type="first" r:id="rId16"/>
          <w:pgSz w:w="16839" w:h="11907" w:code="9" w:orient="landscape"/>
          <w:pgMar w:top="1440" w:right="1440" w:bottom="1860" w:left="1440" w:header="1134" w:footer="0" w:gutter="0"/>
          <w:cols w:space="720"/>
          <w:docGrid w:linePitch="360"/>
        </w:sect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Contents of this pack</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01"/>
        <w:gridCol w:w="2833"/>
        <w:gridCol w:w="3293"/>
      </w:tblGrid>
      <w:tr>
        <w:trPr>
          <w:cantSplit/>
          <w:tblHeader/>
          <w:trHeight w:val="400"/>
        </w:trPr>
        <w:tc>
          <w:tcPr>
            <w:tcW w:w="2901"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2833" w:type="dxa"/>
            <w:shd w:val="clear" w:color="auto" w:fill="E8F0F8"/>
            <w:vAlign w:val="center"/>
          </w:tcPr>
          <w:p>
            <w:pPr>
              <w:spacing w:before="40" w:after="40" w:line="240" w:lineRule="auto"/>
            </w:pPr>
            <w:r>
              <w:rPr>
                <w:rFonts w:ascii="Segoe UI" w:hAnsi="Segoe UI" w:cs="Segoe UI" w:eastAsia="Segoe UI"/>
                <w:b/>
                <w:bCs/>
                <w:sz w:val="16"/>
                <w:szCs w:val="16"/>
              </w:rPr>
              <w:t xml:space="preserve">Document</w:t>
            </w:r>
          </w:p>
        </w:tc>
        <w:tc>
          <w:tcPr>
            <w:tcW w:w="3293" w:type="dxa"/>
            <w:shd w:val="clear" w:color="auto" w:fill="E8F0F8"/>
            <w:vAlign w:val="center"/>
          </w:tcPr>
          <w:p>
            <w:pPr>
              <w:spacing w:before="40" w:after="40" w:line="240" w:lineRule="auto"/>
            </w:pPr>
            <w:r>
              <w:rPr>
                <w:rFonts w:ascii="Segoe UI" w:hAnsi="Segoe UI" w:cs="Segoe UI" w:eastAsia="Segoe UI"/>
                <w:b/>
                <w:bCs/>
                <w:sz w:val="16"/>
                <w:szCs w:val="16"/>
              </w:rPr>
              <w:t xml:space="preserve">Main sections</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docs/TISPH/pack/TISPH_NFR_Compliance.docx</w:t>
            </w:r>
          </w:p>
        </w:tc>
        <w:tc>
          <w:tcPr>
            <w:tcW w:w="2833" w:type="dxa"/>
          </w:tcPr>
          <w:p>
            <w:pPr>
              <w:spacing w:before="40" w:after="40" w:line="240" w:lineRule="auto"/>
            </w:pPr>
            <w:r>
              <w:rPr>
                <w:rFonts w:ascii="Segoe UI" w:hAnsi="Segoe UI" w:cs="Segoe UI" w:eastAsia="Segoe UI"/>
                <w:sz w:val="16"/>
                <w:szCs w:val="16"/>
              </w:rPr>
              <w:t xml:space="preserve">Non-Functional Requirements and Compliance Matrix</w:t>
            </w:r>
          </w:p>
        </w:tc>
        <w:tc>
          <w:tcPr>
            <w:tcW w:w="3293" w:type="dxa"/>
          </w:tcPr>
          <w:p>
            <w:pPr>
              <w:spacing w:before="40" w:after="40" w:line="240" w:lineRule="auto"/>
            </w:pPr>
            <w:r>
              <w:rPr>
                <w:rFonts w:ascii="Segoe UI" w:hAnsi="Segoe UI" w:cs="Segoe UI" w:eastAsia="Segoe UI"/>
                <w:sz w:val="16"/>
                <w:szCs w:val="16"/>
              </w:rPr>
              <w:t xml:space="preserve">Compliance matrix of BRD 6.3, cross-cutting assessments, proving tests, planned items, remedies, open questions</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docs/TISPH/pack/TISPH_Solution_Architecture.docx</w:t>
            </w:r>
          </w:p>
        </w:tc>
        <w:tc>
          <w:tcPr>
            <w:tcW w:w="2833" w:type="dxa"/>
          </w:tcPr>
          <w:p>
            <w:pPr>
              <w:spacing w:before="40" w:after="40" w:line="240" w:lineRule="auto"/>
            </w:pPr>
            <w:r>
              <w:rPr>
                <w:rFonts w:ascii="Segoe UI" w:hAnsi="Segoe UI" w:cs="Segoe UI" w:eastAsia="Segoe UI"/>
                <w:sz w:val="16"/>
                <w:szCs w:val="16"/>
              </w:rPr>
              <w:t xml:space="preserve">Solution, Application, Integration and Deployment Architecture</w:t>
            </w:r>
          </w:p>
        </w:tc>
        <w:tc>
          <w:tcPr>
            <w:tcW w:w="3293" w:type="dxa"/>
          </w:tcPr>
          <w:p>
            <w:pPr>
              <w:spacing w:before="40" w:after="40" w:line="240" w:lineRule="auto"/>
            </w:pPr>
            <w:r>
              <w:rPr>
                <w:rFonts w:ascii="Segoe UI" w:hAnsi="Segoe UI" w:cs="Segoe UI" w:eastAsia="Segoe UI"/>
                <w:sz w:val="16"/>
                <w:szCs w:val="16"/>
              </w:rPr>
              <w:t xml:space="preserve">Context and container views, application, API, jobs, configuration, integrations, storage, deployment, scalability, planned items, decisions</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docs/TISPH/pack/TISPH_Security_Architecture.docx</w:t>
            </w:r>
          </w:p>
        </w:tc>
        <w:tc>
          <w:tcPr>
            <w:tcW w:w="2833" w:type="dxa"/>
          </w:tcPr>
          <w:p>
            <w:pPr>
              <w:spacing w:before="40" w:after="40" w:line="240" w:lineRule="auto"/>
            </w:pPr>
            <w:r>
              <w:rPr>
                <w:rFonts w:ascii="Segoe UI" w:hAnsi="Segoe UI" w:cs="Segoe UI" w:eastAsia="Segoe UI"/>
                <w:sz w:val="16"/>
                <w:szCs w:val="16"/>
              </w:rPr>
              <w:t xml:space="preserve">Security Architecture and Threat Model</w:t>
            </w:r>
          </w:p>
        </w:tc>
        <w:tc>
          <w:tcPr>
            <w:tcW w:w="3293" w:type="dxa"/>
          </w:tcPr>
          <w:p>
            <w:pPr>
              <w:spacing w:before="40" w:after="40" w:line="240" w:lineRule="auto"/>
            </w:pPr>
            <w:r>
              <w:rPr>
                <w:rFonts w:ascii="Segoe UI" w:hAnsi="Segoe UI" w:cs="Segoe UI" w:eastAsia="Segoe UI"/>
                <w:sz w:val="16"/>
                <w:szCs w:val="16"/>
              </w:rPr>
              <w:t xml:space="preserve">Identity, RBAC, approvals, maker-checker and SoD, personal data, secrets, encryption, audit, OWASP, ASVS, STRIDE, security testing, penetration-test readiness</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docs/TISPH/pack/TISPH_Data_Architecture.docx</w:t>
            </w:r>
          </w:p>
        </w:tc>
        <w:tc>
          <w:tcPr>
            <w:tcW w:w="2833" w:type="dxa"/>
          </w:tcPr>
          <w:p>
            <w:pPr>
              <w:spacing w:before="40" w:after="40" w:line="240" w:lineRule="auto"/>
            </w:pPr>
            <w:r>
              <w:rPr>
                <w:rFonts w:ascii="Segoe UI" w:hAnsi="Segoe UI" w:cs="Segoe UI" w:eastAsia="Segoe UI"/>
                <w:sz w:val="16"/>
                <w:szCs w:val="16"/>
              </w:rPr>
              <w:t xml:space="preserve">Data Architecture, Data Model, Lineage and Governance</w:t>
            </w:r>
          </w:p>
        </w:tc>
        <w:tc>
          <w:tcPr>
            <w:tcW w:w="3293" w:type="dxa"/>
          </w:tcPr>
          <w:p>
            <w:pPr>
              <w:spacing w:before="40" w:after="40" w:line="240" w:lineRule="auto"/>
            </w:pPr>
            <w:r>
              <w:rPr>
                <w:rFonts w:ascii="Segoe UI" w:hAnsi="Segoe UI" w:cs="Segoe UI" w:eastAsia="Segoe UI"/>
                <w:sz w:val="16"/>
                <w:szCs w:val="16"/>
              </w:rPr>
              <w:t xml:space="preserve">Domains, ERD, data dictionary, master and reference data, lineage to SAP GL, reconciliations, quality, retention, audit, masking, table inventory</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docs/TISPH/pack/TISPH_Environments_and_Release.docx</w:t>
            </w:r>
          </w:p>
        </w:tc>
        <w:tc>
          <w:tcPr>
            <w:tcW w:w="2833" w:type="dxa"/>
          </w:tcPr>
          <w:p>
            <w:pPr>
              <w:spacing w:before="40" w:after="40" w:line="240" w:lineRule="auto"/>
            </w:pPr>
            <w:r>
              <w:rPr>
                <w:rFonts w:ascii="Segoe UI" w:hAnsi="Segoe UI" w:cs="Segoe UI" w:eastAsia="Segoe UI"/>
                <w:sz w:val="16"/>
                <w:szCs w:val="16"/>
              </w:rPr>
              <w:t xml:space="preserve">Environment Strategy, CI/CD, Release, Promotion and Rollback</w:t>
            </w:r>
          </w:p>
        </w:tc>
        <w:tc>
          <w:tcPr>
            <w:tcW w:w="3293" w:type="dxa"/>
          </w:tcPr>
          <w:p>
            <w:pPr>
              <w:spacing w:before="40" w:after="40" w:line="240" w:lineRule="auto"/>
            </w:pPr>
            <w:r>
              <w:rPr>
                <w:rFonts w:ascii="Segoe UI" w:hAnsi="Segoe UI" w:cs="Segoe UI" w:eastAsia="Segoe UI"/>
                <w:sz w:val="16"/>
                <w:szCs w:val="16"/>
              </w:rPr>
              <w:t xml:space="preserve">Environment ladder, configuration per environment, pipeline, branching, migrations, seed policy, smoke tests, rollback, promotion governance, data refresh</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docs/TISPH/pack/TISPH_Data_Migration_and_Cutover.docx</w:t>
            </w:r>
          </w:p>
        </w:tc>
        <w:tc>
          <w:tcPr>
            <w:tcW w:w="2833" w:type="dxa"/>
          </w:tcPr>
          <w:p>
            <w:pPr>
              <w:spacing w:before="40" w:after="40" w:line="240" w:lineRule="auto"/>
            </w:pPr>
            <w:r>
              <w:rPr>
                <w:rFonts w:ascii="Segoe UI" w:hAnsi="Segoe UI" w:cs="Segoe UI" w:eastAsia="Segoe UI"/>
                <w:sz w:val="16"/>
                <w:szCs w:val="16"/>
              </w:rPr>
              <w:t xml:space="preserve">Data Migration and Cutover Plan</w:t>
            </w:r>
          </w:p>
        </w:tc>
        <w:tc>
          <w:tcPr>
            <w:tcW w:w="3293" w:type="dxa"/>
          </w:tcPr>
          <w:p>
            <w:pPr>
              <w:spacing w:before="40" w:after="40" w:line="240" w:lineRule="auto"/>
            </w:pPr>
            <w:r>
              <w:rPr>
                <w:rFonts w:ascii="Segoe UI" w:hAnsi="Segoe UI" w:cs="Segoe UI" w:eastAsia="Segoe UI"/>
                <w:sz w:val="16"/>
                <w:szCs w:val="16"/>
              </w:rPr>
              <w:t xml:space="preserve">Templates, mapping, cleansing, validation, load, reconciliation, mock migrations, cutover runbook, Go/No-Go, rollback, sign-off, evidence</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docs/TISPH/pack/TISPH_Operations_and_Support.docx</w:t>
            </w:r>
          </w:p>
        </w:tc>
        <w:tc>
          <w:tcPr>
            <w:tcW w:w="2833" w:type="dxa"/>
          </w:tcPr>
          <w:p>
            <w:pPr>
              <w:spacing w:before="40" w:after="40" w:line="240" w:lineRule="auto"/>
            </w:pPr>
            <w:r>
              <w:rPr>
                <w:rFonts w:ascii="Segoe UI" w:hAnsi="Segoe UI" w:cs="Segoe UI" w:eastAsia="Segoe UI"/>
                <w:sz w:val="16"/>
                <w:szCs w:val="16"/>
              </w:rPr>
              <w:t xml:space="preserve">Operations, Support Model, Runbooks, DR/BCP and Service Levels</w:t>
            </w:r>
          </w:p>
        </w:tc>
        <w:tc>
          <w:tcPr>
            <w:tcW w:w="3293" w:type="dxa"/>
          </w:tcPr>
          <w:p>
            <w:pPr>
              <w:spacing w:before="40" w:after="40" w:line="240" w:lineRule="auto"/>
            </w:pPr>
            <w:r>
              <w:rPr>
                <w:rFonts w:ascii="Segoe UI" w:hAnsi="Segoe UI" w:cs="Segoe UI" w:eastAsia="Segoe UI"/>
                <w:sz w:val="16"/>
                <w:szCs w:val="16"/>
              </w:rPr>
              <w:t xml:space="preserve">Support model, incident, problem and change management, monitoring, jobs, runbooks, backup, DR, BCP, service levels, knowledge transfer</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docs/TISPH/pack/TISPH_Delivery_Governance.docx</w:t>
            </w:r>
          </w:p>
        </w:tc>
        <w:tc>
          <w:tcPr>
            <w:tcW w:w="2833" w:type="dxa"/>
          </w:tcPr>
          <w:p>
            <w:pPr>
              <w:spacing w:before="40" w:after="40" w:line="240" w:lineRule="auto"/>
            </w:pPr>
            <w:r>
              <w:rPr>
                <w:rFonts w:ascii="Segoe UI" w:hAnsi="Segoe UI" w:cs="Segoe UI" w:eastAsia="Segoe UI"/>
                <w:sz w:val="16"/>
                <w:szCs w:val="16"/>
              </w:rPr>
              <w:t xml:space="preserve">Delivery Governance, RACI, Risks, ADRs, Production Readiness, Go-Live and Hypercare</w:t>
            </w:r>
          </w:p>
        </w:tc>
        <w:tc>
          <w:tcPr>
            <w:tcW w:w="3293" w:type="dxa"/>
          </w:tcPr>
          <w:p>
            <w:pPr>
              <w:spacing w:before="40" w:after="40" w:line="240" w:lineRule="auto"/>
            </w:pPr>
            <w:r>
              <w:rPr>
                <w:rFonts w:ascii="Segoe UI" w:hAnsi="Segoe UI" w:cs="Segoe UI" w:eastAsia="Segoe UI"/>
                <w:sz w:val="16"/>
                <w:szCs w:val="16"/>
              </w:rPr>
              <w:t xml:space="preserve">Governance bodies, workstreams and personas, RACI, risk register and decision log, ADRs, readiness checklist, go-live, hypercare, change management, training, long-term governance</w:t>
            </w: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docs/TISPH/pack/TISPH_Document_Register.docx</w:t>
            </w:r>
          </w:p>
        </w:tc>
        <w:tc>
          <w:tcPr>
            <w:tcW w:w="2833" w:type="dxa"/>
          </w:tcPr>
          <w:p>
            <w:pPr>
              <w:spacing w:before="40" w:after="40" w:line="240" w:lineRule="auto"/>
            </w:pPr>
            <w:r>
              <w:rPr>
                <w:rFonts w:ascii="Segoe UI" w:hAnsi="Segoe UI" w:cs="Segoe UI" w:eastAsia="Segoe UI"/>
                <w:sz w:val="16"/>
                <w:szCs w:val="16"/>
              </w:rPr>
              <w:t xml:space="preserve">This register</w:t>
            </w:r>
          </w:p>
        </w:tc>
        <w:tc>
          <w:tcPr>
            <w:tcW w:w="3293" w:type="dxa"/>
          </w:tcPr>
          <w:p>
            <w:pPr>
              <w:spacing w:before="40" w:after="40" w:line="240" w:lineRule="auto"/>
            </w:pPr>
          </w:p>
        </w:tc>
      </w:tr>
      <w:tr>
        <w:trPr>
          <w:cantSplit/>
        </w:trPr>
        <w:tc>
          <w:tcPr>
            <w:tcW w:w="2901" w:type="dxa"/>
          </w:tcPr>
          <w:p>
            <w:pPr>
              <w:spacing w:before="40" w:after="40" w:line="240" w:lineRule="auto"/>
            </w:pPr>
            <w:r>
              <w:rPr>
                <w:rFonts w:ascii="Consolas" w:hAnsi="Consolas" w:cs="Consolas" w:eastAsia="Consolas"/>
                <w:color w:val="1F3B57"/>
                <w:sz w:val="14"/>
                <w:szCs w:val="14"/>
                <w:shd w:val="clear" w:color="auto" w:fill="F3F5F8"/>
              </w:rPr>
              <w:t xml:space="preserve">docs/TISPH/pack/TISPH_Documentation_Cleanup.docx</w:t>
            </w:r>
          </w:p>
        </w:tc>
        <w:tc>
          <w:tcPr>
            <w:tcW w:w="2833" w:type="dxa"/>
          </w:tcPr>
          <w:p>
            <w:pPr>
              <w:spacing w:before="40" w:after="40" w:line="240" w:lineRule="auto"/>
            </w:pPr>
            <w:r>
              <w:rPr>
                <w:rFonts w:ascii="Segoe UI" w:hAnsi="Segoe UI" w:cs="Segoe UI" w:eastAsia="Segoe UI"/>
                <w:sz w:val="16"/>
                <w:szCs w:val="16"/>
              </w:rPr>
              <w:t xml:space="preserve">Cleanup candidates</w:t>
            </w:r>
          </w:p>
        </w:tc>
        <w:tc>
          <w:tcPr>
            <w:tcW w:w="3293" w:type="dxa"/>
          </w:tcPr>
          <w:p>
            <w:pPr>
              <w:spacing w:before="40" w:after="40" w:line="240" w:lineRule="auto"/>
            </w:pPr>
            <w:r>
              <w:rPr>
                <w:rFonts w:ascii="Segoe UI" w:hAnsi="Segoe UI" w:cs="Segoe UI" w:eastAsia="Segoe UI"/>
                <w:sz w:val="16"/>
                <w:szCs w:val="16"/>
              </w:rPr>
              <w:t xml:space="preserve">Existing repository documents that are generic, obsolete or superseded by this pack</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pack document has a document control table, a register of Planned items, open questions for TISPH, a requirements traceability section and an appendix of file references.</w:t>
      </w:r>
    </w:p>
    <w:p xmlns:a="http://schemas.openxmlformats.org/drawingml/2006/main" xmlns:pic="http://schemas.openxmlformats.org/drawingml/2006/picture">
      <w:pPr>
        <w:pStyle w:val="Heading1"/>
        <w:numPr>
          <w:ilvl w:val="0"/>
          <w:numId w:val="14"/>
        </w:numPr>
      </w:pPr>
      <w:bookmarkStart w:id="1015" w:name="_Toc300001015"/>
      <w:r>
        <w:rPr>
          <w:rFonts w:ascii="Segoe UI" w:hAnsi="Segoe UI" w:cs="Segoe UI" w:eastAsia="Segoe UI"/>
        </w:rPr>
        <w:t xml:space="preserve">Documents still to be produced</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61"/>
        <w:gridCol w:w="3317"/>
        <w:gridCol w:w="2157"/>
        <w:gridCol w:w="2492"/>
      </w:tblGrid>
      <w:tr>
        <w:trPr>
          <w:cantSplit/>
          <w:tblHeader/>
          <w:trHeight w:val="400"/>
        </w:trPr>
        <w:tc>
          <w:tcPr>
            <w:tcW w:w="1061"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3317" w:type="dxa"/>
            <w:shd w:val="clear" w:color="auto" w:fill="E8F0F8"/>
            <w:vAlign w:val="center"/>
          </w:tcPr>
          <w:p>
            <w:pPr>
              <w:spacing w:before="40" w:after="40" w:line="240" w:lineRule="auto"/>
            </w:pPr>
            <w:r>
              <w:rPr>
                <w:rFonts w:ascii="Segoe UI" w:hAnsi="Segoe UI" w:cs="Segoe UI" w:eastAsia="Segoe UI"/>
                <w:b/>
                <w:bCs/>
                <w:sz w:val="16"/>
                <w:szCs w:val="16"/>
              </w:rPr>
              <w:t xml:space="preserve">Document or part</w:t>
            </w:r>
          </w:p>
        </w:tc>
        <w:tc>
          <w:tcPr>
            <w:tcW w:w="2157"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2492" w:type="dxa"/>
            <w:shd w:val="clear" w:color="auto" w:fill="E8F0F8"/>
            <w:vAlign w:val="center"/>
          </w:tcPr>
          <w:p>
            <w:pPr>
              <w:spacing w:before="40" w:after="40" w:line="240" w:lineRule="auto"/>
            </w:pPr>
            <w:r>
              <w:rPr>
                <w:rFonts w:ascii="Segoe UI" w:hAnsi="Segoe UI" w:cs="Segoe UI" w:eastAsia="Segoe UI"/>
                <w:b/>
                <w:bCs/>
                <w:sz w:val="16"/>
                <w:szCs w:val="16"/>
              </w:rPr>
              <w:t xml:space="preserve">Target point in the delivery sequence</w:t>
            </w:r>
          </w:p>
        </w:tc>
      </w:tr>
      <w:tr>
        <w:trPr>
          <w:cantSplit/>
        </w:trPr>
        <w:tc>
          <w:tcPr>
            <w:tcW w:w="1061" w:type="dxa"/>
          </w:tcPr>
          <w:p>
            <w:pPr>
              <w:spacing w:before="40" w:after="40" w:line="240" w:lineRule="auto"/>
            </w:pPr>
            <w:r>
              <w:rPr>
                <w:rFonts w:ascii="Segoe UI" w:hAnsi="Segoe UI" w:cs="Segoe UI" w:eastAsia="Segoe UI"/>
                <w:sz w:val="16"/>
                <w:szCs w:val="16"/>
              </w:rPr>
              <w:t xml:space="preserve">DR-01, DR-03, DR-04</w:t>
            </w:r>
          </w:p>
        </w:tc>
        <w:tc>
          <w:tcPr>
            <w:tcW w:w="3317" w:type="dxa"/>
          </w:tcPr>
          <w:p>
            <w:pPr>
              <w:spacing w:before="40" w:after="40" w:line="240" w:lineRule="auto"/>
            </w:pPr>
            <w:r>
              <w:rPr>
                <w:rFonts w:ascii="Segoe UI" w:hAnsi="Segoe UI" w:cs="Segoe UI" w:eastAsia="Segoe UI"/>
                <w:sz w:val="16"/>
                <w:szCs w:val="16"/>
              </w:rPr>
              <w:t xml:space="preserve">FRS with personas and acceptance criteria for the remaining build items</w:t>
            </w:r>
          </w:p>
        </w:tc>
        <w:tc>
          <w:tcPr>
            <w:tcW w:w="2157" w:type="dxa"/>
          </w:tcPr>
          <w:p>
            <w:pPr>
              <w:spacing w:before="40" w:after="40" w:line="240" w:lineRule="auto"/>
            </w:pPr>
            <w:r>
              <w:rPr>
                <w:rFonts w:ascii="Segoe UI" w:hAnsi="Segoe UI" w:cs="Segoe UI" w:eastAsia="Segoe UI"/>
                <w:sz w:val="16"/>
                <w:szCs w:val="16"/>
              </w:rPr>
              <w:t xml:space="preserve">Build streams and TISPH decisions per item</w:t>
            </w:r>
          </w:p>
        </w:tc>
        <w:tc>
          <w:tcPr>
            <w:tcW w:w="2492" w:type="dxa"/>
          </w:tcPr>
          <w:p>
            <w:pPr>
              <w:spacing w:before="40" w:after="40" w:line="240" w:lineRule="auto"/>
            </w:pPr>
            <w:r>
              <w:rPr>
                <w:rFonts w:ascii="Segoe UI" w:hAnsi="Segoe UI" w:cs="Segoe UI" w:eastAsia="Segoe UI"/>
                <w:sz w:val="16"/>
                <w:szCs w:val="16"/>
              </w:rPr>
              <w:t xml:space="preserve">Before the build of each item</w:t>
            </w:r>
          </w:p>
        </w:tc>
      </w:tr>
      <w:tr>
        <w:trPr>
          <w:cantSplit/>
        </w:trPr>
        <w:tc>
          <w:tcPr>
            <w:tcW w:w="1061" w:type="dxa"/>
          </w:tcPr>
          <w:p>
            <w:pPr>
              <w:spacing w:before="40" w:after="40" w:line="240" w:lineRule="auto"/>
            </w:pPr>
            <w:r>
              <w:rPr>
                <w:rFonts w:ascii="Segoe UI" w:hAnsi="Segoe UI" w:cs="Segoe UI" w:eastAsia="Segoe UI"/>
                <w:sz w:val="16"/>
                <w:szCs w:val="16"/>
              </w:rPr>
              <w:t xml:space="preserve">DR-05</w:t>
            </w:r>
          </w:p>
        </w:tc>
        <w:tc>
          <w:tcPr>
            <w:tcW w:w="3317" w:type="dxa"/>
          </w:tcPr>
          <w:p>
            <w:pPr>
              <w:spacing w:before="40" w:after="40" w:line="240" w:lineRule="auto"/>
            </w:pPr>
            <w:r>
              <w:rPr>
                <w:rFonts w:ascii="Segoe UI" w:hAnsi="Segoe UI" w:cs="Segoe UI" w:eastAsia="Segoe UI"/>
                <w:sz w:val="16"/>
                <w:szCs w:val="16"/>
              </w:rPr>
              <w:t xml:space="preserve">Consolidated BRD &gt; FRS &gt; build &gt; test case &gt; UAT traceability workbook</w:t>
            </w:r>
          </w:p>
        </w:tc>
        <w:tc>
          <w:tcPr>
            <w:tcW w:w="2157" w:type="dxa"/>
          </w:tcPr>
          <w:p>
            <w:pPr>
              <w:spacing w:before="40" w:after="40" w:line="240" w:lineRule="auto"/>
            </w:pPr>
            <w:r>
              <w:rPr>
                <w:rFonts w:ascii="Segoe UI" w:hAnsi="Segoe UI" w:cs="Segoe UI" w:eastAsia="Segoe UI"/>
                <w:sz w:val="16"/>
                <w:szCs w:val="16"/>
              </w:rPr>
              <w:t xml:space="preserve">DR-01, DR-17</w:t>
            </w:r>
          </w:p>
        </w:tc>
        <w:tc>
          <w:tcPr>
            <w:tcW w:w="2492" w:type="dxa"/>
          </w:tcPr>
          <w:p>
            <w:pPr>
              <w:spacing w:before="40" w:after="40" w:line="240" w:lineRule="auto"/>
            </w:pPr>
            <w:r>
              <w:rPr>
                <w:rFonts w:ascii="Segoe UI" w:hAnsi="Segoe UI" w:cs="Segoe UI" w:eastAsia="Segoe UI"/>
                <w:sz w:val="16"/>
                <w:szCs w:val="16"/>
              </w:rPr>
              <w:t xml:space="preserve">Before gate 2 (UAT sign-off)</w:t>
            </w:r>
          </w:p>
        </w:tc>
      </w:tr>
      <w:tr>
        <w:trPr>
          <w:cantSplit/>
        </w:trPr>
        <w:tc>
          <w:tcPr>
            <w:tcW w:w="1061" w:type="dxa"/>
          </w:tcPr>
          <w:p>
            <w:pPr>
              <w:spacing w:before="40" w:after="40" w:line="240" w:lineRule="auto"/>
            </w:pPr>
            <w:r>
              <w:rPr>
                <w:rFonts w:ascii="Segoe UI" w:hAnsi="Segoe UI" w:cs="Segoe UI" w:eastAsia="Segoe UI"/>
                <w:sz w:val="16"/>
                <w:szCs w:val="16"/>
              </w:rPr>
              <w:t xml:space="preserve">DR-17</w:t>
            </w:r>
          </w:p>
        </w:tc>
        <w:tc>
          <w:tcPr>
            <w:tcW w:w="3317" w:type="dxa"/>
          </w:tcPr>
          <w:p>
            <w:pPr>
              <w:spacing w:before="40" w:after="40" w:line="240" w:lineRule="auto"/>
            </w:pPr>
            <w:r>
              <w:rPr>
                <w:rFonts w:ascii="Segoe UI" w:hAnsi="Segoe UI" w:cs="Segoe UI" w:eastAsia="Segoe UI"/>
                <w:sz w:val="16"/>
                <w:szCs w:val="16"/>
              </w:rPr>
              <w:t xml:space="preserve">TISPH UAT test cases per persona</w:t>
            </w:r>
          </w:p>
        </w:tc>
        <w:tc>
          <w:tcPr>
            <w:tcW w:w="2157" w:type="dxa"/>
          </w:tcPr>
          <w:p>
            <w:pPr>
              <w:spacing w:before="40" w:after="40" w:line="240" w:lineRule="auto"/>
            </w:pPr>
            <w:r>
              <w:rPr>
                <w:rFonts w:ascii="Segoe UI" w:hAnsi="Segoe UI" w:cs="Segoe UI" w:eastAsia="Segoe UI"/>
                <w:sz w:val="16"/>
                <w:szCs w:val="16"/>
              </w:rPr>
              <w:t xml:space="preserve">DR-04</w:t>
            </w:r>
          </w:p>
        </w:tc>
        <w:tc>
          <w:tcPr>
            <w:tcW w:w="2492" w:type="dxa"/>
          </w:tcPr>
          <w:p>
            <w:pPr>
              <w:spacing w:before="40" w:after="40" w:line="240" w:lineRule="auto"/>
            </w:pPr>
            <w:r>
              <w:rPr>
                <w:rFonts w:ascii="Segoe UI" w:hAnsi="Segoe UI" w:cs="Segoe UI" w:eastAsia="Segoe UI"/>
                <w:sz w:val="16"/>
                <w:szCs w:val="16"/>
              </w:rPr>
              <w:t xml:space="preserve">Per module, before its UAT</w:t>
            </w:r>
          </w:p>
        </w:tc>
      </w:tr>
      <w:tr>
        <w:trPr>
          <w:cantSplit/>
        </w:trPr>
        <w:tc>
          <w:tcPr>
            <w:tcW w:w="1061" w:type="dxa"/>
          </w:tcPr>
          <w:p>
            <w:pPr>
              <w:spacing w:before="40" w:after="40" w:line="240" w:lineRule="auto"/>
            </w:pPr>
            <w:r>
              <w:rPr>
                <w:rFonts w:ascii="Segoe UI" w:hAnsi="Segoe UI" w:cs="Segoe UI" w:eastAsia="Segoe UI"/>
                <w:sz w:val="16"/>
                <w:szCs w:val="16"/>
              </w:rPr>
              <w:t xml:space="preserve">DR-20, DR-21</w:t>
            </w:r>
          </w:p>
        </w:tc>
        <w:tc>
          <w:tcPr>
            <w:tcW w:w="3317" w:type="dxa"/>
          </w:tcPr>
          <w:p>
            <w:pPr>
              <w:spacing w:before="40" w:after="40" w:line="240" w:lineRule="auto"/>
            </w:pPr>
            <w:r>
              <w:rPr>
                <w:rFonts w:ascii="Segoe UI" w:hAnsi="Segoe UI" w:cs="Segoe UI" w:eastAsia="Segoe UI"/>
                <w:sz w:val="16"/>
                <w:szCs w:val="16"/>
              </w:rPr>
              <w:t xml:space="preserve">TISPH edition of the user manual and persona chapters</w:t>
            </w:r>
          </w:p>
        </w:tc>
        <w:tc>
          <w:tcPr>
            <w:tcW w:w="2157" w:type="dxa"/>
          </w:tcPr>
          <w:p>
            <w:pPr>
              <w:spacing w:before="40" w:after="40" w:line="240" w:lineRule="auto"/>
            </w:pPr>
            <w:r>
              <w:rPr>
                <w:rFonts w:ascii="Segoe UI" w:hAnsi="Segoe UI" w:cs="Segoe UI" w:eastAsia="Segoe UI"/>
                <w:sz w:val="16"/>
                <w:szCs w:val="16"/>
              </w:rPr>
              <w:t xml:space="preserve">MAN-A, MAN-B; decisions D1 to D14</w:t>
            </w:r>
          </w:p>
        </w:tc>
        <w:tc>
          <w:tcPr>
            <w:tcW w:w="2492" w:type="dxa"/>
          </w:tcPr>
          <w:p>
            <w:pPr>
              <w:spacing w:before="40" w:after="40" w:line="240" w:lineRule="auto"/>
            </w:pPr>
            <w:r>
              <w:rPr>
                <w:rFonts w:ascii="Segoe UI" w:hAnsi="Segoe UI" w:cs="Segoe UI" w:eastAsia="Segoe UI"/>
                <w:sz w:val="16"/>
                <w:szCs w:val="16"/>
              </w:rPr>
              <w:t xml:space="preserve">MAN-B is the last work package of the build plan (wave 3)</w:t>
            </w:r>
          </w:p>
        </w:tc>
      </w:tr>
      <w:tr>
        <w:trPr>
          <w:cantSplit/>
        </w:trPr>
        <w:tc>
          <w:tcPr>
            <w:tcW w:w="1061" w:type="dxa"/>
          </w:tcPr>
          <w:p>
            <w:pPr>
              <w:spacing w:before="40" w:after="40" w:line="240" w:lineRule="auto"/>
            </w:pPr>
            <w:r>
              <w:rPr>
                <w:rFonts w:ascii="Segoe UI" w:hAnsi="Segoe UI" w:cs="Segoe UI" w:eastAsia="Segoe UI"/>
                <w:sz w:val="16"/>
                <w:szCs w:val="16"/>
              </w:rPr>
              <w:t xml:space="preserve">DR-22</w:t>
            </w:r>
          </w:p>
        </w:tc>
        <w:tc>
          <w:tcPr>
            <w:tcW w:w="3317" w:type="dxa"/>
          </w:tcPr>
          <w:p>
            <w:pPr>
              <w:spacing w:before="40" w:after="40" w:line="240" w:lineRule="auto"/>
            </w:pPr>
            <w:r>
              <w:rPr>
                <w:rFonts w:ascii="Segoe UI" w:hAnsi="Segoe UI" w:cs="Segoe UI" w:eastAsia="Segoe UI"/>
                <w:sz w:val="16"/>
                <w:szCs w:val="16"/>
              </w:rPr>
              <w:t xml:space="preserve">Dated project plan</w:t>
            </w:r>
          </w:p>
        </w:tc>
        <w:tc>
          <w:tcPr>
            <w:tcW w:w="2157" w:type="dxa"/>
          </w:tcPr>
          <w:p>
            <w:pPr>
              <w:spacing w:before="40" w:after="40" w:line="240" w:lineRule="auto"/>
            </w:pPr>
            <w:r>
              <w:rPr>
                <w:rFonts w:ascii="Segoe UI" w:hAnsi="Segoe UI" w:cs="Segoe UI" w:eastAsia="Segoe UI"/>
                <w:sz w:val="16"/>
                <w:szCs w:val="16"/>
              </w:rPr>
              <w:t xml:space="preserve">Go-live date and SOW milestones (GQ-02)</w:t>
            </w:r>
          </w:p>
        </w:tc>
        <w:tc>
          <w:tcPr>
            <w:tcW w:w="2492" w:type="dxa"/>
          </w:tcPr>
          <w:p>
            <w:pPr>
              <w:spacing w:before="40" w:after="40" w:line="240" w:lineRule="auto"/>
            </w:pPr>
            <w:r>
              <w:rPr>
                <w:rFonts w:ascii="Segoe UI" w:hAnsi="Segoe UI" w:cs="Segoe UI" w:eastAsia="Segoe UI"/>
                <w:sz w:val="16"/>
                <w:szCs w:val="16"/>
              </w:rPr>
              <w:t xml:space="preserve">On SOW confirmation</w:t>
            </w:r>
          </w:p>
        </w:tc>
      </w:tr>
      <w:tr>
        <w:trPr>
          <w:cantSplit/>
        </w:trPr>
        <w:tc>
          <w:tcPr>
            <w:tcW w:w="1061" w:type="dxa"/>
          </w:tcPr>
          <w:p>
            <w:pPr>
              <w:spacing w:before="40" w:after="40" w:line="240" w:lineRule="auto"/>
            </w:pPr>
            <w:r>
              <w:rPr>
                <w:rFonts w:ascii="Segoe UI" w:hAnsi="Segoe UI" w:cs="Segoe UI" w:eastAsia="Segoe UI"/>
                <w:sz w:val="16"/>
                <w:szCs w:val="16"/>
              </w:rPr>
              <w:t xml:space="preserve">DR-25, DR-35</w:t>
            </w:r>
          </w:p>
        </w:tc>
        <w:tc>
          <w:tcPr>
            <w:tcW w:w="3317" w:type="dxa"/>
          </w:tcPr>
          <w:p>
            <w:pPr>
              <w:spacing w:before="40" w:after="40" w:line="240" w:lineRule="auto"/>
            </w:pPr>
            <w:r>
              <w:rPr>
                <w:rFonts w:ascii="Segoe UI" w:hAnsi="Segoe UI" w:cs="Segoe UI" w:eastAsia="Segoe UI"/>
                <w:sz w:val="16"/>
                <w:szCs w:val="16"/>
              </w:rPr>
              <w:t xml:space="preserve">Commercials; support agreement and service levels</w:t>
            </w:r>
          </w:p>
        </w:tc>
        <w:tc>
          <w:tcPr>
            <w:tcW w:w="2157" w:type="dxa"/>
          </w:tcPr>
          <w:p>
            <w:pPr>
              <w:spacing w:before="40" w:after="40" w:line="240" w:lineRule="auto"/>
            </w:pPr>
            <w:r>
              <w:rPr>
                <w:rFonts w:ascii="Segoe UI" w:hAnsi="Segoe UI" w:cs="Segoe UI" w:eastAsia="Segoe UI"/>
                <w:sz w:val="16"/>
                <w:szCs w:val="16"/>
              </w:rPr>
              <w:t xml:space="preserve">Statement of Work; DA-4</w:t>
            </w:r>
          </w:p>
        </w:tc>
        <w:tc>
          <w:tcPr>
            <w:tcW w:w="2492" w:type="dxa"/>
          </w:tcPr>
          <w:p>
            <w:pPr>
              <w:spacing w:before="40" w:after="40" w:line="240" w:lineRule="auto"/>
            </w:pPr>
            <w:r>
              <w:rPr>
                <w:rFonts w:ascii="Segoe UI" w:hAnsi="Segoe UI" w:cs="Segoe UI" w:eastAsia="Segoe UI"/>
                <w:sz w:val="16"/>
                <w:szCs w:val="16"/>
              </w:rPr>
              <w:t xml:space="preserve">Before production readiness sign-off</w:t>
            </w:r>
          </w:p>
        </w:tc>
      </w:tr>
      <w:tr>
        <w:trPr>
          <w:cantSplit/>
        </w:trPr>
        <w:tc>
          <w:tcPr>
            <w:tcW w:w="1061" w:type="dxa"/>
          </w:tcPr>
          <w:p>
            <w:pPr>
              <w:spacing w:before="40" w:after="40" w:line="240" w:lineRule="auto"/>
            </w:pPr>
            <w:r>
              <w:rPr>
                <w:rFonts w:ascii="Segoe UI" w:hAnsi="Segoe UI" w:cs="Segoe UI" w:eastAsia="Segoe UI"/>
                <w:sz w:val="16"/>
                <w:szCs w:val="16"/>
              </w:rPr>
              <w:t xml:space="preserve">DR-26</w:t>
            </w:r>
          </w:p>
        </w:tc>
        <w:tc>
          <w:tcPr>
            <w:tcW w:w="3317" w:type="dxa"/>
          </w:tcPr>
          <w:p>
            <w:pPr>
              <w:spacing w:before="40" w:after="40" w:line="240" w:lineRule="auto"/>
            </w:pPr>
            <w:r>
              <w:rPr>
                <w:rFonts w:ascii="Segoe UI" w:hAnsi="Segoe UI" w:cs="Segoe UI" w:eastAsia="Segoe UI"/>
                <w:sz w:val="16"/>
                <w:szCs w:val="16"/>
              </w:rPr>
              <w:t xml:space="preserve">Dated KT schedule</w:t>
            </w:r>
          </w:p>
        </w:tc>
        <w:tc>
          <w:tcPr>
            <w:tcW w:w="2157" w:type="dxa"/>
          </w:tcPr>
          <w:p>
            <w:pPr>
              <w:spacing w:before="40" w:after="40" w:line="240" w:lineRule="auto"/>
            </w:pPr>
            <w:r>
              <w:rPr>
                <w:rFonts w:ascii="Segoe UI" w:hAnsi="Segoe UI" w:cs="Segoe UI" w:eastAsia="Segoe UI"/>
                <w:sz w:val="16"/>
                <w:szCs w:val="16"/>
              </w:rPr>
              <w:t xml:space="preserve">DR-22; DA-4</w:t>
            </w:r>
          </w:p>
        </w:tc>
        <w:tc>
          <w:tcPr>
            <w:tcW w:w="2492" w:type="dxa"/>
          </w:tcPr>
          <w:p>
            <w:pPr>
              <w:spacing w:before="40" w:after="40" w:line="240" w:lineRule="auto"/>
            </w:pPr>
            <w:r>
              <w:rPr>
                <w:rFonts w:ascii="Segoe UI" w:hAnsi="Segoe UI" w:cs="Segoe UI" w:eastAsia="Segoe UI"/>
                <w:sz w:val="16"/>
                <w:szCs w:val="16"/>
              </w:rPr>
              <w:t xml:space="preserve">Before UAT (KT-1)</w:t>
            </w:r>
          </w:p>
        </w:tc>
      </w:tr>
      <w:tr>
        <w:trPr>
          <w:cantSplit/>
        </w:trPr>
        <w:tc>
          <w:tcPr>
            <w:tcW w:w="1061" w:type="dxa"/>
          </w:tcPr>
          <w:p>
            <w:pPr>
              <w:spacing w:before="40" w:after="40" w:line="240" w:lineRule="auto"/>
            </w:pPr>
            <w:r>
              <w:rPr>
                <w:rFonts w:ascii="Segoe UI" w:hAnsi="Segoe UI" w:cs="Segoe UI" w:eastAsia="Segoe UI"/>
                <w:sz w:val="16"/>
                <w:szCs w:val="16"/>
              </w:rPr>
              <w:t xml:space="preserve">DR-39</w:t>
            </w:r>
          </w:p>
        </w:tc>
        <w:tc>
          <w:tcPr>
            <w:tcW w:w="3317" w:type="dxa"/>
          </w:tcPr>
          <w:p>
            <w:pPr>
              <w:spacing w:before="40" w:after="40" w:line="240" w:lineRule="auto"/>
            </w:pPr>
            <w:r>
              <w:rPr>
                <w:rFonts w:ascii="Segoe UI" w:hAnsi="Segoe UI" w:cs="Segoe UI" w:eastAsia="Segoe UI"/>
                <w:sz w:val="16"/>
                <w:szCs w:val="16"/>
              </w:rPr>
              <w:t xml:space="preserve">Completed privacy impact assessment</w:t>
            </w:r>
          </w:p>
        </w:tc>
        <w:tc>
          <w:tcPr>
            <w:tcW w:w="2157" w:type="dxa"/>
          </w:tcPr>
          <w:p>
            <w:pPr>
              <w:spacing w:before="40" w:after="40" w:line="240" w:lineRule="auto"/>
            </w:pPr>
            <w:r>
              <w:rPr>
                <w:rFonts w:ascii="Segoe UI" w:hAnsi="Segoe UI" w:cs="Segoe UI" w:eastAsia="Segoe UI"/>
                <w:sz w:val="16"/>
                <w:szCs w:val="16"/>
              </w:rPr>
              <w:t xml:space="preserve">TISPH Data Protection Officer</w:t>
            </w:r>
          </w:p>
        </w:tc>
        <w:tc>
          <w:tcPr>
            <w:tcW w:w="2492" w:type="dxa"/>
          </w:tcPr>
          <w:p>
            <w:pPr>
              <w:spacing w:before="40" w:after="40" w:line="240" w:lineRule="auto"/>
            </w:pPr>
            <w:r>
              <w:rPr>
                <w:rFonts w:ascii="Segoe UI" w:hAnsi="Segoe UI" w:cs="Segoe UI" w:eastAsia="Segoe UI"/>
                <w:sz w:val="16"/>
                <w:szCs w:val="16"/>
              </w:rPr>
              <w:t xml:space="preserve">Before go-live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6" w:name="_Toc300001016"/>
      <w:r>
        <w:rPr>
          <w:rFonts w:ascii="Segoe UI" w:hAnsi="Segoe UI" w:cs="Segoe UI" w:eastAsia="Segoe UI"/>
        </w:rPr>
        <w:t xml:space="preserve">Keeping the register current</w:t>
      </w:r>
      <w:bookmarkEnd w:id="1016"/>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register is updated with every new pack version, every FRS issued and every change of status.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document moves from Planned or Per module to Drafted or Exists only when the file exists at the stated path.</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Generated documents (API export, data dictionary, ERD) are regenerated at each release; the register then records the release, not a new version of the register.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For the life of the platform the register stays with the source repository, so that the support team finds the current documents next to the code they describe (</w:t>
      </w:r>
      <w:r>
        <w:rPr>
          <w:rFonts w:ascii="Consolas" w:hAnsi="Consolas" w:cs="Consolas" w:eastAsia="Consolas"/>
          <w:color w:val="1F3B57"/>
          <w:shd w:val="clear" w:color="auto" w:fill="F3F5F8"/>
        </w:rPr>
        <w:t xml:space="preserve">docs/TISPH/pack/TISPH_Delivery_Governance.docx</w:t>
      </w:r>
      <w:r>
        <w:rPr>
          <w:rFonts w:ascii="Segoe UI" w:hAnsi="Segoe UI" w:cs="Segoe UI" w:eastAsia="Segoe UI"/>
        </w:rPr>
        <w:t xml:space="preserve"> section 12.3).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0"/>
        </w:numPr>
        <w:ind w:left="0" w:firstLine="0"/>
      </w:pPr>
      <w:bookmarkStart w:id="1017" w:name="_Toc300001017"/>
      <w:r>
        <w:rPr>
          <w:rFonts w:ascii="Segoe UI" w:hAnsi="Segoe UI" w:cs="Segoe UI" w:eastAsia="Segoe UI"/>
        </w:rPr>
        <w:t xml:space="preserve">Appendix A. File references</w:t>
      </w:r>
      <w:bookmarkEnd w:id="1017"/>
    </w:p>
    <w:p xmlns:a="http://schemas.openxmlformats.org/drawingml/2006/main" xmlns:pic="http://schemas.openxmlformats.org/drawingml/2006/picture">
      <w:pPr>
        <w:jc w:val="both"/>
      </w:pPr>
      <w:r>
        <w:rPr>
          <w:rFonts w:ascii="Segoe UI" w:hAnsi="Segoe UI" w:cs="Segoe UI" w:eastAsia="Segoe UI"/>
        </w:rPr>
        <w:t xml:space="preserve">All paths are in the repository at the code baseline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 otherwise.</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4.1 (requirements)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Folder </w:t>
      </w:r>
      <w:r>
        <w:rPr>
          <w:rFonts w:ascii="Consolas" w:hAnsi="Consolas" w:cs="Consolas" w:eastAsia="Consolas"/>
          <w:color w:val="1F3B57"/>
          <w:shd w:val="clear" w:color="auto" w:fill="F3F5F8"/>
        </w:rPr>
        <w:t xml:space="preserve">docs/TISPH/frs/</w:t>
      </w:r>
      <w:r>
        <w:rPr>
          <w:rFonts w:ascii="Segoe UI" w:hAnsi="Segoe UI" w:cs="Segoe UI" w:eastAsia="Segoe UI"/>
        </w:rPr>
        <w:t xml:space="preserve">: </w:t>
      </w:r>
      <w:r>
        <w:rPr>
          <w:rFonts w:ascii="Consolas" w:hAnsi="Consolas" w:cs="Consolas" w:eastAsia="Consolas"/>
          <w:color w:val="1F3B57"/>
          <w:shd w:val="clear" w:color="auto" w:fill="F3F5F8"/>
        </w:rPr>
        <w:t xml:space="preserve">FRS_TIS-BRD-COLL-05_PDC_Lifecycle_v1.0.docx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FRS_TIS-BRD-COMM-06_Remittance_Commission_v1.0.docx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FRS_TIS-BRD-COMM-08_Telesales_Incentive_v1.0.docx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FRS_TIS-BRD-LEAD-09_Talkbot_Renewal_Filter_v1.0.docx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FRS_TIS-BRD-PJRN-09_Parcel_Courier_v1.0.docx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FRS_TIS-BRD-PROD-15_Promotions_v1.2.docx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FRS_TIS-BRD-PROD-16_Commission_Rules_v1.0.docx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FRS_TIS-BRD-SCHM-01_Scheme_Issuance_v1.0.docx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FRS_TIS-BRD-SCHM-02_Scheme_Master_v1.0.docx</w:t>
      </w:r>
      <w:r>
        <w:rPr>
          <w:rFonts w:ascii="Segoe UI" w:hAnsi="Segoe UI" w:cs="Segoe UI" w:eastAsia="Segoe UI"/>
        </w:rPr>
        <w:t xml:space="preserve">, </w:t>
      </w:r>
      <w:r>
        <w:rPr>
          <w:rFonts w:ascii="Consolas" w:hAnsi="Consolas" w:cs="Consolas" w:eastAsia="Consolas"/>
          <w:color w:val="1F3B57"/>
          <w:shd w:val="clear" w:color="auto" w:fill="F3F5F8"/>
        </w:rPr>
        <w:t xml:space="preserve">FRS_TIS-BRD-SCHM-03_Lock-in_Handling_v1.0.docx</w:t>
      </w:r>
      <w:r>
        <w:rPr>
          <w:rFonts w:ascii="Segoe UI" w:hAnsi="Segoe UI" w:cs="Segoe UI" w:eastAsia="Segoe UI"/>
        </w:rPr>
        <w:t xml:space="preserve"> (each with sections for personas, functional requirements with acceptance criteria, and traceability with test cases)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docs/TISPH/pack/TISPH_NFR_Compliance.docx</w:t>
      </w:r>
      <w:r>
        <w:rPr>
          <w:rFonts w:ascii="Segoe UI" w:hAnsi="Segoe UI" w:cs="Segoe UI" w:eastAsia="Segoe UI"/>
        </w:rPr>
        <w:t xml:space="preserve"> sections 5, 7 and Appendix B</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4.2 (architecture and design)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docs/TISPH/pack/TISPH_Solution_Architecture.docx</w:t>
      </w:r>
      <w:r>
        <w:rPr>
          <w:rFonts w:ascii="Segoe UI" w:hAnsi="Segoe UI" w:cs="Segoe UI" w:eastAsia="Segoe UI"/>
        </w:rPr>
        <w:t xml:space="preserve"> sections 2 to 16</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deploy/AZURE.md</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deploy/azure/bootstrap/main.tf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deploy/azure/shared/*.tf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deploy/azure/environment/*.tf</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deploy/azure/environment/environments/*.tfvars</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deploy/azure/modules/environment/*.tf</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.github/workflows/azure-deploy.yml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.github/workflows/azure-deploy-environment.yml</w:t>
      </w:r>
      <w:r>
        <w:rPr>
          <w:rFonts w:ascii="Segoe UI" w:hAnsi="Segoe UI" w:cs="Segoe UI" w:eastAsia="Segoe UI"/>
        </w:rPr>
        <w:t xml:space="preserve">, </w:t>
      </w:r>
      <w:r>
        <w:rPr>
          <w:rFonts w:ascii="Consolas" w:hAnsi="Consolas" w:cs="Consolas" w:eastAsia="Consolas"/>
          <w:color w:val="1F3B57"/>
          <w:shd w:val="clear" w:color="auto" w:fill="F3F5F8"/>
        </w:rPr>
        <w:t xml:space="preserve">.github/workflows/ci.yml</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backend/docs/api/openapi.json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backend/docs/api/BrokerVerse.postman_collection.json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backend/docs/api/BrokerVerse.postman_environment.json</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backend/docs/api/BrokerVerse_API_Touchpoints.xlsx</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backend/docs/api/BrokerVerse_API_Touchpoints.csv</w:t>
      </w:r>
      <w:r>
        <w:rPr>
          <w:rFonts w:ascii="Segoe UI" w:hAnsi="Segoe UI" w:cs="Segoe UI" w:eastAsia="Segoe UI"/>
        </w:rPr>
        <w:t xml:space="preserve">; </w:t>
      </w:r>
      <w:r>
        <w:rPr>
          <w:rFonts w:ascii="Consolas" w:hAnsi="Consolas" w:cs="Consolas" w:eastAsia="Consolas"/>
          <w:color w:val="1F3B57"/>
          <w:shd w:val="clear" w:color="auto" w:fill="F3F5F8"/>
        </w:rPr>
        <w:t xml:space="preserve">backend/src/tools/export-api.js</w:t>
      </w:r>
      <w:r>
        <w:rPr>
          <w:rFonts w:ascii="Segoe UI" w:hAnsi="Segoe UI" w:cs="Segoe UI" w:eastAsia="Segoe UI"/>
        </w:rPr>
        <w:t xml:space="preserve">; script </w:t>
      </w:r>
      <w:r>
        <w:rPr>
          <w:rFonts w:ascii="Consolas" w:hAnsi="Consolas" w:cs="Consolas" w:eastAsia="Consolas"/>
          <w:color w:val="1F3B57"/>
          <w:shd w:val="clear" w:color="auto" w:fill="F3F5F8"/>
        </w:rPr>
        <w:t xml:space="preserve">export:api</w:t>
      </w:r>
      <w:r>
        <w:rPr>
          <w:rFonts w:ascii="Segoe UI" w:hAnsi="Segoe UI" w:cs="Segoe UI" w:eastAsia="Segoe UI"/>
        </w:rPr>
        <w:t xml:space="preserve"> in </w:t>
      </w:r>
      <w:r>
        <w:rPr>
          <w:rFonts w:ascii="Consolas" w:hAnsi="Consolas" w:cs="Consolas" w:eastAsia="Consolas"/>
          <w:color w:val="1F3B57"/>
          <w:shd w:val="clear" w:color="auto" w:fill="F3F5F8"/>
        </w:rPr>
        <w:t xml:space="preserve">backend/package.json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backend/src/db/migrations/</w:t>
      </w:r>
      <w:r>
        <w:rPr>
          <w:rFonts w:ascii="Segoe UI" w:hAnsi="Segoe UI" w:cs="Segoe UI" w:eastAsia="Segoe UI"/>
        </w:rPr>
        <w:t xml:space="preserve"> (174 files); </w:t>
      </w:r>
      <w:r>
        <w:rPr>
          <w:rFonts w:ascii="Consolas" w:hAnsi="Consolas" w:cs="Consolas" w:eastAsia="Consolas"/>
          <w:color w:val="1F3B57"/>
          <w:shd w:val="clear" w:color="auto" w:fill="F3F5F8"/>
        </w:rPr>
        <w:t xml:space="preserve">docs/TISPH/pack/TISPH_Data_Architecture.docx</w:t>
      </w:r>
      <w:r>
        <w:rPr>
          <w:rFonts w:ascii="Segoe UI" w:hAnsi="Segoe UI" w:cs="Segoe UI" w:eastAsia="Segoe UI"/>
        </w:rPr>
        <w:t xml:space="preserve"> sections 4, 5 and Appendix B</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docs/TISPH/pack/TISPH_Security_Architecture.docx</w:t>
      </w:r>
      <w:r>
        <w:rPr>
          <w:rFonts w:ascii="Segoe UI" w:hAnsi="Segoe UI" w:cs="Segoe UI" w:eastAsia="Segoe UI"/>
        </w:rPr>
        <w:t xml:space="preserve">; </w:t>
      </w:r>
      <w:r>
        <w:rPr>
          <w:rFonts w:ascii="Consolas" w:hAnsi="Consolas" w:cs="Consolas" w:eastAsia="Consolas"/>
          <w:color w:val="1F3B57"/>
          <w:shd w:val="clear" w:color="auto" w:fill="F3F5F8"/>
        </w:rPr>
        <w:t xml:space="preserve">docs/TISPH/pack/TISPH_Delivery_Governance.docx</w:t>
      </w:r>
      <w:r>
        <w:rPr>
          <w:rFonts w:ascii="Segoe UI" w:hAnsi="Segoe UI" w:cs="Segoe UI" w:eastAsia="Segoe UI"/>
        </w:rPr>
        <w:t xml:space="preserve"> section 6</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4.3 (testing)</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docs/TISPH/testing/TISPH_Test_Strategy.docx</w:t>
      </w:r>
      <w:r>
        <w:rPr>
          <w:rFonts w:ascii="Segoe UI" w:hAnsi="Segoe UI" w:cs="Segoe UI" w:eastAsia="Segoe UI"/>
        </w:rPr>
        <w:t xml:space="preserve">, </w:t>
      </w:r>
      <w:r>
        <w:rPr>
          <w:rFonts w:ascii="Consolas" w:hAnsi="Consolas" w:cs="Consolas" w:eastAsia="Consolas"/>
          <w:color w:val="1F3B57"/>
          <w:shd w:val="clear" w:color="auto" w:fill="F3F5F8"/>
        </w:rPr>
        <w:t xml:space="preserve">docs/TISPH/testing/TISPH_Test_Pack.xlsx</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Generic product edition, archived: </w:t>
      </w:r>
      <w:r>
        <w:rPr>
          <w:rFonts w:ascii="Consolas" w:hAnsi="Consolas" w:cs="Consolas" w:eastAsia="Consolas"/>
          <w:color w:val="1F3B57"/>
          <w:shd w:val="clear" w:color="auto" w:fill="F3F5F8"/>
        </w:rPr>
        <w:t xml:space="preserve">docs/archive/2026-10-10/package/</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BrokerVerse_Test_Strategy.docx</w:t>
      </w:r>
      <w:r>
        <w:rPr>
          <w:rFonts w:ascii="Segoe UI" w:hAnsi="Segoe UI" w:cs="Segoe UI" w:eastAsia="Segoe UI"/>
        </w:rPr>
        <w:t xml:space="preserve">, </w:t>
      </w:r>
      <w:r>
        <w:rPr>
          <w:rFonts w:ascii="Consolas" w:hAnsi="Consolas" w:cs="Consolas" w:eastAsia="Consolas"/>
          <w:color w:val="1F3B57"/>
          <w:shd w:val="clear" w:color="auto" w:fill="F3F5F8"/>
        </w:rPr>
        <w:t xml:space="preserve">test-strategy.md</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backend/test/</w:t>
      </w:r>
      <w:r>
        <w:rPr>
          <w:rFonts w:ascii="Segoe UI" w:hAnsi="Segoe UI" w:cs="Segoe UI" w:eastAsia="Segoe UI"/>
        </w:rPr>
        <w:t xml:space="preserve">, </w:t>
      </w:r>
      <w:r>
        <w:rPr>
          <w:rFonts w:ascii="Consolas" w:hAnsi="Consolas" w:cs="Consolas" w:eastAsia="Consolas"/>
          <w:color w:val="1F3B57"/>
          <w:shd w:val="clear" w:color="auto" w:fill="F3F5F8"/>
        </w:rPr>
        <w:t xml:space="preserve">backend/vitest.config.js</w:t>
      </w:r>
      <w:r>
        <w:rPr>
          <w:rFonts w:ascii="Segoe UI" w:hAnsi="Segoe UI" w:cs="Segoe UI" w:eastAsia="Segoe UI"/>
        </w:rPr>
        <w:t xml:space="preserve">, script </w:t>
      </w:r>
      <w:r>
        <w:rPr>
          <w:rFonts w:ascii="Consolas" w:hAnsi="Consolas" w:cs="Consolas" w:eastAsia="Consolas"/>
          <w:color w:val="1F3B57"/>
          <w:shd w:val="clear" w:color="auto" w:fill="F3F5F8"/>
        </w:rPr>
        <w:t xml:space="preserve">test</w:t>
      </w:r>
      <w:r>
        <w:rPr>
          <w:rFonts w:ascii="Segoe UI" w:hAnsi="Segoe UI" w:cs="Segoe UI" w:eastAsia="Segoe UI"/>
        </w:rPr>
        <w:t xml:space="preserve"> in </w:t>
      </w:r>
      <w:r>
        <w:rPr>
          <w:rFonts w:ascii="Consolas" w:hAnsi="Consolas" w:cs="Consolas" w:eastAsia="Consolas"/>
          <w:color w:val="1F3B57"/>
          <w:shd w:val="clear" w:color="auto" w:fill="F3F5F8"/>
        </w:rPr>
        <w:t xml:space="preserve">backend/package.json</w:t>
      </w:r>
      <w:r>
        <w:rPr>
          <w:rFonts w:ascii="Segoe UI" w:hAnsi="Segoe UI" w:cs="Segoe UI" w:eastAsia="Segoe UI"/>
        </w:rPr>
        <w:t xml:space="preserve"> (</w:t>
      </w:r>
      <w:r>
        <w:rPr>
          <w:rFonts w:ascii="Consolas" w:hAnsi="Consolas" w:cs="Consolas" w:eastAsia="Consolas"/>
          <w:color w:val="1F3B57"/>
          <w:shd w:val="clear" w:color="auto" w:fill="F3F5F8"/>
        </w:rPr>
        <w:t xml:space="preserve">vitest run</w:t>
      </w:r>
      <w:r>
        <w:rPr>
          <w:rFonts w:ascii="Segoe UI" w:hAnsi="Segoe UI" w:cs="Segoe UI" w:eastAsia="Segoe UI"/>
        </w:rPr>
        <w:t xml:space="preserve">); script </w:t>
      </w:r>
      <w:r>
        <w:rPr>
          <w:rFonts w:ascii="Consolas" w:hAnsi="Consolas" w:cs="Consolas" w:eastAsia="Consolas"/>
          <w:color w:val="1F3B57"/>
          <w:shd w:val="clear" w:color="auto" w:fill="F3F5F8"/>
        </w:rPr>
        <w:t xml:space="preserve">test</w:t>
      </w:r>
      <w:r>
        <w:rPr>
          <w:rFonts w:ascii="Segoe UI" w:hAnsi="Segoe UI" w:cs="Segoe UI" w:eastAsia="Segoe UI"/>
        </w:rPr>
        <w:t xml:space="preserve"> in </w:t>
      </w:r>
      <w:r>
        <w:rPr>
          <w:rFonts w:ascii="Consolas" w:hAnsi="Consolas" w:cs="Consolas" w:eastAsia="Consolas"/>
          <w:color w:val="1F3B57"/>
          <w:shd w:val="clear" w:color="auto" w:fill="F3F5F8"/>
        </w:rPr>
        <w:t xml:space="preserve">brokerverse/package.json</w:t>
      </w:r>
      <w:r>
        <w:rPr>
          <w:rFonts w:ascii="Segoe UI" w:hAnsi="Segoe UI" w:cs="Segoe UI" w:eastAsia="Segoe UI"/>
        </w:rPr>
        <w:t xml:space="preserve"> (</w:t>
      </w:r>
      <w:r>
        <w:rPr>
          <w:rFonts w:ascii="Consolas" w:hAnsi="Consolas" w:cs="Consolas" w:eastAsia="Consolas"/>
          <w:color w:val="1F3B57"/>
          <w:shd w:val="clear" w:color="auto" w:fill="F3F5F8"/>
        </w:rPr>
        <w:t xml:space="preserve">craco test</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backend/scripts/uat-scenario.js</w:t>
      </w:r>
      <w:r>
        <w:rPr>
          <w:rFonts w:ascii="Segoe UI" w:hAnsi="Segoe UI" w:cs="Segoe UI" w:eastAsia="Segoe UI"/>
        </w:rPr>
        <w:t xml:space="preserve">, </w:t>
      </w:r>
      <w:r>
        <w:rPr>
          <w:rFonts w:ascii="Consolas" w:hAnsi="Consolas" w:cs="Consolas" w:eastAsia="Consolas"/>
          <w:color w:val="1F3B57"/>
          <w:shd w:val="clear" w:color="auto" w:fill="F3F5F8"/>
        </w:rPr>
        <w:t xml:space="preserve">docs/e2e/UAT_SCENARIO_RUN.md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docs/onboarding/UAT_SCRIPTS.md</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docs/TISPH/pack/TISPH_NFR_Compliance.docx</w:t>
      </w:r>
      <w:r>
        <w:rPr>
          <w:rFonts w:ascii="Segoe UI" w:hAnsi="Segoe UI" w:cs="Segoe UI" w:eastAsia="Segoe UI"/>
        </w:rPr>
        <w:t xml:space="preserve"> section 7; </w:t>
      </w:r>
      <w:r>
        <w:rPr>
          <w:rFonts w:ascii="Consolas" w:hAnsi="Consolas" w:cs="Consolas" w:eastAsia="Consolas"/>
          <w:color w:val="1F3B57"/>
          <w:shd w:val="clear" w:color="auto" w:fill="F3F5F8"/>
        </w:rPr>
        <w:t xml:space="preserve">docs/TISPH/pack/TISPH_Security_Architecture.docx</w:t>
      </w:r>
      <w:r>
        <w:rPr>
          <w:rFonts w:ascii="Segoe UI" w:hAnsi="Segoe UI" w:cs="Segoe UI" w:eastAsia="Segoe UI"/>
        </w:rPr>
        <w:t xml:space="preserve"> section 17; </w:t>
      </w:r>
      <w:r>
        <w:rPr>
          <w:rFonts w:ascii="Consolas" w:hAnsi="Consolas" w:cs="Consolas" w:eastAsia="Consolas"/>
          <w:color w:val="1F3B57"/>
          <w:shd w:val="clear" w:color="auto" w:fill="F3F5F8"/>
        </w:rPr>
        <w:t xml:space="preserve">docs/TISPH/pack/TISPH_Environments_and_Release.docx</w:t>
      </w:r>
      <w:r>
        <w:rPr>
          <w:rFonts w:ascii="Segoe UI" w:hAnsi="Segoe UI" w:cs="Segoe UI" w:eastAsia="Segoe UI"/>
        </w:rPr>
        <w:t xml:space="preserve"> sections 6 and 10; </w:t>
      </w:r>
      <w:r>
        <w:rPr>
          <w:rFonts w:ascii="Consolas" w:hAnsi="Consolas" w:cs="Consolas" w:eastAsia="Consolas"/>
          <w:color w:val="1F3B57"/>
          <w:shd w:val="clear" w:color="auto" w:fill="F3F5F8"/>
        </w:rPr>
        <w:t xml:space="preserve">docs/TISPH/pack/TISPH_Data_Migration_and_Cutover.docx</w:t>
      </w:r>
      <w:r>
        <w:rPr>
          <w:rFonts w:ascii="Segoe UI" w:hAnsi="Segoe UI" w:cs="Segoe UI" w:eastAsia="Segoe UI"/>
        </w:rPr>
        <w:t xml:space="preserve"> section 11; </w:t>
      </w:r>
      <w:r>
        <w:rPr>
          <w:rFonts w:ascii="Consolas" w:hAnsi="Consolas" w:cs="Consolas" w:eastAsia="Consolas"/>
          <w:color w:val="1F3B57"/>
          <w:shd w:val="clear" w:color="auto" w:fill="F3F5F8"/>
        </w:rPr>
        <w:t xml:space="preserve">docs/TISPH/pack/TISPH_Delivery_Governance.docx</w:t>
      </w:r>
      <w:r>
        <w:rPr>
          <w:rFonts w:ascii="Segoe UI" w:hAnsi="Segoe UI" w:cs="Segoe UI" w:eastAsia="Segoe UI"/>
        </w:rPr>
        <w:t xml:space="preserve"> sections 2.2 and 8.4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4.4 (operations)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docs/TISPH/pack/TISPH_Operations_and_Support.docx</w:t>
      </w:r>
      <w:r>
        <w:rPr>
          <w:rFonts w:ascii="Segoe UI" w:hAnsi="Segoe UI" w:cs="Segoe UI" w:eastAsia="Segoe UI"/>
        </w:rPr>
        <w:t xml:space="preserve"> sections 4 to 15 and 17</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deploy/REFERENCE.md</w:t>
      </w:r>
      <w:r>
        <w:rPr>
          <w:rFonts w:ascii="Segoe UI" w:hAnsi="Segoe UI" w:cs="Segoe UI" w:eastAsia="Segoe UI"/>
        </w:rPr>
        <w:t xml:space="preserve">,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w:t>
      </w:r>
      <w:r>
        <w:rPr>
          <w:rFonts w:ascii="Consolas" w:hAnsi="Consolas" w:cs="Consolas" w:eastAsia="Consolas"/>
          <w:color w:val="1F3B57"/>
          <w:shd w:val="clear" w:color="auto" w:fill="F3F5F8"/>
        </w:rPr>
        <w:t xml:space="preserve">docs/developer-guide/README.md</w:t>
      </w:r>
      <w:r>
        <w:rPr>
          <w:rFonts w:ascii="Segoe UI" w:hAnsi="Segoe UI" w:cs="Segoe UI" w:eastAsia="Segoe UI"/>
        </w:rPr>
        <w:t xml:space="preserve">, </w:t>
      </w:r>
      <w:r>
        <w:rPr>
          <w:rFonts w:ascii="Consolas" w:hAnsi="Consolas" w:cs="Consolas" w:eastAsia="Consolas"/>
          <w:color w:val="1F3B57"/>
          <w:shd w:val="clear" w:color="auto" w:fill="F3F5F8"/>
        </w:rPr>
        <w:t xml:space="preserve">docs/developer-guide/backend.md</w:t>
      </w:r>
      <w:r>
        <w:rPr>
          <w:rFonts w:ascii="Segoe UI" w:hAnsi="Segoe UI" w:cs="Segoe UI" w:eastAsia="Segoe UI"/>
        </w:rPr>
        <w:t xml:space="preserve">, </w:t>
      </w:r>
      <w:r>
        <w:rPr>
          <w:rFonts w:ascii="Consolas" w:hAnsi="Consolas" w:cs="Consolas" w:eastAsia="Consolas"/>
          <w:color w:val="1F3B57"/>
          <w:shd w:val="clear" w:color="auto" w:fill="F3F5F8"/>
        </w:rPr>
        <w:t xml:space="preserve">docs/developer-guide/frontend.md</w:t>
      </w:r>
      <w:r>
        <w:rPr>
          <w:rFonts w:ascii="Segoe UI" w:hAnsi="Segoe UI" w:cs="Segoe UI" w:eastAsia="Segoe UI"/>
        </w:rPr>
        <w:t xml:space="preserve">, </w:t>
      </w:r>
      <w:r>
        <w:rPr>
          <w:rFonts w:ascii="Consolas" w:hAnsi="Consolas" w:cs="Consolas" w:eastAsia="Consolas"/>
          <w:color w:val="1F3B57"/>
          <w:shd w:val="clear" w:color="auto" w:fill="F3F5F8"/>
        </w:rPr>
        <w:t xml:space="preserve">backend/docs/MODULE_GUIDE.md</w:t>
      </w:r>
      <w:r>
        <w:rPr>
          <w:rFonts w:ascii="Segoe UI" w:hAnsi="Segoe UI" w:cs="Segoe UI" w:eastAsia="Segoe UI"/>
        </w:rPr>
        <w:t xml:space="preserve">, </w:t>
      </w:r>
      <w:r>
        <w:rPr>
          <w:rFonts w:ascii="Consolas" w:hAnsi="Consolas" w:cs="Consolas" w:eastAsia="Consolas"/>
          <w:color w:val="1F3B57"/>
          <w:shd w:val="clear" w:color="auto" w:fill="F3F5F8"/>
        </w:rPr>
        <w:t xml:space="preserve">backend/src/modules/*/README.md</w:t>
      </w:r>
      <w:r>
        <w:rPr>
          <w:rFonts w:ascii="Segoe UI" w:hAnsi="Segoe UI" w:cs="Segoe UI" w:eastAsia="Segoe UI"/>
        </w:rPr>
        <w:t xml:space="preserve"> (15 module guides), </w:t>
      </w:r>
      <w:r>
        <w:rPr>
          <w:rFonts w:ascii="Consolas" w:hAnsi="Consolas" w:cs="Consolas" w:eastAsia="Consolas"/>
          <w:color w:val="1F3B57"/>
          <w:shd w:val="clear" w:color="auto" w:fill="F3F5F8"/>
        </w:rPr>
        <w:t xml:space="preserve">docs/onboarding/SUPPORT_AND_ESCALATION.md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 4.5 (user documentation)</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brokerverse/public/help/user-manual.html</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brokerverse/public/help/BrokerVerse_User_Manual.pdf</w:t>
      </w:r>
      <w:r>
        <w:rPr>
          <w:rFonts w:ascii="Segoe UI" w:hAnsi="Segoe UI" w:cs="Segoe UI" w:eastAsia="Segoe UI"/>
        </w:rPr>
        <w:t xml:space="preserve">, </w:t>
      </w:r>
      <w:r>
        <w:rPr>
          <w:rFonts w:ascii="Consolas" w:hAnsi="Consolas" w:cs="Consolas" w:eastAsia="Consolas"/>
          <w:color w:val="1F3B57"/>
          <w:shd w:val="clear" w:color="auto" w:fill="F3F5F8"/>
        </w:rPr>
        <w:t xml:space="preserve">brokerverse/public/help/sections.json</w:t>
      </w:r>
      <w:r>
        <w:rPr>
          <w:rFonts w:ascii="Segoe UI" w:hAnsi="Segoe UI" w:cs="Segoe UI" w:eastAsia="Segoe UI"/>
        </w:rPr>
        <w:t xml:space="preserve"> (version 1.2.6), </w:t>
      </w:r>
      <w:r>
        <w:rPr>
          <w:rFonts w:ascii="Consolas" w:hAnsi="Consolas" w:cs="Consolas" w:eastAsia="Consolas"/>
          <w:color w:val="1F3B57"/>
          <w:shd w:val="clear" w:color="auto" w:fill="F3F5F8"/>
        </w:rPr>
        <w:t xml:space="preserve">brokerverse/src/components/HelpPanel/helpRoutes.js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docs/package/source/user-manual.md</w:t>
      </w:r>
      <w:r>
        <w:rPr>
          <w:rFonts w:ascii="Segoe UI" w:hAnsi="Segoe UI" w:cs="Segoe UI" w:eastAsia="Segoe UI"/>
        </w:rPr>
        <w:t xml:space="preserve">, </w:t>
      </w:r>
      <w:r>
        <w:rPr>
          <w:rFonts w:ascii="Consolas" w:hAnsi="Consolas" w:cs="Consolas" w:eastAsia="Consolas"/>
          <w:color w:val="1F3B57"/>
          <w:shd w:val="clear" w:color="auto" w:fill="F3F5F8"/>
        </w:rPr>
        <w:t xml:space="preserve">docs/package/05_Delivery/BrokerVerse_User_Manual.docx</w:t>
      </w:r>
      <w:r>
        <w:rPr>
          <w:rFonts w:ascii="Segoe UI" w:hAnsi="Segoe UI" w:cs="Segoe UI" w:eastAsia="Segoe UI"/>
        </w:rPr>
        <w:t xml:space="preserve"> and </w:t>
      </w:r>
      <w:r>
        <w:rPr>
          <w:rFonts w:ascii="Consolas" w:hAnsi="Consolas" w:cs="Consolas" w:eastAsia="Consolas"/>
          <w:color w:val="1F3B57"/>
          <w:shd w:val="clear" w:color="auto" w:fill="F3F5F8"/>
        </w:rPr>
        <w:t xml:space="preserve">.pdf</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docs/onboarding/GETTING_STARTED.md</w:t>
      </w:r>
      <w:r>
        <w:rPr>
          <w:rFonts w:ascii="Segoe UI" w:hAnsi="Segoe UI" w:cs="Segoe UI" w:eastAsia="Segoe UI"/>
        </w:rPr>
        <w:t xml:space="preserve">; </w:t>
      </w:r>
      <w:r>
        <w:rPr>
          <w:rFonts w:ascii="Consolas" w:hAnsi="Consolas" w:cs="Consolas" w:eastAsia="Consolas"/>
          <w:color w:val="1F3B57"/>
          <w:shd w:val="clear" w:color="auto" w:fill="F3F5F8"/>
        </w:rPr>
        <w:t xml:space="preserve">docs/decks/*.pptx</w:t>
      </w:r>
      <w:r>
        <w:rPr>
          <w:rFonts w:ascii="Segoe UI" w:hAnsi="Segoe UI" w:cs="Segoe UI" w:eastAsia="Segoe UI"/>
        </w:rPr>
        <w:t xml:space="preserve">, </w:t>
      </w:r>
      <w:r>
        <w:rPr>
          <w:rFonts w:ascii="Consolas" w:hAnsi="Consolas" w:cs="Consolas" w:eastAsia="Consolas"/>
          <w:color w:val="1F3B57"/>
          <w:shd w:val="clear" w:color="auto" w:fill="F3F5F8"/>
        </w:rPr>
        <w:t xml:space="preserve">docs/decks/README.md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Sections 4.6 and 5 (delivery, governance, further documents)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docs/TISPH/pack/TISPH_Delivery_Governance.docx</w:t>
      </w:r>
      <w:r>
        <w:rPr>
          <w:rFonts w:ascii="Segoe UI" w:hAnsi="Segoe UI" w:cs="Segoe UI" w:eastAsia="Segoe UI"/>
        </w:rPr>
        <w:t xml:space="preserve"> sections 2 to 12; </w:t>
      </w:r>
      <w:r>
        <w:rPr>
          <w:rFonts w:ascii="Consolas" w:hAnsi="Consolas" w:cs="Consolas" w:eastAsia="Consolas"/>
          <w:color w:val="1F3B57"/>
          <w:shd w:val="clear" w:color="auto" w:fill="F3F5F8"/>
        </w:rPr>
        <w:t xml:space="preserve">docs/TISPH/pack/TISPH_Operations_and_Support.docx</w:t>
      </w:r>
      <w:r>
        <w:rPr>
          <w:rFonts w:ascii="Segoe UI" w:hAnsi="Segoe UI" w:cs="Segoe UI" w:eastAsia="Segoe UI"/>
        </w:rPr>
        <w:t xml:space="preserve"> sections 7, 14, 15; </w:t>
      </w:r>
      <w:r>
        <w:rPr>
          <w:rFonts w:ascii="Consolas" w:hAnsi="Consolas" w:cs="Consolas" w:eastAsia="Consolas"/>
          <w:color w:val="1F3B57"/>
          <w:shd w:val="clear" w:color="auto" w:fill="F3F5F8"/>
        </w:rPr>
        <w:t xml:space="preserve">docs/TISPH/pack/TISPH_Environments_and_Release.docx</w:t>
      </w:r>
      <w:r>
        <w:rPr>
          <w:rFonts w:ascii="Segoe UI" w:hAnsi="Segoe UI" w:cs="Segoe UI" w:eastAsia="Segoe UI"/>
        </w:rPr>
        <w:t xml:space="preserve"> sections 7 and 12; </w:t>
      </w:r>
      <w:r>
        <w:rPr>
          <w:rFonts w:ascii="Consolas" w:hAnsi="Consolas" w:cs="Consolas" w:eastAsia="Consolas"/>
          <w:color w:val="1F3B57"/>
          <w:shd w:val="clear" w:color="auto" w:fill="F3F5F8"/>
        </w:rPr>
        <w:t xml:space="preserve">docs/TISPH/pack/TISPH_Data_Migration_and_Cutover.docx</w:t>
      </w:r>
      <w:r>
        <w:rPr>
          <w:rFonts w:ascii="Segoe UI" w:hAnsi="Segoe UI" w:cs="Segoe UI" w:eastAsia="Segoe UI"/>
        </w:rPr>
        <w:t xml:space="preserve"> sections 13 and 18</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docs/package/05_Delivery/Upload_Templates/</w:t>
      </w:r>
      <w:r>
        <w:rPr>
          <w:rFonts w:ascii="Segoe UI" w:hAnsi="Segoe UI" w:cs="Segoe UI" w:eastAsia="Segoe UI"/>
        </w:rPr>
        <w:t xml:space="preserve"> (generated by </w:t>
      </w:r>
      <w:r>
        <w:rPr>
          <w:rFonts w:ascii="Consolas" w:hAnsi="Consolas" w:cs="Consolas" w:eastAsia="Consolas"/>
          <w:color w:val="1F3B57"/>
          <w:shd w:val="clear" w:color="auto" w:fill="F3F5F8"/>
        </w:rPr>
        <w:t xml:space="preserve">backend/scripts/build-upload-templates.js</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docs/onboarding/GO_LIVE_DATA_SETUP.md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docs/onboarding/GO_LIVE_DATA_WORKBENCH.md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docs/onboarding/SMOKE_TEST_AND_RESET.md</w:t>
      </w:r>
      <w:r>
        <w:rPr>
          <w:rFonts w:ascii="Segoe UI" w:hAnsi="Segoe UI" w:cs="Segoe UI" w:eastAsia="Segoe UI"/>
        </w:rPr>
        <w:t xml:space="preserve">, </w:t>
      </w:r>
      <w:r>
        <w:rPr>
          <w:rFonts w:ascii="Consolas" w:hAnsi="Consolas" w:cs="Consolas" w:eastAsia="Consolas"/>
          <w:color w:val="1F3B57"/>
          <w:shd w:val="clear" w:color="auto" w:fill="F3F5F8"/>
        </w:rPr>
        <w:t xml:space="preserve">docs/onboarding/DATA_MASKING.md</w:t>
      </w:r>
      <w:r>
        <w:rPr>
          <w:rFonts w:ascii="Segoe UI" w:hAnsi="Segoe UI" w:cs="Segoe UI" w:eastAsia="Segoe UI"/>
        </w:rPr>
        <w:t xml:space="preserve">, </w:t>
      </w:r>
      <w:r>
        <w:rPr>
          <w:rFonts w:ascii="Consolas" w:hAnsi="Consolas" w:cs="Consolas" w:eastAsia="Consolas"/>
          <w:color w:val="1F3B57"/>
          <w:shd w:val="clear" w:color="auto" w:fill="F3F5F8"/>
        </w:rPr>
        <w:t xml:space="preserve">backend/scripts/mask-data.js</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docs/package/06_Support/BrokerVerse_Release_Notes_Template.docx</w:t>
      </w:r>
    </w:p>
    <w:p xmlns:a="http://schemas.openxmlformats.org/drawingml/2006/main" xmlns:pic="http://schemas.openxmlformats.org/drawingml/2006/picture">
      <w:pPr>
        <w:numPr>
          <w:ilvl w:val="0"/>
          <w:numId w:val="12"/>
        </w:numPr>
        <w:spacing w:after="60"/>
        <w:jc w:val="left"/>
      </w:pPr>
      <w:r>
        <w:rPr>
          <w:rFonts w:ascii="Consolas" w:hAnsi="Consolas" w:cs="Consolas" w:eastAsia="Consolas"/>
          <w:color w:val="1F3B57"/>
          <w:shd w:val="clear" w:color="auto" w:fill="F3F5F8"/>
        </w:rPr>
        <w:t xml:space="preserve">docs/package/04_Onboarding_and_Go_Live/BrokerVerse_Privacy_Impact_Assessment_and_Records_of_Processing_Templates.docx</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8" w:name="_Toc300001018"/>
      <w:r>
        <w:rPr>
          <w:rFonts w:ascii="Segoe UI" w:hAnsi="Segoe UI" w:cs="Segoe UI" w:eastAsia="Segoe UI"/>
        </w:rPr>
        <w:t xml:space="preserve">Pending Items</w:t>
      </w:r>
      <w:bookmarkEnd w:id="101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Document Sign-Off</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Register</dc:title>
  <dc:subject>Toyota Insurance Services Philippines</dc:subject>
  <dc:creator>iorta TechNXT</dc:creator>
  <cp:keywords>TISPH; BrokerVerse</cp:keywords>
  <dc:description/>
  <cp:lastModifiedBy>iorta TechNXT</cp:lastModifiedBy>
  <cp:revision>1</cp:revision>
  <dcterms:created xsi:type="dcterms:W3CDTF">2026-10-10T04:21:01Z</dcterms:created>
  <dcterms:modified xsi:type="dcterms:W3CDTF">2026-10-10T04:21:01Z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