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Initial issue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IC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Insurance Commission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BIR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Bureau of Internal Revenue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NPC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National Privacy Commission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DPA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Privacy Act of 2012 (RA 10173)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EOPT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Ease of Paying Taxes Act (RA 11976)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CTPL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Compulsory Third Party Liability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LTO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Land Transportation Office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DST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Documentary stamp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LGT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Local government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FST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Fire service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LGU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Local government unit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Value-added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Expanded withholding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Creditable withholding tax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ATC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Alphanumeric tax code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SAWT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Summary Alphalist of Withholding Taxes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QAP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Quarterly Alphalist of Payees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SLSP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Summary List of Sales and Purchases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KYC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Know your customer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RFQ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Request for quotation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Official receipt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PV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Payment voucher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JV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Journal voucher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GL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General ledger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SoD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Segregation of duties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TOTP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Time-based one-time password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Application programming interface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 Contract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Change request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About this release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3.1  Release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803"/>
        <w:gridCol w:w="7211"/>
      </w:tblGrid>
      <w:tr>
        <w:trPr>
          <w:tblHeader w:val="true"/>
        </w:trPr>
        <w:tc>
          <w:tcPr>
            <w:tcW w:type="dxa" w:w="18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721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Value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OOTB, insurance broking platform for Philippine non-life brokers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1.0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Build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Branch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brokerverse-platform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of 03 October 2026; backend package version 1.0.0. The repository carries tag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v1.0.0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 (29 September 2026); the tag of the final 1.0 build is [to confirm]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Technology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React 18 web application, Node.js 22 API, PostgreSQL 16 database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 test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03 to 04 October 2026; see the Test Summary Report</w:t>
            </w:r>
          </w:p>
        </w:tc>
      </w:tr>
      <w:tr>
        <w:tc>
          <w:tcPr>
            <w:tcW w:type="dxa" w:w="18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Audience</w:t>
            </w:r>
          </w:p>
        </w:tc>
        <w:tc>
          <w:tcPr>
            <w:tcW w:type="dxa" w:w="7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Broker management, key users, System Administrator, auditors, and the iorta TechNXT support team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3.2  Release in figures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Count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Delivered roles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7 (System Administrator, Sales &amp; Marketing, Processing Team, Operations, Claims, Accounting, Accounting Manager)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Menu screens checked per role in the release test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173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Catalogue reports in Excel, CSV and PDF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39, plus dashboards and printed documents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Registered API routes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854, documented in OpenAPI, Postman and an Excel touchpoint list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jobs (Asia/Manila time)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16, plus the overdue data subject request reminder (delivered switched off)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Document number series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52 in the release test, counters that only move forward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templates for go-live data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About 40, each verified against its importer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Test cases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497 prepared: 480 passed, 8 failed, 3 blocked, 6 not run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Automated business-rule tests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634, all passed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End-to-end UAT cycle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371 business steps, 0 failed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What is delivered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4.1  Sales and placement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808"/>
        <w:gridCol w:w="4207"/>
      </w:tblGrid>
      <w:tr>
        <w:trPr>
          <w:tblHeader w:val="true"/>
        </w:trPr>
        <w:tc>
          <w:tcPr>
            <w:tcW w:type="dxa" w:w="480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42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Prospects with contact details, address and status, bulk upload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Sales &amp; Marketing &gt; Prospects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Quick Quote of packaged products from insurer rate tables; Compare Insurers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Quick Quote; Compare Insurers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Request for Quotation to several insurers on a broker slip; insurer offers and declines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Request for Quotation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Quotations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Slips with lead insurer and co-insurers, shares totalling 100%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Slips</w:t>
            </w:r>
          </w:p>
        </w:tc>
      </w:tr>
      <w:tr>
        <w:tc>
          <w:tcPr>
            <w:tcW w:type="dxa" w:w="480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Placement journey per line of business (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placement.journey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>), shown as a progress bar</w:t>
            </w:r>
          </w:p>
        </w:tc>
        <w:tc>
          <w:tcPr>
            <w:tcW w:type="dxa" w:w="42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Configuration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6271"/>
        <w:gridCol w:w="2743"/>
      </w:tblGrid>
      <w:tr>
        <w:trPr>
          <w:tblHeader w:val="true"/>
        </w:trPr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Policy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Policy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Claims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Renewals</w:t>
            </w:r>
          </w:p>
        </w:tc>
      </w:tr>
      <w:tr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Clients with their policies and accounting position</w:t>
            </w:r>
          </w:p>
        </w:tc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Clients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4.3  Money and accounting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031"/>
        <w:gridCol w:w="3983"/>
      </w:tblGrid>
      <w:tr>
        <w:trPr>
          <w:tblHeader w:val="true"/>
        </w:trPr>
        <w:tc>
          <w:tcPr>
            <w:tcW w:type="dxa" w:w="503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398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Open items, payment capture by sales and operations, acknowledgement receipts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Operations &gt; Open Items; Payments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Billing, official receipts, receipt and invoice e-mails with PDF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Receipts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Collections; Credit Control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Disbursement and payment vouchers, petty cash from request to replenishment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Disbursement; Petty Cash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to insurers by share, with tracking, statements, settlement, approval workflow, exceptions, electronic transfer records, agency bill and direct bill processing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Remittance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Commission: referrer and sub-agent accounts, commission rate matrix, payout after collection with withholding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Incentive programmes, calculations, approvals and statements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Incentive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General ledger from posting rules; Journal Voucher, Correction JV, Reversal JV; open entry matching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Period End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reconciliation with statement import (BDO, BPI, Metrobank and generic formats) and matching rules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Bank Reconciliation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statement reconciliation with column mapping per insurer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Accounts &gt; Insurer Reconciliation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Reinsurance: treaties, cessions, recoveries, bordereaux, reconciliation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Reinsurance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213"/>
        <w:gridCol w:w="3801"/>
      </w:tblGrid>
      <w:tr>
        <w:trPr>
          <w:tblHeader w:val="true"/>
        </w:trPr>
        <w:tc>
          <w:tcPr>
            <w:tcW w:type="dxa" w:w="521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Capability</w:t>
            </w:r>
          </w:p>
        </w:tc>
        <w:tc>
          <w:tcPr>
            <w:tcW w:type="dxa" w:w="380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Main screens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Configurator: product templates, coverage builder, rating engine, acceptance rules, document manager, approval workflows, market and risk mapping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Configurator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Masters for organisation, insurers, lines of business, products, covers, vehicles, locations, employees, finance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Generals; Master &gt; Finance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Settings, Configuration by business area, Document Numbering, Schedules, E-mail Outbox, Audit Trail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Generals &gt; User Management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Configuration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privacy: Consent Register, Data Subject Requests, personal data export, anonymisation with dry run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Data Privacy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Reports; Dashboard</w:t>
            </w:r>
          </w:p>
        </w:tc>
      </w:tr>
      <w:tr>
        <w:tc>
          <w:tcPr>
            <w:tcW w:type="dxa" w:w="521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type="dxa" w:w="38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&gt; Finance &gt; Payment Gateways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4.5  Philippine rules built in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743"/>
        <w:gridCol w:w="6271"/>
      </w:tblGrid>
      <w:tr>
        <w:trPr>
          <w:tblHeader w:val="true"/>
        </w:trPr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Area</w:t>
            </w:r>
          </w:p>
        </w:tc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Rule as delivered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Premium taxes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DST 12.5% of net premium (or per PHP 4.00 unit, rounded up),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CTPL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KYC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 tax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BIR working papers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BIR Form 2307 issued and received, VAT Summary, SAWT, QAP, SLSP Sales and SLSP Purchases, in the BIR column order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Invoices and receipts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Local formats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Asia/Manila time zone, PHP base currency, +63 mobile numbers, Philippine provinces and cities with all NCR LGUs, Philippine banks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privacy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Known limitations and open items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5.1  Open defects and observations from the release test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134"/>
        <w:gridCol w:w="2701"/>
        <w:gridCol w:w="1123"/>
        <w:gridCol w:w="2645"/>
        <w:gridCol w:w="1412"/>
      </w:tblGrid>
      <w:tr>
        <w:trPr>
          <w:tblHeader w:val="true"/>
        </w:trPr>
        <w:tc>
          <w:tcPr>
            <w:tcW w:type="dxa" w:w="113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ID</w:t>
            </w:r>
          </w:p>
        </w:tc>
        <w:tc>
          <w:tcPr>
            <w:tcW w:type="dxa" w:w="270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Item</w:t>
            </w:r>
          </w:p>
        </w:tc>
        <w:tc>
          <w:tcPr>
            <w:tcW w:type="dxa" w:w="11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Severity</w:t>
            </w:r>
          </w:p>
        </w:tc>
        <w:tc>
          <w:tcPr>
            <w:tcW w:type="dxa" w:w="264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Workaround</w:t>
            </w:r>
          </w:p>
        </w:tc>
        <w:tc>
          <w:tcPr>
            <w:tcW w:type="dxa" w:w="141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Target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BV-DEF-001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react-router carries a moderate security advisory (open redirect)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Navigation targets come from the application's own routes; web server allows only the application origin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Next minor release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BV-DEF-002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privacy features were not built at the release test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Consent Register, Data Subject Requests, export and anonymisation were delivered after the test (Master &gt; Data Privacy); cases BV-SEC-034 and BV-SEC-035 to be re-run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Re-test [to confirm date]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BV-DEF-003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Application-level encryption covers only two-step verification secrets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Medium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Encrypted database storage and backups; restricted database access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Product backlog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BV-DEF-004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Product configurator component lists do not show the template; factors look duplicated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 the factor or filter by template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Next minor release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BV-OBS-005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Renewal refused for a policy expired beyond grace plus lapsed-renewal days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Quote as new business (by design)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 change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BV-DEF-006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Premium Taxes &amp; LGU Rates: charges calculator product list empty for Accounting roles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Run the calculator as System Administrator, or check on a test quotation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Next patch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BV-OBS-007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Address of the menu group Master &gt; Generals &gt; Organization opens "Page not found"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 Company or Branch from the menu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Next minor release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BV-OBS-008</w:t>
            </w:r>
          </w:p>
        </w:tc>
        <w:tc>
          <w:tcPr>
            <w:tcW w:type="dxa" w:w="270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Incentive &gt; My Programs: Achievement Overview card cut off at 1440 px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Low</w:t>
            </w:r>
          </w:p>
        </w:tc>
        <w:tc>
          <w:tcPr>
            <w:tcW w:type="dxa" w:w="264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Collapse the side menu or zoom to 90%</w:t>
            </w:r>
          </w:p>
        </w:tc>
        <w:tc>
          <w:tcPr>
            <w:tcW w:type="dxa" w:w="141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Next minor release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5.2  Limits of the OOTB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type="dxa" w:w="209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Topic</w:t>
            </w:r>
          </w:p>
        </w:tc>
        <w:tc>
          <w:tcPr>
            <w:tcW w:type="dxa" w:w="346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Release 1.0 behaviour</w:t>
            </w:r>
          </w:p>
        </w:tc>
        <w:tc>
          <w:tcPr>
            <w:tcW w:type="dxa" w:w="346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Route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systems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insurer API; slips, statements and debit notes by file and e-mail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per insurer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IC report formats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Figures from financial statements and production reports; no IC-format report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Percentage tax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working paper for a non-VAT broker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Ledger by insurer; 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Anti-money laundering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transaction monitoring, sanctions or PEP screening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Outside OOTB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Report schedules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e-mail of reports exists in the API; no screen to set it up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Administrator through the API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payments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Transfers approved and recorded; no bank payment file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per bank format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Two-step enrolment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Shows the key and a link, not a QR code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type the key into the authenticator app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Session tokens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Kept in browser local storage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Move to httpOnly cookie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Masters without Upload button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Templates loaded by the System Administrator through the API route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buttons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 settlement cash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Settlement cash panel is on the claim screens; the System Administrator records funds on Accounting's instruction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menu extension on the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Mobile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Web application for desktop and laptop browsers (current Chrome, Edge or Firefox)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See roadmap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Language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English screens; no Filipino translation file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Load test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 run; single-server timings only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Run on the production-sized environment before go-live</w:t>
            </w:r>
          </w:p>
        </w:tc>
      </w:tr>
      <w:tr>
        <w:tc>
          <w:tcPr>
            <w:tcW w:type="dxa" w:w="20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External penetration test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Not run</w:t>
            </w:r>
          </w:p>
        </w:tc>
        <w:tc>
          <w:tcPr>
            <w:tcW w:type="dxa" w:w="34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Commission before go-live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5.3  Before go-live at a broker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 xml:space="preserve">Set </w:t>
      </w:r>
      <w:r>
        <w:rPr>
          <w:rFonts w:ascii="Consolas" w:hAnsi="Consolas" w:cs="Consolas" w:eastAsia="Consolas"/>
          <w:color w:val="101820"/>
          <w:sz w:val="19"/>
        </w:rPr>
        <w:t>security.require_2fa_roles</w:t>
      </w:r>
      <w:r>
        <w:rPr>
          <w:rFonts w:ascii="Segoe UI" w:hAnsi="Segoe UI" w:cs="Segoe UI" w:eastAsia="Segoe UI"/>
          <w:color w:val="101820"/>
          <w:sz w:val="21"/>
        </w:rPr>
        <w:t xml:space="preserve"> to at least System Administrator, Accounting and Accounting Manager.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Replace the default authority limits with the board-approved signing authority.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Fill the BIR settings (registered name, address, TIN of the withholding agent).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Confirm premium tax rules, LGU rates, ATC and GL accounts with the broker's tax adviser.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Switch off the Sandbox payment gateway in production; enter live gateway keys in the secret store.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Switch on "Send e-mails" only after the SMTP mailbox is tested.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Upgrade and versioning policy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Version numbers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ascii="Consolas" w:hAnsi="Consolas" w:cs="Consolas" w:eastAsia="Consolas"/>
          <w:color w:val="101820"/>
          <w:sz w:val="19"/>
        </w:rPr>
        <w:t>v1.0.0</w:t>
      </w:r>
      <w:r>
        <w:rPr>
          <w:rFonts w:ascii="Segoe UI" w:hAnsi="Segoe UI" w:cs="Segoe UI" w:eastAsia="Segoe UI"/>
          <w:color w:val="101820"/>
          <w:sz w:val="21"/>
        </w:rPr>
        <w:t xml:space="preserve">); </w:t>
      </w:r>
      <w:r>
        <w:rPr>
          <w:rFonts w:ascii="Consolas" w:hAnsi="Consolas" w:cs="Consolas" w:eastAsia="Consolas"/>
          <w:color w:val="101820"/>
          <w:sz w:val="19"/>
        </w:rPr>
        <w:t>GET /api/version</w:t>
      </w:r>
      <w:r>
        <w:rPr>
          <w:rFonts w:ascii="Segoe UI" w:hAnsi="Segoe UI" w:cs="Segoe UI" w:eastAsia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1003"/>
        <w:gridCol w:w="3541"/>
        <w:gridCol w:w="3563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Type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Example</w:t>
            </w:r>
          </w:p>
        </w:tc>
        <w:tc>
          <w:tcPr>
            <w:tcW w:type="dxa" w:w="35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Content</w:t>
            </w:r>
          </w:p>
        </w:tc>
        <w:tc>
          <w:tcPr>
            <w:tcW w:type="dxa" w:w="356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Frequency (standard)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Patch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1.0.1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Defect fixes and security fixes; no change to how users work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As needed; emergency release for P1 or security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Minor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1.1.0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New functions, new reports, regulatory form updates, upgrades of components; existing data and settings kept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Planned releases, monthly when there are fixes or changes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Major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2.0.0</w:t>
            </w:r>
          </w:p>
        </w:tc>
        <w:tc>
          <w:tcPr>
            <w:tcW w:type="dxa" w:w="35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Changes that need a migration project, retraining or a change of hosting components</w:t>
            </w:r>
          </w:p>
        </w:tc>
        <w:tc>
          <w:tcPr>
            <w:tcW w:type="dxa" w:w="3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Announced at least 6 months ahead [to confirm]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Rules for every release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Settings and master data changed by the broker are kept: the seed inserts only what is missing.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Entitlement and support of versions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Product roadmap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b/>
          <w:color w:val="101820"/>
          <w:sz w:val="20"/>
        </w:rPr>
        <w:t>Indicative and not contractual.</w:t>
      </w:r>
      <w:r>
        <w:rPr>
          <w:rFonts w:ascii="Segoe UI" w:hAnsi="Segoe UI" w:cs="Segoe UI" w:eastAsia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Upgrade react-router to the fixed major version (BV-DEF-001)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Close the moderate advisory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list of the charges calculator readable by Accounting (BV-DEF-006)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maintains premium taxes without the administrator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Template shown on Product Configurator component lists (BV-DEF-004)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Clearer rating factors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Menu group address and incentive card layout (BV-OBS-007, BV-OBS-008)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 fixes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Re-run of the data privacy test cases and of the blocked SMTP cases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Close the release test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QR code for two-step enrolment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Easier enrolment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Upload buttons on the masters that only have an API route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Self-service go-live loads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Automated dependency and image scanning in the pipeline; tests restored in the deployment workflow; branch protection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Secure development lifecycle gaps of the architecture review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Session refresh in an httpOnly cookie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Remove tokens from browser local storage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Field-level encryption of personal identifiers (TIN, ID numbers) (BV-DEF-003)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Defence in depth for sensitive personal information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Move of the front-end build from Create React App to Vite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Maintained build tooling; clears build-time advisories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 to set up scheduled report e-mails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Today only through the API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Claim settlement cash on the Accounting menu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records claim funds directly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Rate limits shared across API instances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Consistent limits with several instances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Load test results and sizing confirmation on a production-sized environment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Evidence for larger brokers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Why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IC report formats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Reduce manual preparation of IC reports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Percentage tax working paper for non-VAT brokers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Complete the BIR working papers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payment files for the main Philippine banks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and payouts without re-keying in bank portals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Insurer API connectors, starting with insurers that publish an API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Fewer files and e-mails with insurers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Mobile-friendly screens for sales and claims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Field use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Filipino screen translation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who prefer Filipino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Screening support for anti-money laundering checks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Brokers covered by the AMLA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8.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Closed</w:t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1146A836" w14:textId="10B273DD" w:rsidR="00EE516B" w:rsidRDefault="002B183A">
      <w:r w:rsidRPr="00FE19FE">
        <w:br w:type="page"/>
      </w:r>
    </w:p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