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045_213598269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047_213598269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049_2135982699">
            <w:r>
              <w:rPr>
                <w:webHidden/>
                <w:rStyle w:val="IndexLink"/>
              </w:rPr>
              <w:t>3. About this annex</w:t>
              <w:tab/>
              <w:t>4</w:t>
            </w:r>
          </w:hyperlink>
        </w:p>
        <w:p>
          <w:pPr>
            <w:pStyle w:val="TOC2"/>
            <w:tabs>
              <w:tab w:val="clear" w:pos="900"/>
              <w:tab w:val="clear" w:pos="9350"/>
              <w:tab w:val="right" w:pos="9025" w:leader="dot"/>
            </w:tabs>
            <w:rPr/>
          </w:pPr>
          <w:hyperlink w:anchor="__RefHeading___Toc16051_2135982699">
            <w:r>
              <w:rPr>
                <w:webHidden/>
                <w:rStyle w:val="IndexLink"/>
              </w:rPr>
              <w:t>3.1 RACI codes</w:t>
              <w:tab/>
              <w:t>4</w:t>
            </w:r>
          </w:hyperlink>
        </w:p>
        <w:p>
          <w:pPr>
            <w:pStyle w:val="TOC1"/>
            <w:tabs>
              <w:tab w:val="clear" w:pos="900"/>
              <w:tab w:val="clear" w:pos="9350"/>
              <w:tab w:val="right" w:pos="9025" w:leader="dot"/>
            </w:tabs>
            <w:rPr/>
          </w:pPr>
          <w:hyperlink w:anchor="__RefHeading___Toc16053_2135982699">
            <w:r>
              <w:rPr>
                <w:webHidden/>
                <w:rStyle w:val="IndexLink"/>
              </w:rPr>
              <w:t>4. Roles</w:t>
              <w:tab/>
              <w:t>5</w:t>
            </w:r>
          </w:hyperlink>
        </w:p>
        <w:p>
          <w:pPr>
            <w:pStyle w:val="TOC2"/>
            <w:tabs>
              <w:tab w:val="clear" w:pos="900"/>
              <w:tab w:val="clear" w:pos="9350"/>
              <w:tab w:val="right" w:pos="9025" w:leader="dot"/>
            </w:tabs>
            <w:rPr/>
          </w:pPr>
          <w:hyperlink w:anchor="__RefHeading___Toc16055_2135982699">
            <w:r>
              <w:rPr>
                <w:webHidden/>
                <w:rStyle w:val="IndexLink"/>
              </w:rPr>
              <w:t>4.1 Client roles</w:t>
              <w:tab/>
              <w:t>5</w:t>
            </w:r>
          </w:hyperlink>
        </w:p>
        <w:p>
          <w:pPr>
            <w:pStyle w:val="TOC2"/>
            <w:tabs>
              <w:tab w:val="clear" w:pos="900"/>
              <w:tab w:val="clear" w:pos="9350"/>
              <w:tab w:val="right" w:pos="9025" w:leader="dot"/>
            </w:tabs>
            <w:rPr/>
          </w:pPr>
          <w:hyperlink w:anchor="__RefHeading___Toc16057_2135982699">
            <w:r>
              <w:rPr>
                <w:webHidden/>
                <w:rStyle w:val="IndexLink"/>
              </w:rPr>
              <w:t>4.2 iorta TechNXT roles</w:t>
              <w:tab/>
              <w:t>5</w:t>
            </w:r>
          </w:hyperlink>
        </w:p>
        <w:p>
          <w:pPr>
            <w:pStyle w:val="TOC1"/>
            <w:tabs>
              <w:tab w:val="clear" w:pos="900"/>
              <w:tab w:val="clear" w:pos="9350"/>
              <w:tab w:val="right" w:pos="9025" w:leader="dot"/>
            </w:tabs>
            <w:rPr/>
          </w:pPr>
          <w:hyperlink w:anchor="__RefHeading___Toc16059_2135982699">
            <w:r>
              <w:rPr>
                <w:webHidden/>
                <w:rStyle w:val="IndexLink"/>
              </w:rPr>
              <w:t>5. Client responsibilities</w:t>
              <w:tab/>
              <w:t>6</w:t>
            </w:r>
          </w:hyperlink>
        </w:p>
        <w:p>
          <w:pPr>
            <w:pStyle w:val="TOC2"/>
            <w:tabs>
              <w:tab w:val="clear" w:pos="900"/>
              <w:tab w:val="clear" w:pos="9350"/>
              <w:tab w:val="right" w:pos="9025" w:leader="dot"/>
            </w:tabs>
            <w:rPr/>
          </w:pPr>
          <w:hyperlink w:anchor="__RefHeading___Toc16061_2135982699">
            <w:r>
              <w:rPr>
                <w:webHidden/>
                <w:rStyle w:val="IndexLink"/>
              </w:rPr>
              <w:t>5.1 Client responsibilities in the implementation</w:t>
              <w:tab/>
              <w:t>6</w:t>
            </w:r>
          </w:hyperlink>
        </w:p>
        <w:p>
          <w:pPr>
            <w:pStyle w:val="TOC2"/>
            <w:tabs>
              <w:tab w:val="clear" w:pos="900"/>
              <w:tab w:val="clear" w:pos="9350"/>
              <w:tab w:val="right" w:pos="9025" w:leader="dot"/>
            </w:tabs>
            <w:rPr/>
          </w:pPr>
          <w:hyperlink w:anchor="__RefHeading___Toc16063_2135982699">
            <w:r>
              <w:rPr>
                <w:webHidden/>
                <w:rStyle w:val="IndexLink"/>
              </w:rPr>
              <w:t>5.2 Client responsibilities in production support</w:t>
              <w:tab/>
              <w:t>6</w:t>
            </w:r>
          </w:hyperlink>
        </w:p>
        <w:p>
          <w:pPr>
            <w:pStyle w:val="TOC1"/>
            <w:tabs>
              <w:tab w:val="clear" w:pos="900"/>
              <w:tab w:val="clear" w:pos="9350"/>
              <w:tab w:val="right" w:pos="9025" w:leader="dot"/>
            </w:tabs>
            <w:rPr/>
          </w:pPr>
          <w:hyperlink w:anchor="__RefHeading___Toc16065_2135982699">
            <w:r>
              <w:rPr>
                <w:webHidden/>
                <w:rStyle w:val="IndexLink"/>
              </w:rPr>
              <w:t>6. RACI</w:t>
              <w:tab/>
              <w:t>8</w:t>
            </w:r>
          </w:hyperlink>
        </w:p>
        <w:p>
          <w:pPr>
            <w:pStyle w:val="TOC2"/>
            <w:tabs>
              <w:tab w:val="clear" w:pos="900"/>
              <w:tab w:val="clear" w:pos="9350"/>
              <w:tab w:val="right" w:pos="9025" w:leader="dot"/>
            </w:tabs>
            <w:rPr/>
          </w:pPr>
          <w:hyperlink w:anchor="__RefHeading___Toc16067_2135982699">
            <w:r>
              <w:rPr>
                <w:webHidden/>
                <w:rStyle w:val="IndexLink"/>
              </w:rPr>
              <w:t>6.1 RACI: implementation</w:t>
              <w:tab/>
              <w:t>8</w:t>
            </w:r>
          </w:hyperlink>
        </w:p>
        <w:p>
          <w:pPr>
            <w:pStyle w:val="TOC2"/>
            <w:tabs>
              <w:tab w:val="clear" w:pos="900"/>
              <w:tab w:val="clear" w:pos="9350"/>
              <w:tab w:val="right" w:pos="9025" w:leader="dot"/>
            </w:tabs>
            <w:rPr/>
          </w:pPr>
          <w:hyperlink w:anchor="__RefHeading___Toc16069_2135982699">
            <w:r>
              <w:rPr>
                <w:webHidden/>
                <w:rStyle w:val="IndexLink"/>
              </w:rPr>
              <w:t>6.2 RACI: production support</w:t>
              <w:tab/>
              <w:t>8</w:t>
            </w:r>
          </w:hyperlink>
        </w:p>
        <w:p>
          <w:pPr>
            <w:pStyle w:val="TOC1"/>
            <w:tabs>
              <w:tab w:val="clear" w:pos="900"/>
              <w:tab w:val="clear" w:pos="9350"/>
              <w:tab w:val="right" w:pos="9025" w:leader="dot"/>
            </w:tabs>
            <w:rPr/>
          </w:pPr>
          <w:hyperlink w:anchor="__RefHeading___Toc16071_2135982699">
            <w:r>
              <w:rPr>
                <w:webHidden/>
                <w:rStyle w:val="IndexLink"/>
              </w:rPr>
              <w:t>7. Effect of a late or missing Client responsibility</w:t>
              <w:tab/>
              <w:t>10</w:t>
            </w:r>
          </w:hyperlink>
        </w:p>
        <w:p>
          <w:pPr>
            <w:pStyle w:val="TOC1"/>
            <w:tabs>
              <w:tab w:val="clear" w:pos="900"/>
              <w:tab w:val="clear" w:pos="9350"/>
              <w:tab w:val="right" w:pos="9025" w:leader="dot"/>
            </w:tabs>
            <w:rPr/>
          </w:pPr>
          <w:hyperlink w:anchor="__RefHeading___Toc16073_2135982699">
            <w:r>
              <w:rPr>
                <w:webHidden/>
                <w:rStyle w:val="IndexLink"/>
              </w:rPr>
              <w:t>8. Acceptance of this annex</w:t>
              <w:tab/>
              <w:t>11</w:t>
            </w:r>
          </w:hyperlink>
        </w:p>
        <w:p>
          <w:pPr>
            <w:pStyle w:val="TOC1"/>
            <w:tabs>
              <w:tab w:val="clear" w:pos="900"/>
              <w:tab w:val="clear" w:pos="9350"/>
              <w:tab w:val="right" w:pos="9025" w:leader="dot"/>
            </w:tabs>
            <w:rPr/>
          </w:pPr>
          <w:hyperlink w:anchor="__RefHeading___Toc16075_2135982699">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045_213598269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047_213598269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049_2135982699"/>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16051_2135982699"/>
      <w:bookmarkEnd w:id="7"/>
      <w:r>
        <w:rPr>
          <w:rFonts w:eastAsia="Segoe UI" w:cs="Segoe UI"/>
          <w:b/>
          <w:color w:val="0F4761"/>
          <w:sz w:val="26"/>
        </w:rPr>
        <w:t>3.1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Normal"/>
        <w:spacing w:before="0" w:after="80"/>
        <w:rPr/>
      </w:pPr>
      <w:r>
        <w:rPr/>
      </w:r>
      <w:r>
        <w:br w:type="page"/>
      </w:r>
    </w:p>
    <w:p>
      <w:pPr>
        <w:pStyle w:val="Heading1"/>
        <w:rPr/>
      </w:pPr>
      <w:bookmarkStart w:id="8" w:name="__RefHeading___Toc16053_2135982699"/>
      <w:bookmarkEnd w:id="8"/>
      <w:r>
        <w:rPr>
          <w:rFonts w:eastAsia="Segoe UI" w:cs="Segoe UI" w:ascii="Segoe UI" w:hAnsi="Segoe UI"/>
          <w:b/>
          <w:color w:val="0F4761"/>
          <w:sz w:val="32"/>
        </w:rPr>
        <w:t>4.  Roles</w:t>
      </w:r>
    </w:p>
    <w:p>
      <w:pPr>
        <w:pStyle w:val="Heading2"/>
        <w:rPr/>
      </w:pPr>
      <w:bookmarkStart w:id="9" w:name="__RefHeading___Toc16055_2135982699"/>
      <w:bookmarkEnd w:id="9"/>
      <w:r>
        <w:rPr>
          <w:rFonts w:eastAsia="Segoe UI" w:cs="Segoe UI"/>
          <w:b/>
          <w:color w:val="0F4761"/>
          <w:sz w:val="26"/>
        </w:rPr>
        <w:t>4.1  Client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matters, breach decisions, privacy impact assessment, transfer decision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and compliance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go-live</w:t>
            </w:r>
          </w:p>
        </w:tc>
      </w:tr>
    </w:tbl>
    <w:p>
      <w:pPr>
        <w:pStyle w:val="Normal"/>
        <w:spacing w:before="0" w:after="80"/>
        <w:rPr/>
      </w:pPr>
      <w:r>
        <w:rPr/>
      </w:r>
    </w:p>
    <w:p>
      <w:pPr>
        <w:pStyle w:val="Heading2"/>
        <w:rPr/>
      </w:pPr>
      <w:bookmarkStart w:id="10" w:name="__RefHeading___Toc16057_2135982699"/>
      <w:bookmarkEnd w:id="10"/>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Normal"/>
        <w:spacing w:before="0" w:after="80"/>
        <w:rPr/>
      </w:pPr>
      <w:r>
        <w:rPr/>
      </w:r>
      <w:r>
        <w:br w:type="page"/>
      </w:r>
    </w:p>
    <w:p>
      <w:pPr>
        <w:pStyle w:val="Heading1"/>
        <w:rPr/>
      </w:pPr>
      <w:bookmarkStart w:id="11" w:name="__RefHeading___Toc16059_2135982699"/>
      <w:bookmarkEnd w:id="11"/>
      <w:r>
        <w:rPr>
          <w:rFonts w:eastAsia="Segoe UI" w:cs="Segoe UI" w:ascii="Segoe UI" w:hAnsi="Segoe UI"/>
          <w:b/>
          <w:color w:val="0F4761"/>
          <w:sz w:val="32"/>
        </w:rPr>
        <w:t>5.  Client responsibilities</w:t>
      </w:r>
    </w:p>
    <w:p>
      <w:pPr>
        <w:pStyle w:val="Heading2"/>
        <w:rPr/>
      </w:pPr>
      <w:bookmarkStart w:id="12" w:name="__RefHeading___Toc16061_2135982699"/>
      <w:bookmarkEnd w:id="12"/>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481"/>
        <w:gridCol w:w="36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6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and Accounting Manager, available at least 50% during discovery, UAT and cutover</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and the product list</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chart of accounts and the accountant's mapping decisions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BIR Authority to Print or registered series for official receipts and invoices, and the last numbers used</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and credentials, and the payment gateway merchant account and credentials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and trial balance data, in the delivered templates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and e-mail addresses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training rooms, devices and attendance</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and BIR working papers reviewed by the Client's tax adviser</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environment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6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3" w:name="__RefHeading___Toc16063_2135982699"/>
      <w:bookmarkEnd w:id="13"/>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domain 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IC reports, NPC registrations and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bl>
    <w:p>
      <w:pPr>
        <w:pStyle w:val="Normal"/>
        <w:spacing w:before="0" w:after="80"/>
        <w:rPr/>
      </w:pPr>
      <w:r>
        <w:rPr/>
      </w:r>
      <w:r>
        <w:br w:type="page"/>
      </w:r>
    </w:p>
    <w:p>
      <w:pPr>
        <w:pStyle w:val="Heading1"/>
        <w:rPr/>
      </w:pPr>
      <w:bookmarkStart w:id="14" w:name="__RefHeading___Toc16065_2135982699"/>
      <w:bookmarkEnd w:id="14"/>
      <w:r>
        <w:rPr>
          <w:rFonts w:eastAsia="Segoe UI" w:cs="Segoe UI" w:ascii="Segoe UI" w:hAnsi="Segoe UI"/>
          <w:b/>
          <w:color w:val="0F4761"/>
          <w:sz w:val="32"/>
        </w:rPr>
        <w:t>6.  RACI</w:t>
      </w:r>
    </w:p>
    <w:p>
      <w:pPr>
        <w:pStyle w:val="Heading2"/>
        <w:rPr/>
      </w:pPr>
      <w:bookmarkStart w:id="15" w:name="__RefHeading___Toc16067_2135982699"/>
      <w:bookmarkEnd w:id="15"/>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45"/>
        <w:gridCol w:w="1288"/>
        <w:gridCol w:w="1501"/>
        <w:gridCol w:w="1646"/>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and IT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 (iorta TechNXT hosts)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6" w:name="__RefHeading___Toc16069_2135982699"/>
      <w:bookmarkEnd w:id="16"/>
      <w:r>
        <w:rPr>
          <w:rFonts w:eastAsia="Segoe UI" w:cs="Segoe UI"/>
          <w:b/>
          <w:color w:val="0F4761"/>
          <w:sz w:val="26"/>
        </w:rPr>
        <w:t>6.2  RACI: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72"/>
        <w:gridCol w:w="1279"/>
        <w:gridCol w:w="2072"/>
        <w:gridCol w:w="1887"/>
        <w:gridCol w:w="1004"/>
      </w:tblGrid>
      <w:tr>
        <w:trPr>
          <w:tblHeader w:val="true"/>
        </w:trPr>
        <w:tc>
          <w:tcPr>
            <w:tcW w:w="2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20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20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bl>
    <w:p>
      <w:pPr>
        <w:pStyle w:val="Normal"/>
        <w:spacing w:before="0" w:after="80"/>
        <w:rPr/>
      </w:pPr>
      <w:r>
        <w:rPr/>
      </w:r>
      <w:r>
        <w:br w:type="page"/>
      </w:r>
    </w:p>
    <w:p>
      <w:pPr>
        <w:pStyle w:val="Heading1"/>
        <w:rPr/>
      </w:pPr>
      <w:bookmarkStart w:id="17" w:name="__RefHeading___Toc16071_2135982699"/>
      <w:bookmarkEnd w:id="17"/>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bl>
    <w:p>
      <w:pPr>
        <w:pStyle w:val="Normal"/>
        <w:spacing w:before="0" w:after="80"/>
        <w:rPr/>
      </w:pPr>
      <w:r>
        <w:rPr/>
      </w:r>
      <w:r>
        <w:br w:type="page"/>
      </w:r>
    </w:p>
    <w:p>
      <w:pPr>
        <w:pStyle w:val="Heading1"/>
        <w:rPr/>
      </w:pPr>
      <w:bookmarkStart w:id="18" w:name="__RefHeading___Toc16073_2135982699"/>
      <w:bookmarkEnd w:id="18"/>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9" w:name="__RefHeading___Toc16075_2135982699"/>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2026-10-03T18:37:10Z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