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Hosting and infrastructure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Hosting and infrastructure services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Hosting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Hosting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AWS</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Amazon Web Services</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TLS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Transport Layer Security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USD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United States dollar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Web application firewall</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Hosting and Infrastructure Services Agreement (the </w:t>
      </w:r>
      <w:r>
        <w:rPr>
          <w:rFonts w:ascii="Segoe UI" w:hAnsi="Segoe UI" w:cs="Segoe UI" w:eastAsia="Segoe UI"/>
          <w:b/>
          <w:color w:val="101820"/>
          <w:sz w:val="21"/>
        </w:rPr>
        <w:t>Hosting Agreement</w:t>
      </w:r>
      <w:r>
        <w:rPr>
          <w:rFonts w:ascii="Segoe UI" w:hAnsi="Segoe UI" w:cs="Segoe UI" w:eastAsia="Segoe UI"/>
          <w:color w:val="101820"/>
          <w:sz w:val="21"/>
        </w:rPr>
        <w:t>) sets the terms on which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hosts iNXT BrokerVerse OOTB for [Client legal name] (the </w:t>
      </w:r>
      <w:r>
        <w:rPr>
          <w:rFonts w:ascii="Segoe UI" w:hAnsi="Segoe UI" w:cs="Segoe UI" w:eastAsia="Segoe UI"/>
          <w:b/>
          <w:color w:val="101820"/>
          <w:sz w:val="21"/>
        </w:rPr>
        <w:t>Client</w:t>
      </w:r>
      <w:r>
        <w:rPr>
          <w:rFonts w:ascii="Segoe UI" w:hAnsi="Segoe UI" w:cs="Segoe UI" w:eastAsia="Segoe UI"/>
          <w:color w:val="101820"/>
          <w:sz w:val="21"/>
        </w:rPr>
        <w:t xml:space="preserve">).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when an Order Form names it.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Agreement and options</w:t>
      </w:r>
    </w:p>
    <w:p>
      <w:pPr>
        <w:pStyle w:val="Heading2"/>
      </w:pPr>
      <w:r>
        <w:rPr>
          <w:rFonts w:ascii="Segoe UI" w:hAnsi="Segoe UI" w:cs="Segoe UI" w:eastAsia="Segoe UI"/>
          <w:b/>
          <w:color w:val="0F4761"/>
          <w:sz w:val="26"/>
        </w:rPr>
        <w:t>4.1  Parties and documents</w:t>
      </w:r>
    </w:p>
    <w:p>
      <w:pPr>
        <w:spacing w:after="120" w:line="276" w:lineRule="auto"/>
      </w:pPr>
      <w:r>
        <w:rPr>
          <w:rFonts w:ascii="Segoe UI" w:hAnsi="Segoe UI" w:cs="Segoe UI" w:eastAsia="Segoe UI"/>
          <w:color w:val="101820"/>
          <w:sz w:val="21"/>
        </w:rPr>
        <w:t xml:space="preserve">This Hosting Agreement is made on [date] under the MSA dated [date] and Order Form no. [number]. </w:t>
      </w:r>
      <w:r>
        <w:rPr>
          <w:rFonts w:ascii="Segoe UI" w:hAnsi="Segoe UI" w:cs="Segoe UI" w:eastAsia="Segoe UI"/>
          <w:b/>
          <w:color w:val="101820"/>
          <w:sz w:val="21"/>
        </w:rPr>
        <w:t>Support Agreement</w:t>
      </w:r>
      <w:r>
        <w:rPr>
          <w:rFonts w:ascii="Segoe UI" w:hAnsi="Segoe UI" w:cs="Segoe UI" w:eastAsia="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pPr>
      <w:r>
        <w:rPr>
          <w:rFonts w:ascii="Segoe UI" w:hAnsi="Segoe UI" w:cs="Segoe UI" w:eastAsia="Segoe UI"/>
          <w:b/>
          <w:color w:val="0F4761"/>
          <w:sz w:val="26"/>
        </w:rPr>
        <w:t>4.2  Hosting options</w:t>
      </w:r>
    </w:p>
    <w:p>
      <w:pPr>
        <w:spacing w:after="120" w:line="276" w:lineRule="auto"/>
      </w:pPr>
      <w:r>
        <w:rPr>
          <w:rFonts w:ascii="Segoe UI" w:hAnsi="Segoe UI" w:cs="Segoe UI" w:eastAsia="Segoe UI"/>
          <w:color w:val="101820"/>
          <w:sz w:val="21"/>
        </w:rPr>
        <w:t>The Client chooses one option in the Order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6"/>
        <w:gridCol w:w="3321"/>
        <w:gridCol w:w="1230"/>
        <w:gridCol w:w="3328"/>
      </w:tblGrid>
      <w:tr>
        <w:trPr>
          <w:tblHeader w:val="true"/>
        </w:trPr>
        <w:tc>
          <w:tcPr>
            <w:tcW w:type="dxa" w:w="1136"/>
            <w:shd w:val="clear" w:color="auto" w:fill="DCE9F7"/>
          </w:tcPr>
          <w:p>
            <w:pPr>
              <w:spacing w:after="20"/>
            </w:pPr>
            <w:r>
              <w:rPr>
                <w:rFonts w:ascii="Segoe UI" w:hAnsi="Segoe UI" w:cs="Segoe UI" w:eastAsia="Segoe UI"/>
                <w:b/>
                <w:color w:val="0F4761"/>
                <w:sz w:val="18"/>
              </w:rPr>
              <w:t>Option</w:t>
            </w:r>
          </w:p>
        </w:tc>
        <w:tc>
          <w:tcPr>
            <w:tcW w:type="dxa" w:w="3321"/>
            <w:shd w:val="clear" w:color="auto" w:fill="DCE9F7"/>
          </w:tcPr>
          <w:p>
            <w:pPr>
              <w:spacing w:after="20"/>
            </w:pPr>
            <w:r>
              <w:rPr>
                <w:rFonts w:ascii="Segoe UI" w:hAnsi="Segoe UI" w:cs="Segoe UI" w:eastAsia="Segoe UI"/>
                <w:b/>
                <w:color w:val="0F4761"/>
                <w:sz w:val="18"/>
              </w:rPr>
              <w:t>Provider and region</w:t>
            </w:r>
          </w:p>
        </w:tc>
        <w:tc>
          <w:tcPr>
            <w:tcW w:type="dxa" w:w="1230"/>
            <w:shd w:val="clear" w:color="auto" w:fill="DCE9F7"/>
          </w:tcPr>
          <w:p>
            <w:pPr>
              <w:spacing w:after="20"/>
            </w:pPr>
            <w:r>
              <w:rPr>
                <w:rFonts w:ascii="Segoe UI" w:hAnsi="Segoe UI" w:cs="Segoe UI" w:eastAsia="Segoe UI"/>
                <w:b/>
                <w:color w:val="0F4761"/>
                <w:sz w:val="18"/>
              </w:rPr>
              <w:t>Data location</w:t>
            </w:r>
          </w:p>
        </w:tc>
        <w:tc>
          <w:tcPr>
            <w:tcW w:type="dxa" w:w="3328"/>
            <w:shd w:val="clear" w:color="auto" w:fill="DCE9F7"/>
          </w:tcPr>
          <w:p>
            <w:pPr>
              <w:spacing w:after="20"/>
            </w:pPr>
            <w:r>
              <w:rPr>
                <w:rFonts w:ascii="Segoe UI" w:hAnsi="Segoe UI" w:cs="Segoe UI" w:eastAsia="Segoe UI"/>
                <w:b/>
                <w:color w:val="0F4761"/>
                <w:sz w:val="18"/>
              </w:rPr>
              <w:t>Main services</w:t>
            </w:r>
          </w:p>
        </w:tc>
      </w:tr>
      <w:tr>
        <w:tc>
          <w:tcPr>
            <w:tcW w:type="dxa" w:w="1136"/>
          </w:tcPr>
          <w:p>
            <w:pPr>
              <w:spacing w:after="20"/>
            </w:pPr>
            <w:r>
              <w:rPr>
                <w:rFonts w:ascii="Segoe UI" w:hAnsi="Segoe UI" w:cs="Segoe UI" w:eastAsia="Segoe UI"/>
                <w:color w:val="101820"/>
                <w:sz w:val="18"/>
              </w:rPr>
              <w:t>A: AWS</w:t>
            </w:r>
          </w:p>
        </w:tc>
        <w:tc>
          <w:tcPr>
            <w:tcW w:type="dxa" w:w="3321"/>
          </w:tcPr>
          <w:p>
            <w:pPr>
              <w:spacing w:after="20"/>
            </w:pPr>
            <w:r>
              <w:rPr>
                <w:rFonts w:ascii="Segoe UI" w:hAnsi="Segoe UI" w:cs="Segoe UI" w:eastAsia="Segoe UI"/>
                <w:color w:val="101820"/>
                <w:sz w:val="18"/>
              </w:rPr>
              <w:t>Amazon Web Services, region ap-southeast-1 (Singapore)</w:t>
            </w:r>
          </w:p>
        </w:tc>
        <w:tc>
          <w:tcPr>
            <w:tcW w:type="dxa" w:w="1230"/>
          </w:tcPr>
          <w:p>
            <w:pPr>
              <w:spacing w:after="20"/>
            </w:pPr>
            <w:r>
              <w:rPr>
                <w:rFonts w:ascii="Segoe UI" w:hAnsi="Segoe UI" w:cs="Segoe UI" w:eastAsia="Segoe UI"/>
                <w:color w:val="101820"/>
                <w:sz w:val="18"/>
              </w:rPr>
              <w:t>Singapore</w:t>
            </w:r>
          </w:p>
        </w:tc>
        <w:tc>
          <w:tcPr>
            <w:tcW w:type="dxa" w:w="3328"/>
          </w:tcPr>
          <w:p>
            <w:pPr>
              <w:spacing w:after="20"/>
            </w:pPr>
            <w:r>
              <w:rPr>
                <w:rFonts w:ascii="Segoe UI" w:hAnsi="Segoe UI" w:cs="Segoe UI" w:eastAsia="Segoe UI"/>
                <w:color w:val="101820"/>
                <w:sz w:val="18"/>
              </w:rPr>
              <w:t>CloudFront and S3 for the web front end; ECS Fargate API behind an Application Load Balancer; RDS for PostgreSQL 16 Multi-AZ; EFS file store; AWS Backup; Secrets Manager; CloudWatch; AWS WAF</w:t>
            </w:r>
          </w:p>
        </w:tc>
      </w:tr>
      <w:tr>
        <w:tc>
          <w:tcPr>
            <w:tcW w:type="dxa" w:w="1136"/>
          </w:tcPr>
          <w:p>
            <w:pPr>
              <w:spacing w:after="20"/>
            </w:pPr>
            <w:r>
              <w:rPr>
                <w:rFonts w:ascii="Segoe UI" w:hAnsi="Segoe UI" w:cs="Segoe UI" w:eastAsia="Segoe UI"/>
                <w:color w:val="101820"/>
                <w:sz w:val="18"/>
              </w:rPr>
              <w:t>B: Azure</w:t>
            </w:r>
          </w:p>
        </w:tc>
        <w:tc>
          <w:tcPr>
            <w:tcW w:type="dxa" w:w="3321"/>
          </w:tcPr>
          <w:p>
            <w:pPr>
              <w:spacing w:after="20"/>
            </w:pPr>
            <w:r>
              <w:rPr>
                <w:rFonts w:ascii="Segoe UI" w:hAnsi="Segoe UI" w:cs="Segoe UI" w:eastAsia="Segoe UI"/>
                <w:color w:val="101820"/>
                <w:sz w:val="18"/>
              </w:rPr>
              <w:t>Microsoft Azure, region Southeast Asia (Singapore)</w:t>
            </w:r>
          </w:p>
        </w:tc>
        <w:tc>
          <w:tcPr>
            <w:tcW w:type="dxa" w:w="1230"/>
          </w:tcPr>
          <w:p>
            <w:pPr>
              <w:spacing w:after="20"/>
            </w:pPr>
            <w:r>
              <w:rPr>
                <w:rFonts w:ascii="Segoe UI" w:hAnsi="Segoe UI" w:cs="Segoe UI" w:eastAsia="Segoe UI"/>
                <w:color w:val="101820"/>
                <w:sz w:val="18"/>
              </w:rPr>
              <w:t>Singapore</w:t>
            </w:r>
          </w:p>
        </w:tc>
        <w:tc>
          <w:tcPr>
            <w:tcW w:type="dxa" w:w="3328"/>
          </w:tcPr>
          <w:p>
            <w:pPr>
              <w:spacing w:after="20"/>
            </w:pPr>
            <w:r>
              <w:rPr>
                <w:rFonts w:ascii="Segoe UI" w:hAnsi="Segoe UI" w:cs="Segoe UI" w:eastAsia="Segoe UI"/>
                <w:color w:val="101820"/>
                <w:sz w:val="18"/>
              </w:rPr>
              <w:t>Storage static website with Front Door and WAF; Container Apps; Azure Database for PostgreSQL Flexible Server 16 zone-redundant; Azure Files; Key Vault; Azure Monitor</w:t>
            </w:r>
          </w:p>
        </w:tc>
      </w:tr>
      <w:tr>
        <w:tc>
          <w:tcPr>
            <w:tcW w:type="dxa" w:w="1136"/>
          </w:tcPr>
          <w:p>
            <w:pPr>
              <w:spacing w:after="20"/>
            </w:pPr>
            <w:r>
              <w:rPr>
                <w:rFonts w:ascii="Segoe UI" w:hAnsi="Segoe UI" w:cs="Segoe UI" w:eastAsia="Segoe UI"/>
                <w:color w:val="101820"/>
                <w:sz w:val="18"/>
              </w:rPr>
              <w:t>C: Local partner</w:t>
            </w:r>
          </w:p>
        </w:tc>
        <w:tc>
          <w:tcPr>
            <w:tcW w:type="dxa" w:w="3321"/>
          </w:tcPr>
          <w:p>
            <w:pPr>
              <w:spacing w:after="20"/>
            </w:pPr>
            <w:r>
              <w:rPr>
                <w:rFonts w:ascii="Segoe UI" w:hAnsi="Segoe UI" w:cs="Segoe UI" w:eastAsia="Segoe UI"/>
                <w:color w:val="101820"/>
                <w:sz w:val="18"/>
              </w:rPr>
              <w:t>[Partner name], data centre in [city], Philippines</w:t>
            </w:r>
          </w:p>
        </w:tc>
        <w:tc>
          <w:tcPr>
            <w:tcW w:type="dxa" w:w="1230"/>
          </w:tcPr>
          <w:p>
            <w:pPr>
              <w:spacing w:after="20"/>
            </w:pPr>
            <w:r>
              <w:rPr>
                <w:rFonts w:ascii="Segoe UI" w:hAnsi="Segoe UI" w:cs="Segoe UI" w:eastAsia="Segoe UI"/>
                <w:color w:val="101820"/>
                <w:sz w:val="18"/>
              </w:rPr>
              <w:t>Philippines</w:t>
            </w:r>
          </w:p>
        </w:tc>
        <w:tc>
          <w:tcPr>
            <w:tcW w:type="dxa" w:w="3328"/>
          </w:tcPr>
          <w:p>
            <w:pPr>
              <w:spacing w:after="20"/>
            </w:pPr>
            <w:r>
              <w:rPr>
                <w:rFonts w:ascii="Segoe UI" w:hAnsi="Segoe UI" w:cs="Segoe UI" w:eastAsia="Segoe UI"/>
                <w:color w:val="101820"/>
                <w:sz w:val="18"/>
              </w:rPr>
              <w:t>Virtual machines: two API nodes, PostgreSQL 16 primary and standby, NFS file store, reverse proxy and WAF, backup server, off-site copy in a second Philippine site</w:t>
            </w:r>
          </w:p>
        </w:tc>
      </w:tr>
    </w:tbl>
    <w:p>
      <w:pPr>
        <w:spacing w:after="80"/>
      </w:pPr>
    </w:p>
    <w:p>
      <w:pPr>
        <w:spacing w:after="120" w:line="276" w:lineRule="auto"/>
      </w:pPr>
      <w:r>
        <w:rPr>
          <w:rFonts w:ascii="Segoe UI" w:hAnsi="Segoe UI" w:cs="Segoe UI" w:eastAsia="Segoe UI"/>
          <w:color w:val="101820"/>
          <w:sz w:val="21"/>
        </w:rPr>
        <w:t>The cloud or data centre provider is a sub-processor of iorta TechNXT under the Data Processing Agreement.</w:t>
      </w:r>
    </w:p>
    <w:p>
      <w:pPr>
        <w:pStyle w:val="Heading2"/>
      </w:pPr>
      <w:r>
        <w:rPr>
          <w:rFonts w:ascii="Segoe UI" w:hAnsi="Segoe UI" w:cs="Segoe UI" w:eastAsia="Segoe UI"/>
          <w:b/>
          <w:color w:val="0F4761"/>
          <w:sz w:val="26"/>
        </w:rPr>
        <w:t>4.3  Environments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2980"/>
        <w:gridCol w:w="3576"/>
      </w:tblGrid>
      <w:tr>
        <w:trPr>
          <w:tblHeader w:val="true"/>
        </w:trPr>
        <w:tc>
          <w:tcPr>
            <w:tcW w:type="dxa" w:w="2458"/>
            <w:shd w:val="clear" w:color="auto" w:fill="DCE9F7"/>
          </w:tcPr>
          <w:p>
            <w:pPr>
              <w:spacing w:after="20"/>
            </w:pPr>
            <w:r>
              <w:rPr>
                <w:rFonts w:ascii="Segoe UI" w:hAnsi="Segoe UI" w:cs="Segoe UI" w:eastAsia="Segoe UI"/>
                <w:b/>
                <w:color w:val="0F4761"/>
                <w:sz w:val="18"/>
              </w:rPr>
              <w:t>Environment</w:t>
            </w:r>
          </w:p>
        </w:tc>
        <w:tc>
          <w:tcPr>
            <w:tcW w:type="dxa" w:w="2980"/>
            <w:shd w:val="clear" w:color="auto" w:fill="DCE9F7"/>
          </w:tcPr>
          <w:p>
            <w:pPr>
              <w:spacing w:after="20"/>
            </w:pPr>
            <w:r>
              <w:rPr>
                <w:rFonts w:ascii="Segoe UI" w:hAnsi="Segoe UI" w:cs="Segoe UI" w:eastAsia="Segoe UI"/>
                <w:b/>
                <w:color w:val="0F4761"/>
                <w:sz w:val="18"/>
              </w:rPr>
              <w:t>Purpose</w:t>
            </w:r>
          </w:p>
        </w:tc>
        <w:tc>
          <w:tcPr>
            <w:tcW w:type="dxa" w:w="3576"/>
            <w:shd w:val="clear" w:color="auto" w:fill="DCE9F7"/>
          </w:tcPr>
          <w:p>
            <w:pPr>
              <w:spacing w:after="20"/>
            </w:pPr>
            <w:r>
              <w:rPr>
                <w:rFonts w:ascii="Segoe UI" w:hAnsi="Segoe UI" w:cs="Segoe UI" w:eastAsia="Segoe UI"/>
                <w:b/>
                <w:color w:val="0F4761"/>
                <w:sz w:val="18"/>
              </w:rPr>
              <w:t>Form</w:t>
            </w:r>
          </w:p>
        </w:tc>
      </w:tr>
      <w:tr>
        <w:tc>
          <w:tcPr>
            <w:tcW w:type="dxa" w:w="2458"/>
          </w:tcPr>
          <w:p>
            <w:pPr>
              <w:spacing w:after="20"/>
            </w:pPr>
            <w:r>
              <w:rPr>
                <w:rFonts w:ascii="Segoe UI" w:hAnsi="Segoe UI" w:cs="Segoe UI" w:eastAsia="Segoe UI"/>
                <w:color w:val="101820"/>
                <w:sz w:val="18"/>
              </w:rPr>
              <w:t>Production</w:t>
            </w:r>
          </w:p>
        </w:tc>
        <w:tc>
          <w:tcPr>
            <w:tcW w:type="dxa" w:w="2980"/>
          </w:tcPr>
          <w:p>
            <w:pPr>
              <w:spacing w:after="20"/>
            </w:pPr>
            <w:r>
              <w:rPr>
                <w:rFonts w:ascii="Segoe UI" w:hAnsi="Segoe UI" w:cs="Segoe UI" w:eastAsia="Segoe UI"/>
                <w:color w:val="101820"/>
                <w:sz w:val="18"/>
              </w:rPr>
              <w:t>Live operations</w:t>
            </w:r>
          </w:p>
        </w:tc>
        <w:tc>
          <w:tcPr>
            <w:tcW w:type="dxa" w:w="3576"/>
          </w:tcPr>
          <w:p>
            <w:pPr>
              <w:spacing w:after="20"/>
            </w:pPr>
            <w:r>
              <w:rPr>
                <w:rFonts w:ascii="Segoe UI" w:hAnsi="Segoe UI" w:cs="Segoe UI" w:eastAsia="Segoe UI"/>
                <w:color w:val="101820"/>
                <w:sz w:val="18"/>
              </w:rPr>
              <w:t>Highly available: at least two API instances, managed PostgreSQL with standby, shared file store</w:t>
            </w:r>
          </w:p>
        </w:tc>
      </w:tr>
      <w:tr>
        <w:tc>
          <w:tcPr>
            <w:tcW w:type="dxa" w:w="2458"/>
          </w:tcPr>
          <w:p>
            <w:pPr>
              <w:spacing w:after="20"/>
            </w:pPr>
            <w:r>
              <w:rPr>
                <w:rFonts w:ascii="Segoe UI" w:hAnsi="Segoe UI" w:cs="Segoe UI" w:eastAsia="Segoe UI"/>
                <w:color w:val="101820"/>
                <w:sz w:val="18"/>
              </w:rPr>
              <w:t>UAT</w:t>
            </w:r>
          </w:p>
        </w:tc>
        <w:tc>
          <w:tcPr>
            <w:tcW w:type="dxa" w:w="2980"/>
          </w:tcPr>
          <w:p>
            <w:pPr>
              <w:spacing w:after="20"/>
            </w:pPr>
            <w:r>
              <w:rPr>
                <w:rFonts w:ascii="Segoe UI" w:hAnsi="Segoe UI" w:cs="Segoe UI" w:eastAsia="Segoe UI"/>
                <w:color w:val="101820"/>
                <w:sz w:val="18"/>
              </w:rPr>
              <w:t>Testing, acceptance and training</w:t>
            </w:r>
          </w:p>
        </w:tc>
        <w:tc>
          <w:tcPr>
            <w:tcW w:type="dxa" w:w="3576"/>
          </w:tcPr>
          <w:p>
            <w:pPr>
              <w:spacing w:after="20"/>
            </w:pPr>
            <w:r>
              <w:rPr>
                <w:rFonts w:ascii="Segoe UI" w:hAnsi="Segoe UI" w:cs="Segoe UI" w:eastAsia="Segoe UI"/>
                <w:color w:val="101820"/>
                <w:sz w:val="18"/>
              </w:rPr>
              <w:t>Same topology as production at a smaller size</w:t>
            </w:r>
          </w:p>
        </w:tc>
      </w:tr>
      <w:tr>
        <w:tc>
          <w:tcPr>
            <w:tcW w:type="dxa" w:w="2458"/>
          </w:tcPr>
          <w:p>
            <w:pPr>
              <w:spacing w:after="20"/>
            </w:pPr>
            <w:r>
              <w:rPr>
                <w:rFonts w:ascii="Segoe UI" w:hAnsi="Segoe UI" w:cs="Segoe UI" w:eastAsia="Segoe UI"/>
                <w:color w:val="101820"/>
                <w:sz w:val="18"/>
              </w:rPr>
              <w:t>Additional environment (optional)</w:t>
            </w:r>
          </w:p>
        </w:tc>
        <w:tc>
          <w:tcPr>
            <w:tcW w:type="dxa" w:w="2980"/>
          </w:tcPr>
          <w:p>
            <w:pPr>
              <w:spacing w:after="20"/>
            </w:pPr>
            <w:r>
              <w:rPr>
                <w:rFonts w:ascii="Segoe UI" w:hAnsi="Segoe UI" w:cs="Segoe UI" w:eastAsia="Segoe UI"/>
                <w:color w:val="101820"/>
                <w:sz w:val="18"/>
              </w:rPr>
              <w:t>Training or second UAT</w:t>
            </w:r>
          </w:p>
        </w:tc>
        <w:tc>
          <w:tcPr>
            <w:tcW w:type="dxa" w:w="3576"/>
          </w:tcPr>
          <w:p>
            <w:pPr>
              <w:spacing w:after="20"/>
            </w:pPr>
            <w:r>
              <w:rPr>
                <w:rFonts w:ascii="Segoe UI" w:hAnsi="Segoe UI" w:cs="Segoe UI" w:eastAsia="Segoe UI"/>
                <w:color w:val="101820"/>
                <w:sz w:val="18"/>
              </w:rPr>
              <w:t>Small single-zone environment, priced as an optional service</w:t>
            </w:r>
          </w:p>
        </w:tc>
      </w:tr>
      <w:tr>
        <w:tc>
          <w:tcPr>
            <w:tcW w:type="dxa" w:w="2458"/>
          </w:tcPr>
          <w:p>
            <w:pPr>
              <w:spacing w:after="20"/>
            </w:pPr>
            <w:r>
              <w:rPr>
                <w:rFonts w:ascii="Segoe UI" w:hAnsi="Segoe UI" w:cs="Segoe UI" w:eastAsia="Segoe UI"/>
                <w:color w:val="101820"/>
                <w:sz w:val="18"/>
              </w:rPr>
              <w:t>DR (Enterprise size, or optional)</w:t>
            </w:r>
          </w:p>
        </w:tc>
        <w:tc>
          <w:tcPr>
            <w:tcW w:type="dxa" w:w="2980"/>
          </w:tcPr>
          <w:p>
            <w:pPr>
              <w:spacing w:after="20"/>
            </w:pPr>
            <w:r>
              <w:rPr>
                <w:rFonts w:ascii="Segoe UI" w:hAnsi="Segoe UI" w:cs="Segoe UI" w:eastAsia="Segoe UI"/>
                <w:color w:val="101820"/>
                <w:sz w:val="18"/>
              </w:rPr>
              <w:t>Recovery after a regional or site outage</w:t>
            </w:r>
          </w:p>
        </w:tc>
        <w:tc>
          <w:tcPr>
            <w:tcW w:type="dxa" w:w="3576"/>
          </w:tcPr>
          <w:p>
            <w:pPr>
              <w:spacing w:after="20"/>
            </w:pPr>
            <w:r>
              <w:rPr>
                <w:rFonts w:ascii="Segoe UI" w:hAnsi="Segoe UI" w:cs="Segoe UI" w:eastAsia="Segoe UI"/>
                <w:color w:val="101820"/>
                <w:sz w:val="18"/>
              </w:rPr>
              <w:t>Restored from cross-region or off-site backups</w:t>
            </w:r>
          </w:p>
        </w:tc>
      </w:tr>
    </w:tbl>
    <w:p>
      <w:pPr>
        <w:spacing w:after="80"/>
      </w:pPr>
    </w:p>
    <w:p>
      <w:pPr>
        <w:spacing w:after="120" w:line="276" w:lineRule="auto"/>
      </w:pPr>
      <w:r>
        <w:rPr>
          <w:rFonts w:ascii="Segoe UI" w:hAnsi="Segoe UI" w:cs="Segoe UI" w:eastAsia="Segoe UI"/>
          <w:color w:val="101820"/>
          <w:sz w:val="21"/>
        </w:rPr>
        <w:t>Production personal data is not copied into UAT or another non-production environment without masking. Each environment has its own secrets.</w:t>
      </w:r>
    </w:p>
    <w:p>
      <w:pPr>
        <w:pStyle w:val="Heading1"/>
        <w:pageBreakBefore/>
      </w:pPr>
      <w:r>
        <w:rPr>
          <w:rFonts w:ascii="Segoe UI" w:hAnsi="Segoe UI" w:cs="Segoe UI" w:eastAsia="Segoe UI"/>
          <w:b/>
          <w:color w:val="0F4761"/>
          <w:sz w:val="32"/>
        </w:rPr>
        <w:t>5.  Services</w:t>
      </w:r>
    </w:p>
    <w:p>
      <w:pPr>
        <w:pStyle w:val="Heading2"/>
      </w:pPr>
      <w:r>
        <w:rPr>
          <w:rFonts w:ascii="Segoe UI" w:hAnsi="Segoe UI" w:cs="Segoe UI" w:eastAsia="Segoe UI"/>
          <w:b/>
          <w:color w:val="0F4761"/>
          <w:sz w:val="26"/>
        </w:rPr>
        <w:t>5.1  Included services</w:t>
      </w:r>
    </w:p>
    <w:p>
      <w:pPr>
        <w:spacing w:after="120" w:line="276" w:lineRule="auto"/>
      </w:pPr>
      <w:r>
        <w:rPr>
          <w:rFonts w:ascii="Segoe UI" w:hAnsi="Segoe UI" w:cs="Segoe UI" w:eastAsia="Segoe UI"/>
          <w:color w:val="101820"/>
          <w:sz w:val="21"/>
        </w:rPr>
        <w:t>iorta TechNXT provides, for each environment in the Order Form:</w:t>
      </w:r>
    </w:p>
    <w:p>
      <w:pPr>
        <w:spacing w:after="60"/>
        <w:numPr>
          <w:ilvl w:val="0"/>
          <w:numId w:val="4"/>
        </w:numPr>
      </w:pPr>
      <w:r>
        <w:rPr>
          <w:rFonts w:ascii="Segoe UI" w:hAnsi="Segoe UI" w:cs="Segoe UI" w:eastAsia="Segoe UI"/>
          <w:color w:val="101820"/>
          <w:sz w:val="21"/>
        </w:rPr>
        <w:t>provisioning and configuration of the infrastructure, sized for the Client's size and confirmed by the UAT performance test;</w:t>
      </w:r>
    </w:p>
    <w:p>
      <w:pPr>
        <w:spacing w:after="60"/>
        <w:numPr>
          <w:ilvl w:val="0"/>
          <w:numId w:val="4"/>
        </w:numPr>
      </w:pPr>
      <w:r>
        <w:rPr>
          <w:rFonts w:ascii="Segoe UI" w:hAnsi="Segoe UI" w:cs="Segoe UI" w:eastAsia="Segoe UI"/>
          <w:color w:val="101820"/>
          <w:sz w:val="21"/>
        </w:rPr>
        <w:t>deployment of iNXT BrokerVerse releases under the release process of the Support Agreement;</w:t>
      </w:r>
    </w:p>
    <w:p>
      <w:pPr>
        <w:spacing w:after="60"/>
        <w:numPr>
          <w:ilvl w:val="0"/>
          <w:numId w:val="4"/>
        </w:numPr>
      </w:pPr>
      <w:r>
        <w:rPr>
          <w:rFonts w:ascii="Segoe UI" w:hAnsi="Segoe UI" w:cs="Segoe UI" w:eastAsia="Segoe UI"/>
          <w:color w:val="101820"/>
          <w:sz w:val="21"/>
        </w:rPr>
        <w:t>operating system, database and middleware patching (monthly, and within [7] days for critical security patches);</w:t>
      </w:r>
    </w:p>
    <w:p>
      <w:pPr>
        <w:spacing w:after="60"/>
        <w:numPr>
          <w:ilvl w:val="0"/>
          <w:numId w:val="4"/>
        </w:numPr>
      </w:pPr>
      <w:r>
        <w:rPr>
          <w:rFonts w:ascii="Segoe UI" w:hAnsi="Segoe UI" w:cs="Segoe UI" w:eastAsia="Segoe UI"/>
          <w:color w:val="101820"/>
          <w:sz w:val="21"/>
        </w:rPr>
        <w:t>TLS certificates for the iorta TechNXT-provided domain [or the Client's domain, with the Client's DNS cooperation];</w:t>
      </w:r>
    </w:p>
    <w:p>
      <w:pPr>
        <w:spacing w:after="60"/>
        <w:numPr>
          <w:ilvl w:val="0"/>
          <w:numId w:val="4"/>
        </w:numPr>
      </w:pPr>
      <w:r>
        <w:rPr>
          <w:rFonts w:ascii="Segoe UI" w:hAnsi="Segoe UI" w:cs="Segoe UI" w:eastAsia="Segoe UI"/>
          <w:color w:val="101820"/>
          <w:sz w:val="21"/>
        </w:rPr>
        <w:t>monitoring and alarms (health checks, errors, response time, capacity, scheduled jobs, failed sign-ins, backups and certificate expiry);</w:t>
      </w:r>
    </w:p>
    <w:p>
      <w:pPr>
        <w:spacing w:after="60"/>
        <w:numPr>
          <w:ilvl w:val="0"/>
          <w:numId w:val="4"/>
        </w:numPr>
      </w:pPr>
      <w:r>
        <w:rPr>
          <w:rFonts w:ascii="Segoe UI" w:hAnsi="Segoe UI" w:cs="Segoe UI" w:eastAsia="Segoe UI"/>
          <w:color w:val="101820"/>
          <w:sz w:val="21"/>
        </w:rPr>
        <w:t>daily backups and restore testing as in the Backup and recovery chapter;</w:t>
      </w:r>
    </w:p>
    <w:p>
      <w:pPr>
        <w:spacing w:after="60"/>
        <w:numPr>
          <w:ilvl w:val="0"/>
          <w:numId w:val="4"/>
        </w:numPr>
      </w:pPr>
      <w:r>
        <w:rPr>
          <w:rFonts w:ascii="Segoe UI" w:hAnsi="Segoe UI" w:cs="Segoe UI" w:eastAsia="Segoe UI"/>
          <w:color w:val="101820"/>
          <w:sz w:val="21"/>
        </w:rPr>
        <w:t>security controls as in the Security chapter;</w:t>
      </w:r>
    </w:p>
    <w:p>
      <w:pPr>
        <w:spacing w:after="60"/>
        <w:numPr>
          <w:ilvl w:val="0"/>
          <w:numId w:val="4"/>
        </w:numPr>
      </w:pPr>
      <w:r>
        <w:rPr>
          <w:rFonts w:ascii="Segoe UI" w:hAnsi="Segoe UI" w:cs="Segoe UI" w:eastAsia="Segoe UI"/>
          <w:color w:val="101820"/>
          <w:sz w:val="21"/>
        </w:rPr>
        <w:t>capacity reviews each quarter.</w:t>
      </w:r>
    </w:p>
    <w:p>
      <w:pPr>
        <w:pStyle w:val="Heading2"/>
      </w:pPr>
      <w:r>
        <w:rPr>
          <w:rFonts w:ascii="Segoe UI" w:hAnsi="Segoe UI" w:cs="Segoe UI" w:eastAsia="Segoe UI"/>
          <w:b/>
          <w:color w:val="0F4761"/>
          <w:sz w:val="26"/>
        </w:rPr>
        <w:t>5.2  Sizing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31"/>
        <w:gridCol w:w="2228"/>
        <w:gridCol w:w="2127"/>
        <w:gridCol w:w="2228"/>
      </w:tblGrid>
      <w:tr>
        <w:trPr>
          <w:tblHeader w:val="true"/>
        </w:trPr>
        <w:tc>
          <w:tcPr>
            <w:tcW w:type="dxa" w:w="2431"/>
            <w:shd w:val="clear" w:color="auto" w:fill="DCE9F7"/>
          </w:tcPr>
          <w:p>
            <w:pPr>
              <w:spacing w:after="20"/>
            </w:pPr>
            <w:r>
              <w:rPr>
                <w:rFonts w:ascii="Segoe UI" w:hAnsi="Segoe UI" w:cs="Segoe UI" w:eastAsia="Segoe UI"/>
                <w:b/>
                <w:color w:val="0F4761"/>
                <w:sz w:val="18"/>
              </w:rPr>
              <w:t>Item</w:t>
            </w:r>
          </w:p>
        </w:tc>
        <w:tc>
          <w:tcPr>
            <w:tcW w:type="dxa" w:w="2228"/>
            <w:shd w:val="clear" w:color="auto" w:fill="DCE9F7"/>
          </w:tcPr>
          <w:p>
            <w:pPr>
              <w:spacing w:after="20"/>
            </w:pPr>
            <w:r>
              <w:rPr>
                <w:rFonts w:ascii="Segoe UI" w:hAnsi="Segoe UI" w:cs="Segoe UI" w:eastAsia="Segoe UI"/>
                <w:b/>
                <w:color w:val="0F4761"/>
                <w:sz w:val="18"/>
              </w:rPr>
              <w:t>Small (up to 25 users)</w:t>
            </w:r>
          </w:p>
        </w:tc>
        <w:tc>
          <w:tcPr>
            <w:tcW w:type="dxa" w:w="2127"/>
            <w:shd w:val="clear" w:color="auto" w:fill="DCE9F7"/>
          </w:tcPr>
          <w:p>
            <w:pPr>
              <w:spacing w:after="20"/>
            </w:pPr>
            <w:r>
              <w:rPr>
                <w:rFonts w:ascii="Segoe UI" w:hAnsi="Segoe UI" w:cs="Segoe UI" w:eastAsia="Segoe UI"/>
                <w:b/>
                <w:color w:val="0F4761"/>
                <w:sz w:val="18"/>
              </w:rPr>
              <w:t>Medium (26 to 100)</w:t>
            </w:r>
          </w:p>
        </w:tc>
        <w:tc>
          <w:tcPr>
            <w:tcW w:type="dxa" w:w="2228"/>
            <w:shd w:val="clear" w:color="auto" w:fill="DCE9F7"/>
          </w:tcPr>
          <w:p>
            <w:pPr>
              <w:spacing w:after="20"/>
            </w:pPr>
            <w:r>
              <w:rPr>
                <w:rFonts w:ascii="Segoe UI" w:hAnsi="Segoe UI" w:cs="Segoe UI" w:eastAsia="Segoe UI"/>
                <w:b/>
                <w:color w:val="0F4761"/>
                <w:sz w:val="18"/>
              </w:rPr>
              <w:t>Large (101 to 300)</w:t>
            </w:r>
          </w:p>
        </w:tc>
      </w:tr>
      <w:tr>
        <w:tc>
          <w:tcPr>
            <w:tcW w:type="dxa" w:w="2431"/>
          </w:tcPr>
          <w:p>
            <w:pPr>
              <w:spacing w:after="20"/>
            </w:pPr>
            <w:r>
              <w:rPr>
                <w:rFonts w:ascii="Segoe UI" w:hAnsi="Segoe UI" w:cs="Segoe UI" w:eastAsia="Segoe UI"/>
                <w:color w:val="101820"/>
                <w:sz w:val="18"/>
              </w:rPr>
              <w:t>API instances</w:t>
            </w:r>
          </w:p>
        </w:tc>
        <w:tc>
          <w:tcPr>
            <w:tcW w:type="dxa" w:w="2228"/>
          </w:tcPr>
          <w:p>
            <w:pPr>
              <w:spacing w:after="20"/>
            </w:pPr>
            <w:r>
              <w:rPr>
                <w:rFonts w:ascii="Segoe UI" w:hAnsi="Segoe UI" w:cs="Segoe UI" w:eastAsia="Segoe UI"/>
                <w:color w:val="101820"/>
                <w:sz w:val="18"/>
              </w:rPr>
              <w:t>2 x 1 vCPU, 2 GB</w:t>
            </w:r>
          </w:p>
        </w:tc>
        <w:tc>
          <w:tcPr>
            <w:tcW w:type="dxa" w:w="2127"/>
          </w:tcPr>
          <w:p>
            <w:pPr>
              <w:spacing w:after="20"/>
            </w:pPr>
            <w:r>
              <w:rPr>
                <w:rFonts w:ascii="Segoe UI" w:hAnsi="Segoe UI" w:cs="Segoe UI" w:eastAsia="Segoe UI"/>
                <w:color w:val="101820"/>
                <w:sz w:val="18"/>
              </w:rPr>
              <w:t>2 x 1 vCPU, 2 GB</w:t>
            </w:r>
          </w:p>
        </w:tc>
        <w:tc>
          <w:tcPr>
            <w:tcW w:type="dxa" w:w="2228"/>
          </w:tcPr>
          <w:p>
            <w:pPr>
              <w:spacing w:after="20"/>
            </w:pPr>
            <w:r>
              <w:rPr>
                <w:rFonts w:ascii="Segoe UI" w:hAnsi="Segoe UI" w:cs="Segoe UI" w:eastAsia="Segoe UI"/>
                <w:color w:val="101820"/>
                <w:sz w:val="18"/>
              </w:rPr>
              <w:t>3 to 4 x 2 vCPU, 4 GB</w:t>
            </w:r>
          </w:p>
        </w:tc>
      </w:tr>
      <w:tr>
        <w:tc>
          <w:tcPr>
            <w:tcW w:type="dxa" w:w="2431"/>
          </w:tcPr>
          <w:p>
            <w:pPr>
              <w:spacing w:after="20"/>
            </w:pPr>
            <w:r>
              <w:rPr>
                <w:rFonts w:ascii="Segoe UI" w:hAnsi="Segoe UI" w:cs="Segoe UI" w:eastAsia="Segoe UI"/>
                <w:color w:val="101820"/>
                <w:sz w:val="18"/>
              </w:rPr>
              <w:t>Database</w:t>
            </w:r>
          </w:p>
        </w:tc>
        <w:tc>
          <w:tcPr>
            <w:tcW w:type="dxa" w:w="2228"/>
          </w:tcPr>
          <w:p>
            <w:pPr>
              <w:spacing w:after="20"/>
            </w:pPr>
            <w:r>
              <w:rPr>
                <w:rFonts w:ascii="Segoe UI" w:hAnsi="Segoe UI" w:cs="Segoe UI" w:eastAsia="Segoe UI"/>
                <w:color w:val="101820"/>
                <w:sz w:val="18"/>
              </w:rPr>
              <w:t>2 vCPU, 4 GB, standby</w:t>
            </w:r>
          </w:p>
        </w:tc>
        <w:tc>
          <w:tcPr>
            <w:tcW w:type="dxa" w:w="2127"/>
          </w:tcPr>
          <w:p>
            <w:pPr>
              <w:spacing w:after="20"/>
            </w:pPr>
            <w:r>
              <w:rPr>
                <w:rFonts w:ascii="Segoe UI" w:hAnsi="Segoe UI" w:cs="Segoe UI" w:eastAsia="Segoe UI"/>
                <w:color w:val="101820"/>
                <w:sz w:val="18"/>
              </w:rPr>
              <w:t>2 vCPU, 8 GB, standby</w:t>
            </w:r>
          </w:p>
        </w:tc>
        <w:tc>
          <w:tcPr>
            <w:tcW w:type="dxa" w:w="2228"/>
          </w:tcPr>
          <w:p>
            <w:pPr>
              <w:spacing w:after="20"/>
            </w:pPr>
            <w:r>
              <w:rPr>
                <w:rFonts w:ascii="Segoe UI" w:hAnsi="Segoe UI" w:cs="Segoe UI" w:eastAsia="Segoe UI"/>
                <w:color w:val="101820"/>
                <w:sz w:val="18"/>
              </w:rPr>
              <w:t>4 vCPU, 16 GB, standby</w:t>
            </w:r>
          </w:p>
        </w:tc>
      </w:tr>
      <w:tr>
        <w:tc>
          <w:tcPr>
            <w:tcW w:type="dxa" w:w="2431"/>
          </w:tcPr>
          <w:p>
            <w:pPr>
              <w:spacing w:after="20"/>
            </w:pPr>
            <w:r>
              <w:rPr>
                <w:rFonts w:ascii="Segoe UI" w:hAnsi="Segoe UI" w:cs="Segoe UI" w:eastAsia="Segoe UI"/>
                <w:color w:val="101820"/>
                <w:sz w:val="18"/>
              </w:rPr>
              <w:t>Database storage</w:t>
            </w:r>
          </w:p>
        </w:tc>
        <w:tc>
          <w:tcPr>
            <w:tcW w:type="dxa" w:w="2228"/>
          </w:tcPr>
          <w:p>
            <w:pPr>
              <w:spacing w:after="20"/>
            </w:pPr>
            <w:r>
              <w:rPr>
                <w:rFonts w:ascii="Segoe UI" w:hAnsi="Segoe UI" w:cs="Segoe UI" w:eastAsia="Segoe UI"/>
                <w:color w:val="101820"/>
                <w:sz w:val="18"/>
              </w:rPr>
              <w:t>50 GB</w:t>
            </w:r>
          </w:p>
        </w:tc>
        <w:tc>
          <w:tcPr>
            <w:tcW w:type="dxa" w:w="2127"/>
          </w:tcPr>
          <w:p>
            <w:pPr>
              <w:spacing w:after="20"/>
            </w:pPr>
            <w:r>
              <w:rPr>
                <w:rFonts w:ascii="Segoe UI" w:hAnsi="Segoe UI" w:cs="Segoe UI" w:eastAsia="Segoe UI"/>
                <w:color w:val="101820"/>
                <w:sz w:val="18"/>
              </w:rPr>
              <w:t>100 GB</w:t>
            </w:r>
          </w:p>
        </w:tc>
        <w:tc>
          <w:tcPr>
            <w:tcW w:type="dxa" w:w="2228"/>
          </w:tcPr>
          <w:p>
            <w:pPr>
              <w:spacing w:after="20"/>
            </w:pPr>
            <w:r>
              <w:rPr>
                <w:rFonts w:ascii="Segoe UI" w:hAnsi="Segoe UI" w:cs="Segoe UI" w:eastAsia="Segoe UI"/>
                <w:color w:val="101820"/>
                <w:sz w:val="18"/>
              </w:rPr>
              <w:t>250 GB</w:t>
            </w:r>
          </w:p>
        </w:tc>
      </w:tr>
      <w:tr>
        <w:tc>
          <w:tcPr>
            <w:tcW w:type="dxa" w:w="2431"/>
          </w:tcPr>
          <w:p>
            <w:pPr>
              <w:spacing w:after="20"/>
            </w:pPr>
            <w:r>
              <w:rPr>
                <w:rFonts w:ascii="Segoe UI" w:hAnsi="Segoe UI" w:cs="Segoe UI" w:eastAsia="Segoe UI"/>
                <w:color w:val="101820"/>
                <w:sz w:val="18"/>
              </w:rPr>
              <w:t>File store (year 1)</w:t>
            </w:r>
          </w:p>
        </w:tc>
        <w:tc>
          <w:tcPr>
            <w:tcW w:type="dxa" w:w="2228"/>
          </w:tcPr>
          <w:p>
            <w:pPr>
              <w:spacing w:after="20"/>
            </w:pPr>
            <w:r>
              <w:rPr>
                <w:rFonts w:ascii="Segoe UI" w:hAnsi="Segoe UI" w:cs="Segoe UI" w:eastAsia="Segoe UI"/>
                <w:color w:val="101820"/>
                <w:sz w:val="18"/>
              </w:rPr>
              <w:t>25 GB</w:t>
            </w:r>
          </w:p>
        </w:tc>
        <w:tc>
          <w:tcPr>
            <w:tcW w:type="dxa" w:w="2127"/>
          </w:tcPr>
          <w:p>
            <w:pPr>
              <w:spacing w:after="20"/>
            </w:pPr>
            <w:r>
              <w:rPr>
                <w:rFonts w:ascii="Segoe UI" w:hAnsi="Segoe UI" w:cs="Segoe UI" w:eastAsia="Segoe UI"/>
                <w:color w:val="101820"/>
                <w:sz w:val="18"/>
              </w:rPr>
              <w:t>60 GB</w:t>
            </w:r>
          </w:p>
        </w:tc>
        <w:tc>
          <w:tcPr>
            <w:tcW w:type="dxa" w:w="2228"/>
          </w:tcPr>
          <w:p>
            <w:pPr>
              <w:spacing w:after="20"/>
            </w:pPr>
            <w:r>
              <w:rPr>
                <w:rFonts w:ascii="Segoe UI" w:hAnsi="Segoe UI" w:cs="Segoe UI" w:eastAsia="Segoe UI"/>
                <w:color w:val="101820"/>
                <w:sz w:val="18"/>
              </w:rPr>
              <w:t>150 GB</w:t>
            </w:r>
          </w:p>
        </w:tc>
      </w:tr>
      <w:tr>
        <w:tc>
          <w:tcPr>
            <w:tcW w:type="dxa" w:w="2431"/>
          </w:tcPr>
          <w:p>
            <w:pPr>
              <w:spacing w:after="20"/>
            </w:pPr>
            <w:r>
              <w:rPr>
                <w:rFonts w:ascii="Segoe UI" w:hAnsi="Segoe UI" w:cs="Segoe UI" w:eastAsia="Segoe UI"/>
                <w:color w:val="101820"/>
                <w:sz w:val="18"/>
              </w:rPr>
              <w:t>Backup storage</w:t>
            </w:r>
          </w:p>
        </w:tc>
        <w:tc>
          <w:tcPr>
            <w:tcW w:type="dxa" w:w="2228"/>
          </w:tcPr>
          <w:p>
            <w:pPr>
              <w:spacing w:after="20"/>
            </w:pPr>
            <w:r>
              <w:rPr>
                <w:rFonts w:ascii="Segoe UI" w:hAnsi="Segoe UI" w:cs="Segoe UI" w:eastAsia="Segoe UI"/>
                <w:color w:val="101820"/>
                <w:sz w:val="18"/>
              </w:rPr>
              <w:t>100 GB</w:t>
            </w:r>
          </w:p>
        </w:tc>
        <w:tc>
          <w:tcPr>
            <w:tcW w:type="dxa" w:w="2127"/>
          </w:tcPr>
          <w:p>
            <w:pPr>
              <w:spacing w:after="20"/>
            </w:pPr>
            <w:r>
              <w:rPr>
                <w:rFonts w:ascii="Segoe UI" w:hAnsi="Segoe UI" w:cs="Segoe UI" w:eastAsia="Segoe UI"/>
                <w:color w:val="101820"/>
                <w:sz w:val="18"/>
              </w:rPr>
              <w:t>250 GB</w:t>
            </w:r>
          </w:p>
        </w:tc>
        <w:tc>
          <w:tcPr>
            <w:tcW w:type="dxa" w:w="2228"/>
          </w:tcPr>
          <w:p>
            <w:pPr>
              <w:spacing w:after="20"/>
            </w:pPr>
            <w:r>
              <w:rPr>
                <w:rFonts w:ascii="Segoe UI" w:hAnsi="Segoe UI" w:cs="Segoe UI" w:eastAsia="Segoe UI"/>
                <w:color w:val="101820"/>
                <w:sz w:val="18"/>
              </w:rPr>
              <w:t>600 GB</w:t>
            </w:r>
          </w:p>
        </w:tc>
      </w:tr>
      <w:tr>
        <w:tc>
          <w:tcPr>
            <w:tcW w:type="dxa" w:w="2431"/>
          </w:tcPr>
          <w:p>
            <w:pPr>
              <w:spacing w:after="20"/>
            </w:pPr>
            <w:r>
              <w:rPr>
                <w:rFonts w:ascii="Segoe UI" w:hAnsi="Segoe UI" w:cs="Segoe UI" w:eastAsia="Segoe UI"/>
                <w:color w:val="101820"/>
                <w:sz w:val="18"/>
              </w:rPr>
              <w:t>Concurrent users at peak</w:t>
            </w:r>
          </w:p>
        </w:tc>
        <w:tc>
          <w:tcPr>
            <w:tcW w:type="dxa" w:w="2228"/>
          </w:tcPr>
          <w:p>
            <w:pPr>
              <w:spacing w:after="20"/>
            </w:pPr>
            <w:r>
              <w:rPr>
                <w:rFonts w:ascii="Segoe UI" w:hAnsi="Segoe UI" w:cs="Segoe UI" w:eastAsia="Segoe UI"/>
                <w:color w:val="101820"/>
                <w:sz w:val="18"/>
              </w:rPr>
              <w:t>10</w:t>
            </w:r>
          </w:p>
        </w:tc>
        <w:tc>
          <w:tcPr>
            <w:tcW w:type="dxa" w:w="2127"/>
          </w:tcPr>
          <w:p>
            <w:pPr>
              <w:spacing w:after="20"/>
            </w:pPr>
            <w:r>
              <w:rPr>
                <w:rFonts w:ascii="Segoe UI" w:hAnsi="Segoe UI" w:cs="Segoe UI" w:eastAsia="Segoe UI"/>
                <w:color w:val="101820"/>
                <w:sz w:val="18"/>
              </w:rPr>
              <w:t>40</w:t>
            </w:r>
          </w:p>
        </w:tc>
        <w:tc>
          <w:tcPr>
            <w:tcW w:type="dxa" w:w="2228"/>
          </w:tcPr>
          <w:p>
            <w:pPr>
              <w:spacing w:after="20"/>
            </w:pPr>
            <w:r>
              <w:rPr>
                <w:rFonts w:ascii="Segoe UI" w:hAnsi="Segoe UI" w:cs="Segoe UI" w:eastAsia="Segoe UI"/>
                <w:color w:val="101820"/>
                <w:sz w:val="18"/>
              </w:rPr>
              <w:t>120</w:t>
            </w:r>
          </w:p>
        </w:tc>
      </w:tr>
    </w:tbl>
    <w:p>
      <w:pPr>
        <w:spacing w:after="80"/>
      </w:pPr>
    </w:p>
    <w:p>
      <w:pPr>
        <w:spacing w:after="120" w:line="276" w:lineRule="auto"/>
      </w:pPr>
      <w:r>
        <w:rPr>
          <w:rFonts w:ascii="Segoe UI" w:hAnsi="Segoe UI" w:cs="Segoe UI" w:eastAsia="Segoe UI"/>
          <w:color w:val="101820"/>
          <w:sz w:val="21"/>
        </w:rPr>
        <w:t>Enterprise sizing is agreed in the Order Form. Sizing is indicative and assumes the volumes in the architecture document; growth beyond them is handled under the Fees chapter.</w:t>
      </w:r>
    </w:p>
    <w:p>
      <w:pPr>
        <w:pStyle w:val="Heading1"/>
        <w:pageBreakBefore/>
      </w:pPr>
      <w:r>
        <w:rPr>
          <w:rFonts w:ascii="Segoe UI" w:hAnsi="Segoe UI" w:cs="Segoe UI" w:eastAsia="Segoe UI"/>
          <w:b/>
          <w:color w:val="0F4761"/>
          <w:sz w:val="32"/>
        </w:rPr>
        <w:t>6.  Backup and recovery</w:t>
      </w:r>
    </w:p>
    <w:p>
      <w:pPr>
        <w:pStyle w:val="Heading2"/>
      </w:pPr>
      <w:r>
        <w:rPr>
          <w:rFonts w:ascii="Segoe UI" w:hAnsi="Segoe UI" w:cs="Segoe UI" w:eastAsia="Segoe UI"/>
          <w:b/>
          <w:color w:val="0F4761"/>
          <w:sz w:val="26"/>
        </w:rPr>
        <w:t>6.1  Backups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Backup</w:t>
            </w:r>
          </w:p>
        </w:tc>
        <w:tc>
          <w:tcPr>
            <w:tcW w:type="dxa" w:w="4507"/>
            <w:shd w:val="clear" w:color="auto" w:fill="DCE9F7"/>
          </w:tcPr>
          <w:p>
            <w:pPr>
              <w:spacing w:after="20"/>
            </w:pPr>
            <w:r>
              <w:rPr>
                <w:rFonts w:ascii="Segoe UI" w:hAnsi="Segoe UI" w:cs="Segoe UI" w:eastAsia="Segoe UI"/>
                <w:b/>
                <w:color w:val="0F4761"/>
                <w:sz w:val="18"/>
              </w:rPr>
              <w:t>Retention</w:t>
            </w:r>
          </w:p>
        </w:tc>
      </w:tr>
      <w:tr>
        <w:tc>
          <w:tcPr>
            <w:tcW w:type="dxa" w:w="4507"/>
          </w:tcPr>
          <w:p>
            <w:pPr>
              <w:spacing w:after="20"/>
            </w:pPr>
            <w:r>
              <w:rPr>
                <w:rFonts w:ascii="Segoe UI" w:hAnsi="Segoe UI" w:cs="Segoe UI" w:eastAsia="Segoe UI"/>
                <w:color w:val="101820"/>
                <w:sz w:val="18"/>
              </w:rPr>
              <w:t>Automated database backups with point-in-time recovery, window 02:00 to 03:00 PHT</w:t>
            </w:r>
          </w:p>
        </w:tc>
        <w:tc>
          <w:tcPr>
            <w:tcW w:type="dxa" w:w="4507"/>
          </w:tcPr>
          <w:p>
            <w:pPr>
              <w:spacing w:after="20"/>
            </w:pPr>
            <w:r>
              <w:rPr>
                <w:rFonts w:ascii="Segoe UI" w:hAnsi="Segoe UI" w:cs="Segoe UI" w:eastAsia="Segoe UI"/>
                <w:color w:val="101820"/>
                <w:sz w:val="18"/>
              </w:rPr>
              <w:t>35 days</w:t>
            </w:r>
          </w:p>
        </w:tc>
      </w:tr>
      <w:tr>
        <w:tc>
          <w:tcPr>
            <w:tcW w:type="dxa" w:w="4507"/>
          </w:tcPr>
          <w:p>
            <w:pPr>
              <w:spacing w:after="20"/>
            </w:pPr>
            <w:r>
              <w:rPr>
                <w:rFonts w:ascii="Segoe UI" w:hAnsi="Segoe UI" w:cs="Segoe UI" w:eastAsia="Segoe UI"/>
                <w:color w:val="101820"/>
                <w:sz w:val="18"/>
              </w:rPr>
              <w:t>Daily snapshots; monthly copy to a second region or site</w:t>
            </w:r>
          </w:p>
        </w:tc>
        <w:tc>
          <w:tcPr>
            <w:tcW w:type="dxa" w:w="4507"/>
          </w:tcPr>
          <w:p>
            <w:pPr>
              <w:spacing w:after="20"/>
            </w:pPr>
            <w:r>
              <w:rPr>
                <w:rFonts w:ascii="Segoe UI" w:hAnsi="Segoe UI" w:cs="Segoe UI" w:eastAsia="Segoe UI"/>
                <w:color w:val="101820"/>
                <w:sz w:val="18"/>
              </w:rPr>
              <w:t>Daily 35 days; monthly 12 months; yearly copies of year-end records [10 years, if the Client instructs]</w:t>
            </w:r>
          </w:p>
        </w:tc>
      </w:tr>
      <w:tr>
        <w:tc>
          <w:tcPr>
            <w:tcW w:type="dxa" w:w="4507"/>
          </w:tcPr>
          <w:p>
            <w:pPr>
              <w:spacing w:after="20"/>
            </w:pPr>
            <w:r>
              <w:rPr>
                <w:rFonts w:ascii="Segoe UI" w:hAnsi="Segoe UI" w:cs="Segoe UI" w:eastAsia="Segoe UI"/>
                <w:color w:val="101820"/>
                <w:sz w:val="18"/>
              </w:rPr>
              <w:t>Snapshot before each release with database changes, before go-live imports and before each year-end close</w:t>
            </w:r>
          </w:p>
        </w:tc>
        <w:tc>
          <w:tcPr>
            <w:tcW w:type="dxa" w:w="4507"/>
          </w:tcPr>
          <w:p>
            <w:pPr>
              <w:spacing w:after="20"/>
            </w:pPr>
            <w:r>
              <w:rPr>
                <w:rFonts w:ascii="Segoe UI" w:hAnsi="Segoe UI" w:cs="Segoe UI" w:eastAsia="Segoe UI"/>
                <w:color w:val="101820"/>
                <w:sz w:val="18"/>
              </w:rPr>
              <w:t>At least 30 days</w:t>
            </w:r>
          </w:p>
        </w:tc>
      </w:tr>
      <w:tr>
        <w:tc>
          <w:tcPr>
            <w:tcW w:type="dxa" w:w="4507"/>
          </w:tcPr>
          <w:p>
            <w:pPr>
              <w:spacing w:after="20"/>
            </w:pPr>
            <w:r>
              <w:rPr>
                <w:rFonts w:ascii="Segoe UI" w:hAnsi="Segoe UI" w:cs="Segoe UI" w:eastAsia="Segoe UI"/>
                <w:color w:val="101820"/>
                <w:sz w:val="18"/>
              </w:rPr>
              <w:t>Monthly logical dump to write-once storage</w:t>
            </w:r>
          </w:p>
        </w:tc>
        <w:tc>
          <w:tcPr>
            <w:tcW w:type="dxa" w:w="4507"/>
          </w:tcPr>
          <w:p>
            <w:pPr>
              <w:spacing w:after="20"/>
            </w:pPr>
            <w:r>
              <w:rPr>
                <w:rFonts w:ascii="Segoe UI" w:hAnsi="Segoe UI" w:cs="Segoe UI" w:eastAsia="Segoe UI"/>
                <w:color w:val="101820"/>
                <w:sz w:val="18"/>
              </w:rPr>
              <w:t>12 months</w:t>
            </w:r>
          </w:p>
        </w:tc>
      </w:tr>
      <w:tr>
        <w:tc>
          <w:tcPr>
            <w:tcW w:type="dxa" w:w="4507"/>
          </w:tcPr>
          <w:p>
            <w:pPr>
              <w:spacing w:after="20"/>
            </w:pPr>
            <w:r>
              <w:rPr>
                <w:rFonts w:ascii="Segoe UI" w:hAnsi="Segoe UI" w:cs="Segoe UI" w:eastAsia="Segoe UI"/>
                <w:color w:val="101820"/>
                <w:sz w:val="18"/>
              </w:rPr>
              <w:t>File store daily; weekly copy to the second region or site</w:t>
            </w:r>
          </w:p>
        </w:tc>
        <w:tc>
          <w:tcPr>
            <w:tcW w:type="dxa" w:w="4507"/>
          </w:tcPr>
          <w:p>
            <w:pPr>
              <w:spacing w:after="20"/>
            </w:pPr>
            <w:r>
              <w:rPr>
                <w:rFonts w:ascii="Segoe UI" w:hAnsi="Segoe UI" w:cs="Segoe UI" w:eastAsia="Segoe UI"/>
                <w:color w:val="101820"/>
                <w:sz w:val="18"/>
              </w:rPr>
              <w:t>Daily 35 days; monthly 12 months</w:t>
            </w:r>
          </w:p>
        </w:tc>
      </w:tr>
      <w:tr>
        <w:tc>
          <w:tcPr>
            <w:tcW w:type="dxa" w:w="4507"/>
          </w:tcPr>
          <w:p>
            <w:pPr>
              <w:spacing w:after="20"/>
            </w:pPr>
            <w:r>
              <w:rPr>
                <w:rFonts w:ascii="Segoe UI" w:hAnsi="Segoe UI" w:cs="Segoe UI" w:eastAsia="Segoe UI"/>
                <w:color w:val="101820"/>
                <w:sz w:val="18"/>
              </w:rPr>
              <w:t>Encryption keys and application secrets</w:t>
            </w:r>
          </w:p>
        </w:tc>
        <w:tc>
          <w:tcPr>
            <w:tcW w:type="dxa" w:w="4507"/>
          </w:tcPr>
          <w:p>
            <w:pPr>
              <w:spacing w:after="20"/>
            </w:pPr>
            <w:r>
              <w:rPr>
                <w:rFonts w:ascii="Segoe UI" w:hAnsi="Segoe UI" w:cs="Segoe UI" w:eastAsia="Segoe UI"/>
                <w:color w:val="101820"/>
                <w:sz w:val="18"/>
              </w:rPr>
              <w:t>Versioned in the secret store, with a sealed escrow copy under dual control</w:t>
            </w:r>
          </w:p>
        </w:tc>
      </w:tr>
    </w:tbl>
    <w:p>
      <w:pPr>
        <w:spacing w:after="80"/>
      </w:pPr>
    </w:p>
    <w:p>
      <w:pPr>
        <w:pStyle w:val="Heading2"/>
      </w:pPr>
      <w:r>
        <w:rPr>
          <w:rFonts w:ascii="Segoe UI" w:hAnsi="Segoe UI" w:cs="Segoe UI" w:eastAsia="Segoe UI"/>
          <w:b/>
          <w:color w:val="0F4761"/>
          <w:sz w:val="26"/>
        </w:rPr>
        <w:t>6.2  Recovery objectives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34"/>
        <w:gridCol w:w="1545"/>
        <w:gridCol w:w="4035"/>
      </w:tblGrid>
      <w:tr>
        <w:trPr>
          <w:tblHeader w:val="true"/>
        </w:trPr>
        <w:tc>
          <w:tcPr>
            <w:tcW w:type="dxa" w:w="3434"/>
            <w:shd w:val="clear" w:color="auto" w:fill="DCE9F7"/>
          </w:tcPr>
          <w:p>
            <w:pPr>
              <w:spacing w:after="20"/>
            </w:pPr>
            <w:r>
              <w:rPr>
                <w:rFonts w:ascii="Segoe UI" w:hAnsi="Segoe UI" w:cs="Segoe UI" w:eastAsia="Segoe UI"/>
                <w:b/>
                <w:color w:val="0F4761"/>
                <w:sz w:val="18"/>
              </w:rPr>
              <w:t>Scenario</w:t>
            </w:r>
          </w:p>
        </w:tc>
        <w:tc>
          <w:tcPr>
            <w:tcW w:type="dxa" w:w="1545"/>
            <w:shd w:val="clear" w:color="auto" w:fill="DCE9F7"/>
          </w:tcPr>
          <w:p>
            <w:pPr>
              <w:spacing w:after="20"/>
            </w:pPr>
            <w:r>
              <w:rPr>
                <w:rFonts w:ascii="Segoe UI" w:hAnsi="Segoe UI" w:cs="Segoe UI" w:eastAsia="Segoe UI"/>
                <w:b/>
                <w:color w:val="0F4761"/>
                <w:sz w:val="18"/>
              </w:rPr>
              <w:t>RPO</w:t>
            </w:r>
          </w:p>
        </w:tc>
        <w:tc>
          <w:tcPr>
            <w:tcW w:type="dxa" w:w="4035"/>
            <w:shd w:val="clear" w:color="auto" w:fill="DCE9F7"/>
          </w:tcPr>
          <w:p>
            <w:pPr>
              <w:spacing w:after="20"/>
            </w:pPr>
            <w:r>
              <w:rPr>
                <w:rFonts w:ascii="Segoe UI" w:hAnsi="Segoe UI" w:cs="Segoe UI" w:eastAsia="Segoe UI"/>
                <w:b/>
                <w:color w:val="0F4761"/>
                <w:sz w:val="18"/>
              </w:rPr>
              <w:t>RTO</w:t>
            </w:r>
          </w:p>
        </w:tc>
      </w:tr>
      <w:tr>
        <w:tc>
          <w:tcPr>
            <w:tcW w:type="dxa" w:w="3434"/>
          </w:tcPr>
          <w:p>
            <w:pPr>
              <w:spacing w:after="20"/>
            </w:pPr>
            <w:r>
              <w:rPr>
                <w:rFonts w:ascii="Segoe UI" w:hAnsi="Segoe UI" w:cs="Segoe UI" w:eastAsia="Segoe UI"/>
                <w:color w:val="101820"/>
                <w:sz w:val="18"/>
              </w:rPr>
              <w:t>API instance failure</w:t>
            </w:r>
          </w:p>
        </w:tc>
        <w:tc>
          <w:tcPr>
            <w:tcW w:type="dxa" w:w="1545"/>
          </w:tcPr>
          <w:p>
            <w:pPr>
              <w:spacing w:after="20"/>
            </w:pPr>
            <w:r>
              <w:rPr>
                <w:rFonts w:ascii="Segoe UI" w:hAnsi="Segoe UI" w:cs="Segoe UI" w:eastAsia="Segoe UI"/>
                <w:color w:val="101820"/>
                <w:sz w:val="18"/>
              </w:rPr>
              <w:t>0</w:t>
            </w:r>
          </w:p>
        </w:tc>
        <w:tc>
          <w:tcPr>
            <w:tcW w:type="dxa" w:w="4035"/>
          </w:tcPr>
          <w:p>
            <w:pPr>
              <w:spacing w:after="20"/>
            </w:pPr>
            <w:r>
              <w:rPr>
                <w:rFonts w:ascii="Segoe UI" w:hAnsi="Segoe UI" w:cs="Segoe UI" w:eastAsia="Segoe UI"/>
                <w:color w:val="101820"/>
                <w:sz w:val="18"/>
              </w:rPr>
              <w:t>Under 5 minutes</w:t>
            </w:r>
          </w:p>
        </w:tc>
      </w:tr>
      <w:tr>
        <w:tc>
          <w:tcPr>
            <w:tcW w:type="dxa" w:w="3434"/>
          </w:tcPr>
          <w:p>
            <w:pPr>
              <w:spacing w:after="20"/>
            </w:pPr>
            <w:r>
              <w:rPr>
                <w:rFonts w:ascii="Segoe UI" w:hAnsi="Segoe UI" w:cs="Segoe UI" w:eastAsia="Segoe UI"/>
                <w:color w:val="101820"/>
                <w:sz w:val="18"/>
              </w:rPr>
              <w:t>Availability zone failure</w:t>
            </w:r>
          </w:p>
        </w:tc>
        <w:tc>
          <w:tcPr>
            <w:tcW w:type="dxa" w:w="1545"/>
          </w:tcPr>
          <w:p>
            <w:pPr>
              <w:spacing w:after="20"/>
            </w:pPr>
            <w:r>
              <w:rPr>
                <w:rFonts w:ascii="Segoe UI" w:hAnsi="Segoe UI" w:cs="Segoe UI" w:eastAsia="Segoe UI"/>
                <w:color w:val="101820"/>
                <w:sz w:val="18"/>
              </w:rPr>
              <w:t>0</w:t>
            </w:r>
          </w:p>
        </w:tc>
        <w:tc>
          <w:tcPr>
            <w:tcW w:type="dxa" w:w="4035"/>
          </w:tcPr>
          <w:p>
            <w:pPr>
              <w:spacing w:after="20"/>
            </w:pPr>
            <w:r>
              <w:rPr>
                <w:rFonts w:ascii="Segoe UI" w:hAnsi="Segoe UI" w:cs="Segoe UI" w:eastAsia="Segoe UI"/>
                <w:color w:val="101820"/>
                <w:sz w:val="18"/>
              </w:rPr>
              <w:t>Under 15 minutes</w:t>
            </w:r>
          </w:p>
        </w:tc>
      </w:tr>
      <w:tr>
        <w:tc>
          <w:tcPr>
            <w:tcW w:type="dxa" w:w="3434"/>
          </w:tcPr>
          <w:p>
            <w:pPr>
              <w:spacing w:after="20"/>
            </w:pPr>
            <w:r>
              <w:rPr>
                <w:rFonts w:ascii="Segoe UI" w:hAnsi="Segoe UI" w:cs="Segoe UI" w:eastAsia="Segoe UI"/>
                <w:color w:val="101820"/>
                <w:sz w:val="18"/>
              </w:rPr>
              <w:t>Database instance failure (with standby)</w:t>
            </w:r>
          </w:p>
        </w:tc>
        <w:tc>
          <w:tcPr>
            <w:tcW w:type="dxa" w:w="1545"/>
          </w:tcPr>
          <w:p>
            <w:pPr>
              <w:spacing w:after="20"/>
            </w:pPr>
            <w:r>
              <w:rPr>
                <w:rFonts w:ascii="Segoe UI" w:hAnsi="Segoe UI" w:cs="Segoe UI" w:eastAsia="Segoe UI"/>
                <w:color w:val="101820"/>
                <w:sz w:val="18"/>
              </w:rPr>
              <w:t>0</w:t>
            </w:r>
          </w:p>
        </w:tc>
        <w:tc>
          <w:tcPr>
            <w:tcW w:type="dxa" w:w="4035"/>
          </w:tcPr>
          <w:p>
            <w:pPr>
              <w:spacing w:after="20"/>
            </w:pPr>
            <w:r>
              <w:rPr>
                <w:rFonts w:ascii="Segoe UI" w:hAnsi="Segoe UI" w:cs="Segoe UI" w:eastAsia="Segoe UI"/>
                <w:color w:val="101820"/>
                <w:sz w:val="18"/>
              </w:rPr>
              <w:t>Under 15 minutes</w:t>
            </w:r>
          </w:p>
        </w:tc>
      </w:tr>
      <w:tr>
        <w:tc>
          <w:tcPr>
            <w:tcW w:type="dxa" w:w="3434"/>
          </w:tcPr>
          <w:p>
            <w:pPr>
              <w:spacing w:after="20"/>
            </w:pPr>
            <w:r>
              <w:rPr>
                <w:rFonts w:ascii="Segoe UI" w:hAnsi="Segoe UI" w:cs="Segoe UI" w:eastAsia="Segoe UI"/>
                <w:color w:val="101820"/>
                <w:sz w:val="18"/>
              </w:rPr>
              <w:t>Logical corruption or wrong mass change</w:t>
            </w:r>
          </w:p>
        </w:tc>
        <w:tc>
          <w:tcPr>
            <w:tcW w:type="dxa" w:w="1545"/>
          </w:tcPr>
          <w:p>
            <w:pPr>
              <w:spacing w:after="20"/>
            </w:pPr>
            <w:r>
              <w:rPr>
                <w:rFonts w:ascii="Segoe UI" w:hAnsi="Segoe UI" w:cs="Segoe UI" w:eastAsia="Segoe UI"/>
                <w:color w:val="101820"/>
                <w:sz w:val="18"/>
              </w:rPr>
              <w:t>15 minutes or less</w:t>
            </w:r>
          </w:p>
        </w:tc>
        <w:tc>
          <w:tcPr>
            <w:tcW w:type="dxa" w:w="4035"/>
          </w:tcPr>
          <w:p>
            <w:pPr>
              <w:spacing w:after="20"/>
            </w:pPr>
            <w:r>
              <w:rPr>
                <w:rFonts w:ascii="Segoe UI" w:hAnsi="Segoe UI" w:cs="Segoe UI" w:eastAsia="Segoe UI"/>
                <w:color w:val="101820"/>
                <w:sz w:val="18"/>
              </w:rPr>
              <w:t>4 hours or less</w:t>
            </w:r>
          </w:p>
        </w:tc>
      </w:tr>
      <w:tr>
        <w:tc>
          <w:tcPr>
            <w:tcW w:type="dxa" w:w="3434"/>
          </w:tcPr>
          <w:p>
            <w:pPr>
              <w:spacing w:after="20"/>
            </w:pPr>
            <w:r>
              <w:rPr>
                <w:rFonts w:ascii="Segoe UI" w:hAnsi="Segoe UI" w:cs="Segoe UI" w:eastAsia="Segoe UI"/>
                <w:color w:val="101820"/>
                <w:sz w:val="18"/>
              </w:rPr>
              <w:t>Loss of uploaded files</w:t>
            </w:r>
          </w:p>
        </w:tc>
        <w:tc>
          <w:tcPr>
            <w:tcW w:type="dxa" w:w="1545"/>
          </w:tcPr>
          <w:p>
            <w:pPr>
              <w:spacing w:after="20"/>
            </w:pPr>
            <w:r>
              <w:rPr>
                <w:rFonts w:ascii="Segoe UI" w:hAnsi="Segoe UI" w:cs="Segoe UI" w:eastAsia="Segoe UI"/>
                <w:color w:val="101820"/>
                <w:sz w:val="18"/>
              </w:rPr>
              <w:t>24 hours or less</w:t>
            </w:r>
          </w:p>
        </w:tc>
        <w:tc>
          <w:tcPr>
            <w:tcW w:type="dxa" w:w="4035"/>
          </w:tcPr>
          <w:p>
            <w:pPr>
              <w:spacing w:after="20"/>
            </w:pPr>
            <w:r>
              <w:rPr>
                <w:rFonts w:ascii="Segoe UI" w:hAnsi="Segoe UI" w:cs="Segoe UI" w:eastAsia="Segoe UI"/>
                <w:color w:val="101820"/>
                <w:sz w:val="18"/>
              </w:rPr>
              <w:t>4 hours or less</w:t>
            </w:r>
          </w:p>
        </w:tc>
      </w:tr>
      <w:tr>
        <w:tc>
          <w:tcPr>
            <w:tcW w:type="dxa" w:w="3434"/>
          </w:tcPr>
          <w:p>
            <w:pPr>
              <w:spacing w:after="20"/>
            </w:pPr>
            <w:r>
              <w:rPr>
                <w:rFonts w:ascii="Segoe UI" w:hAnsi="Segoe UI" w:cs="Segoe UI" w:eastAsia="Segoe UI"/>
                <w:color w:val="101820"/>
                <w:sz w:val="18"/>
              </w:rPr>
              <w:t>Regional or site outage</w:t>
            </w:r>
          </w:p>
        </w:tc>
        <w:tc>
          <w:tcPr>
            <w:tcW w:type="dxa" w:w="1545"/>
          </w:tcPr>
          <w:p>
            <w:pPr>
              <w:spacing w:after="20"/>
            </w:pPr>
            <w:r>
              <w:rPr>
                <w:rFonts w:ascii="Segoe UI" w:hAnsi="Segoe UI" w:cs="Segoe UI" w:eastAsia="Segoe UI"/>
                <w:color w:val="101820"/>
                <w:sz w:val="18"/>
              </w:rPr>
              <w:t>24 hours or less</w:t>
            </w:r>
          </w:p>
        </w:tc>
        <w:tc>
          <w:tcPr>
            <w:tcW w:type="dxa" w:w="4035"/>
          </w:tcPr>
          <w:p>
            <w:pPr>
              <w:spacing w:after="20"/>
            </w:pPr>
            <w:r>
              <w:rPr>
                <w:rFonts w:ascii="Segoe UI" w:hAnsi="Segoe UI" w:cs="Segoe UI" w:eastAsia="Segoe UI"/>
                <w:color w:val="101820"/>
                <w:sz w:val="18"/>
              </w:rPr>
              <w:t>24 hours or less (warm standby option: 8 hours)</w:t>
            </w:r>
          </w:p>
        </w:tc>
      </w:tr>
    </w:tbl>
    <w:p>
      <w:pPr>
        <w:spacing w:after="80"/>
      </w:pPr>
    </w:p>
    <w:p>
      <w:pPr>
        <w:spacing w:after="120" w:line="276" w:lineRule="auto"/>
      </w:pPr>
      <w:r>
        <w:rPr>
          <w:rFonts w:ascii="Segoe UI" w:hAnsi="Segoe UI" w:cs="Segoe UI" w:eastAsia="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pPr>
      <w:r>
        <w:rPr>
          <w:rFonts w:ascii="Segoe UI" w:hAnsi="Segoe UI" w:cs="Segoe UI" w:eastAsia="Segoe UI"/>
          <w:b/>
          <w:color w:val="0F4761"/>
          <w:sz w:val="26"/>
        </w:rPr>
        <w:t>6.3  Restore tests and drills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693"/>
        <w:gridCol w:w="3321"/>
      </w:tblGrid>
      <w:tr>
        <w:trPr>
          <w:tblHeader w:val="true"/>
        </w:trPr>
        <w:tc>
          <w:tcPr>
            <w:tcW w:type="dxa" w:w="5693"/>
            <w:shd w:val="clear" w:color="auto" w:fill="DCE9F7"/>
          </w:tcPr>
          <w:p>
            <w:pPr>
              <w:spacing w:after="20"/>
            </w:pPr>
            <w:r>
              <w:rPr>
                <w:rFonts w:ascii="Segoe UI" w:hAnsi="Segoe UI" w:cs="Segoe UI" w:eastAsia="Segoe UI"/>
                <w:b/>
                <w:color w:val="0F4761"/>
                <w:sz w:val="18"/>
              </w:rPr>
              <w:t>Test</w:t>
            </w:r>
          </w:p>
        </w:tc>
        <w:tc>
          <w:tcPr>
            <w:tcW w:type="dxa" w:w="3321"/>
            <w:shd w:val="clear" w:color="auto" w:fill="DCE9F7"/>
          </w:tcPr>
          <w:p>
            <w:pPr>
              <w:spacing w:after="20"/>
            </w:pPr>
            <w:r>
              <w:rPr>
                <w:rFonts w:ascii="Segoe UI" w:hAnsi="Segoe UI" w:cs="Segoe UI" w:eastAsia="Segoe UI"/>
                <w:b/>
                <w:color w:val="0F4761"/>
                <w:sz w:val="18"/>
              </w:rPr>
              <w:t>Frequency</w:t>
            </w:r>
          </w:p>
        </w:tc>
      </w:tr>
      <w:tr>
        <w:tc>
          <w:tcPr>
            <w:tcW w:type="dxa" w:w="5693"/>
          </w:tcPr>
          <w:p>
            <w:pPr>
              <w:spacing w:after="20"/>
            </w:pPr>
            <w:r>
              <w:rPr>
                <w:rFonts w:ascii="Segoe UI" w:hAnsi="Segoe UI" w:cs="Segoe UI" w:eastAsia="Segoe UI"/>
                <w:color w:val="101820"/>
                <w:sz w:val="18"/>
              </w:rPr>
              <w:t>Check that backup jobs succeeded and the latest restorable time is within 15 minutes</w:t>
            </w:r>
          </w:p>
        </w:tc>
        <w:tc>
          <w:tcPr>
            <w:tcW w:type="dxa" w:w="3321"/>
          </w:tcPr>
          <w:p>
            <w:pPr>
              <w:spacing w:after="20"/>
            </w:pPr>
            <w:r>
              <w:rPr>
                <w:rFonts w:ascii="Segoe UI" w:hAnsi="Segoe UI" w:cs="Segoe UI" w:eastAsia="Segoe UI"/>
                <w:color w:val="101820"/>
                <w:sz w:val="18"/>
              </w:rPr>
              <w:t>Daily</w:t>
            </w:r>
          </w:p>
        </w:tc>
      </w:tr>
      <w:tr>
        <w:tc>
          <w:tcPr>
            <w:tcW w:type="dxa" w:w="5693"/>
          </w:tcPr>
          <w:p>
            <w:pPr>
              <w:spacing w:after="20"/>
            </w:pPr>
            <w:r>
              <w:rPr>
                <w:rFonts w:ascii="Segoe UI" w:hAnsi="Segoe UI" w:cs="Segoe UI" w:eastAsia="Segoe UI"/>
                <w:color w:val="101820"/>
                <w:sz w:val="18"/>
              </w:rPr>
              <w:t>Point-in-time restore to a new instance, application started against it, smoke test</w:t>
            </w:r>
          </w:p>
        </w:tc>
        <w:tc>
          <w:tcPr>
            <w:tcW w:type="dxa" w:w="3321"/>
          </w:tcPr>
          <w:p>
            <w:pPr>
              <w:spacing w:after="20"/>
            </w:pPr>
            <w:r>
              <w:rPr>
                <w:rFonts w:ascii="Segoe UI" w:hAnsi="Segoe UI" w:cs="Segoe UI" w:eastAsia="Segoe UI"/>
                <w:color w:val="101820"/>
                <w:sz w:val="18"/>
              </w:rPr>
              <w:t>Quarterly and before go-live</w:t>
            </w:r>
          </w:p>
        </w:tc>
      </w:tr>
      <w:tr>
        <w:tc>
          <w:tcPr>
            <w:tcW w:type="dxa" w:w="5693"/>
          </w:tcPr>
          <w:p>
            <w:pPr>
              <w:spacing w:after="20"/>
            </w:pPr>
            <w:r>
              <w:rPr>
                <w:rFonts w:ascii="Segoe UI" w:hAnsi="Segoe UI" w:cs="Segoe UI" w:eastAsia="Segoe UI"/>
                <w:color w:val="101820"/>
                <w:sz w:val="18"/>
              </w:rPr>
              <w:t>Logical dump restore into a clean PostgreSQL 16 with row counts compared</w:t>
            </w:r>
          </w:p>
        </w:tc>
        <w:tc>
          <w:tcPr>
            <w:tcW w:type="dxa" w:w="3321"/>
          </w:tcPr>
          <w:p>
            <w:pPr>
              <w:spacing w:after="20"/>
            </w:pPr>
            <w:r>
              <w:rPr>
                <w:rFonts w:ascii="Segoe UI" w:hAnsi="Segoe UI" w:cs="Segoe UI" w:eastAsia="Segoe UI"/>
                <w:color w:val="101820"/>
                <w:sz w:val="18"/>
              </w:rPr>
              <w:t>Twice a year</w:t>
            </w:r>
          </w:p>
        </w:tc>
      </w:tr>
      <w:tr>
        <w:tc>
          <w:tcPr>
            <w:tcW w:type="dxa" w:w="5693"/>
          </w:tcPr>
          <w:p>
            <w:pPr>
              <w:spacing w:after="20"/>
            </w:pPr>
            <w:r>
              <w:rPr>
                <w:rFonts w:ascii="Segoe UI" w:hAnsi="Segoe UI" w:cs="Segoe UI" w:eastAsia="Segoe UI"/>
                <w:color w:val="101820"/>
                <w:sz w:val="18"/>
              </w:rPr>
              <w:t>Secret escrow check under dual control</w:t>
            </w:r>
          </w:p>
        </w:tc>
        <w:tc>
          <w:tcPr>
            <w:tcW w:type="dxa" w:w="3321"/>
          </w:tcPr>
          <w:p>
            <w:pPr>
              <w:spacing w:after="20"/>
            </w:pPr>
            <w:r>
              <w:rPr>
                <w:rFonts w:ascii="Segoe UI" w:hAnsi="Segoe UI" w:cs="Segoe UI" w:eastAsia="Segoe UI"/>
                <w:color w:val="101820"/>
                <w:sz w:val="18"/>
              </w:rPr>
              <w:t>Yearly</w:t>
            </w:r>
          </w:p>
        </w:tc>
      </w:tr>
      <w:tr>
        <w:tc>
          <w:tcPr>
            <w:tcW w:type="dxa" w:w="5693"/>
          </w:tcPr>
          <w:p>
            <w:pPr>
              <w:spacing w:after="20"/>
            </w:pPr>
            <w:r>
              <w:rPr>
                <w:rFonts w:ascii="Segoe UI" w:hAnsi="Segoe UI" w:cs="Segoe UI" w:eastAsia="Segoe UI"/>
                <w:color w:val="101820"/>
                <w:sz w:val="18"/>
              </w:rPr>
              <w:t>Tabletop DR exercise with the Client</w:t>
            </w:r>
          </w:p>
        </w:tc>
        <w:tc>
          <w:tcPr>
            <w:tcW w:type="dxa" w:w="3321"/>
          </w:tcPr>
          <w:p>
            <w:pPr>
              <w:spacing w:after="20"/>
            </w:pPr>
            <w:r>
              <w:rPr>
                <w:rFonts w:ascii="Segoe UI" w:hAnsi="Segoe UI" w:cs="Segoe UI" w:eastAsia="Segoe UI"/>
                <w:color w:val="101820"/>
                <w:sz w:val="18"/>
              </w:rPr>
              <w:t>Yearly</w:t>
            </w:r>
          </w:p>
        </w:tc>
      </w:tr>
      <w:tr>
        <w:tc>
          <w:tcPr>
            <w:tcW w:type="dxa" w:w="5693"/>
          </w:tcPr>
          <w:p>
            <w:pPr>
              <w:spacing w:after="20"/>
            </w:pPr>
            <w:r>
              <w:rPr>
                <w:rFonts w:ascii="Segoe UI" w:hAnsi="Segoe UI" w:cs="Segoe UI" w:eastAsia="Segoe UI"/>
                <w:color w:val="101820"/>
                <w:sz w:val="18"/>
              </w:rPr>
              <w:t>Full recovery in the recovery region or site</w:t>
            </w:r>
          </w:p>
        </w:tc>
        <w:tc>
          <w:tcPr>
            <w:tcW w:type="dxa" w:w="3321"/>
          </w:tcPr>
          <w:p>
            <w:pPr>
              <w:spacing w:after="20"/>
            </w:pPr>
            <w:r>
              <w:rPr>
                <w:rFonts w:ascii="Segoe UI" w:hAnsi="Segoe UI" w:cs="Segoe UI" w:eastAsia="Segoe UI"/>
                <w:color w:val="101820"/>
                <w:sz w:val="18"/>
              </w:rPr>
              <w:t>Every two years</w:t>
            </w:r>
          </w:p>
        </w:tc>
      </w:tr>
    </w:tbl>
    <w:p>
      <w:pPr>
        <w:spacing w:after="80"/>
      </w:pPr>
    </w:p>
    <w:p>
      <w:pPr>
        <w:spacing w:after="120" w:line="276" w:lineRule="auto"/>
      </w:pPr>
      <w:r>
        <w:rPr>
          <w:rFonts w:ascii="Segoe UI" w:hAnsi="Segoe UI" w:cs="Segoe UI" w:eastAsia="Segoe UI"/>
          <w:color w:val="101820"/>
          <w:sz w:val="21"/>
        </w:rPr>
        <w:t>Results are recorded and reported in the monthly service report.</w:t>
      </w:r>
    </w:p>
    <w:p>
      <w:pPr>
        <w:pStyle w:val="Heading1"/>
        <w:pageBreakBefore/>
      </w:pPr>
      <w:r>
        <w:rPr>
          <w:rFonts w:ascii="Segoe UI" w:hAnsi="Segoe UI" w:cs="Segoe UI" w:eastAsia="Segoe UI"/>
          <w:b/>
          <w:color w:val="0F4761"/>
          <w:sz w:val="32"/>
        </w:rPr>
        <w:t>7.  Availability</w:t>
      </w:r>
    </w:p>
    <w:p>
      <w:pPr>
        <w:spacing w:after="60"/>
        <w:numPr>
          <w:ilvl w:val="0"/>
          <w:numId w:val="5"/>
        </w:numPr>
      </w:pPr>
      <w:r>
        <w:rPr>
          <w:rFonts w:ascii="Segoe UI" w:hAnsi="Segoe UI" w:cs="Segoe UI" w:eastAsia="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spacing w:after="60"/>
        <w:numPr>
          <w:ilvl w:val="0"/>
          <w:numId w:val="5"/>
        </w:numPr>
      </w:pPr>
      <w:r>
        <w:rPr>
          <w:rFonts w:ascii="Segoe UI" w:hAnsi="Segoe UI" w:cs="Segoe UI" w:eastAsia="Segoe UI"/>
          <w:color w:val="101820"/>
          <w:sz w:val="21"/>
        </w:rPr>
        <w:t>Availability is measured by an external synthetic health check every 5 minutes. Production is unavailable when two consecutive checks fail.</w:t>
      </w:r>
    </w:p>
    <w:p>
      <w:pPr>
        <w:spacing w:after="60"/>
        <w:numPr>
          <w:ilvl w:val="0"/>
          <w:numId w:val="5"/>
        </w:numPr>
      </w:pPr>
      <w:r>
        <w:rPr>
          <w:rFonts w:ascii="Segoe UI" w:hAnsi="Segoe UI" w:cs="Segoe UI" w:eastAsia="Segoe UI"/>
          <w:color w:val="101820"/>
          <w:sz w:val="21"/>
        </w:rPr>
        <w:t>Planned maintenance takes place in the window Saturday 20:00 to Sunday 06:00 PHT, or at another time agreed with the Client, with at least 5 Business Days' notice.</w:t>
      </w:r>
    </w:p>
    <w:p>
      <w:pPr>
        <w:spacing w:after="60"/>
        <w:numPr>
          <w:ilvl w:val="0"/>
          <w:numId w:val="5"/>
        </w:numPr>
      </w:pPr>
      <w:r>
        <w:rPr>
          <w:rFonts w:ascii="Segoe UI" w:hAnsi="Segoe UI" w:cs="Segoe UI" w:eastAsia="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pPr>
      <w:r>
        <w:rPr>
          <w:rFonts w:ascii="Segoe UI" w:hAnsi="Segoe UI" w:cs="Segoe UI" w:eastAsia="Segoe UI"/>
          <w:b/>
          <w:color w:val="0F4761"/>
          <w:sz w:val="26"/>
        </w:rPr>
        <w:t>7.1  Availability credits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2"/>
        <w:gridCol w:w="5613"/>
      </w:tblGrid>
      <w:tr>
        <w:trPr>
          <w:tblHeader w:val="true"/>
        </w:trPr>
        <w:tc>
          <w:tcPr>
            <w:tcW w:type="dxa" w:w="3402"/>
            <w:shd w:val="clear" w:color="auto" w:fill="DCE9F7"/>
          </w:tcPr>
          <w:p>
            <w:pPr>
              <w:spacing w:after="20"/>
            </w:pPr>
            <w:r>
              <w:rPr>
                <w:rFonts w:ascii="Segoe UI" w:hAnsi="Segoe UI" w:cs="Segoe UI" w:eastAsia="Segoe UI"/>
                <w:b/>
                <w:color w:val="0F4761"/>
                <w:sz w:val="18"/>
              </w:rPr>
              <w:t>Monthly availability</w:t>
            </w:r>
          </w:p>
        </w:tc>
        <w:tc>
          <w:tcPr>
            <w:tcW w:type="dxa" w:w="5613"/>
            <w:shd w:val="clear" w:color="auto" w:fill="DCE9F7"/>
          </w:tcPr>
          <w:p>
            <w:pPr>
              <w:spacing w:after="20"/>
            </w:pPr>
            <w:r>
              <w:rPr>
                <w:rFonts w:ascii="Segoe UI" w:hAnsi="Segoe UI" w:cs="Segoe UI" w:eastAsia="Segoe UI"/>
                <w:b/>
                <w:color w:val="0F4761"/>
                <w:sz w:val="18"/>
              </w:rPr>
              <w:t>Credit on the monthly hosting fee</w:t>
            </w:r>
          </w:p>
        </w:tc>
      </w:tr>
      <w:tr>
        <w:tc>
          <w:tcPr>
            <w:tcW w:type="dxa" w:w="3402"/>
          </w:tcPr>
          <w:p>
            <w:pPr>
              <w:spacing w:after="20"/>
            </w:pPr>
            <w:r>
              <w:rPr>
                <w:rFonts w:ascii="Segoe UI" w:hAnsi="Segoe UI" w:cs="Segoe UI" w:eastAsia="Segoe UI"/>
                <w:color w:val="101820"/>
                <w:sz w:val="18"/>
              </w:rPr>
              <w:t>99.0% to below 99.5%</w:t>
            </w:r>
          </w:p>
        </w:tc>
        <w:tc>
          <w:tcPr>
            <w:tcW w:type="dxa" w:w="5613"/>
          </w:tcPr>
          <w:p>
            <w:pPr>
              <w:spacing w:after="20"/>
            </w:pPr>
            <w:r>
              <w:rPr>
                <w:rFonts w:ascii="Segoe UI" w:hAnsi="Segoe UI" w:cs="Segoe UI" w:eastAsia="Segoe UI"/>
                <w:color w:val="101820"/>
                <w:sz w:val="18"/>
              </w:rPr>
              <w:t>[5%]</w:t>
            </w:r>
          </w:p>
        </w:tc>
      </w:tr>
      <w:tr>
        <w:tc>
          <w:tcPr>
            <w:tcW w:type="dxa" w:w="3402"/>
          </w:tcPr>
          <w:p>
            <w:pPr>
              <w:spacing w:after="20"/>
            </w:pPr>
            <w:r>
              <w:rPr>
                <w:rFonts w:ascii="Segoe UI" w:hAnsi="Segoe UI" w:cs="Segoe UI" w:eastAsia="Segoe UI"/>
                <w:color w:val="101820"/>
                <w:sz w:val="18"/>
              </w:rPr>
              <w:t>98.0% to below 99.0%</w:t>
            </w:r>
          </w:p>
        </w:tc>
        <w:tc>
          <w:tcPr>
            <w:tcW w:type="dxa" w:w="5613"/>
          </w:tcPr>
          <w:p>
            <w:pPr>
              <w:spacing w:after="20"/>
            </w:pPr>
            <w:r>
              <w:rPr>
                <w:rFonts w:ascii="Segoe UI" w:hAnsi="Segoe UI" w:cs="Segoe UI" w:eastAsia="Segoe UI"/>
                <w:color w:val="101820"/>
                <w:sz w:val="18"/>
              </w:rPr>
              <w:t>[7.5%]</w:t>
            </w:r>
          </w:p>
        </w:tc>
      </w:tr>
      <w:tr>
        <w:tc>
          <w:tcPr>
            <w:tcW w:type="dxa" w:w="3402"/>
          </w:tcPr>
          <w:p>
            <w:pPr>
              <w:spacing w:after="20"/>
            </w:pPr>
            <w:r>
              <w:rPr>
                <w:rFonts w:ascii="Segoe UI" w:hAnsi="Segoe UI" w:cs="Segoe UI" w:eastAsia="Segoe UI"/>
                <w:color w:val="101820"/>
                <w:sz w:val="18"/>
              </w:rPr>
              <w:t>Below 98.0%</w:t>
            </w:r>
          </w:p>
        </w:tc>
        <w:tc>
          <w:tcPr>
            <w:tcW w:type="dxa" w:w="5613"/>
          </w:tcPr>
          <w:p>
            <w:pPr>
              <w:spacing w:after="20"/>
            </w:pPr>
            <w:r>
              <w:rPr>
                <w:rFonts w:ascii="Segoe UI" w:hAnsi="Segoe UI" w:cs="Segoe UI" w:eastAsia="Segoe UI"/>
                <w:color w:val="101820"/>
                <w:sz w:val="18"/>
              </w:rPr>
              <w:t>[10%]</w:t>
            </w:r>
          </w:p>
        </w:tc>
      </w:tr>
    </w:tbl>
    <w:p>
      <w:pPr>
        <w:spacing w:after="80"/>
      </w:pPr>
    </w:p>
    <w:p>
      <w:pPr>
        <w:spacing w:after="120" w:line="276" w:lineRule="auto"/>
      </w:pPr>
      <w:r>
        <w:rPr>
          <w:rFonts w:ascii="Segoe UI" w:hAnsi="Segoe UI" w:cs="Segoe UI" w:eastAsia="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p>
    <w:p>
      <w:pPr>
        <w:pStyle w:val="Heading1"/>
        <w:pageBreakBefore/>
      </w:pPr>
      <w:r>
        <w:rPr>
          <w:rFonts w:ascii="Segoe UI" w:hAnsi="Segoe UI" w:cs="Segoe UI" w:eastAsia="Segoe UI"/>
          <w:b/>
          <w:color w:val="0F4761"/>
          <w:sz w:val="32"/>
        </w:rPr>
        <w:t>8.  Security</w:t>
      </w:r>
    </w:p>
    <w:p>
      <w:pPr>
        <w:spacing w:after="120" w:line="276" w:lineRule="auto"/>
      </w:pPr>
      <w:r>
        <w:rPr>
          <w:rFonts w:ascii="Segoe UI" w:hAnsi="Segoe UI" w:cs="Segoe UI" w:eastAsia="Segoe UI"/>
          <w:color w:val="101820"/>
          <w:sz w:val="21"/>
        </w:rPr>
        <w:t>iorta TechNXT applies at least the following controls:</w:t>
      </w:r>
    </w:p>
    <w:p>
      <w:pPr>
        <w:spacing w:after="60"/>
        <w:numPr>
          <w:ilvl w:val="0"/>
          <w:numId w:val="6"/>
        </w:numPr>
      </w:pPr>
      <w:r>
        <w:rPr>
          <w:rFonts w:ascii="Segoe UI" w:hAnsi="Segoe UI" w:cs="Segoe UI" w:eastAsia="Segoe UI"/>
          <w:color w:val="101820"/>
          <w:sz w:val="21"/>
        </w:rPr>
        <w:t>network zones: public edge (CDN, WAF, load balancer), private application zone, private data zone and an administration zone with multi-factor sign-in and logged access;</w:t>
      </w:r>
    </w:p>
    <w:p>
      <w:pPr>
        <w:spacing w:after="60"/>
        <w:numPr>
          <w:ilvl w:val="0"/>
          <w:numId w:val="6"/>
        </w:numPr>
      </w:pPr>
      <w:r>
        <w:rPr>
          <w:rFonts w:ascii="Segoe UI" w:hAnsi="Segoe UI" w:cs="Segoe UI" w:eastAsia="Segoe UI"/>
          <w:color w:val="101820"/>
          <w:sz w:val="21"/>
        </w:rPr>
        <w:t>WAF with managed rule sets and rate limits;</w:t>
      </w:r>
    </w:p>
    <w:p>
      <w:pPr>
        <w:spacing w:after="60"/>
        <w:numPr>
          <w:ilvl w:val="0"/>
          <w:numId w:val="6"/>
        </w:numPr>
      </w:pPr>
      <w:r>
        <w:rPr>
          <w:rFonts w:ascii="Segoe UI" w:hAnsi="Segoe UI" w:cs="Segoe UI" w:eastAsia="Segoe UI"/>
          <w:color w:val="101820"/>
          <w:sz w:val="21"/>
        </w:rPr>
        <w:t>encryption in transit (HTTPS; TLS to the database) and at rest (database, file store, backups) with keys held in the provider's key service under the hosting account;</w:t>
      </w:r>
    </w:p>
    <w:p>
      <w:pPr>
        <w:spacing w:after="60"/>
        <w:numPr>
          <w:ilvl w:val="0"/>
          <w:numId w:val="6"/>
        </w:numPr>
      </w:pPr>
      <w:r>
        <w:rPr>
          <w:rFonts w:ascii="Segoe UI" w:hAnsi="Segoe UI" w:cs="Segoe UI" w:eastAsia="Segoe UI"/>
          <w:color w:val="101820"/>
          <w:sz w:val="21"/>
        </w:rPr>
        <w:t>secrets in a secret store; separate secrets per environment; sealed escrow copy of the data encryption key;</w:t>
      </w:r>
    </w:p>
    <w:p>
      <w:pPr>
        <w:spacing w:after="60"/>
        <w:numPr>
          <w:ilvl w:val="0"/>
          <w:numId w:val="6"/>
        </w:numPr>
      </w:pPr>
      <w:r>
        <w:rPr>
          <w:rFonts w:ascii="Segoe UI" w:hAnsi="Segoe UI" w:cs="Segoe UI" w:eastAsia="Segoe UI"/>
          <w:color w:val="101820"/>
          <w:sz w:val="21"/>
        </w:rPr>
        <w:t>least-privilege administrator access, named accounts, multi-factor authentication and quarterly access reviews;</w:t>
      </w:r>
    </w:p>
    <w:p>
      <w:pPr>
        <w:spacing w:after="60"/>
        <w:numPr>
          <w:ilvl w:val="0"/>
          <w:numId w:val="6"/>
        </w:numPr>
      </w:pPr>
      <w:r>
        <w:rPr>
          <w:rFonts w:ascii="Segoe UI" w:hAnsi="Segoe UI" w:cs="Segoe UI" w:eastAsia="Segoe UI"/>
          <w:color w:val="101820"/>
          <w:sz w:val="21"/>
        </w:rPr>
        <w:t>vulnerability scanning of images and dependencies, monthly patching and critical patches within [7] days;</w:t>
      </w:r>
    </w:p>
    <w:p>
      <w:pPr>
        <w:spacing w:after="60"/>
        <w:numPr>
          <w:ilvl w:val="0"/>
          <w:numId w:val="6"/>
        </w:numPr>
      </w:pPr>
      <w:r>
        <w:rPr>
          <w:rFonts w:ascii="Segoe UI" w:hAnsi="Segoe UI" w:cs="Segoe UI" w:eastAsia="Segoe UI"/>
          <w:color w:val="101820"/>
          <w:sz w:val="21"/>
        </w:rPr>
        <w:t>a yearly penetration test of production by an independent tester, with a summary shared with the Client and findings fixed on a risk basis;</w:t>
      </w:r>
    </w:p>
    <w:p>
      <w:pPr>
        <w:spacing w:after="60"/>
        <w:numPr>
          <w:ilvl w:val="0"/>
          <w:numId w:val="6"/>
        </w:numPr>
      </w:pPr>
      <w:r>
        <w:rPr>
          <w:rFonts w:ascii="Segoe UI" w:hAnsi="Segoe UI" w:cs="Segoe UI" w:eastAsia="Segoe UI"/>
          <w:color w:val="101820"/>
          <w:sz w:val="21"/>
        </w:rPr>
        <w:t>logs of administrator access and security events kept for at least [2] years;</w:t>
      </w:r>
    </w:p>
    <w:p>
      <w:pPr>
        <w:spacing w:after="60"/>
        <w:numPr>
          <w:ilvl w:val="0"/>
          <w:numId w:val="6"/>
        </w:numPr>
      </w:pPr>
      <w:r>
        <w:rPr>
          <w:rFonts w:ascii="Segoe UI" w:hAnsi="Segoe UI" w:cs="Segoe UI" w:eastAsia="Segoe UI"/>
          <w:color w:val="101820"/>
          <w:sz w:val="21"/>
        </w:rPr>
        <w:t>incident response under the Support Agreement and breach notification under the Data Processing Agreement.</w:t>
      </w:r>
    </w:p>
    <w:p>
      <w:pPr>
        <w:spacing w:after="120" w:line="276" w:lineRule="auto"/>
      </w:pPr>
      <w:r>
        <w:rPr>
          <w:rFonts w:ascii="Segoe UI" w:hAnsi="Segoe UI" w:cs="Segoe UI" w:eastAsia="Segoe UI"/>
          <w:color w:val="101820"/>
          <w:sz w:val="21"/>
        </w:rPr>
        <w:t>The Client may ask for the provider's certifications (for example ISO/IEC 27001 and SOC 2 reports for AWS and Azure, or the local partner's equivalent evidence) once a year.</w:t>
      </w:r>
    </w:p>
    <w:p>
      <w:pPr>
        <w:pStyle w:val="Heading1"/>
        <w:pageBreakBefore/>
      </w:pPr>
      <w:r>
        <w:rPr>
          <w:rFonts w:ascii="Segoe UI" w:hAnsi="Segoe UI" w:cs="Segoe UI" w:eastAsia="Segoe UI"/>
          <w:b/>
          <w:color w:val="0F4761"/>
          <w:sz w:val="32"/>
        </w:rPr>
        <w:t>9.  Data residency and cross-border transfer</w:t>
      </w:r>
    </w:p>
    <w:p>
      <w:pPr>
        <w:spacing w:after="60"/>
        <w:numPr>
          <w:ilvl w:val="0"/>
          <w:numId w:val="7"/>
        </w:numPr>
      </w:pPr>
      <w:r>
        <w:rPr>
          <w:rFonts w:ascii="Segoe UI" w:hAnsi="Segoe UI" w:cs="Segoe UI" w:eastAsia="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spacing w:after="60"/>
        <w:numPr>
          <w:ilvl w:val="0"/>
          <w:numId w:val="7"/>
        </w:numPr>
      </w:pPr>
      <w:r>
        <w:rPr>
          <w:rFonts w:ascii="Segoe UI" w:hAnsi="Segoe UI" w:cs="Segoe UI" w:eastAsia="Segoe UI"/>
          <w:color w:val="101820"/>
          <w:sz w:val="21"/>
        </w:rPr>
        <w:t>The Client decides the hosting option, records the transfer in its privacy notice, records of processing and privacy impact assessment, and confirms the decision in the Order Form.</w:t>
      </w:r>
    </w:p>
    <w:p>
      <w:pPr>
        <w:spacing w:after="60"/>
        <w:numPr>
          <w:ilvl w:val="0"/>
          <w:numId w:val="7"/>
        </w:numPr>
      </w:pPr>
      <w:r>
        <w:rPr>
          <w:rFonts w:ascii="Segoe UI" w:hAnsi="Segoe UI" w:cs="Segoe UI" w:eastAsia="Segoe UI"/>
          <w:color w:val="101820"/>
          <w:sz w:val="21"/>
        </w:rPr>
        <w:t>iorta TechNXT binds the provider by the provider's data processing terms, keeps the data in the region stated in the Order Form, and does not move it to another country without the Client's prior written consent.</w:t>
      </w:r>
    </w:p>
    <w:p>
      <w:pPr>
        <w:spacing w:after="60"/>
        <w:numPr>
          <w:ilvl w:val="0"/>
          <w:numId w:val="7"/>
        </w:numPr>
      </w:pPr>
      <w:r>
        <w:rPr>
          <w:rFonts w:ascii="Segoe UI" w:hAnsi="Segoe UI" w:cs="Segoe UI" w:eastAsia="Segoe UI"/>
          <w:color w:val="101820"/>
          <w:sz w:val="21"/>
        </w:rPr>
        <w:t>Under option C, the Client Data is stored and processed in the Philippines, including backups and the off-site copy.</w:t>
      </w:r>
    </w:p>
    <w:p>
      <w:pPr>
        <w:spacing w:after="60"/>
        <w:numPr>
          <w:ilvl w:val="0"/>
          <w:numId w:val="7"/>
        </w:numPr>
      </w:pPr>
      <w:r>
        <w:rPr>
          <w:rFonts w:ascii="Segoe UI" w:hAnsi="Segoe UI" w:cs="Segoe UI" w:eastAsia="Segoe UI"/>
          <w:color w:val="101820"/>
          <w:sz w:val="21"/>
        </w:rPr>
        <w:t>Support staff of iorta TechNXT may access the Client Data remotely from [the Philippines / list of countries] only to perform the Services, under the Data Processing Agreement.</w:t>
      </w:r>
    </w:p>
    <w:p>
      <w:pPr>
        <w:pStyle w:val="Heading1"/>
        <w:pageBreakBefore/>
      </w:pPr>
      <w:r>
        <w:rPr>
          <w:rFonts w:ascii="Segoe UI" w:hAnsi="Segoe UI" w:cs="Segoe UI" w:eastAsia="Segoe UI"/>
          <w:b/>
          <w:color w:val="0F4761"/>
          <w:sz w:val="32"/>
        </w:rPr>
        <w:t>10.  Fees and pass-through of cloud costs</w:t>
      </w:r>
    </w:p>
    <w:p>
      <w:pPr>
        <w:pStyle w:val="Heading2"/>
      </w:pPr>
      <w:r>
        <w:rPr>
          <w:rFonts w:ascii="Segoe UI" w:hAnsi="Segoe UI" w:cs="Segoe UI" w:eastAsia="Segoe UI"/>
          <w:b/>
          <w:color w:val="0F4761"/>
          <w:sz w:val="26"/>
        </w:rPr>
        <w:t>10.1  Monthly hosting fee</w:t>
      </w:r>
    </w:p>
    <w:p>
      <w:pPr>
        <w:spacing w:after="120" w:line="276" w:lineRule="auto"/>
      </w:pPr>
      <w:r>
        <w:rPr>
          <w:rFonts w:ascii="Segoe UI" w:hAnsi="Segoe UI" w:cs="Segoe UI" w:eastAsia="Segoe UI"/>
          <w:color w:val="101820"/>
          <w:sz w:val="21"/>
        </w:rPr>
        <w:t>The monthly hosting fee (production plus one UAT environment) is stated in the Order Form. List prices of the price book dated 03 October 2026, excluding VAT: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35"/>
        <w:gridCol w:w="2099"/>
        <w:gridCol w:w="2346"/>
        <w:gridCol w:w="3334"/>
      </w:tblGrid>
      <w:tr>
        <w:trPr>
          <w:tblHeader w:val="true"/>
        </w:trPr>
        <w:tc>
          <w:tcPr>
            <w:tcW w:type="dxa" w:w="1235"/>
            <w:shd w:val="clear" w:color="auto" w:fill="DCE9F7"/>
          </w:tcPr>
          <w:p>
            <w:pPr>
              <w:spacing w:after="20"/>
            </w:pPr>
            <w:r>
              <w:rPr>
                <w:rFonts w:ascii="Segoe UI" w:hAnsi="Segoe UI" w:cs="Segoe UI" w:eastAsia="Segoe UI"/>
                <w:b/>
                <w:color w:val="0F4761"/>
                <w:sz w:val="18"/>
              </w:rPr>
              <w:t>Size</w:t>
            </w:r>
          </w:p>
        </w:tc>
        <w:tc>
          <w:tcPr>
            <w:tcW w:type="dxa" w:w="2099"/>
            <w:shd w:val="clear" w:color="auto" w:fill="DCE9F7"/>
          </w:tcPr>
          <w:p>
            <w:pPr>
              <w:spacing w:after="20"/>
            </w:pPr>
            <w:r>
              <w:rPr>
                <w:rFonts w:ascii="Segoe UI" w:hAnsi="Segoe UI" w:cs="Segoe UI" w:eastAsia="Segoe UI"/>
                <w:b/>
                <w:color w:val="0F4761"/>
                <w:sz w:val="18"/>
              </w:rPr>
              <w:t>AWS (PHP a month)</w:t>
            </w:r>
          </w:p>
        </w:tc>
        <w:tc>
          <w:tcPr>
            <w:tcW w:type="dxa" w:w="2346"/>
            <w:shd w:val="clear" w:color="auto" w:fill="DCE9F7"/>
          </w:tcPr>
          <w:p>
            <w:pPr>
              <w:spacing w:after="20"/>
            </w:pPr>
            <w:r>
              <w:rPr>
                <w:rFonts w:ascii="Segoe UI" w:hAnsi="Segoe UI" w:cs="Segoe UI" w:eastAsia="Segoe UI"/>
                <w:b/>
                <w:color w:val="0F4761"/>
                <w:sz w:val="18"/>
              </w:rPr>
              <w:t>Azure (PHP a month)</w:t>
            </w:r>
          </w:p>
        </w:tc>
        <w:tc>
          <w:tcPr>
            <w:tcW w:type="dxa" w:w="3334"/>
            <w:shd w:val="clear" w:color="auto" w:fill="DCE9F7"/>
          </w:tcPr>
          <w:p>
            <w:pPr>
              <w:spacing w:after="20"/>
            </w:pPr>
            <w:r>
              <w:rPr>
                <w:rFonts w:ascii="Segoe UI" w:hAnsi="Segoe UI" w:cs="Segoe UI" w:eastAsia="Segoe UI"/>
                <w:b/>
                <w:color w:val="0F4761"/>
                <w:sz w:val="18"/>
              </w:rPr>
              <w:t>Local partner (PHP a month)</w:t>
            </w:r>
          </w:p>
        </w:tc>
      </w:tr>
      <w:tr>
        <w:tc>
          <w:tcPr>
            <w:tcW w:type="dxa" w:w="1235"/>
          </w:tcPr>
          <w:p>
            <w:pPr>
              <w:spacing w:after="20"/>
            </w:pPr>
            <w:r>
              <w:rPr>
                <w:rFonts w:ascii="Segoe UI" w:hAnsi="Segoe UI" w:cs="Segoe UI" w:eastAsia="Segoe UI"/>
                <w:color w:val="101820"/>
                <w:sz w:val="18"/>
              </w:rPr>
              <w:t>Small</w:t>
            </w:r>
          </w:p>
        </w:tc>
        <w:tc>
          <w:tcPr>
            <w:tcW w:type="dxa" w:w="2099"/>
          </w:tcPr>
          <w:p>
            <w:pPr>
              <w:spacing w:after="20"/>
            </w:pPr>
            <w:r>
              <w:rPr>
                <w:rFonts w:ascii="Segoe UI" w:hAnsi="Segoe UI" w:cs="Segoe UI" w:eastAsia="Segoe UI"/>
                <w:color w:val="101820"/>
                <w:sz w:val="18"/>
              </w:rPr>
              <w:t>30,000.00</w:t>
            </w:r>
          </w:p>
        </w:tc>
        <w:tc>
          <w:tcPr>
            <w:tcW w:type="dxa" w:w="2346"/>
          </w:tcPr>
          <w:p>
            <w:pPr>
              <w:spacing w:after="20"/>
            </w:pPr>
            <w:r>
              <w:rPr>
                <w:rFonts w:ascii="Segoe UI" w:hAnsi="Segoe UI" w:cs="Segoe UI" w:eastAsia="Segoe UI"/>
                <w:color w:val="101820"/>
                <w:sz w:val="18"/>
              </w:rPr>
              <w:t>31,000.00</w:t>
            </w:r>
          </w:p>
        </w:tc>
        <w:tc>
          <w:tcPr>
            <w:tcW w:type="dxa" w:w="3334"/>
          </w:tcPr>
          <w:p>
            <w:pPr>
              <w:spacing w:after="20"/>
            </w:pPr>
            <w:r>
              <w:rPr>
                <w:rFonts w:ascii="Segoe UI" w:hAnsi="Segoe UI" w:cs="Segoe UI" w:eastAsia="Segoe UI"/>
                <w:color w:val="101820"/>
                <w:sz w:val="18"/>
              </w:rPr>
              <w:t>28,000.00</w:t>
            </w:r>
          </w:p>
        </w:tc>
      </w:tr>
      <w:tr>
        <w:tc>
          <w:tcPr>
            <w:tcW w:type="dxa" w:w="1235"/>
          </w:tcPr>
          <w:p>
            <w:pPr>
              <w:spacing w:after="20"/>
            </w:pPr>
            <w:r>
              <w:rPr>
                <w:rFonts w:ascii="Segoe UI" w:hAnsi="Segoe UI" w:cs="Segoe UI" w:eastAsia="Segoe UI"/>
                <w:color w:val="101820"/>
                <w:sz w:val="18"/>
              </w:rPr>
              <w:t>Medium</w:t>
            </w:r>
          </w:p>
        </w:tc>
        <w:tc>
          <w:tcPr>
            <w:tcW w:type="dxa" w:w="2099"/>
          </w:tcPr>
          <w:p>
            <w:pPr>
              <w:spacing w:after="20"/>
            </w:pPr>
            <w:r>
              <w:rPr>
                <w:rFonts w:ascii="Segoe UI" w:hAnsi="Segoe UI" w:cs="Segoe UI" w:eastAsia="Segoe UI"/>
                <w:color w:val="101820"/>
                <w:sz w:val="18"/>
              </w:rPr>
              <w:t>62,000.00</w:t>
            </w:r>
          </w:p>
        </w:tc>
        <w:tc>
          <w:tcPr>
            <w:tcW w:type="dxa" w:w="2346"/>
          </w:tcPr>
          <w:p>
            <w:pPr>
              <w:spacing w:after="20"/>
            </w:pPr>
            <w:r>
              <w:rPr>
                <w:rFonts w:ascii="Segoe UI" w:hAnsi="Segoe UI" w:cs="Segoe UI" w:eastAsia="Segoe UI"/>
                <w:color w:val="101820"/>
                <w:sz w:val="18"/>
              </w:rPr>
              <w:t>65,000.00</w:t>
            </w:r>
          </w:p>
        </w:tc>
        <w:tc>
          <w:tcPr>
            <w:tcW w:type="dxa" w:w="3334"/>
          </w:tcPr>
          <w:p>
            <w:pPr>
              <w:spacing w:after="20"/>
            </w:pPr>
            <w:r>
              <w:rPr>
                <w:rFonts w:ascii="Segoe UI" w:hAnsi="Segoe UI" w:cs="Segoe UI" w:eastAsia="Segoe UI"/>
                <w:color w:val="101820"/>
                <w:sz w:val="18"/>
              </w:rPr>
              <w:t>59,000.00</w:t>
            </w:r>
          </w:p>
        </w:tc>
      </w:tr>
      <w:tr>
        <w:tc>
          <w:tcPr>
            <w:tcW w:type="dxa" w:w="1235"/>
          </w:tcPr>
          <w:p>
            <w:pPr>
              <w:spacing w:after="20"/>
            </w:pPr>
            <w:r>
              <w:rPr>
                <w:rFonts w:ascii="Segoe UI" w:hAnsi="Segoe UI" w:cs="Segoe UI" w:eastAsia="Segoe UI"/>
                <w:color w:val="101820"/>
                <w:sz w:val="18"/>
              </w:rPr>
              <w:t>Large</w:t>
            </w:r>
          </w:p>
        </w:tc>
        <w:tc>
          <w:tcPr>
            <w:tcW w:type="dxa" w:w="2099"/>
          </w:tcPr>
          <w:p>
            <w:pPr>
              <w:spacing w:after="20"/>
            </w:pPr>
            <w:r>
              <w:rPr>
                <w:rFonts w:ascii="Segoe UI" w:hAnsi="Segoe UI" w:cs="Segoe UI" w:eastAsia="Segoe UI"/>
                <w:color w:val="101820"/>
                <w:sz w:val="18"/>
              </w:rPr>
              <w:t>112,000.00</w:t>
            </w:r>
          </w:p>
        </w:tc>
        <w:tc>
          <w:tcPr>
            <w:tcW w:type="dxa" w:w="2346"/>
          </w:tcPr>
          <w:p>
            <w:pPr>
              <w:spacing w:after="20"/>
            </w:pPr>
            <w:r>
              <w:rPr>
                <w:rFonts w:ascii="Segoe UI" w:hAnsi="Segoe UI" w:cs="Segoe UI" w:eastAsia="Segoe UI"/>
                <w:color w:val="101820"/>
                <w:sz w:val="18"/>
              </w:rPr>
              <w:t>118,000.00</w:t>
            </w:r>
          </w:p>
        </w:tc>
        <w:tc>
          <w:tcPr>
            <w:tcW w:type="dxa" w:w="3334"/>
          </w:tcPr>
          <w:p>
            <w:pPr>
              <w:spacing w:after="20"/>
            </w:pPr>
            <w:r>
              <w:rPr>
                <w:rFonts w:ascii="Segoe UI" w:hAnsi="Segoe UI" w:cs="Segoe UI" w:eastAsia="Segoe UI"/>
                <w:color w:val="101820"/>
                <w:sz w:val="18"/>
              </w:rPr>
              <w:t>107,000.00</w:t>
            </w:r>
          </w:p>
        </w:tc>
      </w:tr>
      <w:tr>
        <w:tc>
          <w:tcPr>
            <w:tcW w:type="dxa" w:w="1235"/>
          </w:tcPr>
          <w:p>
            <w:pPr>
              <w:spacing w:after="20"/>
            </w:pPr>
            <w:r>
              <w:rPr>
                <w:rFonts w:ascii="Segoe UI" w:hAnsi="Segoe UI" w:cs="Segoe UI" w:eastAsia="Segoe UI"/>
                <w:color w:val="101820"/>
                <w:sz w:val="18"/>
              </w:rPr>
              <w:t>Enterprise</w:t>
            </w:r>
          </w:p>
        </w:tc>
        <w:tc>
          <w:tcPr>
            <w:tcW w:type="dxa" w:w="2099"/>
          </w:tcPr>
          <w:p>
            <w:pPr>
              <w:spacing w:after="20"/>
            </w:pPr>
            <w:r>
              <w:rPr>
                <w:rFonts w:ascii="Segoe UI" w:hAnsi="Segoe UI" w:cs="Segoe UI" w:eastAsia="Segoe UI"/>
                <w:color w:val="101820"/>
                <w:sz w:val="18"/>
              </w:rPr>
              <w:t>244,000.00</w:t>
            </w:r>
          </w:p>
        </w:tc>
        <w:tc>
          <w:tcPr>
            <w:tcW w:type="dxa" w:w="2346"/>
          </w:tcPr>
          <w:p>
            <w:pPr>
              <w:spacing w:after="20"/>
            </w:pPr>
            <w:r>
              <w:rPr>
                <w:rFonts w:ascii="Segoe UI" w:hAnsi="Segoe UI" w:cs="Segoe UI" w:eastAsia="Segoe UI"/>
                <w:color w:val="101820"/>
                <w:sz w:val="18"/>
              </w:rPr>
              <w:t>256,000.00</w:t>
            </w:r>
          </w:p>
        </w:tc>
        <w:tc>
          <w:tcPr>
            <w:tcW w:type="dxa" w:w="3334"/>
          </w:tcPr>
          <w:p>
            <w:pPr>
              <w:spacing w:after="20"/>
            </w:pPr>
            <w:r>
              <w:rPr>
                <w:rFonts w:ascii="Segoe UI" w:hAnsi="Segoe UI" w:cs="Segoe UI" w:eastAsia="Segoe UI"/>
                <w:color w:val="101820"/>
                <w:sz w:val="18"/>
              </w:rPr>
              <w:t>232,000.00</w:t>
            </w:r>
          </w:p>
        </w:tc>
      </w:tr>
    </w:tbl>
    <w:p>
      <w:pPr>
        <w:spacing w:after="80"/>
      </w:pPr>
    </w:p>
    <w:p>
      <w:pPr>
        <w:spacing w:after="120" w:line="276" w:lineRule="auto"/>
      </w:pPr>
      <w:r>
        <w:rPr>
          <w:rFonts w:ascii="Segoe UI" w:hAnsi="Segoe UI" w:cs="Segoe UI" w:eastAsia="Segoe UI"/>
          <w:color w:val="101820"/>
          <w:sz w:val="21"/>
        </w:rPr>
        <w:t>The fee includes the provider's charges for the sized resources and a margin for exchange rate movement, monitoring, patching and backup checks. Additional environments are PHP 11,000.00 a month each, with a one-time set-up fee of PHP 100,000.00. The hosting fee and the fee for additional environments do not increase at each anniversary; they change only under the Pass-through and adjustments clause.</w:t>
      </w:r>
    </w:p>
    <w:p>
      <w:pPr>
        <w:pStyle w:val="Heading2"/>
      </w:pPr>
      <w:r>
        <w:rPr>
          <w:rFonts w:ascii="Segoe UI" w:hAnsi="Segoe UI" w:cs="Segoe UI" w:eastAsia="Segoe UI"/>
          <w:b/>
          <w:color w:val="0F4761"/>
          <w:sz w:val="26"/>
        </w:rPr>
        <w:t>10.2  Billing</w:t>
      </w:r>
    </w:p>
    <w:p>
      <w:pPr>
        <w:spacing w:after="120" w:line="276" w:lineRule="auto"/>
      </w:pPr>
      <w:r>
        <w:rPr>
          <w:rFonts w:ascii="Segoe UI" w:hAnsi="Segoe UI" w:cs="Segoe UI" w:eastAsia="Segoe UI"/>
          <w:color w:val="101820"/>
          <w:sz w:val="21"/>
        </w:rPr>
        <w:t>The hosting fee is invoiced monthly in advance from the date the environment is handed over to the Client, and is payable within 30 days. VAT is added and withholding tax is handled under the MSA.</w:t>
      </w:r>
    </w:p>
    <w:p>
      <w:pPr>
        <w:pStyle w:val="Heading2"/>
      </w:pPr>
      <w:r>
        <w:rPr>
          <w:rFonts w:ascii="Segoe UI" w:hAnsi="Segoe UI" w:cs="Segoe UI" w:eastAsia="Segoe UI"/>
          <w:b/>
          <w:color w:val="0F4761"/>
          <w:sz w:val="26"/>
        </w:rPr>
        <w:t>10.3  Pass-through and adjustments</w:t>
      </w:r>
    </w:p>
    <w:p>
      <w:pPr>
        <w:spacing w:after="60"/>
        <w:numPr>
          <w:ilvl w:val="0"/>
          <w:numId w:val="8"/>
        </w:numPr>
      </w:pPr>
      <w:r>
        <w:rPr>
          <w:rFonts w:ascii="Segoe UI" w:hAnsi="Segoe UI" w:cs="Segoe UI" w:eastAsia="Segoe UI"/>
          <w:b/>
          <w:color w:val="101820"/>
          <w:sz w:val="21"/>
        </w:rPr>
        <w:t>Provider price or exchange rate change.</w:t>
      </w:r>
      <w:r>
        <w:rPr>
          <w:rFonts w:ascii="Segoe UI" w:hAnsi="Segoe UI" w:cs="Segoe UI" w:eastAsia="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spacing w:after="60"/>
        <w:numPr>
          <w:ilvl w:val="0"/>
          <w:numId w:val="8"/>
        </w:numPr>
      </w:pPr>
      <w:r>
        <w:rPr>
          <w:rFonts w:ascii="Segoe UI" w:hAnsi="Segoe UI" w:cs="Segoe UI" w:eastAsia="Segoe UI"/>
          <w:b/>
          <w:color w:val="101820"/>
          <w:sz w:val="21"/>
        </w:rPr>
        <w:t>Usage above the sizing.</w:t>
      </w:r>
      <w:r>
        <w:rPr>
          <w:rFonts w:ascii="Segoe UI" w:hAnsi="Segoe UI" w:cs="Segoe UI" w:eastAsia="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spacing w:after="60"/>
        <w:numPr>
          <w:ilvl w:val="0"/>
          <w:numId w:val="8"/>
        </w:numPr>
      </w:pPr>
      <w:r>
        <w:rPr>
          <w:rFonts w:ascii="Segoe UI" w:hAnsi="Segoe UI" w:cs="Segoe UI" w:eastAsia="Segoe UI"/>
          <w:b/>
          <w:color w:val="101820"/>
          <w:sz w:val="21"/>
        </w:rPr>
        <w:t>Third-party usage charges.</w:t>
      </w:r>
      <w:r>
        <w:rPr>
          <w:rFonts w:ascii="Segoe UI" w:hAnsi="Segoe UI" w:cs="Segoe UI" w:eastAsia="Segoe UI"/>
          <w:color w:val="101820"/>
          <w:sz w:val="21"/>
        </w:rPr>
        <w:t xml:space="preserve"> E-mail sending above normal volumes, SMS, payment gateway fees and domain names are not included and are passed through at cost or paid by the Client directly.</w:t>
      </w:r>
    </w:p>
    <w:p>
      <w:pPr>
        <w:spacing w:after="60"/>
        <w:numPr>
          <w:ilvl w:val="0"/>
          <w:numId w:val="8"/>
        </w:numPr>
      </w:pPr>
      <w:r>
        <w:rPr>
          <w:rFonts w:ascii="Segoe UI" w:hAnsi="Segoe UI" w:cs="Segoe UI" w:eastAsia="Segoe UI"/>
          <w:b/>
          <w:color w:val="101820"/>
          <w:sz w:val="21"/>
        </w:rPr>
        <w:t>Reserved capacity.</w:t>
      </w:r>
      <w:r>
        <w:rPr>
          <w:rFonts w:ascii="Segoe UI" w:hAnsi="Segoe UI" w:cs="Segoe UI" w:eastAsia="Segoe UI"/>
          <w:color w:val="101820"/>
          <w:sz w:val="21"/>
        </w:rPr>
        <w:t xml:space="preserve"> [Option: if the Client commits to a 1-year or 3-year term, iorta TechNXT may buy reserved capacity or a savings plan and pass [50%] of the saving to the Client. The commitment is then non-cancellable for its term.]</w:t>
      </w:r>
    </w:p>
    <w:p>
      <w:pPr>
        <w:pStyle w:val="Heading1"/>
        <w:pageBreakBefore/>
      </w:pPr>
      <w:r>
        <w:rPr>
          <w:rFonts w:ascii="Segoe UI" w:hAnsi="Segoe UI" w:cs="Segoe UI" w:eastAsia="Segoe UI"/>
          <w:b/>
          <w:color w:val="0F4761"/>
          <w:sz w:val="32"/>
        </w:rPr>
        <w:t>11.  Client responsibilities</w:t>
      </w:r>
    </w:p>
    <w:p>
      <w:pPr>
        <w:spacing w:after="60"/>
        <w:numPr>
          <w:ilvl w:val="0"/>
          <w:numId w:val="9"/>
        </w:numPr>
      </w:pPr>
      <w:r>
        <w:rPr>
          <w:rFonts w:ascii="Segoe UI" w:hAnsi="Segoe UI" w:cs="Segoe UI" w:eastAsia="Segoe UI"/>
          <w:color w:val="101820"/>
          <w:sz w:val="21"/>
        </w:rPr>
        <w:t>Choose the hosting option and approve the data location and transfer.</w:t>
      </w:r>
    </w:p>
    <w:p>
      <w:pPr>
        <w:spacing w:after="60"/>
        <w:numPr>
          <w:ilvl w:val="0"/>
          <w:numId w:val="9"/>
        </w:numPr>
      </w:pPr>
      <w:r>
        <w:rPr>
          <w:rFonts w:ascii="Segoe UI" w:hAnsi="Segoe UI" w:cs="Segoe UI" w:eastAsia="Segoe UI"/>
          <w:color w:val="101820"/>
          <w:sz w:val="21"/>
        </w:rPr>
        <w:t>Provide and keep its domain names and DNS records where its own domain is used.</w:t>
      </w:r>
    </w:p>
    <w:p>
      <w:pPr>
        <w:spacing w:after="60"/>
        <w:numPr>
          <w:ilvl w:val="0"/>
          <w:numId w:val="9"/>
        </w:numPr>
      </w:pPr>
      <w:r>
        <w:rPr>
          <w:rFonts w:ascii="Segoe UI" w:hAnsi="Segoe UI" w:cs="Segoe UI" w:eastAsia="Segoe UI"/>
          <w:color w:val="101820"/>
          <w:sz w:val="21"/>
        </w:rPr>
        <w:t>Provide and keep its SMTP mailbox and payment gateway merchant accounts and credentials.</w:t>
      </w:r>
    </w:p>
    <w:p>
      <w:pPr>
        <w:spacing w:after="60"/>
        <w:numPr>
          <w:ilvl w:val="0"/>
          <w:numId w:val="9"/>
        </w:numPr>
      </w:pPr>
      <w:r>
        <w:rPr>
          <w:rFonts w:ascii="Segoe UI" w:hAnsi="Segoe UI" w:cs="Segoe UI" w:eastAsia="Segoe UI"/>
          <w:color w:val="101820"/>
          <w:sz w:val="21"/>
        </w:rPr>
        <w:t>Approve planned maintenance windows and releases in time.</w:t>
      </w:r>
    </w:p>
    <w:p>
      <w:pPr>
        <w:spacing w:after="60"/>
        <w:numPr>
          <w:ilvl w:val="0"/>
          <w:numId w:val="9"/>
        </w:numPr>
      </w:pPr>
      <w:r>
        <w:rPr>
          <w:rFonts w:ascii="Segoe UI" w:hAnsi="Segoe UI" w:cs="Segoe UI" w:eastAsia="Segoe UI"/>
          <w:color w:val="101820"/>
          <w:sz w:val="21"/>
        </w:rPr>
        <w:t>Keep its own network, devices and browsers secure.</w:t>
      </w:r>
    </w:p>
    <w:p>
      <w:pPr>
        <w:spacing w:after="60"/>
        <w:numPr>
          <w:ilvl w:val="0"/>
          <w:numId w:val="9"/>
        </w:numPr>
      </w:pPr>
      <w:r>
        <w:rPr>
          <w:rFonts w:ascii="Segoe UI" w:hAnsi="Segoe UI" w:cs="Segoe UI" w:eastAsia="Segoe UI"/>
          <w:color w:val="101820"/>
          <w:sz w:val="21"/>
        </w:rPr>
        <w:t>Tell iorta TechNXT in advance of large data loads, new branches or volume growth.</w:t>
      </w:r>
    </w:p>
    <w:p>
      <w:pPr>
        <w:pStyle w:val="Heading1"/>
        <w:pageBreakBefore/>
      </w:pPr>
      <w:r>
        <w:rPr>
          <w:rFonts w:ascii="Segoe UI" w:hAnsi="Segoe UI" w:cs="Segoe UI" w:eastAsia="Segoe UI"/>
          <w:b/>
          <w:color w:val="0F4761"/>
          <w:sz w:val="32"/>
        </w:rPr>
        <w:t>12.  Exit and transition</w:t>
      </w:r>
    </w:p>
    <w:p>
      <w:pPr>
        <w:spacing w:after="120" w:line="276" w:lineRule="auto"/>
      </w:pPr>
      <w:r>
        <w:rPr>
          <w:rFonts w:ascii="Segoe UI" w:hAnsi="Segoe UI" w:cs="Segoe UI" w:eastAsia="Segoe UI"/>
          <w:color w:val="101820"/>
          <w:sz w:val="21"/>
        </w:rPr>
        <w:t>The Exit and Transition Plan sets out the steps, formats, timelines and forms of this clause.</w:t>
      </w:r>
    </w:p>
    <w:p>
      <w:pPr>
        <w:spacing w:after="60"/>
        <w:numPr>
          <w:ilvl w:val="0"/>
          <w:numId w:val="10"/>
        </w:numPr>
      </w:pPr>
      <w:r>
        <w:rPr>
          <w:rFonts w:ascii="Segoe UI" w:hAnsi="Segoe UI" w:cs="Segoe UI" w:eastAsia="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spacing w:after="60"/>
        <w:numPr>
          <w:ilvl w:val="0"/>
          <w:numId w:val="10"/>
        </w:numPr>
      </w:pPr>
      <w:r>
        <w:rPr>
          <w:rFonts w:ascii="Segoe UI" w:hAnsi="Segoe UI" w:cs="Segoe UI" w:eastAsia="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spacing w:after="60"/>
        <w:numPr>
          <w:ilvl w:val="0"/>
          <w:numId w:val="10"/>
        </w:numPr>
      </w:pPr>
      <w:r>
        <w:rPr>
          <w:rFonts w:ascii="Segoe UI" w:hAnsi="Segoe UI" w:cs="Segoe UI" w:eastAsia="Segoe UI"/>
          <w:color w:val="101820"/>
          <w:sz w:val="21"/>
        </w:rPr>
        <w:t>iorta TechNXT keeps the environment running, at the monthly hosting fee prorated, for up to [90] days after termination if the Client asks, to allow parallel running and cutover.</w:t>
      </w:r>
    </w:p>
    <w:p>
      <w:pPr>
        <w:spacing w:after="60"/>
        <w:numPr>
          <w:ilvl w:val="0"/>
          <w:numId w:val="10"/>
        </w:numPr>
      </w:pPr>
      <w:r>
        <w:rPr>
          <w:rFonts w:ascii="Segoe UI" w:hAnsi="Segoe UI" w:cs="Segoe UI" w:eastAsia="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spacing w:after="60"/>
        <w:numPr>
          <w:ilvl w:val="0"/>
          <w:numId w:val="10"/>
        </w:numPr>
      </w:pPr>
      <w:r>
        <w:rPr>
          <w:rFonts w:ascii="Segoe UI" w:hAnsi="Segoe UI" w:cs="Segoe UI" w:eastAsia="Segoe UI"/>
          <w:color w:val="101820"/>
          <w:sz w:val="21"/>
        </w:rPr>
        <w:t>The Client remains responsible for keeping its own records for the periods required by law (including the Insurance Code and the tax laws) after it receives the export.</w:t>
      </w:r>
    </w:p>
    <w:p>
      <w:pPr>
        <w:pStyle w:val="Heading1"/>
        <w:pageBreakBefore/>
      </w:pPr>
      <w:r>
        <w:rPr>
          <w:rFonts w:ascii="Segoe UI" w:hAnsi="Segoe UI" w:cs="Segoe UI" w:eastAsia="Segoe UI"/>
          <w:b/>
          <w:color w:val="0F4761"/>
          <w:sz w:val="32"/>
        </w:rPr>
        <w:t>13.  Term and termination</w:t>
      </w:r>
    </w:p>
    <w:p>
      <w:pPr>
        <w:spacing w:after="60"/>
        <w:numPr>
          <w:ilvl w:val="0"/>
          <w:numId w:val="11"/>
        </w:numPr>
      </w:pPr>
      <w:r>
        <w:rPr>
          <w:rFonts w:ascii="Segoe UI" w:hAnsi="Segoe UI" w:cs="Segoe UI" w:eastAsia="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spacing w:after="60"/>
        <w:numPr>
          <w:ilvl w:val="0"/>
          <w:numId w:val="11"/>
        </w:numPr>
      </w:pPr>
      <w:r>
        <w:rPr>
          <w:rFonts w:ascii="Segoe UI" w:hAnsi="Segoe UI" w:cs="Segoe UI" w:eastAsia="Segoe UI"/>
          <w:color w:val="101820"/>
          <w:sz w:val="21"/>
        </w:rPr>
        <w:t>Either Party may terminate for cause under the MSA.</w:t>
      </w:r>
    </w:p>
    <w:p>
      <w:pPr>
        <w:spacing w:after="60"/>
        <w:numPr>
          <w:ilvl w:val="0"/>
          <w:numId w:val="11"/>
        </w:numPr>
      </w:pPr>
      <w:r>
        <w:rPr>
          <w:rFonts w:ascii="Segoe UI" w:hAnsi="Segoe UI" w:cs="Segoe UI" w:eastAsia="Segoe UI"/>
          <w:color w:val="101820"/>
          <w:sz w:val="21"/>
        </w:rPr>
        <w:t>iorta TechNXT may suspend the hosting services for non-payment under the MSA.</w:t>
      </w:r>
    </w:p>
    <w:p>
      <w:pPr>
        <w:pStyle w:val="Heading1"/>
        <w:pageBreakBefore/>
      </w:pPr>
      <w:r>
        <w:rPr>
          <w:rFonts w:ascii="Segoe UI" w:hAnsi="Segoe UI" w:cs="Segoe UI" w:eastAsia="Segoe UI"/>
          <w:b/>
          <w:color w:val="0F4761"/>
          <w:sz w:val="32"/>
        </w:rPr>
        <w:t>14.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15.  Schedule 1: hosting details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11"/>
        <w:gridCol w:w="4703"/>
      </w:tblGrid>
      <w:tr>
        <w:trPr>
          <w:tblHeader w:val="true"/>
        </w:trPr>
        <w:tc>
          <w:tcPr>
            <w:tcW w:type="dxa" w:w="4311"/>
            <w:shd w:val="clear" w:color="auto" w:fill="DCE9F7"/>
          </w:tcPr>
          <w:p>
            <w:pPr>
              <w:spacing w:after="20"/>
            </w:pPr>
            <w:r>
              <w:rPr>
                <w:rFonts w:ascii="Segoe UI" w:hAnsi="Segoe UI" w:cs="Segoe UI" w:eastAsia="Segoe UI"/>
                <w:b/>
                <w:color w:val="0F4761"/>
                <w:sz w:val="18"/>
              </w:rPr>
              <w:t>Item</w:t>
            </w:r>
          </w:p>
        </w:tc>
        <w:tc>
          <w:tcPr>
            <w:tcW w:type="dxa" w:w="4703"/>
            <w:shd w:val="clear" w:color="auto" w:fill="DCE9F7"/>
          </w:tcPr>
          <w:p>
            <w:pPr>
              <w:spacing w:after="20"/>
            </w:pPr>
            <w:r>
              <w:rPr>
                <w:rFonts w:ascii="Segoe UI" w:hAnsi="Segoe UI" w:cs="Segoe UI" w:eastAsia="Segoe UI"/>
                <w:b/>
                <w:color w:val="0F4761"/>
                <w:sz w:val="18"/>
              </w:rPr>
              <w:t>Value</w:t>
            </w:r>
          </w:p>
        </w:tc>
      </w:tr>
      <w:tr>
        <w:tc>
          <w:tcPr>
            <w:tcW w:type="dxa" w:w="4311"/>
          </w:tcPr>
          <w:p>
            <w:pPr>
              <w:spacing w:after="20"/>
            </w:pPr>
            <w:r>
              <w:rPr>
                <w:rFonts w:ascii="Segoe UI" w:hAnsi="Segoe UI" w:cs="Segoe UI" w:eastAsia="Segoe UI"/>
                <w:color w:val="101820"/>
                <w:sz w:val="18"/>
              </w:rPr>
              <w:t>Option</w:t>
            </w:r>
          </w:p>
        </w:tc>
        <w:tc>
          <w:tcPr>
            <w:tcW w:type="dxa" w:w="4703"/>
          </w:tcPr>
          <w:p>
            <w:pPr>
              <w:spacing w:after="20"/>
            </w:pPr>
            <w:r>
              <w:rPr>
                <w:rFonts w:ascii="Segoe UI" w:hAnsi="Segoe UI" w:cs="Segoe UI" w:eastAsia="Segoe UI"/>
                <w:color w:val="101820"/>
                <w:sz w:val="18"/>
              </w:rPr>
              <w:t>[A: AWS Singapore / B: Azure Southeast Asia / C: local partner, name and city]</w:t>
            </w:r>
          </w:p>
        </w:tc>
      </w:tr>
      <w:tr>
        <w:tc>
          <w:tcPr>
            <w:tcW w:type="dxa" w:w="4311"/>
          </w:tcPr>
          <w:p>
            <w:pPr>
              <w:spacing w:after="20"/>
            </w:pPr>
            <w:r>
              <w:rPr>
                <w:rFonts w:ascii="Segoe UI" w:hAnsi="Segoe UI" w:cs="Segoe UI" w:eastAsia="Segoe UI"/>
                <w:color w:val="101820"/>
                <w:sz w:val="18"/>
              </w:rPr>
              <w:t>Size</w:t>
            </w:r>
          </w:p>
        </w:tc>
        <w:tc>
          <w:tcPr>
            <w:tcW w:type="dxa" w:w="4703"/>
          </w:tcPr>
          <w:p>
            <w:pPr>
              <w:spacing w:after="20"/>
            </w:pPr>
            <w:r>
              <w:rPr>
                <w:rFonts w:ascii="Segoe UI" w:hAnsi="Segoe UI" w:cs="Segoe UI" w:eastAsia="Segoe UI"/>
                <w:color w:val="101820"/>
                <w:sz w:val="18"/>
              </w:rPr>
              <w:t>[Small / Medium / Large / Enterprise]</w:t>
            </w:r>
          </w:p>
        </w:tc>
      </w:tr>
      <w:tr>
        <w:tc>
          <w:tcPr>
            <w:tcW w:type="dxa" w:w="4311"/>
          </w:tcPr>
          <w:p>
            <w:pPr>
              <w:spacing w:after="20"/>
            </w:pPr>
            <w:r>
              <w:rPr>
                <w:rFonts w:ascii="Segoe UI" w:hAnsi="Segoe UI" w:cs="Segoe UI" w:eastAsia="Segoe UI"/>
                <w:color w:val="101820"/>
                <w:sz w:val="18"/>
              </w:rPr>
              <w:t>Environments</w:t>
            </w:r>
          </w:p>
        </w:tc>
        <w:tc>
          <w:tcPr>
            <w:tcW w:type="dxa" w:w="4703"/>
          </w:tcPr>
          <w:p>
            <w:pPr>
              <w:spacing w:after="20"/>
            </w:pPr>
            <w:r>
              <w:rPr>
                <w:rFonts w:ascii="Segoe UI" w:hAnsi="Segoe UI" w:cs="Segoe UI" w:eastAsia="Segoe UI"/>
                <w:color w:val="101820"/>
                <w:sz w:val="18"/>
              </w:rPr>
              <w:t>[Production, UAT, additional environments]</w:t>
            </w:r>
          </w:p>
        </w:tc>
      </w:tr>
      <w:tr>
        <w:tc>
          <w:tcPr>
            <w:tcW w:type="dxa" w:w="4311"/>
          </w:tcPr>
          <w:p>
            <w:pPr>
              <w:spacing w:after="20"/>
            </w:pPr>
            <w:r>
              <w:rPr>
                <w:rFonts w:ascii="Segoe UI" w:hAnsi="Segoe UI" w:cs="Segoe UI" w:eastAsia="Segoe UI"/>
                <w:color w:val="101820"/>
                <w:sz w:val="18"/>
              </w:rPr>
              <w:t>DR</w:t>
            </w:r>
          </w:p>
        </w:tc>
        <w:tc>
          <w:tcPr>
            <w:tcW w:type="dxa" w:w="4703"/>
          </w:tcPr>
          <w:p>
            <w:pPr>
              <w:spacing w:after="20"/>
            </w:pPr>
            <w:r>
              <w:rPr>
                <w:rFonts w:ascii="Segoe UI" w:hAnsi="Segoe UI" w:cs="Segoe UI" w:eastAsia="Segoe UI"/>
                <w:color w:val="101820"/>
                <w:sz w:val="18"/>
              </w:rPr>
              <w:t>[Included (Enterprise) / optional / none]</w:t>
            </w:r>
          </w:p>
        </w:tc>
      </w:tr>
      <w:tr>
        <w:tc>
          <w:tcPr>
            <w:tcW w:type="dxa" w:w="4311"/>
          </w:tcPr>
          <w:p>
            <w:pPr>
              <w:spacing w:after="20"/>
            </w:pPr>
            <w:r>
              <w:rPr>
                <w:rFonts w:ascii="Segoe UI" w:hAnsi="Segoe UI" w:cs="Segoe UI" w:eastAsia="Segoe UI"/>
                <w:color w:val="101820"/>
                <w:sz w:val="18"/>
              </w:rPr>
              <w:t>Monthly hosting fee (excluding VAT)</w:t>
            </w:r>
          </w:p>
        </w:tc>
        <w:tc>
          <w:tcPr>
            <w:tcW w:type="dxa" w:w="4703"/>
          </w:tcPr>
          <w:p>
            <w:pPr>
              <w:spacing w:after="20"/>
            </w:pPr>
            <w:r>
              <w:rPr>
                <w:rFonts w:ascii="Segoe UI" w:hAnsi="Segoe UI" w:cs="Segoe UI" w:eastAsia="Segoe UI"/>
                <w:color w:val="101820"/>
                <w:sz w:val="18"/>
              </w:rPr>
              <w:t>PHP [amount]</w:t>
            </w:r>
          </w:p>
        </w:tc>
      </w:tr>
      <w:tr>
        <w:tc>
          <w:tcPr>
            <w:tcW w:type="dxa" w:w="4311"/>
          </w:tcPr>
          <w:p>
            <w:pPr>
              <w:spacing w:after="20"/>
            </w:pPr>
            <w:r>
              <w:rPr>
                <w:rFonts w:ascii="Segoe UI" w:hAnsi="Segoe UI" w:cs="Segoe UI" w:eastAsia="Segoe UI"/>
                <w:color w:val="101820"/>
                <w:sz w:val="18"/>
              </w:rPr>
              <w:t>Discount, if any ([lever])</w:t>
            </w:r>
          </w:p>
        </w:tc>
        <w:tc>
          <w:tcPr>
            <w:tcW w:type="dxa" w:w="4703"/>
          </w:tcPr>
          <w:p>
            <w:pPr>
              <w:spacing w:after="20"/>
            </w:pPr>
            <w:r>
              <w:rPr>
                <w:rFonts w:ascii="Segoe UI" w:hAnsi="Segoe UI" w:cs="Segoe UI" w:eastAsia="Segoe UI"/>
                <w:color w:val="101820"/>
                <w:sz w:val="18"/>
              </w:rPr>
              <w:t>PHP [amount]</w:t>
            </w:r>
          </w:p>
        </w:tc>
      </w:tr>
      <w:tr>
        <w:tc>
          <w:tcPr>
            <w:tcW w:type="dxa" w:w="4311"/>
          </w:tcPr>
          <w:p>
            <w:pPr>
              <w:spacing w:after="20"/>
            </w:pPr>
            <w:r>
              <w:rPr>
                <w:rFonts w:ascii="Segoe UI" w:hAnsi="Segoe UI" w:cs="Segoe UI" w:eastAsia="Segoe UI"/>
                <w:color w:val="101820"/>
                <w:sz w:val="18"/>
              </w:rPr>
              <w:t>Exchange rate basis</w:t>
            </w:r>
          </w:p>
        </w:tc>
        <w:tc>
          <w:tcPr>
            <w:tcW w:type="dxa" w:w="4703"/>
          </w:tcPr>
          <w:p>
            <w:pPr>
              <w:spacing w:after="20"/>
            </w:pPr>
            <w:r>
              <w:rPr>
                <w:rFonts w:ascii="Segoe UI" w:hAnsi="Segoe UI" w:cs="Segoe UI" w:eastAsia="Segoe UI"/>
                <w:color w:val="101820"/>
                <w:sz w:val="18"/>
              </w:rPr>
              <w:t>PHP [62.75] per USD on [25 September 2026]</w:t>
            </w:r>
          </w:p>
        </w:tc>
      </w:tr>
      <w:tr>
        <w:tc>
          <w:tcPr>
            <w:tcW w:type="dxa" w:w="4311"/>
          </w:tcPr>
          <w:p>
            <w:pPr>
              <w:spacing w:after="20"/>
            </w:pPr>
            <w:r>
              <w:rPr>
                <w:rFonts w:ascii="Segoe UI" w:hAnsi="Segoe UI" w:cs="Segoe UI" w:eastAsia="Segoe UI"/>
                <w:color w:val="101820"/>
                <w:sz w:val="18"/>
              </w:rPr>
              <w:t>Hosting term</w:t>
            </w:r>
          </w:p>
        </w:tc>
        <w:tc>
          <w:tcPr>
            <w:tcW w:type="dxa" w:w="4703"/>
          </w:tcPr>
          <w:p>
            <w:pPr>
              <w:spacing w:after="20"/>
            </w:pPr>
            <w:r>
              <w:rPr>
                <w:rFonts w:ascii="Segoe UI" w:hAnsi="Segoe UI" w:cs="Segoe UI" w:eastAsia="Segoe UI"/>
                <w:color w:val="101820"/>
                <w:sz w:val="18"/>
              </w:rPr>
              <w:t>[12 / 36 / 60] months from handover</w:t>
            </w:r>
          </w:p>
        </w:tc>
      </w:tr>
      <w:tr>
        <w:tc>
          <w:tcPr>
            <w:tcW w:type="dxa" w:w="4311"/>
          </w:tcPr>
          <w:p>
            <w:pPr>
              <w:spacing w:after="20"/>
            </w:pPr>
            <w:r>
              <w:rPr>
                <w:rFonts w:ascii="Segoe UI" w:hAnsi="Segoe UI" w:cs="Segoe UI" w:eastAsia="Segoe UI"/>
                <w:color w:val="101820"/>
                <w:sz w:val="18"/>
              </w:rPr>
              <w:t>Data location approved by the Client</w:t>
            </w:r>
          </w:p>
        </w:tc>
        <w:tc>
          <w:tcPr>
            <w:tcW w:type="dxa" w:w="4703"/>
          </w:tcPr>
          <w:p>
            <w:pPr>
              <w:spacing w:after="20"/>
            </w:pPr>
            <w:r>
              <w:rPr>
                <w:rFonts w:ascii="Segoe UI" w:hAnsi="Segoe UI" w:cs="Segoe UI" w:eastAsia="Segoe UI"/>
                <w:color w:val="101820"/>
                <w:sz w:val="18"/>
              </w:rPr>
              <w:t>[Singapore / Philippines]</w:t>
            </w:r>
          </w:p>
        </w:tc>
      </w:tr>
      <w:tr>
        <w:tc>
          <w:tcPr>
            <w:tcW w:type="dxa" w:w="4311"/>
          </w:tcPr>
          <w:p>
            <w:pPr>
              <w:spacing w:after="20"/>
            </w:pPr>
            <w:r>
              <w:rPr>
                <w:rFonts w:ascii="Segoe UI" w:hAnsi="Segoe UI" w:cs="Segoe UI" w:eastAsia="Segoe UI"/>
                <w:color w:val="101820"/>
                <w:sz w:val="18"/>
              </w:rPr>
              <w:t>Client's privacy impact assessment reference</w:t>
            </w:r>
          </w:p>
        </w:tc>
        <w:tc>
          <w:tcPr>
            <w:tcW w:type="dxa" w:w="4703"/>
          </w:tcPr>
          <w:p>
            <w:pPr>
              <w:spacing w:after="20"/>
            </w:pPr>
            <w:r>
              <w:rPr>
                <w:rFonts w:ascii="Segoe UI" w:hAnsi="Segoe UI" w:cs="Segoe UI" w:eastAsia="Segoe UI"/>
                <w:color w:val="101820"/>
                <w:sz w:val="18"/>
              </w:rPr>
              <w:t>[reference]</w:t>
            </w:r>
          </w:p>
        </w:tc>
      </w:tr>
      <w:tr>
        <w:tc>
          <w:tcPr>
            <w:tcW w:type="dxa" w:w="4311"/>
          </w:tcPr>
          <w:p>
            <w:pPr>
              <w:spacing w:after="20"/>
            </w:pPr>
            <w:r>
              <w:rPr>
                <w:rFonts w:ascii="Segoe UI" w:hAnsi="Segoe UI" w:cs="Segoe UI" w:eastAsia="Segoe UI"/>
                <w:color w:val="101820"/>
                <w:sz w:val="18"/>
              </w:rPr>
              <w:t>Recovery objectives accepted</w:t>
            </w:r>
          </w:p>
        </w:tc>
        <w:tc>
          <w:tcPr>
            <w:tcW w:type="dxa" w:w="4703"/>
          </w:tcPr>
          <w:p>
            <w:pPr>
              <w:spacing w:after="20"/>
            </w:pPr>
            <w:r>
              <w:rPr>
                <w:rFonts w:ascii="Segoe UI" w:hAnsi="Segoe UI" w:cs="Segoe UI" w:eastAsia="Segoe UI"/>
                <w:color w:val="101820"/>
                <w:sz w:val="18"/>
              </w:rPr>
              <w:t>[Yes, as in the Recovery objectives chapter / as amended: details]</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