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Master Services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Master Services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ADR</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Alternative dispute resolution</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EOPT</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Ease of Paying Taxes Act (RA 11976)</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PDRC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Dispute Resolution Center, Inc.</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Master Services Agreement (the </w:t>
      </w:r>
      <w:r>
        <w:rPr>
          <w:rFonts w:ascii="Segoe UI" w:hAnsi="Segoe UI" w:cs="Segoe UI" w:eastAsia="Segoe UI"/>
          <w:b/>
          <w:color w:val="101820"/>
          <w:sz w:val="21"/>
        </w:rPr>
        <w:t>Agreement</w:t>
      </w:r>
      <w:r>
        <w:rPr>
          <w:rFonts w:ascii="Segoe UI" w:hAnsi="Segoe UI" w:cs="Segoe UI" w:eastAsia="Segoe UI"/>
          <w:color w:val="101820"/>
          <w:sz w:val="21"/>
        </w:rPr>
        <w:t>) is the framework contract between iorta TechNXT Corp. and a Philippine insurance broker for iNXT BrokerVerse OOTB. Each purchase is made through an Order Form, which incorporates the schedules chosen for that purchase. Text in [square brackets] is a placeholder or an option to be completed or deleted before signature. Where options are given, keep one and delete the others.</w:t>
      </w:r>
    </w:p>
    <w:p>
      <w:pPr>
        <w:pStyle w:val="Heading1"/>
        <w:pageBreakBefore/>
      </w:pPr>
      <w:r>
        <w:rPr>
          <w:rFonts w:ascii="Segoe UI" w:hAnsi="Segoe UI" w:cs="Segoe UI" w:eastAsia="Segoe UI"/>
          <w:b/>
          <w:color w:val="0F4761"/>
          <w:sz w:val="32"/>
        </w:rPr>
        <w:t>4.  Parties and background</w:t>
      </w:r>
    </w:p>
    <w:p>
      <w:pPr>
        <w:spacing w:after="120" w:line="276" w:lineRule="auto"/>
      </w:pPr>
      <w:r>
        <w:rPr>
          <w:rFonts w:ascii="Segoe UI" w:hAnsi="Segoe UI" w:cs="Segoe UI" w:eastAsia="Segoe UI"/>
          <w:color w:val="101820"/>
          <w:sz w:val="21"/>
        </w:rPr>
        <w:t>This Agreement is made on [date] at [Makati City / Taguig City], Philippines, between:</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a corporation organised under the laws of the Philippines, SEC registration no. [number], TIN [number], with principal office at [address], represented by [name], its [title], authorised under [board resolution / secretary's certificate dated date] (</w:t>
      </w:r>
      <w:r>
        <w:rPr>
          <w:rFonts w:ascii="Segoe UI" w:hAnsi="Segoe UI" w:cs="Segoe UI" w:eastAsia="Segoe UI"/>
          <w:b/>
          <w:color w:val="101820"/>
          <w:sz w:val="21"/>
        </w:rPr>
        <w:t>iorta TechNXT</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[Client legal name]</w:t>
      </w:r>
      <w:r>
        <w:rPr>
          <w:rFonts w:ascii="Segoe UI" w:hAnsi="Segoe UI" w:cs="Segoe UI" w:eastAsia="Segoe UI"/>
          <w:color w:val="101820"/>
          <w:sz w:val="21"/>
        </w:rPr>
        <w:t xml:space="preserve">, a corporation organised under the laws of the Philippines, SEC registration no. [number], TIN [number], licensed by the Insurance Commission as an insurance broker under certificate of authority no. [number], with principal office at [address], represented by [name], its [title], authorised under [board resolution / secretary's certificate dated date]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iorta TechNXT and the Client are each a </w:t>
      </w:r>
      <w:r>
        <w:rPr>
          <w:rFonts w:ascii="Segoe UI" w:hAnsi="Segoe UI" w:cs="Segoe UI" w:eastAsia="Segoe UI"/>
          <w:b/>
          <w:color w:val="101820"/>
          <w:sz w:val="21"/>
        </w:rPr>
        <w:t>Party</w:t>
      </w:r>
      <w:r>
        <w:rPr>
          <w:rFonts w:ascii="Segoe UI" w:hAnsi="Segoe UI" w:cs="Segoe UI" w:eastAsia="Segoe UI"/>
          <w:color w:val="101820"/>
          <w:sz w:val="21"/>
        </w:rPr>
        <w:t xml:space="preserve"> and together the </w:t>
      </w:r>
      <w:r>
        <w:rPr>
          <w:rFonts w:ascii="Segoe UI" w:hAnsi="Segoe UI" w:cs="Segoe UI" w:eastAsia="Segoe UI"/>
          <w:b/>
          <w:color w:val="101820"/>
          <w:sz w:val="21"/>
        </w:rPr>
        <w:t>Parties</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Background:</w:t>
      </w:r>
    </w:p>
    <w:p>
      <w:pPr>
        <w:spacing w:after="60"/>
        <w:numPr>
          <w:ilvl w:val="0"/>
          <w:numId w:val="3"/>
        </w:numPr>
      </w:pPr>
      <w:r>
        <w:rPr>
          <w:rFonts w:ascii="Segoe UI" w:hAnsi="Segoe UI" w:cs="Segoe UI" w:eastAsia="Segoe UI"/>
          <w:color w:val="101820"/>
          <w:sz w:val="21"/>
        </w:rPr>
        <w:t>iorta TechNXT owns and licenses iNXT BrokerVerse, an insurance broking platform for non-life insurance brokers, and provides implementation, support, hosting and related services.</w:t>
      </w:r>
    </w:p>
    <w:p>
      <w:pPr>
        <w:spacing w:after="60"/>
        <w:numPr>
          <w:ilvl w:val="0"/>
          <w:numId w:val="3"/>
        </w:numPr>
      </w:pPr>
      <w:r>
        <w:rPr>
          <w:rFonts w:ascii="Segoe UI" w:hAnsi="Segoe UI" w:cs="Segoe UI" w:eastAsia="Segoe UI"/>
          <w:color w:val="101820"/>
          <w:sz w:val="21"/>
        </w:rPr>
        <w:t>The Client wishes to use iNXT BrokerVerse OOTB in its business as an insurance broker and to obtain related services from iorta TechNXT.</w:t>
      </w:r>
    </w:p>
    <w:p>
      <w:pPr>
        <w:spacing w:after="60"/>
        <w:numPr>
          <w:ilvl w:val="0"/>
          <w:numId w:val="3"/>
        </w:numPr>
      </w:pPr>
      <w:r>
        <w:rPr>
          <w:rFonts w:ascii="Segoe UI" w:hAnsi="Segoe UI" w:cs="Segoe UI" w:eastAsia="Segoe UI"/>
          <w:color w:val="101820"/>
          <w:sz w:val="21"/>
        </w:rPr>
        <w:t>The Parties wish to set out the general terms that apply to every Order Form signed under this Agreement.</w:t>
      </w:r>
    </w:p>
    <w:p>
      <w:pPr>
        <w:pStyle w:val="Heading1"/>
        <w:pageBreakBefore/>
      </w:pPr>
      <w:r>
        <w:rPr>
          <w:rFonts w:ascii="Segoe UI" w:hAnsi="Segoe UI" w:cs="Segoe UI" w:eastAsia="Segoe UI"/>
          <w:b/>
          <w:color w:val="0F4761"/>
          <w:sz w:val="32"/>
        </w:rPr>
        <w:t>5.  Definitions and interpretation</w:t>
      </w:r>
    </w:p>
    <w:p>
      <w:pPr>
        <w:pStyle w:val="Heading2"/>
      </w:pPr>
      <w:r>
        <w:rPr>
          <w:rFonts w:ascii="Segoe UI" w:hAnsi="Segoe UI" w:cs="Segoe UI" w:eastAsia="Segoe UI"/>
          <w:b/>
          <w:color w:val="0F4761"/>
          <w:sz w:val="26"/>
        </w:rPr>
        <w:t>5.1  Definitions</w:t>
      </w:r>
    </w:p>
    <w:p>
      <w:pPr>
        <w:spacing w:after="120" w:line="276" w:lineRule="auto"/>
      </w:pPr>
      <w:r>
        <w:rPr>
          <w:rFonts w:ascii="Segoe UI" w:hAnsi="Segoe UI" w:cs="Segoe UI" w:eastAsia="Segoe UI"/>
          <w:color w:val="101820"/>
          <w:sz w:val="21"/>
        </w:rPr>
        <w:t>In this Agreement and in every Order Form and schedule, unless the context requires otherwise: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21"/>
        <w:gridCol w:w="5693"/>
      </w:tblGrid>
      <w:tr>
        <w:trPr>
          <w:tblHeader w:val="true"/>
        </w:trPr>
        <w:tc>
          <w:tcPr>
            <w:tcW w:type="dxa" w:w="3321"/>
            <w:shd w:val="clear" w:color="auto" w:fill="DCE9F7"/>
          </w:tcPr>
          <w:p>
            <w:pPr>
              <w:spacing w:after="20"/>
            </w:pPr>
            <w:r>
              <w:rPr>
                <w:rFonts w:ascii="Segoe UI" w:hAnsi="Segoe UI" w:cs="Segoe UI" w:eastAsia="Segoe UI"/>
                <w:b/>
                <w:color w:val="0F4761"/>
                <w:sz w:val="18"/>
              </w:rPr>
              <w:t>Term</w:t>
            </w:r>
          </w:p>
        </w:tc>
        <w:tc>
          <w:tcPr>
            <w:tcW w:type="dxa" w:w="5693"/>
            <w:shd w:val="clear" w:color="auto" w:fill="DCE9F7"/>
          </w:tcPr>
          <w:p>
            <w:pPr>
              <w:spacing w:after="20"/>
            </w:pPr>
            <w:r>
              <w:rPr>
                <w:rFonts w:ascii="Segoe UI" w:hAnsi="Segoe UI" w:cs="Segoe UI" w:eastAsia="Segoe UI"/>
                <w:b/>
                <w:color w:val="0F4761"/>
                <w:sz w:val="18"/>
              </w:rPr>
              <w:t>Meaning</w:t>
            </w:r>
          </w:p>
        </w:tc>
      </w:tr>
      <w:tr>
        <w:tc>
          <w:tcPr>
            <w:tcW w:type="dxa" w:w="3321"/>
          </w:tcPr>
          <w:p>
            <w:pPr>
              <w:spacing w:after="20"/>
            </w:pPr>
            <w:r>
              <w:rPr>
                <w:rFonts w:ascii="Segoe UI" w:hAnsi="Segoe UI" w:cs="Segoe UI" w:eastAsia="Segoe UI"/>
                <w:color w:val="101820"/>
                <w:sz w:val="18"/>
              </w:rPr>
              <w:t>Acceptance</w:t>
            </w:r>
          </w:p>
        </w:tc>
        <w:tc>
          <w:tcPr>
            <w:tcW w:type="dxa" w:w="5693"/>
          </w:tcPr>
          <w:p>
            <w:pPr>
              <w:spacing w:after="20"/>
            </w:pPr>
            <w:r>
              <w:rPr>
                <w:rFonts w:ascii="Segoe UI" w:hAnsi="Segoe UI" w:cs="Segoe UI" w:eastAsia="Segoe UI"/>
                <w:color w:val="101820"/>
                <w:sz w:val="18"/>
              </w:rPr>
              <w:t>Written acceptance of a Deliverable under the acceptance procedure of the applicable SOW, or deemed acceptance under that procedure</w:t>
            </w:r>
          </w:p>
        </w:tc>
      </w:tr>
      <w:tr>
        <w:tc>
          <w:tcPr>
            <w:tcW w:type="dxa" w:w="3321"/>
          </w:tcPr>
          <w:p>
            <w:pPr>
              <w:spacing w:after="20"/>
            </w:pPr>
            <w:r>
              <w:rPr>
                <w:rFonts w:ascii="Segoe UI" w:hAnsi="Segoe UI" w:cs="Segoe UI" w:eastAsia="Segoe UI"/>
                <w:color w:val="101820"/>
                <w:sz w:val="18"/>
              </w:rPr>
              <w:t>Affiliate</w:t>
            </w:r>
          </w:p>
        </w:tc>
        <w:tc>
          <w:tcPr>
            <w:tcW w:type="dxa" w:w="5693"/>
          </w:tcPr>
          <w:p>
            <w:pPr>
              <w:spacing w:after="20"/>
            </w:pPr>
            <w:r>
              <w:rPr>
                <w:rFonts w:ascii="Segoe UI" w:hAnsi="Segoe UI" w:cs="Segoe UI" w:eastAsia="Segoe UI"/>
                <w:color w:val="101820"/>
                <w:sz w:val="18"/>
              </w:rPr>
              <w:t>An entity that controls, is controlled by or is under common control with a Party, where control means ownership of more than 50% of the voting shares</w:t>
            </w:r>
          </w:p>
        </w:tc>
      </w:tr>
      <w:tr>
        <w:tc>
          <w:tcPr>
            <w:tcW w:type="dxa" w:w="3321"/>
          </w:tcPr>
          <w:p>
            <w:pPr>
              <w:spacing w:after="20"/>
            </w:pPr>
            <w:r>
              <w:rPr>
                <w:rFonts w:ascii="Segoe UI" w:hAnsi="Segoe UI" w:cs="Segoe UI" w:eastAsia="Segoe UI"/>
                <w:color w:val="101820"/>
                <w:sz w:val="18"/>
              </w:rPr>
              <w:t>AMC</w:t>
            </w:r>
          </w:p>
        </w:tc>
        <w:tc>
          <w:tcPr>
            <w:tcW w:type="dxa" w:w="5693"/>
          </w:tcPr>
          <w:p>
            <w:pPr>
              <w:spacing w:after="20"/>
            </w:pPr>
            <w:r>
              <w:rPr>
                <w:rFonts w:ascii="Segoe UI" w:hAnsi="Segoe UI" w:cs="Segoe UI" w:eastAsia="Segoe UI"/>
                <w:color w:val="101820"/>
                <w:sz w:val="18"/>
              </w:rPr>
              <w:t>The Annual Maintenance and Support Agreement for a perpetual licence</w:t>
            </w:r>
          </w:p>
        </w:tc>
      </w:tr>
      <w:tr>
        <w:tc>
          <w:tcPr>
            <w:tcW w:type="dxa" w:w="3321"/>
          </w:tcPr>
          <w:p>
            <w:pPr>
              <w:spacing w:after="20"/>
            </w:pPr>
            <w:r>
              <w:rPr>
                <w:rFonts w:ascii="Segoe UI" w:hAnsi="Segoe UI" w:cs="Segoe UI" w:eastAsia="Segoe UI"/>
                <w:color w:val="101820"/>
                <w:sz w:val="18"/>
              </w:rPr>
              <w:t>Business Day</w:t>
            </w:r>
          </w:p>
        </w:tc>
        <w:tc>
          <w:tcPr>
            <w:tcW w:type="dxa" w:w="5693"/>
          </w:tcPr>
          <w:p>
            <w:pPr>
              <w:spacing w:after="20"/>
            </w:pPr>
            <w:r>
              <w:rPr>
                <w:rFonts w:ascii="Segoe UI" w:hAnsi="Segoe UI" w:cs="Segoe UI" w:eastAsia="Segoe UI"/>
                <w:color w:val="101820"/>
                <w:sz w:val="18"/>
              </w:rPr>
              <w:t>A day other than a Saturday, Sunday or a regular or special non-working holiday declared in Metro Manila</w:t>
            </w:r>
          </w:p>
        </w:tc>
      </w:tr>
      <w:tr>
        <w:tc>
          <w:tcPr>
            <w:tcW w:type="dxa" w:w="3321"/>
          </w:tcPr>
          <w:p>
            <w:pPr>
              <w:spacing w:after="20"/>
            </w:pPr>
            <w:r>
              <w:rPr>
                <w:rFonts w:ascii="Segoe UI" w:hAnsi="Segoe UI" w:cs="Segoe UI" w:eastAsia="Segoe UI"/>
                <w:color w:val="101820"/>
                <w:sz w:val="18"/>
              </w:rPr>
              <w:t>Change Request</w:t>
            </w:r>
          </w:p>
        </w:tc>
        <w:tc>
          <w:tcPr>
            <w:tcW w:type="dxa" w:w="5693"/>
          </w:tcPr>
          <w:p>
            <w:pPr>
              <w:spacing w:after="20"/>
            </w:pPr>
            <w:r>
              <w:rPr>
                <w:rFonts w:ascii="Segoe UI" w:hAnsi="Segoe UI" w:cs="Segoe UI" w:eastAsia="Segoe UI"/>
                <w:color w:val="101820"/>
                <w:sz w:val="18"/>
              </w:rPr>
              <w:t>A request to change the agreed scope, plan, Deliverables or the Platform, handled under the Change Request Procedure</w:t>
            </w:r>
          </w:p>
        </w:tc>
      </w:tr>
      <w:tr>
        <w:tc>
          <w:tcPr>
            <w:tcW w:type="dxa" w:w="3321"/>
          </w:tcPr>
          <w:p>
            <w:pPr>
              <w:spacing w:after="20"/>
            </w:pPr>
            <w:r>
              <w:rPr>
                <w:rFonts w:ascii="Segoe UI" w:hAnsi="Segoe UI" w:cs="Segoe UI" w:eastAsia="Segoe UI"/>
                <w:color w:val="101820"/>
                <w:sz w:val="18"/>
              </w:rPr>
              <w:t>Client Data</w:t>
            </w:r>
          </w:p>
        </w:tc>
        <w:tc>
          <w:tcPr>
            <w:tcW w:type="dxa" w:w="5693"/>
          </w:tcPr>
          <w:p>
            <w:pPr>
              <w:spacing w:after="20"/>
            </w:pPr>
            <w:r>
              <w:rPr>
                <w:rFonts w:ascii="Segoe UI" w:hAnsi="Segoe UI" w:cs="Segoe UI" w:eastAsia="Segoe UI"/>
                <w:color w:val="101820"/>
                <w:sz w:val="18"/>
              </w:rPr>
              <w:t>All data, including Personal Data, that the Client or its users enter in, upload to or generate with the Platform, and the outputs that contain it</w:t>
            </w:r>
          </w:p>
        </w:tc>
      </w:tr>
      <w:tr>
        <w:tc>
          <w:tcPr>
            <w:tcW w:type="dxa" w:w="3321"/>
          </w:tcPr>
          <w:p>
            <w:pPr>
              <w:spacing w:after="20"/>
            </w:pPr>
            <w:r>
              <w:rPr>
                <w:rFonts w:ascii="Segoe UI" w:hAnsi="Segoe UI" w:cs="Segoe UI" w:eastAsia="Segoe UI"/>
                <w:color w:val="101820"/>
                <w:sz w:val="18"/>
              </w:rPr>
              <w:t>Confidential Information</w:t>
            </w:r>
          </w:p>
        </w:tc>
        <w:tc>
          <w:tcPr>
            <w:tcW w:type="dxa" w:w="5693"/>
          </w:tcPr>
          <w:p>
            <w:pPr>
              <w:spacing w:after="20"/>
            </w:pPr>
            <w:r>
              <w:rPr>
                <w:rFonts w:ascii="Segoe UI" w:hAnsi="Segoe UI" w:cs="Segoe UI" w:eastAsia="Segoe UI"/>
                <w:color w:val="101820"/>
                <w:sz w:val="18"/>
              </w:rPr>
              <w:t>Information described in the Confidentiality clause</w:t>
            </w:r>
          </w:p>
        </w:tc>
      </w:tr>
      <w:tr>
        <w:tc>
          <w:tcPr>
            <w:tcW w:type="dxa" w:w="3321"/>
          </w:tcPr>
          <w:p>
            <w:pPr>
              <w:spacing w:after="20"/>
            </w:pPr>
            <w:r>
              <w:rPr>
                <w:rFonts w:ascii="Segoe UI" w:hAnsi="Segoe UI" w:cs="Segoe UI" w:eastAsia="Segoe UI"/>
                <w:color w:val="101820"/>
                <w:sz w:val="18"/>
              </w:rPr>
              <w:t>Deliverable</w:t>
            </w:r>
          </w:p>
        </w:tc>
        <w:tc>
          <w:tcPr>
            <w:tcW w:type="dxa" w:w="5693"/>
          </w:tcPr>
          <w:p>
            <w:pPr>
              <w:spacing w:after="20"/>
            </w:pPr>
            <w:r>
              <w:rPr>
                <w:rFonts w:ascii="Segoe UI" w:hAnsi="Segoe UI" w:cs="Segoe UI" w:eastAsia="Segoe UI"/>
                <w:color w:val="101820"/>
                <w:sz w:val="18"/>
              </w:rPr>
              <w:t>A document, configuration, environment or other item that iorta TechNXT delivers under an SOW</w:t>
            </w:r>
          </w:p>
        </w:tc>
      </w:tr>
      <w:tr>
        <w:tc>
          <w:tcPr>
            <w:tcW w:type="dxa" w:w="3321"/>
          </w:tcPr>
          <w:p>
            <w:pPr>
              <w:spacing w:after="20"/>
            </w:pPr>
            <w:r>
              <w:rPr>
                <w:rFonts w:ascii="Segoe UI" w:hAnsi="Segoe UI" w:cs="Segoe UI" w:eastAsia="Segoe UI"/>
                <w:color w:val="101820"/>
                <w:sz w:val="18"/>
              </w:rPr>
              <w:t>Documentation</w:t>
            </w:r>
          </w:p>
        </w:tc>
        <w:tc>
          <w:tcPr>
            <w:tcW w:type="dxa" w:w="5693"/>
          </w:tcPr>
          <w:p>
            <w:pPr>
              <w:spacing w:after="20"/>
            </w:pPr>
            <w:r>
              <w:rPr>
                <w:rFonts w:ascii="Segoe UI" w:hAnsi="Segoe UI" w:cs="Segoe UI" w:eastAsia="Segoe UI"/>
                <w:color w:val="101820"/>
                <w:sz w:val="18"/>
              </w:rPr>
              <w:t>The user manual, administrator guides, technical reference and other documentation of iNXT BrokerVerse OOTB that iorta TechNXT makes available</w:t>
            </w:r>
          </w:p>
        </w:tc>
      </w:tr>
      <w:tr>
        <w:tc>
          <w:tcPr>
            <w:tcW w:type="dxa" w:w="3321"/>
          </w:tcPr>
          <w:p>
            <w:pPr>
              <w:spacing w:after="20"/>
            </w:pPr>
            <w:r>
              <w:rPr>
                <w:rFonts w:ascii="Segoe UI" w:hAnsi="Segoe UI" w:cs="Segoe UI" w:eastAsia="Segoe UI"/>
                <w:color w:val="101820"/>
                <w:sz w:val="18"/>
              </w:rPr>
              <w:t>Effective Date</w:t>
            </w:r>
          </w:p>
        </w:tc>
        <w:tc>
          <w:tcPr>
            <w:tcW w:type="dxa" w:w="5693"/>
          </w:tcPr>
          <w:p>
            <w:pPr>
              <w:spacing w:after="20"/>
            </w:pPr>
            <w:r>
              <w:rPr>
                <w:rFonts w:ascii="Segoe UI" w:hAnsi="Segoe UI" w:cs="Segoe UI" w:eastAsia="Segoe UI"/>
                <w:color w:val="101820"/>
                <w:sz w:val="18"/>
              </w:rPr>
              <w:t>The date of this Agreement</w:t>
            </w:r>
          </w:p>
        </w:tc>
      </w:tr>
      <w:tr>
        <w:tc>
          <w:tcPr>
            <w:tcW w:type="dxa" w:w="3321"/>
          </w:tcPr>
          <w:p>
            <w:pPr>
              <w:spacing w:after="20"/>
            </w:pPr>
            <w:r>
              <w:rPr>
                <w:rFonts w:ascii="Segoe UI" w:hAnsi="Segoe UI" w:cs="Segoe UI" w:eastAsia="Segoe UI"/>
                <w:color w:val="101820"/>
                <w:sz w:val="18"/>
              </w:rPr>
              <w:t>Fees</w:t>
            </w:r>
          </w:p>
        </w:tc>
        <w:tc>
          <w:tcPr>
            <w:tcW w:type="dxa" w:w="5693"/>
          </w:tcPr>
          <w:p>
            <w:pPr>
              <w:spacing w:after="20"/>
            </w:pPr>
            <w:r>
              <w:rPr>
                <w:rFonts w:ascii="Segoe UI" w:hAnsi="Segoe UI" w:cs="Segoe UI" w:eastAsia="Segoe UI"/>
                <w:color w:val="101820"/>
                <w:sz w:val="18"/>
              </w:rPr>
              <w:t>The amounts payable by the Client under an Order Form</w:t>
            </w:r>
          </w:p>
        </w:tc>
      </w:tr>
      <w:tr>
        <w:tc>
          <w:tcPr>
            <w:tcW w:type="dxa" w:w="3321"/>
          </w:tcPr>
          <w:p>
            <w:pPr>
              <w:spacing w:after="20"/>
            </w:pPr>
            <w:r>
              <w:rPr>
                <w:rFonts w:ascii="Segoe UI" w:hAnsi="Segoe UI" w:cs="Segoe UI" w:eastAsia="Segoe UI"/>
                <w:color w:val="101820"/>
                <w:sz w:val="18"/>
              </w:rPr>
              <w:t>Go-Live</w:t>
            </w:r>
          </w:p>
        </w:tc>
        <w:tc>
          <w:tcPr>
            <w:tcW w:type="dxa" w:w="5693"/>
          </w:tcPr>
          <w:p>
            <w:pPr>
              <w:spacing w:after="20"/>
            </w:pPr>
            <w:r>
              <w:rPr>
                <w:rFonts w:ascii="Segoe UI" w:hAnsi="Segoe UI" w:cs="Segoe UI" w:eastAsia="Segoe UI"/>
                <w:color w:val="101820"/>
                <w:sz w:val="18"/>
              </w:rPr>
              <w:t>The first day on which the Client uses the Platform in production for its business transactions</w:t>
            </w:r>
          </w:p>
        </w:tc>
      </w:tr>
      <w:tr>
        <w:tc>
          <w:tcPr>
            <w:tcW w:type="dxa" w:w="3321"/>
          </w:tcPr>
          <w:p>
            <w:pPr>
              <w:spacing w:after="20"/>
            </w:pPr>
            <w:r>
              <w:rPr>
                <w:rFonts w:ascii="Segoe UI" w:hAnsi="Segoe UI" w:cs="Segoe UI" w:eastAsia="Segoe UI"/>
                <w:color w:val="101820"/>
                <w:sz w:val="18"/>
              </w:rPr>
              <w:t>Intellectual Property Rights</w:t>
            </w:r>
          </w:p>
        </w:tc>
        <w:tc>
          <w:tcPr>
            <w:tcW w:type="dxa" w:w="5693"/>
          </w:tcPr>
          <w:p>
            <w:pPr>
              <w:spacing w:after="20"/>
            </w:pPr>
            <w:r>
              <w:rPr>
                <w:rFonts w:ascii="Segoe UI" w:hAnsi="Segoe UI" w:cs="Segoe UI" w:eastAsia="Segoe UI"/>
                <w:color w:val="101820"/>
                <w:sz w:val="18"/>
              </w:rPr>
              <w:t>Copyright, patents, trademarks, trade names, designs, database rights, trade secrets, know-how and all similar rights anywhere in the world, registered or not</w:t>
            </w:r>
          </w:p>
        </w:tc>
      </w:tr>
      <w:tr>
        <w:tc>
          <w:tcPr>
            <w:tcW w:type="dxa" w:w="3321"/>
          </w:tcPr>
          <w:p>
            <w:pPr>
              <w:spacing w:after="20"/>
            </w:pPr>
            <w:r>
              <w:rPr>
                <w:rFonts w:ascii="Segoe UI" w:hAnsi="Segoe UI" w:cs="Segoe UI" w:eastAsia="Segoe UI"/>
                <w:color w:val="101820"/>
                <w:sz w:val="18"/>
              </w:rPr>
              <w:t>Order Form</w:t>
            </w:r>
          </w:p>
        </w:tc>
        <w:tc>
          <w:tcPr>
            <w:tcW w:type="dxa" w:w="5693"/>
          </w:tcPr>
          <w:p>
            <w:pPr>
              <w:spacing w:after="20"/>
            </w:pPr>
            <w:r>
              <w:rPr>
                <w:rFonts w:ascii="Segoe UI" w:hAnsi="Segoe UI" w:cs="Segoe UI" w:eastAsia="Segoe UI"/>
                <w:color w:val="101820"/>
                <w:sz w:val="18"/>
              </w:rPr>
              <w:t>A document signed by both Parties that refers to this Agreement and states the products, services, quantities, Fees, term and schedules that apply</w:t>
            </w:r>
          </w:p>
        </w:tc>
      </w:tr>
      <w:tr>
        <w:tc>
          <w:tcPr>
            <w:tcW w:type="dxa" w:w="3321"/>
          </w:tcPr>
          <w:p>
            <w:pPr>
              <w:spacing w:after="20"/>
            </w:pPr>
            <w:r>
              <w:rPr>
                <w:rFonts w:ascii="Segoe UI" w:hAnsi="Segoe UI" w:cs="Segoe UI" w:eastAsia="Segoe UI"/>
                <w:color w:val="101820"/>
                <w:sz w:val="18"/>
              </w:rPr>
              <w:t>Personal Data</w:t>
            </w:r>
          </w:p>
        </w:tc>
        <w:tc>
          <w:tcPr>
            <w:tcW w:type="dxa" w:w="5693"/>
          </w:tcPr>
          <w:p>
            <w:pPr>
              <w:spacing w:after="20"/>
            </w:pPr>
            <w:r>
              <w:rPr>
                <w:rFonts w:ascii="Segoe UI" w:hAnsi="Segoe UI" w:cs="Segoe UI" w:eastAsia="Segoe UI"/>
                <w:color w:val="101820"/>
                <w:sz w:val="18"/>
              </w:rPr>
              <w:t>Personal information, sensitive personal information and privileged information as defined in the Data Privacy Act of 2012 (RA 10173)</w:t>
            </w:r>
          </w:p>
        </w:tc>
      </w:tr>
      <w:tr>
        <w:tc>
          <w:tcPr>
            <w:tcW w:type="dxa" w:w="3321"/>
          </w:tcPr>
          <w:p>
            <w:pPr>
              <w:spacing w:after="20"/>
            </w:pPr>
            <w:r>
              <w:rPr>
                <w:rFonts w:ascii="Segoe UI" w:hAnsi="Segoe UI" w:cs="Segoe UI" w:eastAsia="Segoe UI"/>
                <w:color w:val="101820"/>
                <w:sz w:val="18"/>
              </w:rPr>
              <w:t>Platform</w:t>
            </w:r>
          </w:p>
        </w:tc>
        <w:tc>
          <w:tcPr>
            <w:tcW w:type="dxa" w:w="5693"/>
          </w:tcPr>
          <w:p>
            <w:pPr>
              <w:spacing w:after="20"/>
            </w:pPr>
            <w:r>
              <w:rPr>
                <w:rFonts w:ascii="Segoe UI" w:hAnsi="Segoe UI" w:cs="Segoe UI" w:eastAsia="Segoe UI"/>
                <w:color w:val="101820"/>
                <w:sz w:val="18"/>
              </w:rPr>
              <w:t>iNXT BrokerVerse OOTB, the out-of-the-box version of iNXT BrokerVerse, in object code and as a hosted service as applicable, with its Documentation, updates and releases provided under this Agreement</w:t>
            </w:r>
          </w:p>
        </w:tc>
      </w:tr>
      <w:tr>
        <w:tc>
          <w:tcPr>
            <w:tcW w:type="dxa" w:w="3321"/>
          </w:tcPr>
          <w:p>
            <w:pPr>
              <w:spacing w:after="20"/>
            </w:pPr>
            <w:r>
              <w:rPr>
                <w:rFonts w:ascii="Segoe UI" w:hAnsi="Segoe UI" w:cs="Segoe UI" w:eastAsia="Segoe UI"/>
                <w:color w:val="101820"/>
                <w:sz w:val="18"/>
              </w:rPr>
              <w:t>Services</w:t>
            </w:r>
          </w:p>
        </w:tc>
        <w:tc>
          <w:tcPr>
            <w:tcW w:type="dxa" w:w="5693"/>
          </w:tcPr>
          <w:p>
            <w:pPr>
              <w:spacing w:after="20"/>
            </w:pPr>
            <w:r>
              <w:rPr>
                <w:rFonts w:ascii="Segoe UI" w:hAnsi="Segoe UI" w:cs="Segoe UI" w:eastAsia="Segoe UI"/>
                <w:color w:val="101820"/>
                <w:sz w:val="18"/>
              </w:rPr>
              <w:t>Implementation, support, maintenance, hosting, training, change requests and any other services stated in an Order Form</w:t>
            </w:r>
          </w:p>
        </w:tc>
      </w:tr>
      <w:tr>
        <w:tc>
          <w:tcPr>
            <w:tcW w:type="dxa" w:w="3321"/>
          </w:tcPr>
          <w:p>
            <w:pPr>
              <w:spacing w:after="20"/>
            </w:pPr>
            <w:r>
              <w:rPr>
                <w:rFonts w:ascii="Segoe UI" w:hAnsi="Segoe UI" w:cs="Segoe UI" w:eastAsia="Segoe UI"/>
                <w:color w:val="101820"/>
                <w:sz w:val="18"/>
              </w:rPr>
              <w:t>SOW</w:t>
            </w:r>
          </w:p>
        </w:tc>
        <w:tc>
          <w:tcPr>
            <w:tcW w:type="dxa" w:w="5693"/>
          </w:tcPr>
          <w:p>
            <w:pPr>
              <w:spacing w:after="20"/>
            </w:pPr>
            <w:r>
              <w:rPr>
                <w:rFonts w:ascii="Segoe UI" w:hAnsi="Segoe UI" w:cs="Segoe UI" w:eastAsia="Segoe UI"/>
                <w:color w:val="101820"/>
                <w:sz w:val="18"/>
              </w:rPr>
              <w:t>A statement of work that forms part of an Order Form</w:t>
            </w:r>
          </w:p>
        </w:tc>
      </w:tr>
      <w:tr>
        <w:tc>
          <w:tcPr>
            <w:tcW w:type="dxa" w:w="3321"/>
          </w:tcPr>
          <w:p>
            <w:pPr>
              <w:spacing w:after="20"/>
            </w:pPr>
            <w:r>
              <w:rPr>
                <w:rFonts w:ascii="Segoe UI" w:hAnsi="Segoe UI" w:cs="Segoe UI" w:eastAsia="Segoe UI"/>
                <w:color w:val="101820"/>
                <w:sz w:val="18"/>
              </w:rPr>
              <w:t>Users</w:t>
            </w:r>
          </w:p>
        </w:tc>
        <w:tc>
          <w:tcPr>
            <w:tcW w:type="dxa" w:w="5693"/>
          </w:tcPr>
          <w:p>
            <w:pPr>
              <w:spacing w:after="20"/>
            </w:pPr>
            <w:r>
              <w:rPr>
                <w:rFonts w:ascii="Segoe UI" w:hAnsi="Segoe UI" w:cs="Segoe UI" w:eastAsia="Segoe UI"/>
                <w:color w:val="101820"/>
                <w:sz w:val="18"/>
              </w:rPr>
              <w:t>Named individuals authorised by the Client to use the Platform, each with a personal sign-in</w:t>
            </w:r>
          </w:p>
        </w:tc>
      </w:tr>
    </w:tbl>
    <w:p>
      <w:pPr>
        <w:spacing w:after="80"/>
      </w:pPr>
    </w:p>
    <w:p>
      <w:pPr>
        <w:pStyle w:val="Heading2"/>
      </w:pPr>
      <w:r>
        <w:rPr>
          <w:rFonts w:ascii="Segoe UI" w:hAnsi="Segoe UI" w:cs="Segoe UI" w:eastAsia="Segoe UI"/>
          <w:b/>
          <w:color w:val="0F4761"/>
          <w:sz w:val="26"/>
        </w:rPr>
        <w:t>5.2  Interpretation</w:t>
      </w:r>
    </w:p>
    <w:p>
      <w:pPr>
        <w:spacing w:after="60"/>
        <w:numPr>
          <w:ilvl w:val="0"/>
          <w:numId w:val="5"/>
        </w:numPr>
      </w:pPr>
      <w:r>
        <w:rPr>
          <w:rFonts w:ascii="Segoe UI" w:hAnsi="Segoe UI" w:cs="Segoe UI" w:eastAsia="Segoe UI"/>
          <w:color w:val="101820"/>
          <w:sz w:val="21"/>
        </w:rPr>
        <w:t>Headings are for convenience only. The singular includes the plural and the reverse.</w:t>
      </w:r>
    </w:p>
    <w:p>
      <w:pPr>
        <w:spacing w:after="60"/>
        <w:numPr>
          <w:ilvl w:val="0"/>
          <w:numId w:val="5"/>
        </w:numPr>
      </w:pPr>
      <w:r>
        <w:rPr>
          <w:rFonts w:ascii="Segoe UI" w:hAnsi="Segoe UI" w:cs="Segoe UI" w:eastAsia="Segoe UI"/>
          <w:color w:val="101820"/>
          <w:sz w:val="21"/>
        </w:rPr>
        <w:t>"Including" means "including without limitation".</w:t>
      </w:r>
    </w:p>
    <w:p>
      <w:pPr>
        <w:spacing w:after="60"/>
        <w:numPr>
          <w:ilvl w:val="0"/>
          <w:numId w:val="5"/>
        </w:numPr>
      </w:pPr>
      <w:r>
        <w:rPr>
          <w:rFonts w:ascii="Segoe UI" w:hAnsi="Segoe UI" w:cs="Segoe UI" w:eastAsia="Segoe UI"/>
          <w:color w:val="101820"/>
          <w:sz w:val="21"/>
        </w:rPr>
        <w:t>A reference to a law includes its implementing rules and regulations and any amendment or replacement in force.</w:t>
      </w:r>
    </w:p>
    <w:p>
      <w:pPr>
        <w:spacing w:after="60"/>
        <w:numPr>
          <w:ilvl w:val="0"/>
          <w:numId w:val="5"/>
        </w:numPr>
      </w:pPr>
      <w:r>
        <w:rPr>
          <w:rFonts w:ascii="Segoe UI" w:hAnsi="Segoe UI" w:cs="Segoe UI" w:eastAsia="Segoe UI"/>
          <w:color w:val="101820"/>
          <w:sz w:val="21"/>
        </w:rPr>
        <w:t>A reference to a clause by name refers to the clause of that name in this Agreement.</w:t>
      </w:r>
    </w:p>
    <w:p>
      <w:pPr>
        <w:spacing w:after="60"/>
        <w:numPr>
          <w:ilvl w:val="0"/>
          <w:numId w:val="5"/>
        </w:numPr>
      </w:pPr>
      <w:r>
        <w:rPr>
          <w:rFonts w:ascii="Segoe UI" w:hAnsi="Segoe UI" w:cs="Segoe UI" w:eastAsia="Segoe UI"/>
          <w:color w:val="101820"/>
          <w:sz w:val="21"/>
        </w:rPr>
        <w:t>Amounts are in Philippine pesos and exclude VAT unless stated.</w:t>
      </w:r>
    </w:p>
    <w:p>
      <w:pPr>
        <w:pStyle w:val="Heading1"/>
        <w:pageBreakBefore/>
      </w:pPr>
      <w:r>
        <w:rPr>
          <w:rFonts w:ascii="Segoe UI" w:hAnsi="Segoe UI" w:cs="Segoe UI" w:eastAsia="Segoe UI"/>
          <w:b/>
          <w:color w:val="0F4761"/>
          <w:sz w:val="32"/>
        </w:rPr>
        <w:t>6.  Services and responsibilities</w:t>
      </w:r>
    </w:p>
    <w:p>
      <w:pPr>
        <w:pStyle w:val="Heading2"/>
      </w:pPr>
      <w:r>
        <w:rPr>
          <w:rFonts w:ascii="Segoe UI" w:hAnsi="Segoe UI" w:cs="Segoe UI" w:eastAsia="Segoe UI"/>
          <w:b/>
          <w:color w:val="0F4761"/>
          <w:sz w:val="26"/>
        </w:rPr>
        <w:t>6.1  Structure of the agreement</w:t>
      </w:r>
    </w:p>
    <w:p>
      <w:pPr>
        <w:pStyle w:val="Heading3"/>
      </w:pPr>
      <w:r>
        <w:rPr>
          <w:rFonts w:ascii="Segoe UI" w:hAnsi="Segoe UI" w:cs="Segoe UI" w:eastAsia="Segoe UI"/>
          <w:b/>
          <w:color w:val="0F4761"/>
          <w:sz w:val="23"/>
        </w:rPr>
        <w:t>6.1.1  Order Forms</w:t>
      </w:r>
    </w:p>
    <w:p>
      <w:pPr>
        <w:spacing w:after="60"/>
        <w:numPr>
          <w:ilvl w:val="0"/>
          <w:numId w:val="6"/>
        </w:numPr>
      </w:pPr>
      <w:r>
        <w:rPr>
          <w:rFonts w:ascii="Segoe UI" w:hAnsi="Segoe UI" w:cs="Segoe UI" w:eastAsia="Segoe UI"/>
          <w:color w:val="101820"/>
          <w:sz w:val="21"/>
        </w:rPr>
        <w:t>The Client buys products and Services by signing an Order Form. Each Order Form is a separate contract that incorporates this Agreement and the schedules named in it.</w:t>
      </w:r>
    </w:p>
    <w:p>
      <w:pPr>
        <w:spacing w:after="60"/>
        <w:numPr>
          <w:ilvl w:val="0"/>
          <w:numId w:val="6"/>
        </w:numPr>
      </w:pPr>
      <w:r>
        <w:rPr>
          <w:rFonts w:ascii="Segoe UI" w:hAnsi="Segoe UI" w:cs="Segoe UI" w:eastAsia="Segoe UI"/>
          <w:color w:val="101820"/>
          <w:sz w:val="21"/>
        </w:rPr>
        <w:t>The schedules available under this Agreement are: the Perpetual Software Licence Agreement, the Software Subscription Agreement, the Implementation Statement of Work, the Change Request Procedure, the Annual Maintenance and Support Agreement and Service Level Agreement, the Hosting and Infrastructure Services Agreement and the Data Processing Agreement. The following annexes apply with them: the Service Catalogue and Rate Annex, the Customer Responsibilities and RACI Annex and the Exit and Transition Plan. The Source Code Escrow Agreement is an optional three-party agreement under the Perpetual Software Licence Agreement. The UAT Sign-off, Go-live Acceptance and Hypercare Exit certificates are the forms used under the Implementation Statement of Work.</w:t>
      </w:r>
    </w:p>
    <w:p>
      <w:pPr>
        <w:spacing w:after="60"/>
        <w:numPr>
          <w:ilvl w:val="0"/>
          <w:numId w:val="6"/>
        </w:numPr>
      </w:pPr>
      <w:r>
        <w:rPr>
          <w:rFonts w:ascii="Segoe UI" w:hAnsi="Segoe UI" w:cs="Segoe UI" w:eastAsia="Segoe UI"/>
          <w:color w:val="101820"/>
          <w:sz w:val="21"/>
        </w:rPr>
        <w:t>An Order Form binds the Parties only when signed by authorised representatives of both.</w:t>
      </w:r>
    </w:p>
    <w:p>
      <w:pPr>
        <w:pStyle w:val="Heading3"/>
      </w:pPr>
      <w:r>
        <w:rPr>
          <w:rFonts w:ascii="Segoe UI" w:hAnsi="Segoe UI" w:cs="Segoe UI" w:eastAsia="Segoe UI"/>
          <w:b/>
          <w:color w:val="0F4761"/>
          <w:sz w:val="23"/>
        </w:rPr>
        <w:t>6.1.2  Order of precedence</w:t>
      </w:r>
    </w:p>
    <w:p>
      <w:pPr>
        <w:spacing w:after="120" w:line="276" w:lineRule="auto"/>
      </w:pPr>
      <w:r>
        <w:rPr>
          <w:rFonts w:ascii="Segoe UI" w:hAnsi="Segoe UI" w:cs="Segoe UI" w:eastAsia="Segoe UI"/>
          <w:color w:val="101820"/>
          <w:sz w:val="21"/>
        </w:rPr>
        <w:t>If documents conflict, the following order applies, the first prevailing: (a) the Data Processing Agreement on matters of Personal Data; (b) the Order Form, but only for the specific purchase and only where it expressly states that it overrides this Agreement; (c) this Agreement; (d) the schedules named in the Order Form, with their annexes; (e) the SOW; (f) the Documentation. Rates in the Order Form prevail over the Service Catalogue and Rate Annex. A signed acceptance certificate or Change Request form records a fact or an approval and does not amend this Agreement.</w:t>
      </w:r>
    </w:p>
    <w:p>
      <w:pPr>
        <w:pStyle w:val="Heading3"/>
      </w:pPr>
      <w:r>
        <w:rPr>
          <w:rFonts w:ascii="Segoe UI" w:hAnsi="Segoe UI" w:cs="Segoe UI" w:eastAsia="Segoe UI"/>
          <w:b/>
          <w:color w:val="0F4761"/>
          <w:sz w:val="23"/>
        </w:rPr>
        <w:t>6.1.3  Affiliates</w:t>
      </w:r>
    </w:p>
    <w:p>
      <w:pPr>
        <w:spacing w:after="120" w:line="276" w:lineRule="auto"/>
      </w:pPr>
      <w:r>
        <w:rPr>
          <w:rFonts w:ascii="Segoe UI" w:hAnsi="Segoe UI" w:cs="Segoe UI" w:eastAsia="Segoe UI"/>
          <w:color w:val="101820"/>
          <w:sz w:val="21"/>
        </w:rPr>
        <w:t>An Affiliate of the Client may sign an Order Form under this Agreement with the written consent of iorta TechNXT. The Affiliate is then the Client for that Order Form.</w:t>
      </w:r>
    </w:p>
    <w:p>
      <w:pPr>
        <w:pStyle w:val="Heading2"/>
      </w:pPr>
      <w:r>
        <w:rPr>
          <w:rFonts w:ascii="Segoe UI" w:hAnsi="Segoe UI" w:cs="Segoe UI" w:eastAsia="Segoe UI"/>
          <w:b/>
          <w:color w:val="0F4761"/>
          <w:sz w:val="26"/>
        </w:rPr>
        <w:t>6.2  Scope of services</w:t>
      </w:r>
    </w:p>
    <w:p>
      <w:pPr>
        <w:pStyle w:val="Heading3"/>
      </w:pPr>
      <w:r>
        <w:rPr>
          <w:rFonts w:ascii="Segoe UI" w:hAnsi="Segoe UI" w:cs="Segoe UI" w:eastAsia="Segoe UI"/>
          <w:b/>
          <w:color w:val="0F4761"/>
          <w:sz w:val="23"/>
        </w:rPr>
        <w:t>6.2.1  Scope</w:t>
      </w:r>
    </w:p>
    <w:p>
      <w:pPr>
        <w:spacing w:after="60"/>
        <w:numPr>
          <w:ilvl w:val="0"/>
          <w:numId w:val="7"/>
        </w:numPr>
      </w:pPr>
      <w:r>
        <w:rPr>
          <w:rFonts w:ascii="Segoe UI" w:hAnsi="Segoe UI" w:cs="Segoe UI" w:eastAsia="Segoe UI"/>
          <w:color w:val="101820"/>
          <w:sz w:val="21"/>
        </w:rPr>
        <w:t>iorta TechNXT provides the Platform and the Services described in each Order Form and its schedules.</w:t>
      </w:r>
    </w:p>
    <w:p>
      <w:pPr>
        <w:spacing w:after="60"/>
        <w:numPr>
          <w:ilvl w:val="0"/>
          <w:numId w:val="7"/>
        </w:numPr>
      </w:pPr>
      <w:r>
        <w:rPr>
          <w:rFonts w:ascii="Segoe UI" w:hAnsi="Segoe UI" w:cs="Segoe UI" w:eastAsia="Segoe UI"/>
          <w:color w:val="101820"/>
          <w:sz w:val="21"/>
        </w:rPr>
        <w:t>The Platform is provided as the OOTB version: the delivered screens, workflows, reports, printed documents and integrations, configured with the Client's settings and master data. Changes to the Platform are Change Requests.</w:t>
      </w:r>
    </w:p>
    <w:p>
      <w:pPr>
        <w:spacing w:after="60"/>
        <w:numPr>
          <w:ilvl w:val="0"/>
          <w:numId w:val="7"/>
        </w:numPr>
      </w:pPr>
      <w:r>
        <w:rPr>
          <w:rFonts w:ascii="Segoe UI" w:hAnsi="Segoe UI" w:cs="Segoe UI" w:eastAsia="Segoe UI"/>
          <w:color w:val="101820"/>
          <w:sz w:val="21"/>
        </w:rPr>
        <w:t>iorta TechNXT performs the Services with reasonable skill and care, by suitably qualified personnel, in line with good industry practice.</w:t>
      </w:r>
    </w:p>
    <w:p>
      <w:pPr>
        <w:pStyle w:val="Heading3"/>
      </w:pPr>
      <w:r>
        <w:rPr>
          <w:rFonts w:ascii="Segoe UI" w:hAnsi="Segoe UI" w:cs="Segoe UI" w:eastAsia="Segoe UI"/>
          <w:b/>
          <w:color w:val="0F4761"/>
          <w:sz w:val="23"/>
        </w:rPr>
        <w:t>6.2.2  Personnel</w:t>
      </w:r>
    </w:p>
    <w:p>
      <w:pPr>
        <w:spacing w:after="60"/>
        <w:numPr>
          <w:ilvl w:val="0"/>
          <w:numId w:val="8"/>
        </w:numPr>
      </w:pPr>
      <w:r>
        <w:rPr>
          <w:rFonts w:ascii="Segoe UI" w:hAnsi="Segoe UI" w:cs="Segoe UI" w:eastAsia="Segoe UI"/>
          <w:color w:val="101820"/>
          <w:sz w:val="21"/>
        </w:rPr>
        <w:t>Each Party names a project manager or account manager as its main contact in the Order Form.</w:t>
      </w:r>
    </w:p>
    <w:p>
      <w:pPr>
        <w:spacing w:after="60"/>
        <w:numPr>
          <w:ilvl w:val="0"/>
          <w:numId w:val="8"/>
        </w:numPr>
      </w:pPr>
      <w:r>
        <w:rPr>
          <w:rFonts w:ascii="Segoe UI" w:hAnsi="Segoe UI" w:cs="Segoe UI" w:eastAsia="Segoe UI"/>
          <w:color w:val="101820"/>
          <w:sz w:val="21"/>
        </w:rPr>
        <w:t>iorta TechNXT may replace its personnel with persons of similar skill and informs the Client in advance where the person is named in the SOW.</w:t>
      </w:r>
    </w:p>
    <w:p>
      <w:pPr>
        <w:spacing w:after="60"/>
        <w:numPr>
          <w:ilvl w:val="0"/>
          <w:numId w:val="8"/>
        </w:numPr>
      </w:pPr>
      <w:r>
        <w:rPr>
          <w:rFonts w:ascii="Segoe UI" w:hAnsi="Segoe UI" w:cs="Segoe UI" w:eastAsia="Segoe UI"/>
          <w:color w:val="101820"/>
          <w:sz w:val="21"/>
        </w:rPr>
        <w:t>While on the Client's premises, iorta TechNXT personnel follow the Client's reasonable site, security and conduct rules notified in advance.</w:t>
      </w:r>
    </w:p>
    <w:p>
      <w:pPr>
        <w:pStyle w:val="Heading3"/>
      </w:pPr>
      <w:r>
        <w:rPr>
          <w:rFonts w:ascii="Segoe UI" w:hAnsi="Segoe UI" w:cs="Segoe UI" w:eastAsia="Segoe UI"/>
          <w:b/>
          <w:color w:val="0F4761"/>
          <w:sz w:val="23"/>
        </w:rPr>
        <w:t>6.2.3  Subcontractors</w:t>
      </w:r>
    </w:p>
    <w:p>
      <w:pPr>
        <w:spacing w:after="120" w:line="276" w:lineRule="auto"/>
      </w:pPr>
      <w:r>
        <w:rPr>
          <w:rFonts w:ascii="Segoe UI" w:hAnsi="Segoe UI" w:cs="Segoe UI" w:eastAsia="Segoe UI"/>
          <w:color w:val="101820"/>
          <w:sz w:val="21"/>
        </w:rPr>
        <w:t>iorta TechNXT may use subcontractors, including cloud and hosting providers, to perform the Services. iorta TechNXT remains responsible for its subcontractors. Sub-processors of Personal Data are governed by the Data Processing Agreement.</w:t>
      </w:r>
    </w:p>
    <w:p>
      <w:pPr>
        <w:pStyle w:val="Heading3"/>
      </w:pPr>
      <w:r>
        <w:rPr>
          <w:rFonts w:ascii="Segoe UI" w:hAnsi="Segoe UI" w:cs="Segoe UI" w:eastAsia="Segoe UI"/>
          <w:b/>
          <w:color w:val="0F4761"/>
          <w:sz w:val="23"/>
        </w:rPr>
        <w:t>6.2.4  Change control</w:t>
      </w:r>
    </w:p>
    <w:p>
      <w:pPr>
        <w:spacing w:after="120" w:line="276" w:lineRule="auto"/>
      </w:pPr>
      <w:r>
        <w:rPr>
          <w:rFonts w:ascii="Segoe UI" w:hAnsi="Segoe UI" w:cs="Segoe UI" w:eastAsia="Segoe UI"/>
          <w:color w:val="101820"/>
          <w:sz w:val="21"/>
        </w:rPr>
        <w:t>Any change to the scope, plan, Deliverables or Fees of an Order Form is made through the Change Request Procedure. No change binds a Party until a Change Request or an amendment is signed by both Parties.</w:t>
      </w:r>
    </w:p>
    <w:p>
      <w:pPr>
        <w:pStyle w:val="Heading2"/>
      </w:pPr>
      <w:r>
        <w:rPr>
          <w:rFonts w:ascii="Segoe UI" w:hAnsi="Segoe UI" w:cs="Segoe UI" w:eastAsia="Segoe UI"/>
          <w:b/>
          <w:color w:val="0F4761"/>
          <w:sz w:val="26"/>
        </w:rPr>
        <w:t>6.3  Client responsibilities</w:t>
      </w:r>
    </w:p>
    <w:p>
      <w:pPr>
        <w:spacing w:after="120" w:line="276" w:lineRule="auto"/>
      </w:pPr>
      <w:r>
        <w:rPr>
          <w:rFonts w:ascii="Segoe UI" w:hAnsi="Segoe UI" w:cs="Segoe UI" w:eastAsia="Segoe UI"/>
          <w:color w:val="101820"/>
          <w:sz w:val="21"/>
        </w:rPr>
        <w:t>The Client shall:</w:t>
      </w:r>
    </w:p>
    <w:p>
      <w:pPr>
        <w:spacing w:after="60"/>
        <w:numPr>
          <w:ilvl w:val="0"/>
          <w:numId w:val="9"/>
        </w:numPr>
      </w:pPr>
      <w:r>
        <w:rPr>
          <w:rFonts w:ascii="Segoe UI" w:hAnsi="Segoe UI" w:cs="Segoe UI" w:eastAsia="Segoe UI"/>
          <w:color w:val="101820"/>
          <w:sz w:val="21"/>
        </w:rPr>
        <w:t>name a project manager, key users and an accounting manager with the authority and time stated in the SOW;</w:t>
      </w:r>
    </w:p>
    <w:p>
      <w:pPr>
        <w:spacing w:after="60"/>
        <w:numPr>
          <w:ilvl w:val="0"/>
          <w:numId w:val="9"/>
        </w:numPr>
      </w:pPr>
      <w:r>
        <w:rPr>
          <w:rFonts w:ascii="Segoe UI" w:hAnsi="Segoe UI" w:cs="Segoe UI" w:eastAsia="Segoe UI"/>
          <w:color w:val="101820"/>
          <w:sz w:val="21"/>
        </w:rPr>
        <w:t>provide complete and accurate information, decisions and data in the formats and by the dates in the SOW;</w:t>
      </w:r>
    </w:p>
    <w:p>
      <w:pPr>
        <w:spacing w:after="60"/>
        <w:numPr>
          <w:ilvl w:val="0"/>
          <w:numId w:val="9"/>
        </w:numPr>
      </w:pPr>
      <w:r>
        <w:rPr>
          <w:rFonts w:ascii="Segoe UI" w:hAnsi="Segoe UI" w:cs="Segoe UI" w:eastAsia="Segoe UI"/>
          <w:color w:val="101820"/>
          <w:sz w:val="21"/>
        </w:rPr>
        <w:t>provide access to its premises, systems, third-party providers and personnel as reasonably needed;</w:t>
      </w:r>
    </w:p>
    <w:p>
      <w:pPr>
        <w:spacing w:after="60"/>
        <w:numPr>
          <w:ilvl w:val="0"/>
          <w:numId w:val="9"/>
        </w:numPr>
      </w:pPr>
      <w:r>
        <w:rPr>
          <w:rFonts w:ascii="Segoe UI" w:hAnsi="Segoe UI" w:cs="Segoe UI" w:eastAsia="Segoe UI"/>
          <w:color w:val="101820"/>
          <w:sz w:val="21"/>
        </w:rPr>
        <w:t>obtain and keep the third-party contracts it owns, such as e-mail, payment gateway and bank arrangements;</w:t>
      </w:r>
    </w:p>
    <w:p>
      <w:pPr>
        <w:spacing w:after="60"/>
        <w:numPr>
          <w:ilvl w:val="0"/>
          <w:numId w:val="9"/>
        </w:numPr>
      </w:pPr>
      <w:r>
        <w:rPr>
          <w:rFonts w:ascii="Segoe UI" w:hAnsi="Segoe UI" w:cs="Segoe UI" w:eastAsia="Segoe UI"/>
          <w:color w:val="101820"/>
          <w:sz w:val="21"/>
        </w:rPr>
        <w:t>use the Platform in line with the Documentation, applicable law and the rules of the Insurance Commission, the Bureau of Internal Revenue and the National Privacy Commission;</w:t>
      </w:r>
    </w:p>
    <w:p>
      <w:pPr>
        <w:spacing w:after="60"/>
        <w:numPr>
          <w:ilvl w:val="0"/>
          <w:numId w:val="9"/>
        </w:numPr>
      </w:pPr>
      <w:r>
        <w:rPr>
          <w:rFonts w:ascii="Segoe UI" w:hAnsi="Segoe UI" w:cs="Segoe UI" w:eastAsia="Segoe UI"/>
          <w:color w:val="101820"/>
          <w:sz w:val="21"/>
        </w:rPr>
        <w:t>remain responsible for its regulatory filings, registrations, tax returns, reports to the Insurance Commission, notifications to the National Privacy Commission and its business decisions, including those made with the help of the Platform;</w:t>
      </w:r>
    </w:p>
    <w:p>
      <w:pPr>
        <w:spacing w:after="60"/>
        <w:numPr>
          <w:ilvl w:val="0"/>
          <w:numId w:val="9"/>
        </w:numPr>
      </w:pPr>
      <w:r>
        <w:rPr>
          <w:rFonts w:ascii="Segoe UI" w:hAnsi="Segoe UI" w:cs="Segoe UI" w:eastAsia="Segoe UI"/>
          <w:color w:val="101820"/>
          <w:sz w:val="21"/>
        </w:rPr>
        <w:t>keep its sign-in credentials confidential and manage its Users through its own joiner, mover and leaver process;</w:t>
      </w:r>
    </w:p>
    <w:p>
      <w:pPr>
        <w:spacing w:after="60"/>
        <w:numPr>
          <w:ilvl w:val="0"/>
          <w:numId w:val="9"/>
        </w:numPr>
      </w:pPr>
      <w:r>
        <w:rPr>
          <w:rFonts w:ascii="Segoe UI" w:hAnsi="Segoe UI" w:cs="Segoe UI" w:eastAsia="Segoe UI"/>
          <w:color w:val="101820"/>
          <w:sz w:val="21"/>
        </w:rPr>
        <w:t>review the delivered tax codes, rates, BIR working papers and settings with its tax adviser and compliance officer before Go-Live.</w:t>
      </w:r>
    </w:p>
    <w:p>
      <w:pPr>
        <w:spacing w:after="120" w:line="276" w:lineRule="auto"/>
      </w:pPr>
      <w:r>
        <w:rPr>
          <w:rFonts w:ascii="Segoe UI" w:hAnsi="Segoe UI" w:cs="Segoe UI" w:eastAsia="Segoe UI"/>
          <w:color w:val="101820"/>
          <w:sz w:val="21"/>
        </w:rPr>
        <w:t>iorta TechNXT is not liable for delay or failure caused by the Client not meeting these responsibilities. In that case the timeline moves by the time lost and iorta TechNXT may charge the extra effort at the day rates of the Order Form, after giving written notice.</w:t>
      </w:r>
    </w:p>
    <w:p>
      <w:pPr>
        <w:pStyle w:val="Heading1"/>
        <w:pageBreakBefore/>
      </w:pPr>
      <w:r>
        <w:rPr>
          <w:rFonts w:ascii="Segoe UI" w:hAnsi="Segoe UI" w:cs="Segoe UI" w:eastAsia="Segoe UI"/>
          <w:b/>
          <w:color w:val="0F4761"/>
          <w:sz w:val="32"/>
        </w:rPr>
        <w:t>7.  Fees and taxes</w:t>
      </w:r>
    </w:p>
    <w:p>
      <w:pPr>
        <w:pStyle w:val="Heading2"/>
      </w:pPr>
      <w:r>
        <w:rPr>
          <w:rFonts w:ascii="Segoe UI" w:hAnsi="Segoe UI" w:cs="Segoe UI" w:eastAsia="Segoe UI"/>
          <w:b/>
          <w:color w:val="0F4761"/>
          <w:sz w:val="26"/>
        </w:rPr>
        <w:t>7.1  Fees and payment</w:t>
      </w:r>
    </w:p>
    <w:p>
      <w:pPr>
        <w:pStyle w:val="Heading3"/>
      </w:pPr>
      <w:r>
        <w:rPr>
          <w:rFonts w:ascii="Segoe UI" w:hAnsi="Segoe UI" w:cs="Segoe UI" w:eastAsia="Segoe UI"/>
          <w:b/>
          <w:color w:val="0F4761"/>
          <w:sz w:val="23"/>
        </w:rPr>
        <w:t>7.1.1  Fees</w:t>
      </w:r>
    </w:p>
    <w:p>
      <w:pPr>
        <w:spacing w:after="60"/>
        <w:numPr>
          <w:ilvl w:val="0"/>
          <w:numId w:val="10"/>
        </w:numPr>
      </w:pPr>
      <w:r>
        <w:rPr>
          <w:rFonts w:ascii="Segoe UI" w:hAnsi="Segoe UI" w:cs="Segoe UI" w:eastAsia="Segoe UI"/>
          <w:color w:val="101820"/>
          <w:sz w:val="21"/>
        </w:rPr>
        <w:t>The Client pays the Fees in each Order Form. Fees are stated in Philippine pesos and exclude VAT.</w:t>
      </w:r>
    </w:p>
    <w:p>
      <w:pPr>
        <w:spacing w:after="60"/>
        <w:numPr>
          <w:ilvl w:val="0"/>
          <w:numId w:val="10"/>
        </w:numPr>
      </w:pPr>
      <w:r>
        <w:rPr>
          <w:rFonts w:ascii="Segoe UI" w:hAnsi="Segoe UI" w:cs="Segoe UI" w:eastAsia="Segoe UI"/>
          <w:color w:val="101820"/>
          <w:sz w:val="21"/>
        </w:rPr>
        <w:t>Recurring Fees for the subscription, the AMC and the 24x7 Severity 1 support increase by 5% at each anniversary of their start date, unless the Order Form states otherwise. Hosting fees, including additional hosted environments, do not increase yearly; they change only as stated in the Pass-through and adjustments clause of the Hosting and Infrastructure Services Agreement.</w:t>
      </w:r>
    </w:p>
    <w:p>
      <w:pPr>
        <w:spacing w:after="60"/>
        <w:numPr>
          <w:ilvl w:val="0"/>
          <w:numId w:val="10"/>
        </w:numPr>
      </w:pPr>
      <w:r>
        <w:rPr>
          <w:rFonts w:ascii="Segoe UI" w:hAnsi="Segoe UI" w:cs="Segoe UI" w:eastAsia="Segoe UI"/>
          <w:color w:val="101820"/>
          <w:sz w:val="21"/>
        </w:rPr>
        <w:t>Day rates for Change Requests and optional services are fixed for 12 months from the date of the Order Form and may then be reviewed once a year with 60 days' written notice.</w:t>
      </w:r>
    </w:p>
    <w:p>
      <w:pPr>
        <w:pStyle w:val="Heading3"/>
      </w:pPr>
      <w:r>
        <w:rPr>
          <w:rFonts w:ascii="Segoe UI" w:hAnsi="Segoe UI" w:cs="Segoe UI" w:eastAsia="Segoe UI"/>
          <w:b/>
          <w:color w:val="0F4761"/>
          <w:sz w:val="23"/>
        </w:rPr>
        <w:t>7.1.2  Invoicing and payment</w:t>
      </w:r>
    </w:p>
    <w:p>
      <w:pPr>
        <w:spacing w:after="60"/>
        <w:numPr>
          <w:ilvl w:val="0"/>
          <w:numId w:val="11"/>
        </w:numPr>
      </w:pPr>
      <w:r>
        <w:rPr>
          <w:rFonts w:ascii="Segoe UI" w:hAnsi="Segoe UI" w:cs="Segoe UI" w:eastAsia="Segoe UI"/>
          <w:color w:val="101820"/>
          <w:sz w:val="21"/>
        </w:rPr>
        <w:t>iorta TechNXT invoices on the milestones and periods stated in the Order Form.</w:t>
      </w:r>
    </w:p>
    <w:p>
      <w:pPr>
        <w:spacing w:after="60"/>
        <w:numPr>
          <w:ilvl w:val="0"/>
          <w:numId w:val="11"/>
        </w:numPr>
      </w:pPr>
      <w:r>
        <w:rPr>
          <w:rFonts w:ascii="Segoe UI" w:hAnsi="Segoe UI" w:cs="Segoe UI" w:eastAsia="Segoe UI"/>
          <w:color w:val="101820"/>
          <w:sz w:val="21"/>
        </w:rPr>
        <w:t>The Client pays each undisputed invoice within 30 days of the invoice date, by bank transfer to the account stated on the invoice, without set-off.</w:t>
      </w:r>
    </w:p>
    <w:p>
      <w:pPr>
        <w:spacing w:after="60"/>
        <w:numPr>
          <w:ilvl w:val="0"/>
          <w:numId w:val="11"/>
        </w:numPr>
      </w:pPr>
      <w:r>
        <w:rPr>
          <w:rFonts w:ascii="Segoe UI" w:hAnsi="Segoe UI" w:cs="Segoe UI" w:eastAsia="Segoe UI"/>
          <w:color w:val="101820"/>
          <w:sz w:val="21"/>
        </w:rPr>
        <w:t>The Client notifies any dispute in writing within 15 days of the invoice date, with reasons, and pays the undisputed part on time. The Parties resolve the dispute under the Dispute resolution clause.</w:t>
      </w:r>
    </w:p>
    <w:p>
      <w:pPr>
        <w:spacing w:after="60"/>
        <w:numPr>
          <w:ilvl w:val="0"/>
          <w:numId w:val="11"/>
        </w:numPr>
      </w:pPr>
      <w:r>
        <w:rPr>
          <w:rFonts w:ascii="Segoe UI" w:hAnsi="Segoe UI" w:cs="Segoe UI" w:eastAsia="Segoe UI"/>
          <w:color w:val="101820"/>
          <w:sz w:val="21"/>
        </w:rPr>
        <w:t>Late amounts bear interest at [1% a month / the legal rate of interest] from the due date until payment.</w:t>
      </w:r>
    </w:p>
    <w:p>
      <w:pPr>
        <w:spacing w:after="60"/>
        <w:numPr>
          <w:ilvl w:val="0"/>
          <w:numId w:val="11"/>
        </w:numPr>
      </w:pPr>
      <w:r>
        <w:rPr>
          <w:rFonts w:ascii="Segoe UI" w:hAnsi="Segoe UI" w:cs="Segoe UI" w:eastAsia="Segoe UI"/>
          <w:color w:val="101820"/>
          <w:sz w:val="21"/>
        </w:rPr>
        <w:t>If an undisputed amount remains unpaid 60 days after the due date, iorta TechNXT may, after 10 Business Days' written notice, suspend the affected subscription, hosting or support Services until payment. Suspension does not reduce the Fees due.</w:t>
      </w:r>
    </w:p>
    <w:p>
      <w:pPr>
        <w:spacing w:after="60"/>
        <w:numPr>
          <w:ilvl w:val="0"/>
          <w:numId w:val="11"/>
        </w:numPr>
      </w:pPr>
      <w:r>
        <w:rPr>
          <w:rFonts w:ascii="Segoe UI" w:hAnsi="Segoe UI" w:cs="Segoe UI" w:eastAsia="Segoe UI"/>
          <w:color w:val="101820"/>
          <w:sz w:val="21"/>
        </w:rPr>
        <w:t>Bank charges of the Client's bank are for the Client's account.</w:t>
      </w:r>
    </w:p>
    <w:p>
      <w:pPr>
        <w:pStyle w:val="Heading2"/>
      </w:pPr>
      <w:r>
        <w:rPr>
          <w:rFonts w:ascii="Segoe UI" w:hAnsi="Segoe UI" w:cs="Segoe UI" w:eastAsia="Segoe UI"/>
          <w:b/>
          <w:color w:val="0F4761"/>
          <w:sz w:val="26"/>
        </w:rPr>
        <w:t>7.2  Taxes</w:t>
      </w:r>
    </w:p>
    <w:p>
      <w:pPr>
        <w:pStyle w:val="Heading3"/>
      </w:pPr>
      <w:r>
        <w:rPr>
          <w:rFonts w:ascii="Segoe UI" w:hAnsi="Segoe UI" w:cs="Segoe UI" w:eastAsia="Segoe UI"/>
          <w:b/>
          <w:color w:val="0F4761"/>
          <w:sz w:val="23"/>
        </w:rPr>
        <w:t>7.2.1  VAT</w:t>
      </w:r>
    </w:p>
    <w:p>
      <w:pPr>
        <w:spacing w:after="120" w:line="276" w:lineRule="auto"/>
      </w:pPr>
      <w:r>
        <w:rPr>
          <w:rFonts w:ascii="Segoe UI" w:hAnsi="Segoe UI" w:cs="Segoe UI" w:eastAsia="Segoe UI"/>
          <w:color w:val="101820"/>
          <w:sz w:val="21"/>
        </w:rPr>
        <w:t>All Fees exclude value-added tax. iorta TechNXT adds VAT at the rate in force (currently 12%) to each invoice and issues a VAT invoice in the form required by the National Internal Revenue Code as amended, including by RA 11976 (Ease of Paying Taxes Act).</w:t>
      </w:r>
    </w:p>
    <w:p>
      <w:pPr>
        <w:pStyle w:val="Heading3"/>
      </w:pPr>
      <w:r>
        <w:rPr>
          <w:rFonts w:ascii="Segoe UI" w:hAnsi="Segoe UI" w:cs="Segoe UI" w:eastAsia="Segoe UI"/>
          <w:b/>
          <w:color w:val="0F4761"/>
          <w:sz w:val="23"/>
        </w:rPr>
        <w:t>7.2.2  Withholding taxes</w:t>
      </w:r>
    </w:p>
    <w:p>
      <w:pPr>
        <w:spacing w:after="60"/>
        <w:numPr>
          <w:ilvl w:val="0"/>
          <w:numId w:val="12"/>
        </w:numPr>
      </w:pPr>
      <w:r>
        <w:rPr>
          <w:rFonts w:ascii="Segoe UI" w:hAnsi="Segoe UI" w:cs="Segoe UI" w:eastAsia="Segoe UI"/>
          <w:color w:val="101820"/>
          <w:sz w:val="21"/>
        </w:rPr>
        <w:t>Where the Client is required by law to withhold creditable withholding tax on a payment to iorta TechNXT, the Client withholds it at the rate that applies to the payment and to iorta TechNXT's status, remits it to the Bureau of Internal Revenue on time, and gives iorta TechNXT a BIR Form 2307 (Certificate of Creditable Tax Withheld at Source) for each quarter within the period required by the regulations, and in any case within 20 days after the end of the quarter.</w:t>
      </w:r>
    </w:p>
    <w:p>
      <w:pPr>
        <w:spacing w:after="60"/>
        <w:numPr>
          <w:ilvl w:val="0"/>
          <w:numId w:val="12"/>
        </w:numPr>
      </w:pPr>
      <w:r>
        <w:rPr>
          <w:rFonts w:ascii="Segoe UI" w:hAnsi="Segoe UI" w:cs="Segoe UI" w:eastAsia="Segoe UI"/>
          <w:color w:val="101820"/>
          <w:sz w:val="21"/>
        </w:rPr>
        <w:t>Withholding does not reduce the invoice price. If the Client does not deliver a BIR Form 2307 for an amount withheld, the Client pays that amount to iorta TechNXT on demand.</w:t>
      </w:r>
    </w:p>
    <w:p>
      <w:pPr>
        <w:spacing w:after="60"/>
        <w:numPr>
          <w:ilvl w:val="0"/>
          <w:numId w:val="12"/>
        </w:numPr>
      </w:pPr>
      <w:r>
        <w:rPr>
          <w:rFonts w:ascii="Segoe UI" w:hAnsi="Segoe UI" w:cs="Segoe UI" w:eastAsia="Segoe UI"/>
          <w:color w:val="101820"/>
          <w:sz w:val="21"/>
        </w:rPr>
        <w:t>The tax treatment of the perpetual licence fee (as a sale of software or as a royalty) is confirmed by both Parties' tax advisers before the Order Form is signed, and stated in the Order Form.</w:t>
      </w:r>
    </w:p>
    <w:p>
      <w:pPr>
        <w:pStyle w:val="Heading3"/>
      </w:pPr>
      <w:r>
        <w:rPr>
          <w:rFonts w:ascii="Segoe UI" w:hAnsi="Segoe UI" w:cs="Segoe UI" w:eastAsia="Segoe UI"/>
          <w:b/>
          <w:color w:val="0F4761"/>
          <w:sz w:val="23"/>
        </w:rPr>
        <w:t>7.2.3  Other taxes</w:t>
      </w:r>
    </w:p>
    <w:p>
      <w:pPr>
        <w:spacing w:after="120" w:line="276" w:lineRule="auto"/>
      </w:pPr>
      <w:r>
        <w:rPr>
          <w:rFonts w:ascii="Segoe UI" w:hAnsi="Segoe UI" w:cs="Segoe UI" w:eastAsia="Segoe UI"/>
          <w:color w:val="101820"/>
          <w:sz w:val="21"/>
        </w:rPr>
        <w:t>Each Party bears its own income tax. Documentary stamp tax on this Agreement, if any, is for the account of [the Client / both Parties in equal shares]. Taxes that a new law imposes on the Services after the Effective Date are added to the Fees.</w:t>
      </w:r>
    </w:p>
    <w:p>
      <w:pPr>
        <w:pStyle w:val="Heading1"/>
        <w:pageBreakBefore/>
      </w:pPr>
      <w:r>
        <w:rPr>
          <w:rFonts w:ascii="Segoe UI" w:hAnsi="Segoe UI" w:cs="Segoe UI" w:eastAsia="Segoe UI"/>
          <w:b/>
          <w:color w:val="0F4761"/>
          <w:sz w:val="32"/>
        </w:rPr>
        <w:t>8.  Term and termination</w:t>
      </w:r>
    </w:p>
    <w:p>
      <w:pPr>
        <w:pStyle w:val="Heading2"/>
      </w:pPr>
      <w:r>
        <w:rPr>
          <w:rFonts w:ascii="Segoe UI" w:hAnsi="Segoe UI" w:cs="Segoe UI" w:eastAsia="Segoe UI"/>
          <w:b/>
          <w:color w:val="0F4761"/>
          <w:sz w:val="26"/>
        </w:rPr>
        <w:t>8.1  Term</w:t>
      </w:r>
    </w:p>
    <w:p>
      <w:pPr>
        <w:spacing w:after="120" w:line="276" w:lineRule="auto"/>
      </w:pPr>
      <w:r>
        <w:rPr>
          <w:rFonts w:ascii="Segoe UI" w:hAnsi="Segoe UI" w:cs="Segoe UI" w:eastAsia="Segoe UI"/>
          <w:color w:val="101820"/>
          <w:sz w:val="21"/>
        </w:rPr>
        <w:t>This Agreement starts on the Effective Date and continues until terminated under this clause. Each Order Form has the term stated in it. Termination of this Agreement does not end an Order Form then in force, which continues to be governed by this Agreement until it ends.</w:t>
      </w:r>
    </w:p>
    <w:p>
      <w:pPr>
        <w:pStyle w:val="Heading2"/>
      </w:pPr>
      <w:r>
        <w:rPr>
          <w:rFonts w:ascii="Segoe UI" w:hAnsi="Segoe UI" w:cs="Segoe UI" w:eastAsia="Segoe UI"/>
          <w:b/>
          <w:color w:val="0F4761"/>
          <w:sz w:val="26"/>
        </w:rPr>
        <w:t>8.2  Termination for cause</w:t>
      </w:r>
    </w:p>
    <w:p>
      <w:pPr>
        <w:spacing w:after="120" w:line="276" w:lineRule="auto"/>
      </w:pPr>
      <w:r>
        <w:rPr>
          <w:rFonts w:ascii="Segoe UI" w:hAnsi="Segoe UI" w:cs="Segoe UI" w:eastAsia="Segoe UI"/>
          <w:color w:val="101820"/>
          <w:sz w:val="21"/>
        </w:rPr>
        <w:t>A Party may terminate this Agreement or an affected Order Form by written notice if the other Party:</w:t>
      </w:r>
    </w:p>
    <w:p>
      <w:pPr>
        <w:spacing w:after="60"/>
        <w:numPr>
          <w:ilvl w:val="0"/>
          <w:numId w:val="13"/>
        </w:numPr>
      </w:pPr>
      <w:r>
        <w:rPr>
          <w:rFonts w:ascii="Segoe UI" w:hAnsi="Segoe UI" w:cs="Segoe UI" w:eastAsia="Segoe UI"/>
          <w:color w:val="101820"/>
          <w:sz w:val="21"/>
        </w:rPr>
        <w:t>commits a material breach and does not cure it within 30 days of a written notice describing the breach (10 Business Days for non-payment);</w:t>
      </w:r>
    </w:p>
    <w:p>
      <w:pPr>
        <w:spacing w:after="60"/>
        <w:numPr>
          <w:ilvl w:val="0"/>
          <w:numId w:val="13"/>
        </w:numPr>
      </w:pPr>
      <w:r>
        <w:rPr>
          <w:rFonts w:ascii="Segoe UI" w:hAnsi="Segoe UI" w:cs="Segoe UI" w:eastAsia="Segoe UI"/>
          <w:color w:val="101820"/>
          <w:sz w:val="21"/>
        </w:rPr>
        <w:t>becomes insolvent, makes an assignment for the benefit of creditors, has a receiver or rehabilitation receiver appointed, or is the subject of insolvency, rehabilitation or liquidation proceedings under RA 10142 (Financial Rehabilitation and Insolvency Act) that are not dismissed within 60 days; or</w:t>
      </w:r>
    </w:p>
    <w:p>
      <w:pPr>
        <w:spacing w:after="60"/>
        <w:numPr>
          <w:ilvl w:val="0"/>
          <w:numId w:val="13"/>
        </w:numPr>
      </w:pPr>
      <w:r>
        <w:rPr>
          <w:rFonts w:ascii="Segoe UI" w:hAnsi="Segoe UI" w:cs="Segoe UI" w:eastAsia="Segoe UI"/>
          <w:color w:val="101820"/>
          <w:sz w:val="21"/>
        </w:rPr>
        <w:t>has its licence or registration needed to perform this Agreement revoked, in the case of the Client its certificate of authority as an insurance broker.</w:t>
      </w:r>
    </w:p>
    <w:p>
      <w:pPr>
        <w:pStyle w:val="Heading2"/>
      </w:pPr>
      <w:r>
        <w:rPr>
          <w:rFonts w:ascii="Segoe UI" w:hAnsi="Segoe UI" w:cs="Segoe UI" w:eastAsia="Segoe UI"/>
          <w:b/>
          <w:color w:val="0F4761"/>
          <w:sz w:val="26"/>
        </w:rPr>
        <w:t>8.3  Termination for convenience</w:t>
      </w:r>
    </w:p>
    <w:p>
      <w:pPr>
        <w:spacing w:after="120" w:line="276" w:lineRule="auto"/>
      </w:pPr>
      <w:r>
        <w:rPr>
          <w:rFonts w:ascii="Segoe UI" w:hAnsi="Segoe UI" w:cs="Segoe UI" w:eastAsia="Segoe UI"/>
          <w:color w:val="101820"/>
          <w:sz w:val="21"/>
        </w:rPr>
        <w:t>[Option A: Neither Party may terminate an Order Form for convenience during its committed term.] [Option B: The Client may terminate an Order Form for convenience on 90 days' written notice, paying the Fees for Services performed up to termination, non-cancellable third-party costs and an early termination fee equal to [all / 50% of] the recurring Fees for the remainder of the committed term.]</w:t>
      </w:r>
    </w:p>
    <w:p>
      <w:pPr>
        <w:pStyle w:val="Heading2"/>
      </w:pPr>
      <w:r>
        <w:rPr>
          <w:rFonts w:ascii="Segoe UI" w:hAnsi="Segoe UI" w:cs="Segoe UI" w:eastAsia="Segoe UI"/>
          <w:b/>
          <w:color w:val="0F4761"/>
          <w:sz w:val="26"/>
        </w:rPr>
        <w:t>8.4  Effect of termination</w:t>
      </w:r>
    </w:p>
    <w:p>
      <w:pPr>
        <w:spacing w:after="60"/>
        <w:numPr>
          <w:ilvl w:val="0"/>
          <w:numId w:val="14"/>
        </w:numPr>
      </w:pPr>
      <w:r>
        <w:rPr>
          <w:rFonts w:ascii="Segoe UI" w:hAnsi="Segoe UI" w:cs="Segoe UI" w:eastAsia="Segoe UI"/>
          <w:color w:val="101820"/>
          <w:sz w:val="21"/>
        </w:rPr>
        <w:t>The Client pays all Fees due up to the date of termination. Fees paid in advance for a period after termination for iorta TechNXT's uncured breach are refunded pro rata.</w:t>
      </w:r>
    </w:p>
    <w:p>
      <w:pPr>
        <w:spacing w:after="60"/>
        <w:numPr>
          <w:ilvl w:val="0"/>
          <w:numId w:val="14"/>
        </w:numPr>
      </w:pPr>
      <w:r>
        <w:rPr>
          <w:rFonts w:ascii="Segoe UI" w:hAnsi="Segoe UI" w:cs="Segoe UI" w:eastAsia="Segoe UI"/>
          <w:color w:val="101820"/>
          <w:sz w:val="21"/>
        </w:rPr>
        <w:t>Each Party returns or destroys the other's Confidential Information, except copies that law or a retention policy requires it to keep.</w:t>
      </w:r>
    </w:p>
    <w:p>
      <w:pPr>
        <w:spacing w:after="60"/>
        <w:numPr>
          <w:ilvl w:val="0"/>
          <w:numId w:val="14"/>
        </w:numPr>
      </w:pPr>
      <w:r>
        <w:rPr>
          <w:rFonts w:ascii="Segoe UI" w:hAnsi="Segoe UI" w:cs="Segoe UI" w:eastAsia="Segoe UI"/>
          <w:color w:val="101820"/>
          <w:sz w:val="21"/>
        </w:rPr>
        <w:t>Client Data is returned and deleted as stated in the Data Processing Agreement, the subscription or hosting schedule and the Exit and Transition Plan. iorta TechNXT provides an export of the Client Data in a standard format (CSV, XLSX or a PostgreSQL dump) within 30 days of the Client's request made within 60 days of termination.</w:t>
      </w:r>
    </w:p>
    <w:p>
      <w:pPr>
        <w:spacing w:after="60"/>
        <w:numPr>
          <w:ilvl w:val="0"/>
          <w:numId w:val="14"/>
        </w:numPr>
      </w:pPr>
      <w:r>
        <w:rPr>
          <w:rFonts w:ascii="Segoe UI" w:hAnsi="Segoe UI" w:cs="Segoe UI" w:eastAsia="Segoe UI"/>
          <w:color w:val="101820"/>
          <w:sz w:val="21"/>
        </w:rPr>
        <w:t>Transition assistance requested by the Client is provided under the Exit and Transition Plan, at the day rates of the Order Form beyond any assistance that the Plan includes.</w:t>
      </w:r>
    </w:p>
    <w:p>
      <w:pPr>
        <w:spacing w:after="60"/>
        <w:numPr>
          <w:ilvl w:val="0"/>
          <w:numId w:val="14"/>
        </w:numPr>
      </w:pPr>
      <w:r>
        <w:rPr>
          <w:rFonts w:ascii="Segoe UI" w:hAnsi="Segoe UI" w:cs="Segoe UI" w:eastAsia="Segoe UI"/>
          <w:color w:val="101820"/>
          <w:sz w:val="21"/>
        </w:rPr>
        <w:t>The clauses on Fees and payment, Taxes, Intellectual property, Confidentiality, Data protection, Limitation of liability, Indemnities, Non-solicitation, Dispute resolution, Governing law and every clause that by its nature should survive, survive termination.</w:t>
      </w:r>
    </w:p>
    <w:p>
      <w:pPr>
        <w:pStyle w:val="Heading1"/>
        <w:pageBreakBefore/>
      </w:pPr>
      <w:r>
        <w:rPr>
          <w:rFonts w:ascii="Segoe UI" w:hAnsi="Segoe UI" w:cs="Segoe UI" w:eastAsia="Segoe UI"/>
          <w:b/>
          <w:color w:val="0F4761"/>
          <w:sz w:val="32"/>
        </w:rPr>
        <w:t>9.  Rights in the platform and in data</w:t>
      </w:r>
    </w:p>
    <w:p>
      <w:pPr>
        <w:pStyle w:val="Heading2"/>
      </w:pPr>
      <w:r>
        <w:rPr>
          <w:rFonts w:ascii="Segoe UI" w:hAnsi="Segoe UI" w:cs="Segoe UI" w:eastAsia="Segoe UI"/>
          <w:b/>
          <w:color w:val="0F4761"/>
          <w:sz w:val="26"/>
        </w:rPr>
        <w:t>9.1  Intellectual property</w:t>
      </w:r>
    </w:p>
    <w:p>
      <w:pPr>
        <w:pStyle w:val="Heading3"/>
      </w:pPr>
      <w:r>
        <w:rPr>
          <w:rFonts w:ascii="Segoe UI" w:hAnsi="Segoe UI" w:cs="Segoe UI" w:eastAsia="Segoe UI"/>
          <w:b/>
          <w:color w:val="0F4761"/>
          <w:sz w:val="23"/>
        </w:rPr>
        <w:t>9.1.1  Platform</w:t>
      </w:r>
    </w:p>
    <w:p>
      <w:pPr>
        <w:spacing w:after="60"/>
        <w:numPr>
          <w:ilvl w:val="0"/>
          <w:numId w:val="15"/>
        </w:numPr>
      </w:pPr>
      <w:r>
        <w:rPr>
          <w:rFonts w:ascii="Segoe UI" w:hAnsi="Segoe UI" w:cs="Segoe UI" w:eastAsia="Segoe UI"/>
          <w:color w:val="101820"/>
          <w:sz w:val="21"/>
        </w:rPr>
        <w:t>iorta TechNXT and its licensors own all Intellectual Property Rights in the Platform, the Documentation, the upload templates, configurations that are generic to the Platform, tools, methods and know-how, and all improvements, modifications and derivative works of them, whoever makes them, including those made under a Change Request.</w:t>
      </w:r>
    </w:p>
    <w:p>
      <w:pPr>
        <w:spacing w:after="60"/>
        <w:numPr>
          <w:ilvl w:val="0"/>
          <w:numId w:val="15"/>
        </w:numPr>
      </w:pPr>
      <w:r>
        <w:rPr>
          <w:rFonts w:ascii="Segoe UI" w:hAnsi="Segoe UI" w:cs="Segoe UI" w:eastAsia="Segoe UI"/>
          <w:color w:val="101820"/>
          <w:sz w:val="21"/>
        </w:rPr>
        <w:t>Nothing in this Agreement transfers any of those rights to the Client. The Client receives only the licence or right of use stated in the applicable schedule.</w:t>
      </w:r>
    </w:p>
    <w:p>
      <w:pPr>
        <w:spacing w:after="60"/>
        <w:numPr>
          <w:ilvl w:val="0"/>
          <w:numId w:val="15"/>
        </w:numPr>
      </w:pPr>
      <w:r>
        <w:rPr>
          <w:rFonts w:ascii="Segoe UI" w:hAnsi="Segoe UI" w:cs="Segoe UI" w:eastAsia="Segoe UI"/>
          <w:color w:val="101820"/>
          <w:sz w:val="21"/>
        </w:rPr>
        <w:t>The Client shall not remove proprietary notices, reverse engineer, decompile or disassemble the Platform, except to the extent that RA 8293 (Intellectual Property Code) allows it despite this restriction.</w:t>
      </w:r>
    </w:p>
    <w:p>
      <w:pPr>
        <w:pStyle w:val="Heading3"/>
      </w:pPr>
      <w:r>
        <w:rPr>
          <w:rFonts w:ascii="Segoe UI" w:hAnsi="Segoe UI" w:cs="Segoe UI" w:eastAsia="Segoe UI"/>
          <w:b/>
          <w:color w:val="0F4761"/>
          <w:sz w:val="23"/>
        </w:rPr>
        <w:t>9.1.2  Client Data</w:t>
      </w:r>
    </w:p>
    <w:p>
      <w:pPr>
        <w:spacing w:after="60"/>
        <w:numPr>
          <w:ilvl w:val="0"/>
          <w:numId w:val="16"/>
        </w:numPr>
      </w:pPr>
      <w:r>
        <w:rPr>
          <w:rFonts w:ascii="Segoe UI" w:hAnsi="Segoe UI" w:cs="Segoe UI" w:eastAsia="Segoe UI"/>
          <w:color w:val="101820"/>
          <w:sz w:val="21"/>
        </w:rPr>
        <w:t>The Client owns all Client Data. iorta TechNXT acquires no right in Client Data except the right to process it to perform the Services, under the Data Processing Agreement.</w:t>
      </w:r>
    </w:p>
    <w:p>
      <w:pPr>
        <w:spacing w:after="60"/>
        <w:numPr>
          <w:ilvl w:val="0"/>
          <w:numId w:val="16"/>
        </w:numPr>
      </w:pPr>
      <w:r>
        <w:rPr>
          <w:rFonts w:ascii="Segoe UI" w:hAnsi="Segoe UI" w:cs="Segoe UI" w:eastAsia="Segoe UI"/>
          <w:color w:val="101820"/>
          <w:sz w:val="21"/>
        </w:rPr>
        <w:t>The Client's own trademarks, letterheads, policy wordings, forms and content remain the property of the Client. The Client grants iorta TechNXT a licence to use them only to perform the Services.</w:t>
      </w:r>
    </w:p>
    <w:p>
      <w:pPr>
        <w:pStyle w:val="Heading3"/>
      </w:pPr>
      <w:r>
        <w:rPr>
          <w:rFonts w:ascii="Segoe UI" w:hAnsi="Segoe UI" w:cs="Segoe UI" w:eastAsia="Segoe UI"/>
          <w:b/>
          <w:color w:val="0F4761"/>
          <w:sz w:val="23"/>
        </w:rPr>
        <w:t>9.1.3  Feedback and statistics</w:t>
      </w:r>
    </w:p>
    <w:p>
      <w:pPr>
        <w:spacing w:after="120" w:line="276" w:lineRule="auto"/>
      </w:pPr>
      <w:r>
        <w:rPr>
          <w:rFonts w:ascii="Segoe UI" w:hAnsi="Segoe UI" w:cs="Segoe UI" w:eastAsia="Segoe UI"/>
          <w:color w:val="101820"/>
          <w:sz w:val="21"/>
        </w:rPr>
        <w:t>iorta TechNXT may use suggestions from the Client to improve the Platform without obligation. iorta TechNXT may use technical and usage statistics that do not identify the Client, its clients or any individual, to operate and improve the Platform.</w:t>
      </w:r>
    </w:p>
    <w:p>
      <w:pPr>
        <w:pStyle w:val="Heading2"/>
      </w:pPr>
      <w:r>
        <w:rPr>
          <w:rFonts w:ascii="Segoe UI" w:hAnsi="Segoe UI" w:cs="Segoe UI" w:eastAsia="Segoe UI"/>
          <w:b/>
          <w:color w:val="0F4761"/>
          <w:sz w:val="26"/>
        </w:rPr>
        <w:t>9.2  Licence grant</w:t>
      </w:r>
    </w:p>
    <w:p>
      <w:pPr>
        <w:spacing w:after="120" w:line="276" w:lineRule="auto"/>
      </w:pPr>
      <w:r>
        <w:rPr>
          <w:rFonts w:ascii="Segoe UI" w:hAnsi="Segoe UI" w:cs="Segoe UI" w:eastAsia="Segoe UI"/>
          <w:color w:val="101820"/>
          <w:sz w:val="21"/>
        </w:rPr>
        <w:t>The right of the Client to use the Platform is granted in, and limited by, the Perpetual Software Licence Agreement or the Software Subscription Agreement named in the Order Form, for the number of Users, environments and term stated there. Use beyond that scope requires an additional Order Form.</w:t>
      </w:r>
    </w:p>
    <w:p>
      <w:pPr>
        <w:pStyle w:val="Heading2"/>
      </w:pPr>
      <w:r>
        <w:rPr>
          <w:rFonts w:ascii="Segoe UI" w:hAnsi="Segoe UI" w:cs="Segoe UI" w:eastAsia="Segoe UI"/>
          <w:b/>
          <w:color w:val="0F4761"/>
          <w:sz w:val="26"/>
        </w:rPr>
        <w:t>9.3  Confidentiality</w:t>
      </w:r>
    </w:p>
    <w:p>
      <w:pPr>
        <w:pStyle w:val="Heading3"/>
      </w:pPr>
      <w:r>
        <w:rPr>
          <w:rFonts w:ascii="Segoe UI" w:hAnsi="Segoe UI" w:cs="Segoe UI" w:eastAsia="Segoe UI"/>
          <w:b/>
          <w:color w:val="0F4761"/>
          <w:sz w:val="23"/>
        </w:rPr>
        <w:t>9.3.1  Confidential Information</w:t>
      </w:r>
    </w:p>
    <w:p>
      <w:pPr>
        <w:spacing w:after="120" w:line="276" w:lineRule="auto"/>
      </w:pPr>
      <w:r>
        <w:rPr>
          <w:rFonts w:ascii="Segoe UI" w:hAnsi="Segoe UI" w:cs="Segoe UI" w:eastAsia="Segoe UI"/>
          <w:color w:val="101820"/>
          <w:sz w:val="21"/>
        </w:rPr>
        <w:t>Confidential Information means all information disclosed by a Party (the discloser) to the other (the recipient), in any form, that is marked as confidential or would be understood to be confidential, including the Platform, its source code, prices and discounts, business plans, Client Data, the clients and insurers of the Client, and the terms of this Agreement.</w:t>
      </w:r>
    </w:p>
    <w:p>
      <w:pPr>
        <w:pStyle w:val="Heading3"/>
      </w:pPr>
      <w:r>
        <w:rPr>
          <w:rFonts w:ascii="Segoe UI" w:hAnsi="Segoe UI" w:cs="Segoe UI" w:eastAsia="Segoe UI"/>
          <w:b/>
          <w:color w:val="0F4761"/>
          <w:sz w:val="23"/>
        </w:rPr>
        <w:t>9.3.2  Obligations</w:t>
      </w:r>
    </w:p>
    <w:p>
      <w:pPr>
        <w:spacing w:after="120" w:line="276" w:lineRule="auto"/>
      </w:pPr>
      <w:r>
        <w:rPr>
          <w:rFonts w:ascii="Segoe UI" w:hAnsi="Segoe UI" w:cs="Segoe UI" w:eastAsia="Segoe UI"/>
          <w:color w:val="101820"/>
          <w:sz w:val="21"/>
        </w:rPr>
        <w:t>The recipient shall:</w:t>
      </w:r>
    </w:p>
    <w:p>
      <w:pPr>
        <w:spacing w:after="60"/>
        <w:numPr>
          <w:ilvl w:val="0"/>
          <w:numId w:val="17"/>
        </w:numPr>
      </w:pPr>
      <w:r>
        <w:rPr>
          <w:rFonts w:ascii="Segoe UI" w:hAnsi="Segoe UI" w:cs="Segoe UI" w:eastAsia="Segoe UI"/>
          <w:color w:val="101820"/>
          <w:sz w:val="21"/>
        </w:rPr>
        <w:t>use the Confidential Information only to perform or receive the Services;</w:t>
      </w:r>
    </w:p>
    <w:p>
      <w:pPr>
        <w:spacing w:after="60"/>
        <w:numPr>
          <w:ilvl w:val="0"/>
          <w:numId w:val="17"/>
        </w:numPr>
      </w:pPr>
      <w:r>
        <w:rPr>
          <w:rFonts w:ascii="Segoe UI" w:hAnsi="Segoe UI" w:cs="Segoe UI" w:eastAsia="Segoe UI"/>
          <w:color w:val="101820"/>
          <w:sz w:val="21"/>
        </w:rPr>
        <w:t>disclose it only to its directors, officers, employees, Affiliates, professional advisers and subcontractors who need to know it and who are bound by confidentiality duties no less protective than this clause;</w:t>
      </w:r>
    </w:p>
    <w:p>
      <w:pPr>
        <w:spacing w:after="60"/>
        <w:numPr>
          <w:ilvl w:val="0"/>
          <w:numId w:val="17"/>
        </w:numPr>
      </w:pPr>
      <w:r>
        <w:rPr>
          <w:rFonts w:ascii="Segoe UI" w:hAnsi="Segoe UI" w:cs="Segoe UI" w:eastAsia="Segoe UI"/>
          <w:color w:val="101820"/>
          <w:sz w:val="21"/>
        </w:rPr>
        <w:t>protect it with at least the care it uses for its own confidential information, and no less than reasonable care.</w:t>
      </w:r>
    </w:p>
    <w:p>
      <w:pPr>
        <w:pStyle w:val="Heading3"/>
      </w:pPr>
      <w:r>
        <w:rPr>
          <w:rFonts w:ascii="Segoe UI" w:hAnsi="Segoe UI" w:cs="Segoe UI" w:eastAsia="Segoe UI"/>
          <w:b/>
          <w:color w:val="0F4761"/>
          <w:sz w:val="23"/>
        </w:rPr>
        <w:t>9.3.3  Exceptions</w:t>
      </w:r>
    </w:p>
    <w:p>
      <w:pPr>
        <w:spacing w:after="120" w:line="276" w:lineRule="auto"/>
      </w:pPr>
      <w:r>
        <w:rPr>
          <w:rFonts w:ascii="Segoe UI" w:hAnsi="Segoe UI" w:cs="Segoe UI" w:eastAsia="Segoe UI"/>
          <w:color w:val="101820"/>
          <w:sz w:val="21"/>
        </w:rPr>
        <w:t>The obligations do not apply to information that: (a) is or becomes public without breach of this Agreement; (b) was lawfully known to the recipient before disclosure; (c) is received from a third party without a duty of confidence; or (d) is independently developed without use of the Confidential Information. A recipient may disclose Confidential Information when required by law, a court, the Insurance Commission, the Bureau of Internal Revenue, the National Privacy Commission or another regulator, after giving the discloser prompt notice where lawful, and only to the extent required.</w:t>
      </w:r>
    </w:p>
    <w:p>
      <w:pPr>
        <w:pStyle w:val="Heading3"/>
      </w:pPr>
      <w:r>
        <w:rPr>
          <w:rFonts w:ascii="Segoe UI" w:hAnsi="Segoe UI" w:cs="Segoe UI" w:eastAsia="Segoe UI"/>
          <w:b/>
          <w:color w:val="0F4761"/>
          <w:sz w:val="23"/>
        </w:rPr>
        <w:t>9.3.4  Duration</w:t>
      </w:r>
    </w:p>
    <w:p>
      <w:pPr>
        <w:spacing w:after="120" w:line="276" w:lineRule="auto"/>
      </w:pPr>
      <w:r>
        <w:rPr>
          <w:rFonts w:ascii="Segoe UI" w:hAnsi="Segoe UI" w:cs="Segoe UI" w:eastAsia="Segoe UI"/>
          <w:color w:val="101820"/>
          <w:sz w:val="21"/>
        </w:rPr>
        <w:t>These obligations last during this Agreement and for 5 years after its termination, and for trade secrets and source code for as long as they remain trade secrets. Personal Data remains protected as stated in the Data Processing Agreement without time limit.</w:t>
      </w:r>
    </w:p>
    <w:p>
      <w:pPr>
        <w:pStyle w:val="Heading2"/>
      </w:pPr>
      <w:r>
        <w:rPr>
          <w:rFonts w:ascii="Segoe UI" w:hAnsi="Segoe UI" w:cs="Segoe UI" w:eastAsia="Segoe UI"/>
          <w:b/>
          <w:color w:val="0F4761"/>
          <w:sz w:val="26"/>
        </w:rPr>
        <w:t>9.4  Data protection</w:t>
      </w:r>
    </w:p>
    <w:p>
      <w:pPr>
        <w:spacing w:after="60"/>
        <w:numPr>
          <w:ilvl w:val="0"/>
          <w:numId w:val="18"/>
        </w:numPr>
      </w:pPr>
      <w:r>
        <w:rPr>
          <w:rFonts w:ascii="Segoe UI" w:hAnsi="Segoe UI" w:cs="Segoe UI" w:eastAsia="Segoe UI"/>
          <w:color w:val="101820"/>
          <w:sz w:val="21"/>
        </w:rPr>
        <w:t>Each Party complies with the Data Privacy Act of 2012 (RA 10173), its Implementing Rules and Regulations and the circulars and issuances of the National Privacy Commission.</w:t>
      </w:r>
    </w:p>
    <w:p>
      <w:pPr>
        <w:spacing w:after="60"/>
        <w:numPr>
          <w:ilvl w:val="0"/>
          <w:numId w:val="18"/>
        </w:numPr>
      </w:pPr>
      <w:r>
        <w:rPr>
          <w:rFonts w:ascii="Segoe UI" w:hAnsi="Segoe UI" w:cs="Segoe UI" w:eastAsia="Segoe UI"/>
          <w:color w:val="101820"/>
          <w:sz w:val="21"/>
        </w:rPr>
        <w:t>For Personal Data in Client Data, the Client is the personal information controller and iorta TechNXT is the personal information processor. The Parties sign the Data Processing Agreement, which forms part of this Agreement and of each Order Form under which iorta TechNXT processes Personal Data.</w:t>
      </w:r>
    </w:p>
    <w:p>
      <w:pPr>
        <w:spacing w:after="60"/>
        <w:numPr>
          <w:ilvl w:val="0"/>
          <w:numId w:val="18"/>
        </w:numPr>
      </w:pPr>
      <w:r>
        <w:rPr>
          <w:rFonts w:ascii="Segoe UI" w:hAnsi="Segoe UI" w:cs="Segoe UI" w:eastAsia="Segoe UI"/>
          <w:color w:val="101820"/>
          <w:sz w:val="21"/>
        </w:rPr>
        <w:t>The Client is responsible for the lawful basis of the processing, its privacy notices, consents, registration of its data processing systems and data protection officer with the National Privacy Commission where required, answers to data subjects and notifications of personal data breaches.</w:t>
      </w:r>
    </w:p>
    <w:p>
      <w:pPr>
        <w:spacing w:after="60"/>
        <w:numPr>
          <w:ilvl w:val="0"/>
          <w:numId w:val="18"/>
        </w:numPr>
      </w:pPr>
      <w:r>
        <w:rPr>
          <w:rFonts w:ascii="Segoe UI" w:hAnsi="Segoe UI" w:cs="Segoe UI" w:eastAsia="Segoe UI"/>
          <w:color w:val="101820"/>
          <w:sz w:val="21"/>
        </w:rPr>
        <w:t>iorta TechNXT processes Personal Data only on the Client's documented instructions, keeps it secure, notifies the Client of a personal data breach without undue delay and within the period in the Data Processing Agreement, and assists the Client as stated there.</w:t>
      </w:r>
    </w:p>
    <w:p>
      <w:pPr>
        <w:spacing w:after="60"/>
        <w:numPr>
          <w:ilvl w:val="0"/>
          <w:numId w:val="18"/>
        </w:numPr>
      </w:pPr>
      <w:r>
        <w:rPr>
          <w:rFonts w:ascii="Segoe UI" w:hAnsi="Segoe UI" w:cs="Segoe UI" w:eastAsia="Segoe UI"/>
          <w:color w:val="101820"/>
          <w:sz w:val="21"/>
        </w:rPr>
        <w:t>Where the Platform is hosted outside the Philippines, the Client decides on and documents the transfer as required by section 21 of the Data Privacy Act. The hosting location is stated in the Order Form.</w:t>
      </w:r>
    </w:p>
    <w:p>
      <w:pPr>
        <w:pStyle w:val="Heading1"/>
        <w:pageBreakBefore/>
      </w:pPr>
      <w:r>
        <w:rPr>
          <w:rFonts w:ascii="Segoe UI" w:hAnsi="Segoe UI" w:cs="Segoe UI" w:eastAsia="Segoe UI"/>
          <w:b/>
          <w:color w:val="0F4761"/>
          <w:sz w:val="32"/>
        </w:rPr>
        <w:t>10.  Warranties, liability and indemnities</w:t>
      </w:r>
    </w:p>
    <w:p>
      <w:pPr>
        <w:pStyle w:val="Heading2"/>
      </w:pPr>
      <w:r>
        <w:rPr>
          <w:rFonts w:ascii="Segoe UI" w:hAnsi="Segoe UI" w:cs="Segoe UI" w:eastAsia="Segoe UI"/>
          <w:b/>
          <w:color w:val="0F4761"/>
          <w:sz w:val="26"/>
        </w:rPr>
        <w:t>10.1  Warranties</w:t>
      </w:r>
    </w:p>
    <w:p>
      <w:pPr>
        <w:pStyle w:val="Heading3"/>
      </w:pPr>
      <w:r>
        <w:rPr>
          <w:rFonts w:ascii="Segoe UI" w:hAnsi="Segoe UI" w:cs="Segoe UI" w:eastAsia="Segoe UI"/>
          <w:b/>
          <w:color w:val="0F4761"/>
          <w:sz w:val="23"/>
        </w:rPr>
        <w:t>10.1.1  Mutual warranties</w:t>
      </w:r>
    </w:p>
    <w:p>
      <w:pPr>
        <w:spacing w:after="120" w:line="276" w:lineRule="auto"/>
      </w:pPr>
      <w:r>
        <w:rPr>
          <w:rFonts w:ascii="Segoe UI" w:hAnsi="Segoe UI" w:cs="Segoe UI" w:eastAsia="Segoe UI"/>
          <w:color w:val="101820"/>
          <w:sz w:val="21"/>
        </w:rPr>
        <w:t>Each Party warrants that it is duly organised and validly existing, that it has the power and authority to sign and perform this Agreement, and that its signatory is duly authorised.</w:t>
      </w:r>
    </w:p>
    <w:p>
      <w:pPr>
        <w:pStyle w:val="Heading3"/>
      </w:pPr>
      <w:r>
        <w:rPr>
          <w:rFonts w:ascii="Segoe UI" w:hAnsi="Segoe UI" w:cs="Segoe UI" w:eastAsia="Segoe UI"/>
          <w:b/>
          <w:color w:val="0F4761"/>
          <w:sz w:val="23"/>
        </w:rPr>
        <w:t>10.1.2  iorta TechNXT warranties</w:t>
      </w:r>
    </w:p>
    <w:p>
      <w:pPr>
        <w:spacing w:after="120" w:line="276" w:lineRule="auto"/>
      </w:pPr>
      <w:r>
        <w:rPr>
          <w:rFonts w:ascii="Segoe UI" w:hAnsi="Segoe UI" w:cs="Segoe UI" w:eastAsia="Segoe UI"/>
          <w:color w:val="101820"/>
          <w:sz w:val="21"/>
        </w:rPr>
        <w:t>iorta TechNXT warrants that:</w:t>
      </w:r>
    </w:p>
    <w:p>
      <w:pPr>
        <w:spacing w:after="60"/>
        <w:numPr>
          <w:ilvl w:val="0"/>
          <w:numId w:val="19"/>
        </w:numPr>
      </w:pPr>
      <w:r>
        <w:rPr>
          <w:rFonts w:ascii="Segoe UI" w:hAnsi="Segoe UI" w:cs="Segoe UI" w:eastAsia="Segoe UI"/>
          <w:color w:val="101820"/>
          <w:sz w:val="21"/>
        </w:rPr>
        <w:t>the Services will be performed with reasonable skill and care, by qualified personnel, in line with good industry practice;</w:t>
      </w:r>
    </w:p>
    <w:p>
      <w:pPr>
        <w:spacing w:after="60"/>
        <w:numPr>
          <w:ilvl w:val="0"/>
          <w:numId w:val="19"/>
        </w:numPr>
      </w:pPr>
      <w:r>
        <w:rPr>
          <w:rFonts w:ascii="Segoe UI" w:hAnsi="Segoe UI" w:cs="Segoe UI" w:eastAsia="Segoe UI"/>
          <w:color w:val="101820"/>
          <w:sz w:val="21"/>
        </w:rPr>
        <w:t>for 12 months from Go-Live (the warranty period) in the case of a perpetual licence, and for the subscription term in the case of a subscription, the Platform will perform materially in line with its Documentation;</w:t>
      </w:r>
    </w:p>
    <w:p>
      <w:pPr>
        <w:spacing w:after="60"/>
        <w:numPr>
          <w:ilvl w:val="0"/>
          <w:numId w:val="19"/>
        </w:numPr>
      </w:pPr>
      <w:r>
        <w:rPr>
          <w:rFonts w:ascii="Segoe UI" w:hAnsi="Segoe UI" w:cs="Segoe UI" w:eastAsia="Segoe UI"/>
          <w:color w:val="101820"/>
          <w:sz w:val="21"/>
        </w:rPr>
        <w:t>it has the right to grant the licence or right of use in the applicable schedule;</w:t>
      </w:r>
    </w:p>
    <w:p>
      <w:pPr>
        <w:spacing w:after="60"/>
        <w:numPr>
          <w:ilvl w:val="0"/>
          <w:numId w:val="19"/>
        </w:numPr>
      </w:pPr>
      <w:r>
        <w:rPr>
          <w:rFonts w:ascii="Segoe UI" w:hAnsi="Segoe UI" w:cs="Segoe UI" w:eastAsia="Segoe UI"/>
          <w:color w:val="101820"/>
          <w:sz w:val="21"/>
        </w:rPr>
        <w:t>it will use industry-standard measures to keep the Platform free of viruses and malicious code at delivery.</w:t>
      </w:r>
    </w:p>
    <w:p>
      <w:pPr>
        <w:pStyle w:val="Heading3"/>
      </w:pPr>
      <w:r>
        <w:rPr>
          <w:rFonts w:ascii="Segoe UI" w:hAnsi="Segoe UI" w:cs="Segoe UI" w:eastAsia="Segoe UI"/>
          <w:b/>
          <w:color w:val="0F4761"/>
          <w:sz w:val="23"/>
        </w:rPr>
        <w:t>10.1.3  Remedies</w:t>
      </w:r>
    </w:p>
    <w:p>
      <w:pPr>
        <w:spacing w:after="120" w:line="276" w:lineRule="auto"/>
      </w:pPr>
      <w:r>
        <w:rPr>
          <w:rFonts w:ascii="Segoe UI" w:hAnsi="Segoe UI" w:cs="Segoe UI" w:eastAsia="Segoe UI"/>
          <w:color w:val="101820"/>
          <w:sz w:val="21"/>
        </w:rPr>
        <w:t>If the Platform does not meet the warranty in point 2 above, iorta TechNXT will, at its option and cost, correct the defect, provide a workaround or, if it cannot do either in a reasonable time, the Client may terminate the affected Order Form and receive a refund of the licence or subscription Fees paid for the period of non-conformity. This is the Client's sole remedy for breach of that warranty.</w:t>
      </w:r>
    </w:p>
    <w:p>
      <w:pPr>
        <w:pStyle w:val="Heading3"/>
      </w:pPr>
      <w:r>
        <w:rPr>
          <w:rFonts w:ascii="Segoe UI" w:hAnsi="Segoe UI" w:cs="Segoe UI" w:eastAsia="Segoe UI"/>
          <w:b/>
          <w:color w:val="0F4761"/>
          <w:sz w:val="23"/>
        </w:rPr>
        <w:t>10.1.4  Exclusions</w:t>
      </w:r>
    </w:p>
    <w:p>
      <w:pPr>
        <w:spacing w:after="120" w:line="276" w:lineRule="auto"/>
      </w:pPr>
      <w:r>
        <w:rPr>
          <w:rFonts w:ascii="Segoe UI" w:hAnsi="Segoe UI" w:cs="Segoe UI" w:eastAsia="Segoe UI"/>
          <w:color w:val="101820"/>
          <w:sz w:val="21"/>
        </w:rPr>
        <w:t>The warranties do not apply to defects caused by: use not in line with the Documentation; changes not made by iorta TechNXT; the Client's data, systems, network or third-party products; or use of a release more than two planned releases behind the current one.</w:t>
      </w:r>
    </w:p>
    <w:p>
      <w:pPr>
        <w:pStyle w:val="Heading3"/>
      </w:pPr>
      <w:r>
        <w:rPr>
          <w:rFonts w:ascii="Segoe UI" w:hAnsi="Segoe UI" w:cs="Segoe UI" w:eastAsia="Segoe UI"/>
          <w:b/>
          <w:color w:val="0F4761"/>
          <w:sz w:val="23"/>
        </w:rPr>
        <w:t>10.1.5  Disclaimer</w:t>
      </w:r>
    </w:p>
    <w:p>
      <w:pPr>
        <w:spacing w:after="120" w:line="276" w:lineRule="auto"/>
      </w:pPr>
      <w:r>
        <w:rPr>
          <w:rFonts w:ascii="Segoe UI" w:hAnsi="Segoe UI" w:cs="Segoe UI" w:eastAsia="Segoe UI"/>
          <w:color w:val="101820"/>
          <w:sz w:val="21"/>
        </w:rPr>
        <w:t>Except as stated in this Agreement, and to the extent permitted by law, iorta TechNXT gives no other warranty, express or implied, including any warranty that the Platform will be error-free or uninterrupted, or that it meets requirements that are not in the Documentation or the SOW. The Platform supports the Client's compliance with the laws and regulations that apply to it but does not replace the Client's own legal, tax, actuarial and compliance judgement.</w:t>
      </w:r>
    </w:p>
    <w:p>
      <w:pPr>
        <w:pStyle w:val="Heading2"/>
      </w:pPr>
      <w:r>
        <w:rPr>
          <w:rFonts w:ascii="Segoe UI" w:hAnsi="Segoe UI" w:cs="Segoe UI" w:eastAsia="Segoe UI"/>
          <w:b/>
          <w:color w:val="0F4761"/>
          <w:sz w:val="26"/>
        </w:rPr>
        <w:t>10.2  Limitation of liability</w:t>
      </w:r>
    </w:p>
    <w:p>
      <w:pPr>
        <w:spacing w:after="60"/>
        <w:numPr>
          <w:ilvl w:val="0"/>
          <w:numId w:val="20"/>
        </w:numPr>
      </w:pPr>
      <w:r>
        <w:rPr>
          <w:rFonts w:ascii="Segoe UI" w:hAnsi="Segoe UI" w:cs="Segoe UI" w:eastAsia="Segoe UI"/>
          <w:color w:val="101820"/>
          <w:sz w:val="21"/>
        </w:rPr>
        <w:t>Neither Party is liable for loss of profit, revenue, business, goodwill or anticipated savings, or for indirect, incidental, special or consequential loss, however arising, even if advised of its possibility.</w:t>
      </w:r>
    </w:p>
    <w:p>
      <w:pPr>
        <w:spacing w:after="60"/>
        <w:numPr>
          <w:ilvl w:val="0"/>
          <w:numId w:val="20"/>
        </w:numPr>
      </w:pPr>
      <w:r>
        <w:rPr>
          <w:rFonts w:ascii="Segoe UI" w:hAnsi="Segoe UI" w:cs="Segoe UI" w:eastAsia="Segoe UI"/>
          <w:color w:val="101820"/>
          <w:sz w:val="21"/>
        </w:rPr>
        <w:t>The total liability of each Party for all claims arising out of or in connection with an Order Form, in any year, is limited to the Fees paid and payable under that Order Form in the 12 months before the event giving rise to the claim.</w:t>
      </w:r>
    </w:p>
    <w:p>
      <w:pPr>
        <w:spacing w:after="60"/>
        <w:numPr>
          <w:ilvl w:val="0"/>
          <w:numId w:val="20"/>
        </w:numPr>
      </w:pPr>
      <w:r>
        <w:rPr>
          <w:rFonts w:ascii="Segoe UI" w:hAnsi="Segoe UI" w:cs="Segoe UI" w:eastAsia="Segoe UI"/>
          <w:color w:val="101820"/>
          <w:sz w:val="21"/>
        </w:rPr>
        <w:t>[Option: For breach of the Data protection clause or the Data Processing Agreement, the cap in point 2 is [two times / three times] that amount.]</w:t>
      </w:r>
    </w:p>
    <w:p>
      <w:pPr>
        <w:spacing w:after="60"/>
        <w:numPr>
          <w:ilvl w:val="0"/>
          <w:numId w:val="20"/>
        </w:numPr>
      </w:pPr>
      <w:r>
        <w:rPr>
          <w:rFonts w:ascii="Segoe UI" w:hAnsi="Segoe UI" w:cs="Segoe UI" w:eastAsia="Segoe UI"/>
          <w:color w:val="101820"/>
          <w:sz w:val="21"/>
        </w:rPr>
        <w:t>Points 1 and 2 do not limit: (a) the Client's duty to pay the Fees; (b) liability under the Indemnities clause for infringement of Intellectual Property Rights; (c) liability for breach of the Confidentiality clause; (d) liability for fraud, gross negligence or wilful misconduct; or (e) any liability that cannot be limited under Philippine law, including under Article 1171 of the Civil Code.</w:t>
      </w:r>
    </w:p>
    <w:p>
      <w:pPr>
        <w:spacing w:after="60"/>
        <w:numPr>
          <w:ilvl w:val="0"/>
          <w:numId w:val="20"/>
        </w:numPr>
      </w:pPr>
      <w:r>
        <w:rPr>
          <w:rFonts w:ascii="Segoe UI" w:hAnsi="Segoe UI" w:cs="Segoe UI" w:eastAsia="Segoe UI"/>
          <w:color w:val="101820"/>
          <w:sz w:val="21"/>
        </w:rPr>
        <w:t>Each Party must take reasonable steps to mitigate its loss.</w:t>
      </w:r>
    </w:p>
    <w:p>
      <w:pPr>
        <w:pStyle w:val="Heading2"/>
      </w:pPr>
      <w:r>
        <w:rPr>
          <w:rFonts w:ascii="Segoe UI" w:hAnsi="Segoe UI" w:cs="Segoe UI" w:eastAsia="Segoe UI"/>
          <w:b/>
          <w:color w:val="0F4761"/>
          <w:sz w:val="26"/>
        </w:rPr>
        <w:t>10.3  Indemnities</w:t>
      </w:r>
    </w:p>
    <w:p>
      <w:pPr>
        <w:pStyle w:val="Heading3"/>
      </w:pPr>
      <w:r>
        <w:rPr>
          <w:rFonts w:ascii="Segoe UI" w:hAnsi="Segoe UI" w:cs="Segoe UI" w:eastAsia="Segoe UI"/>
          <w:b/>
          <w:color w:val="0F4761"/>
          <w:sz w:val="23"/>
        </w:rPr>
        <w:t>10.3.1  Intellectual property indemnity</w:t>
      </w:r>
    </w:p>
    <w:p>
      <w:pPr>
        <w:spacing w:after="60"/>
        <w:numPr>
          <w:ilvl w:val="0"/>
          <w:numId w:val="21"/>
        </w:numPr>
      </w:pPr>
      <w:r>
        <w:rPr>
          <w:rFonts w:ascii="Segoe UI" w:hAnsi="Segoe UI" w:cs="Segoe UI" w:eastAsia="Segoe UI"/>
          <w:color w:val="101820"/>
          <w:sz w:val="21"/>
        </w:rPr>
        <w:t>iorta TechNXT shall defend the Client against any third-party claim that the Platform, used in line with this Agreement, infringes that third party's Intellectual Property Rights in the Philippines, and shall pay the damages and costs finally awarded or agreed in settlement.</w:t>
      </w:r>
    </w:p>
    <w:p>
      <w:pPr>
        <w:spacing w:after="60"/>
        <w:numPr>
          <w:ilvl w:val="0"/>
          <w:numId w:val="21"/>
        </w:numPr>
      </w:pPr>
      <w:r>
        <w:rPr>
          <w:rFonts w:ascii="Segoe UI" w:hAnsi="Segoe UI" w:cs="Segoe UI" w:eastAsia="Segoe UI"/>
          <w:color w:val="101820"/>
          <w:sz w:val="21"/>
        </w:rPr>
        <w:t>If such a claim is made or likely, iorta TechNXT may, at its option and cost, obtain the right for the Client to continue using the Platform, modify or replace it so that it no longer infringes without material loss of function, or, if neither is reasonably possible, terminate the affected Order Form and refund the Fees paid for the remaining term (for a perpetual licence, the licence fee less one fifth for each year since Go-Live).</w:t>
      </w:r>
    </w:p>
    <w:p>
      <w:pPr>
        <w:spacing w:after="60"/>
        <w:numPr>
          <w:ilvl w:val="0"/>
          <w:numId w:val="21"/>
        </w:numPr>
      </w:pPr>
      <w:r>
        <w:rPr>
          <w:rFonts w:ascii="Segoe UI" w:hAnsi="Segoe UI" w:cs="Segoe UI" w:eastAsia="Segoe UI"/>
          <w:color w:val="101820"/>
          <w:sz w:val="21"/>
        </w:rPr>
        <w:t>iorta TechNXT has no obligation for claims arising from changes not made by iorta TechNXT, combination with items not supplied by iorta TechNXT, Client Data or content, or use after iorta TechNXT has provided a non-infringing alternative.</w:t>
      </w:r>
    </w:p>
    <w:p>
      <w:pPr>
        <w:pStyle w:val="Heading3"/>
      </w:pPr>
      <w:r>
        <w:rPr>
          <w:rFonts w:ascii="Segoe UI" w:hAnsi="Segoe UI" w:cs="Segoe UI" w:eastAsia="Segoe UI"/>
          <w:b/>
          <w:color w:val="0F4761"/>
          <w:sz w:val="23"/>
        </w:rPr>
        <w:t>10.3.2  Client indemnity</w:t>
      </w:r>
    </w:p>
    <w:p>
      <w:pPr>
        <w:spacing w:after="120" w:line="276" w:lineRule="auto"/>
      </w:pPr>
      <w:r>
        <w:rPr>
          <w:rFonts w:ascii="Segoe UI" w:hAnsi="Segoe UI" w:cs="Segoe UI" w:eastAsia="Segoe UI"/>
          <w:color w:val="101820"/>
          <w:sz w:val="21"/>
        </w:rPr>
        <w:t>The Client shall defend iorta TechNXT against any third-party claim arising from Client Data, the Client's use of the Platform in breach of law or of this Agreement, or the Client's dealings with its own clients, insurers and regulators, and shall pay the damages and costs finally awarded or agreed in settlement.</w:t>
      </w:r>
    </w:p>
    <w:p>
      <w:pPr>
        <w:pStyle w:val="Heading3"/>
      </w:pPr>
      <w:r>
        <w:rPr>
          <w:rFonts w:ascii="Segoe UI" w:hAnsi="Segoe UI" w:cs="Segoe UI" w:eastAsia="Segoe UI"/>
          <w:b/>
          <w:color w:val="0F4761"/>
          <w:sz w:val="23"/>
        </w:rPr>
        <w:t>10.3.3  Procedure</w:t>
      </w:r>
    </w:p>
    <w:p>
      <w:pPr>
        <w:spacing w:after="120" w:line="276" w:lineRule="auto"/>
      </w:pPr>
      <w:r>
        <w:rPr>
          <w:rFonts w:ascii="Segoe UI" w:hAnsi="Segoe UI" w:cs="Segoe UI" w:eastAsia="Segoe UI"/>
          <w:color w:val="101820"/>
          <w:sz w:val="21"/>
        </w:rPr>
        <w:t>The indemnified Party notifies the claim promptly in writing, gives the indemnifying Party sole control of the defence and settlement (no settlement may admit fault of the indemnified Party without its consent), and provides reasonable cooperation at the indemnifying Party's cost.</w:t>
      </w:r>
    </w:p>
    <w:p>
      <w:pPr>
        <w:pStyle w:val="Heading1"/>
        <w:pageBreakBefore/>
      </w:pPr>
      <w:r>
        <w:rPr>
          <w:rFonts w:ascii="Segoe UI" w:hAnsi="Segoe UI" w:cs="Segoe UI" w:eastAsia="Segoe UI"/>
          <w:b/>
          <w:color w:val="0F4761"/>
          <w:sz w:val="32"/>
        </w:rPr>
        <w:t>11.  Other terms</w:t>
      </w:r>
    </w:p>
    <w:p>
      <w:pPr>
        <w:pStyle w:val="Heading2"/>
      </w:pPr>
      <w:r>
        <w:rPr>
          <w:rFonts w:ascii="Segoe UI" w:hAnsi="Segoe UI" w:cs="Segoe UI" w:eastAsia="Segoe UI"/>
          <w:b/>
          <w:color w:val="0F4761"/>
          <w:sz w:val="26"/>
        </w:rPr>
        <w:t>11.1  Force majeure</w:t>
      </w:r>
    </w:p>
    <w:p>
      <w:pPr>
        <w:spacing w:after="60"/>
        <w:numPr>
          <w:ilvl w:val="0"/>
          <w:numId w:val="22"/>
        </w:numPr>
      </w:pPr>
      <w:r>
        <w:rPr>
          <w:rFonts w:ascii="Segoe UI" w:hAnsi="Segoe UI" w:cs="Segoe UI" w:eastAsia="Segoe UI"/>
          <w:color w:val="101820"/>
          <w:sz w:val="21"/>
        </w:rPr>
        <w:t>A Party is not liable for delay or failure to perform caused by an event beyond its reasonable control that it could not have foreseen or, if foreseeable, could not have avoided, including natural disasters, typhoons, earthquakes, floods, fire, epidemics, war, civil unrest, acts of government, widespread power or telecommunications failure and failures of the public internet, in line with Article 1174 of the Civil Code.</w:t>
      </w:r>
    </w:p>
    <w:p>
      <w:pPr>
        <w:spacing w:after="60"/>
        <w:numPr>
          <w:ilvl w:val="0"/>
          <w:numId w:val="22"/>
        </w:numPr>
      </w:pPr>
      <w:r>
        <w:rPr>
          <w:rFonts w:ascii="Segoe UI" w:hAnsi="Segoe UI" w:cs="Segoe UI" w:eastAsia="Segoe UI"/>
          <w:color w:val="101820"/>
          <w:sz w:val="21"/>
        </w:rPr>
        <w:t>The affected Party notifies the other promptly, describes the event and its likely effect, and uses reasonable efforts to reduce its effect and to resume performance. iorta TechNXT applies its disaster recovery arrangements in the hosting schedule where they apply.</w:t>
      </w:r>
    </w:p>
    <w:p>
      <w:pPr>
        <w:spacing w:after="60"/>
        <w:numPr>
          <w:ilvl w:val="0"/>
          <w:numId w:val="22"/>
        </w:numPr>
      </w:pPr>
      <w:r>
        <w:rPr>
          <w:rFonts w:ascii="Segoe UI" w:hAnsi="Segoe UI" w:cs="Segoe UI" w:eastAsia="Segoe UI"/>
          <w:color w:val="101820"/>
          <w:sz w:val="21"/>
        </w:rPr>
        <w:t>Force majeure does not excuse payment obligations for Services already performed.</w:t>
      </w:r>
    </w:p>
    <w:p>
      <w:pPr>
        <w:spacing w:after="60"/>
        <w:numPr>
          <w:ilvl w:val="0"/>
          <w:numId w:val="22"/>
        </w:numPr>
      </w:pPr>
      <w:r>
        <w:rPr>
          <w:rFonts w:ascii="Segoe UI" w:hAnsi="Segoe UI" w:cs="Segoe UI" w:eastAsia="Segoe UI"/>
          <w:color w:val="101820"/>
          <w:sz w:val="21"/>
        </w:rPr>
        <w:t>If the event continues for more than 60 days, either Party may terminate the affected Order Form by written notice, with payment for Services performed up to termination.</w:t>
      </w:r>
    </w:p>
    <w:p>
      <w:pPr>
        <w:pStyle w:val="Heading2"/>
      </w:pPr>
      <w:r>
        <w:rPr>
          <w:rFonts w:ascii="Segoe UI" w:hAnsi="Segoe UI" w:cs="Segoe UI" w:eastAsia="Segoe UI"/>
          <w:b/>
          <w:color w:val="0F4761"/>
          <w:sz w:val="26"/>
        </w:rPr>
        <w:t>11.2  Non-solicitation</w:t>
      </w:r>
    </w:p>
    <w:p>
      <w:pPr>
        <w:spacing w:after="120" w:line="276" w:lineRule="auto"/>
      </w:pPr>
      <w:r>
        <w:rPr>
          <w:rFonts w:ascii="Segoe UI" w:hAnsi="Segoe UI" w:cs="Segoe UI" w:eastAsia="Segoe UI"/>
          <w:color w:val="101820"/>
          <w:sz w:val="21"/>
        </w:rPr>
        <w:t>During the term of an Order Form and for 12 months after it ends, neither Party shall, directly or indirectly, solicit for employment or engage any employee of the other Party who was involved in the Services, without the other Party's written consent. General advertisements not aimed at those employees are not a breach. If a Party breaches this clause, it pays the other Party, as liquidated damages and not as a penalty, an amount equal to [six months'] gross salary of the person concerned at the time of leaving.</w:t>
      </w:r>
    </w:p>
    <w:p>
      <w:pPr>
        <w:pStyle w:val="Heading2"/>
      </w:pPr>
      <w:r>
        <w:rPr>
          <w:rFonts w:ascii="Segoe UI" w:hAnsi="Segoe UI" w:cs="Segoe UI" w:eastAsia="Segoe UI"/>
          <w:b/>
          <w:color w:val="0F4761"/>
          <w:sz w:val="26"/>
        </w:rPr>
        <w:t>11.3  Assignment and subcontracting</w:t>
      </w:r>
    </w:p>
    <w:p>
      <w:pPr>
        <w:spacing w:after="60"/>
        <w:numPr>
          <w:ilvl w:val="0"/>
          <w:numId w:val="23"/>
        </w:numPr>
      </w:pPr>
      <w:r>
        <w:rPr>
          <w:rFonts w:ascii="Segoe UI" w:hAnsi="Segoe UI" w:cs="Segoe UI" w:eastAsia="Segoe UI"/>
          <w:color w:val="101820"/>
          <w:sz w:val="21"/>
        </w:rPr>
        <w:t>Neither Party may assign or transfer this Agreement or an Order Form without the other Party's written consent, which shall not be unreasonably withheld.</w:t>
      </w:r>
    </w:p>
    <w:p>
      <w:pPr>
        <w:spacing w:after="60"/>
        <w:numPr>
          <w:ilvl w:val="0"/>
          <w:numId w:val="23"/>
        </w:numPr>
      </w:pPr>
      <w:r>
        <w:rPr>
          <w:rFonts w:ascii="Segoe UI" w:hAnsi="Segoe UI" w:cs="Segoe UI" w:eastAsia="Segoe UI"/>
          <w:color w:val="101820"/>
          <w:sz w:val="21"/>
        </w:rPr>
        <w:t>iorta TechNXT may assign this Agreement to an Affiliate or to a successor of its business on written notice, provided the assignee assumes all its obligations.</w:t>
      </w:r>
    </w:p>
    <w:p>
      <w:pPr>
        <w:spacing w:after="60"/>
        <w:numPr>
          <w:ilvl w:val="0"/>
          <w:numId w:val="23"/>
        </w:numPr>
      </w:pPr>
      <w:r>
        <w:rPr>
          <w:rFonts w:ascii="Segoe UI" w:hAnsi="Segoe UI" w:cs="Segoe UI" w:eastAsia="Segoe UI"/>
          <w:color w:val="101820"/>
          <w:sz w:val="21"/>
        </w:rPr>
        <w:t>Subcontracting is governed by the Subcontractors part of the Scope of services clause.</w:t>
      </w:r>
    </w:p>
    <w:p>
      <w:pPr>
        <w:pStyle w:val="Heading2"/>
      </w:pPr>
      <w:r>
        <w:rPr>
          <w:rFonts w:ascii="Segoe UI" w:hAnsi="Segoe UI" w:cs="Segoe UI" w:eastAsia="Segoe UI"/>
          <w:b/>
          <w:color w:val="0F4761"/>
          <w:sz w:val="26"/>
        </w:rPr>
        <w:t>11.4  Dispute resolution</w:t>
      </w:r>
    </w:p>
    <w:p>
      <w:pPr>
        <w:pStyle w:val="Heading3"/>
      </w:pPr>
      <w:r>
        <w:rPr>
          <w:rFonts w:ascii="Segoe UI" w:hAnsi="Segoe UI" w:cs="Segoe UI" w:eastAsia="Segoe UI"/>
          <w:b/>
          <w:color w:val="0F4761"/>
          <w:sz w:val="23"/>
        </w:rPr>
        <w:t>11.4.1  Negotiation</w:t>
      </w:r>
    </w:p>
    <w:p>
      <w:pPr>
        <w:spacing w:after="120" w:line="276" w:lineRule="auto"/>
      </w:pPr>
      <w:r>
        <w:rPr>
          <w:rFonts w:ascii="Segoe UI" w:hAnsi="Segoe UI" w:cs="Segoe UI" w:eastAsia="Segoe UI"/>
          <w:color w:val="101820"/>
          <w:sz w:val="21"/>
        </w:rPr>
        <w:t>A Party that has a dispute arising out of or in connection with this Agreement notifies the other in writing. The project managers meet within 10 Business Days. If they cannot resolve it within 15 Business Days of the notice, the dispute is referred to a senior executive of each Party (for iorta TechNXT its [CEO]; for the Client its [President]), who meet within a further 15 Business Days.</w:t>
      </w:r>
    </w:p>
    <w:p>
      <w:pPr>
        <w:pStyle w:val="Heading3"/>
      </w:pPr>
      <w:r>
        <w:rPr>
          <w:rFonts w:ascii="Segoe UI" w:hAnsi="Segoe UI" w:cs="Segoe UI" w:eastAsia="Segoe UI"/>
          <w:b/>
          <w:color w:val="0F4761"/>
          <w:sz w:val="23"/>
        </w:rPr>
        <w:t>11.4.2  Mediation</w:t>
      </w:r>
    </w:p>
    <w:p>
      <w:pPr>
        <w:spacing w:after="120" w:line="276" w:lineRule="auto"/>
      </w:pPr>
      <w:r>
        <w:rPr>
          <w:rFonts w:ascii="Segoe UI" w:hAnsi="Segoe UI" w:cs="Segoe UI" w:eastAsia="Segoe UI"/>
          <w:color w:val="101820"/>
          <w:sz w:val="21"/>
        </w:rPr>
        <w:t>If the senior executives do not resolve the dispute within 30 days of the referral, either Party may refer it to mediation administered by [the Philippine Dispute Resolution Center, Inc. (PDRC) under its mediation rules / a mediator agreed by the Parties], in line with RA 9285 (Alternative Dispute Resolution Act of 2004). The mediation takes place in [Makati City / Taguig City], in English. Each Party bears its own costs and half of the mediator's fees.</w:t>
      </w:r>
    </w:p>
    <w:p>
      <w:pPr>
        <w:pStyle w:val="Heading3"/>
      </w:pPr>
      <w:r>
        <w:rPr>
          <w:rFonts w:ascii="Segoe UI" w:hAnsi="Segoe UI" w:cs="Segoe UI" w:eastAsia="Segoe UI"/>
          <w:b/>
          <w:color w:val="0F4761"/>
          <w:sz w:val="23"/>
        </w:rPr>
        <w:t>11.4.3  Final resolution: choose one option</w:t>
      </w:r>
    </w:p>
    <w:p>
      <w:pPr>
        <w:spacing w:after="120" w:line="276" w:lineRule="auto"/>
      </w:pPr>
      <w:r>
        <w:rPr>
          <w:rFonts w:ascii="Segoe UI" w:hAnsi="Segoe UI" w:cs="Segoe UI" w:eastAsia="Segoe UI"/>
          <w:color w:val="101820"/>
          <w:sz w:val="21"/>
        </w:rPr>
        <w:t>[Option A: Arbitration. If the dispute is not settled within 60 days of the start of mediation, it shall be finally resolved by arbitration administered by the Philippine Dispute Resolution Center, Inc. under its arbitration rules in force at the time. The seat of arbitration is [Makati City], Philippines. The tribunal consists of [one arbitrator / three arbitrators]. The language is English. The award is final and binding and may be enforced in any competent court under RA 9285 and RA 876 (Arbitration Law).]</w:t>
      </w:r>
    </w:p>
    <w:p>
      <w:pPr>
        <w:spacing w:after="120" w:line="276" w:lineRule="auto"/>
      </w:pPr>
      <w:r>
        <w:rPr>
          <w:rFonts w:ascii="Segoe UI" w:hAnsi="Segoe UI" w:cs="Segoe UI" w:eastAsia="Segoe UI"/>
          <w:color w:val="101820"/>
          <w:sz w:val="21"/>
        </w:rPr>
        <w:t>[Option B: Courts. If the dispute is not settled within 60 days of the start of mediation, it shall be submitted to the proper courts of [Makati City / Taguig City], Philippines, to the exclusion of all other venues.]</w:t>
      </w:r>
    </w:p>
    <w:p>
      <w:pPr>
        <w:pStyle w:val="Heading3"/>
      </w:pPr>
      <w:r>
        <w:rPr>
          <w:rFonts w:ascii="Segoe UI" w:hAnsi="Segoe UI" w:cs="Segoe UI" w:eastAsia="Segoe UI"/>
          <w:b/>
          <w:color w:val="0F4761"/>
          <w:sz w:val="23"/>
        </w:rPr>
        <w:t>11.4.4  Interim relief and continued performance</w:t>
      </w:r>
    </w:p>
    <w:p>
      <w:pPr>
        <w:spacing w:after="120" w:line="276" w:lineRule="auto"/>
      </w:pPr>
      <w:r>
        <w:rPr>
          <w:rFonts w:ascii="Segoe UI" w:hAnsi="Segoe UI" w:cs="Segoe UI" w:eastAsia="Segoe UI"/>
          <w:color w:val="101820"/>
          <w:sz w:val="21"/>
        </w:rPr>
        <w:t>Nothing in this clause prevents a Party from seeking urgent interim relief from a competent court to protect its Confidential Information or Intellectual Property Rights. Unless the Agreement is terminated, the Parties continue to perform their obligations during the dispute, and iorta TechNXT does not suspend Services for an amount the Client disputes in good faith under the Fees and payment clause.</w:t>
      </w:r>
    </w:p>
    <w:p>
      <w:pPr>
        <w:pStyle w:val="Heading2"/>
      </w:pPr>
      <w:r>
        <w:rPr>
          <w:rFonts w:ascii="Segoe UI" w:hAnsi="Segoe UI" w:cs="Segoe UI" w:eastAsia="Segoe UI"/>
          <w:b/>
          <w:color w:val="0F4761"/>
          <w:sz w:val="26"/>
        </w:rPr>
        <w:t>11.5  Governing law</w:t>
      </w:r>
    </w:p>
    <w:p>
      <w:pPr>
        <w:spacing w:after="120" w:line="276" w:lineRule="auto"/>
      </w:pPr>
      <w:r>
        <w:rPr>
          <w:rFonts w:ascii="Segoe UI" w:hAnsi="Segoe UI" w:cs="Segoe UI" w:eastAsia="Segoe UI"/>
          <w:color w:val="101820"/>
          <w:sz w:val="21"/>
        </w:rPr>
        <w:t>This Agreement and every Order Form are governed by and construed in accordance with the laws of the Republic of the Philippines.</w:t>
      </w:r>
    </w:p>
    <w:p>
      <w:pPr>
        <w:pStyle w:val="Heading2"/>
      </w:pPr>
      <w:r>
        <w:rPr>
          <w:rFonts w:ascii="Segoe UI" w:hAnsi="Segoe UI" w:cs="Segoe UI" w:eastAsia="Segoe UI"/>
          <w:b/>
          <w:color w:val="0F4761"/>
          <w:sz w:val="26"/>
        </w:rPr>
        <w:t>11.6  Notices</w:t>
      </w:r>
    </w:p>
    <w:p>
      <w:pPr>
        <w:spacing w:after="60"/>
        <w:numPr>
          <w:ilvl w:val="0"/>
          <w:numId w:val="24"/>
        </w:numPr>
      </w:pPr>
      <w:r>
        <w:rPr>
          <w:rFonts w:ascii="Segoe UI" w:hAnsi="Segoe UI" w:cs="Segoe UI" w:eastAsia="Segoe UI"/>
          <w:color w:val="101820"/>
          <w:sz w:val="21"/>
        </w:rPr>
        <w:t>Notices under this Agreement are in writing in English and are delivered by hand, by courier, or by e-mail to the addresses below (or another address notified in writing).</w:t>
      </w:r>
    </w:p>
    <w:p>
      <w:pPr>
        <w:spacing w:after="60"/>
        <w:numPr>
          <w:ilvl w:val="0"/>
          <w:numId w:val="24"/>
        </w:numPr>
      </w:pPr>
      <w:r>
        <w:rPr>
          <w:rFonts w:ascii="Segoe UI" w:hAnsi="Segoe UI" w:cs="Segoe UI" w:eastAsia="Segoe UI"/>
          <w:color w:val="101820"/>
          <w:sz w:val="21"/>
        </w:rPr>
        <w:t>A notice is received: on delivery if by hand or courier; on the next Business Day after sending if by e-mail, unless the sender receives a delivery failure message. Notices of breach, termination or a dispute sent by e-mail are also sent by courier.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95"/>
        <w:gridCol w:w="1656"/>
        <w:gridCol w:w="1472"/>
        <w:gridCol w:w="2392"/>
      </w:tblGrid>
      <w:tr>
        <w:trPr>
          <w:tblHeader w:val="true"/>
        </w:trPr>
        <w:tc>
          <w:tcPr>
            <w:tcW w:type="dxa" w:w="3495"/>
            <w:shd w:val="clear" w:color="auto" w:fill="DCE9F7"/>
          </w:tcPr>
          <w:p>
            <w:pPr>
              <w:spacing w:after="20"/>
            </w:pPr>
            <w:r>
              <w:rPr>
                <w:rFonts w:ascii="Segoe UI" w:hAnsi="Segoe UI" w:cs="Segoe UI" w:eastAsia="Segoe UI"/>
                <w:b/>
                <w:color w:val="0F4761"/>
                <w:sz w:val="18"/>
              </w:rPr>
              <w:t>Party</w:t>
            </w:r>
          </w:p>
        </w:tc>
        <w:tc>
          <w:tcPr>
            <w:tcW w:type="dxa" w:w="1656"/>
            <w:shd w:val="clear" w:color="auto" w:fill="DCE9F7"/>
          </w:tcPr>
          <w:p>
            <w:pPr>
              <w:spacing w:after="20"/>
            </w:pPr>
            <w:r>
              <w:rPr>
                <w:rFonts w:ascii="Segoe UI" w:hAnsi="Segoe UI" w:cs="Segoe UI" w:eastAsia="Segoe UI"/>
                <w:b/>
                <w:color w:val="0F4761"/>
                <w:sz w:val="18"/>
              </w:rPr>
              <w:t>Address</w:t>
            </w:r>
          </w:p>
        </w:tc>
        <w:tc>
          <w:tcPr>
            <w:tcW w:type="dxa" w:w="1472"/>
            <w:shd w:val="clear" w:color="auto" w:fill="DCE9F7"/>
          </w:tcPr>
          <w:p>
            <w:pPr>
              <w:spacing w:after="20"/>
            </w:pPr>
            <w:r>
              <w:rPr>
                <w:rFonts w:ascii="Segoe UI" w:hAnsi="Segoe UI" w:cs="Segoe UI" w:eastAsia="Segoe UI"/>
                <w:b/>
                <w:color w:val="0F4761"/>
                <w:sz w:val="18"/>
              </w:rPr>
              <w:t>E-mail</w:t>
            </w:r>
          </w:p>
        </w:tc>
        <w:tc>
          <w:tcPr>
            <w:tcW w:type="dxa" w:w="2392"/>
            <w:shd w:val="clear" w:color="auto" w:fill="DCE9F7"/>
          </w:tcPr>
          <w:p>
            <w:pPr>
              <w:spacing w:after="20"/>
            </w:pPr>
            <w:r>
              <w:rPr>
                <w:rFonts w:ascii="Segoe UI" w:hAnsi="Segoe UI" w:cs="Segoe UI" w:eastAsia="Segoe UI"/>
                <w:b/>
                <w:color w:val="0F4761"/>
                <w:sz w:val="18"/>
              </w:rPr>
              <w:t>Attention</w:t>
            </w:r>
          </w:p>
        </w:tc>
      </w:tr>
      <w:tr>
        <w:tc>
          <w:tcPr>
            <w:tcW w:type="dxa" w:w="3495"/>
          </w:tcPr>
          <w:p>
            <w:pPr>
              <w:spacing w:after="20"/>
            </w:pPr>
            <w:r>
              <w:rPr>
                <w:rFonts w:ascii="Segoe UI" w:hAnsi="Segoe UI" w:cs="Segoe UI" w:eastAsia="Segoe UI"/>
                <w:color w:val="101820"/>
                <w:sz w:val="18"/>
              </w:rPr>
              <w:t>iorta TechNXT Corp.</w:t>
            </w:r>
          </w:p>
        </w:tc>
        <w:tc>
          <w:tcPr>
            <w:tcW w:type="dxa" w:w="1656"/>
          </w:tcPr>
          <w:p>
            <w:pPr>
              <w:spacing w:after="20"/>
            </w:pPr>
            <w:r>
              <w:rPr>
                <w:rFonts w:ascii="Segoe UI" w:hAnsi="Segoe UI" w:cs="Segoe UI" w:eastAsia="Segoe UI"/>
                <w:color w:val="101820"/>
                <w:sz w:val="18"/>
              </w:rPr>
              <w:t>[address]</w:t>
            </w:r>
          </w:p>
        </w:tc>
        <w:tc>
          <w:tcPr>
            <w:tcW w:type="dxa" w:w="1472"/>
          </w:tcPr>
          <w:p>
            <w:pPr>
              <w:spacing w:after="20"/>
            </w:pPr>
            <w:r>
              <w:rPr>
                <w:rFonts w:ascii="Segoe UI" w:hAnsi="Segoe UI" w:cs="Segoe UI" w:eastAsia="Segoe UI"/>
                <w:color w:val="101820"/>
                <w:sz w:val="18"/>
              </w:rPr>
              <w:t>[e-mail]</w:t>
            </w:r>
          </w:p>
        </w:tc>
        <w:tc>
          <w:tcPr>
            <w:tcW w:type="dxa" w:w="2392"/>
          </w:tcPr>
          <w:p>
            <w:pPr>
              <w:spacing w:after="20"/>
            </w:pPr>
            <w:r>
              <w:rPr>
                <w:rFonts w:ascii="Segoe UI" w:hAnsi="Segoe UI" w:cs="Segoe UI" w:eastAsia="Segoe UI"/>
                <w:color w:val="101820"/>
                <w:sz w:val="18"/>
              </w:rPr>
              <w:t>[name, title]</w:t>
            </w:r>
          </w:p>
        </w:tc>
      </w:tr>
      <w:tr>
        <w:tc>
          <w:tcPr>
            <w:tcW w:type="dxa" w:w="3495"/>
          </w:tcPr>
          <w:p>
            <w:pPr>
              <w:spacing w:after="20"/>
            </w:pPr>
            <w:r>
              <w:rPr>
                <w:rFonts w:ascii="Segoe UI" w:hAnsi="Segoe UI" w:cs="Segoe UI" w:eastAsia="Segoe UI"/>
                <w:color w:val="101820"/>
                <w:sz w:val="18"/>
              </w:rPr>
              <w:t>[Client legal name]</w:t>
            </w:r>
          </w:p>
        </w:tc>
        <w:tc>
          <w:tcPr>
            <w:tcW w:type="dxa" w:w="1656"/>
          </w:tcPr>
          <w:p>
            <w:pPr>
              <w:spacing w:after="20"/>
            </w:pPr>
            <w:r>
              <w:rPr>
                <w:rFonts w:ascii="Segoe UI" w:hAnsi="Segoe UI" w:cs="Segoe UI" w:eastAsia="Segoe UI"/>
                <w:color w:val="101820"/>
                <w:sz w:val="18"/>
              </w:rPr>
              <w:t>[address]</w:t>
            </w:r>
          </w:p>
        </w:tc>
        <w:tc>
          <w:tcPr>
            <w:tcW w:type="dxa" w:w="1472"/>
          </w:tcPr>
          <w:p>
            <w:pPr>
              <w:spacing w:after="20"/>
            </w:pPr>
            <w:r>
              <w:rPr>
                <w:rFonts w:ascii="Segoe UI" w:hAnsi="Segoe UI" w:cs="Segoe UI" w:eastAsia="Segoe UI"/>
                <w:color w:val="101820"/>
                <w:sz w:val="18"/>
              </w:rPr>
              <w:t>[e-mail]</w:t>
            </w:r>
          </w:p>
        </w:tc>
        <w:tc>
          <w:tcPr>
            <w:tcW w:type="dxa" w:w="2392"/>
          </w:tcPr>
          <w:p>
            <w:pPr>
              <w:spacing w:after="20"/>
            </w:pPr>
            <w:r>
              <w:rPr>
                <w:rFonts w:ascii="Segoe UI" w:hAnsi="Segoe UI" w:cs="Segoe UI" w:eastAsia="Segoe UI"/>
                <w:color w:val="101820"/>
                <w:sz w:val="18"/>
              </w:rPr>
              <w:t>[name, title]</w:t>
            </w:r>
          </w:p>
        </w:tc>
      </w:tr>
    </w:tbl>
    <w:p>
      <w:pPr>
        <w:spacing w:after="80"/>
      </w:pPr>
    </w:p>
    <w:p>
      <w:pPr>
        <w:pStyle w:val="Heading2"/>
      </w:pPr>
      <w:r>
        <w:rPr>
          <w:rFonts w:ascii="Segoe UI" w:hAnsi="Segoe UI" w:cs="Segoe UI" w:eastAsia="Segoe UI"/>
          <w:b/>
          <w:color w:val="0F4761"/>
          <w:sz w:val="26"/>
        </w:rPr>
        <w:t>11.7  General</w:t>
      </w:r>
    </w:p>
    <w:p>
      <w:pPr>
        <w:spacing w:after="60"/>
        <w:numPr>
          <w:ilvl w:val="0"/>
          <w:numId w:val="25"/>
        </w:numPr>
      </w:pPr>
      <w:r>
        <w:rPr>
          <w:rFonts w:ascii="Segoe UI" w:hAnsi="Segoe UI" w:cs="Segoe UI" w:eastAsia="Segoe UI"/>
          <w:b/>
          <w:color w:val="101820"/>
          <w:sz w:val="21"/>
        </w:rPr>
        <w:t>Entire agreement.</w:t>
      </w:r>
      <w:r>
        <w:rPr>
          <w:rFonts w:ascii="Segoe UI" w:hAnsi="Segoe UI" w:cs="Segoe UI" w:eastAsia="Segoe UI"/>
          <w:color w:val="101820"/>
          <w:sz w:val="21"/>
        </w:rPr>
        <w:t xml:space="preserve"> This Agreement, the Order Forms and their schedules are the entire agreement on their subject matter and replace all earlier proposals, representations and understandings. Terms printed on purchase orders of the Client do not apply.</w:t>
      </w:r>
    </w:p>
    <w:p>
      <w:pPr>
        <w:spacing w:after="60"/>
        <w:numPr>
          <w:ilvl w:val="0"/>
          <w:numId w:val="25"/>
        </w:numPr>
      </w:pPr>
      <w:r>
        <w:rPr>
          <w:rFonts w:ascii="Segoe UI" w:hAnsi="Segoe UI" w:cs="Segoe UI" w:eastAsia="Segoe UI"/>
          <w:b/>
          <w:color w:val="101820"/>
          <w:sz w:val="21"/>
        </w:rPr>
        <w:t>Amendment.</w:t>
      </w:r>
      <w:r>
        <w:rPr>
          <w:rFonts w:ascii="Segoe UI" w:hAnsi="Segoe UI" w:cs="Segoe UI" w:eastAsia="Segoe UI"/>
          <w:color w:val="101820"/>
          <w:sz w:val="21"/>
        </w:rPr>
        <w:t xml:space="preserve"> Changes are valid only if in writing and signed by authorised representatives of both Parties.</w:t>
      </w:r>
    </w:p>
    <w:p>
      <w:pPr>
        <w:spacing w:after="60"/>
        <w:numPr>
          <w:ilvl w:val="0"/>
          <w:numId w:val="25"/>
        </w:numPr>
      </w:pPr>
      <w:r>
        <w:rPr>
          <w:rFonts w:ascii="Segoe UI" w:hAnsi="Segoe UI" w:cs="Segoe UI" w:eastAsia="Segoe UI"/>
          <w:b/>
          <w:color w:val="101820"/>
          <w:sz w:val="21"/>
        </w:rPr>
        <w:t>Waiver.</w:t>
      </w:r>
      <w:r>
        <w:rPr>
          <w:rFonts w:ascii="Segoe UI" w:hAnsi="Segoe UI" w:cs="Segoe UI" w:eastAsia="Segoe UI"/>
          <w:color w:val="101820"/>
          <w:sz w:val="21"/>
        </w:rPr>
        <w:t xml:space="preserve"> A failure or delay in exercising a right is not a waiver of it.</w:t>
      </w:r>
    </w:p>
    <w:p>
      <w:pPr>
        <w:spacing w:after="60"/>
        <w:numPr>
          <w:ilvl w:val="0"/>
          <w:numId w:val="25"/>
        </w:numPr>
      </w:pPr>
      <w:r>
        <w:rPr>
          <w:rFonts w:ascii="Segoe UI" w:hAnsi="Segoe UI" w:cs="Segoe UI" w:eastAsia="Segoe UI"/>
          <w:b/>
          <w:color w:val="101820"/>
          <w:sz w:val="21"/>
        </w:rPr>
        <w:t>Severability.</w:t>
      </w:r>
      <w:r>
        <w:rPr>
          <w:rFonts w:ascii="Segoe UI" w:hAnsi="Segoe UI" w:cs="Segoe UI" w:eastAsia="Segoe UI"/>
          <w:color w:val="101820"/>
          <w:sz w:val="21"/>
        </w:rPr>
        <w:t xml:space="preserve"> If a provision is invalid or unenforceable, the rest of this Agreement remains in force and the Parties replace the provision with a valid one closest to its intent.</w:t>
      </w:r>
    </w:p>
    <w:p>
      <w:pPr>
        <w:spacing w:after="60"/>
        <w:numPr>
          <w:ilvl w:val="0"/>
          <w:numId w:val="25"/>
        </w:numPr>
      </w:pPr>
      <w:r>
        <w:rPr>
          <w:rFonts w:ascii="Segoe UI" w:hAnsi="Segoe UI" w:cs="Segoe UI" w:eastAsia="Segoe UI"/>
          <w:b/>
          <w:color w:val="101820"/>
          <w:sz w:val="21"/>
        </w:rPr>
        <w:t>Independent contractors.</w:t>
      </w:r>
      <w:r>
        <w:rPr>
          <w:rFonts w:ascii="Segoe UI" w:hAnsi="Segoe UI" w:cs="Segoe UI" w:eastAsia="Segoe UI"/>
          <w:color w:val="101820"/>
          <w:sz w:val="21"/>
        </w:rPr>
        <w:t xml:space="preserve"> The Parties are independent contractors. Nothing creates a partnership, joint venture, agency or employment relationship. iorta TechNXT is solely responsible for the wages, benefits and statutory contributions of its personnel.</w:t>
      </w:r>
    </w:p>
    <w:p>
      <w:pPr>
        <w:spacing w:after="60"/>
        <w:numPr>
          <w:ilvl w:val="0"/>
          <w:numId w:val="25"/>
        </w:numPr>
      </w:pPr>
      <w:r>
        <w:rPr>
          <w:rFonts w:ascii="Segoe UI" w:hAnsi="Segoe UI" w:cs="Segoe UI" w:eastAsia="Segoe UI"/>
          <w:b/>
          <w:color w:val="101820"/>
          <w:sz w:val="21"/>
        </w:rPr>
        <w:t>Electronic signatures and counterparts.</w:t>
      </w:r>
      <w:r>
        <w:rPr>
          <w:rFonts w:ascii="Segoe UI" w:hAnsi="Segoe UI" w:cs="Segoe UI" w:eastAsia="Segoe UI"/>
          <w:color w:val="101820"/>
          <w:sz w:val="21"/>
        </w:rPr>
        <w:t xml:space="preserve"> This Agreement and any Order Form may be signed in counterparts and by electronic signature, which the Parties accept as valid under RA 8792 (Electronic Commerce Act of 2000).</w:t>
      </w:r>
    </w:p>
    <w:p>
      <w:pPr>
        <w:spacing w:after="60"/>
        <w:numPr>
          <w:ilvl w:val="0"/>
          <w:numId w:val="25"/>
        </w:numPr>
      </w:pPr>
      <w:r>
        <w:rPr>
          <w:rFonts w:ascii="Segoe UI" w:hAnsi="Segoe UI" w:cs="Segoe UI" w:eastAsia="Segoe UI"/>
          <w:b/>
          <w:color w:val="101820"/>
          <w:sz w:val="21"/>
        </w:rPr>
        <w:t>Publicity.</w:t>
      </w:r>
      <w:r>
        <w:rPr>
          <w:rFonts w:ascii="Segoe UI" w:hAnsi="Segoe UI" w:cs="Segoe UI" w:eastAsia="Segoe UI"/>
          <w:color w:val="101820"/>
          <w:sz w:val="21"/>
        </w:rPr>
        <w:t xml:space="preserve"> Neither Party uses the other's name or logo in publicity without written consent, except that iorta TechNXT may name the Client as a customer [if the Order Form includes a reference clause].</w:t>
      </w:r>
    </w:p>
    <w:p>
      <w:pPr>
        <w:spacing w:after="60"/>
        <w:numPr>
          <w:ilvl w:val="0"/>
          <w:numId w:val="25"/>
        </w:numPr>
      </w:pPr>
      <w:r>
        <w:rPr>
          <w:rFonts w:ascii="Segoe UI" w:hAnsi="Segoe UI" w:cs="Segoe UI" w:eastAsia="Segoe UI"/>
          <w:b/>
          <w:color w:val="101820"/>
          <w:sz w:val="21"/>
        </w:rPr>
        <w:t>Anti-bribery.</w:t>
      </w:r>
      <w:r>
        <w:rPr>
          <w:rFonts w:ascii="Segoe UI" w:hAnsi="Segoe UI" w:cs="Segoe UI" w:eastAsia="Segoe UI"/>
          <w:color w:val="101820"/>
          <w:sz w:val="21"/>
        </w:rPr>
        <w:t xml:space="preserve"> Each Party complies with applicable anti-corruption laws, including RA 3019 (Anti-Graft and Corrupt Practices Act) where relevant, and does not offer or accept any improper payment in connection with this Agreement.</w:t>
      </w:r>
    </w:p>
    <w:p>
      <w:pPr>
        <w:spacing w:after="60"/>
        <w:numPr>
          <w:ilvl w:val="0"/>
          <w:numId w:val="25"/>
        </w:numPr>
      </w:pPr>
      <w:r>
        <w:rPr>
          <w:rFonts w:ascii="Segoe UI" w:hAnsi="Segoe UI" w:cs="Segoe UI" w:eastAsia="Segoe UI"/>
          <w:b/>
          <w:color w:val="101820"/>
          <w:sz w:val="21"/>
        </w:rPr>
        <w:t>Anti-money laundering.</w:t>
      </w:r>
      <w:r>
        <w:rPr>
          <w:rFonts w:ascii="Segoe UI" w:hAnsi="Segoe UI" w:cs="Segoe UI" w:eastAsia="Segoe UI"/>
          <w:color w:val="101820"/>
          <w:sz w:val="21"/>
        </w:rPr>
        <w:t xml:space="preserve"> Each Party complies with RA 9160 (Anti-Money Laundering Act), as amended, in its own business. The Platform supports but does not perform the Client's AML obligations.</w:t>
      </w:r>
    </w:p>
    <w:p>
      <w:pPr>
        <w:spacing w:after="60"/>
        <w:numPr>
          <w:ilvl w:val="0"/>
          <w:numId w:val="25"/>
        </w:numPr>
      </w:pPr>
      <w:r>
        <w:rPr>
          <w:rFonts w:ascii="Segoe UI" w:hAnsi="Segoe UI" w:cs="Segoe UI" w:eastAsia="Segoe UI"/>
          <w:b/>
          <w:color w:val="101820"/>
          <w:sz w:val="21"/>
        </w:rPr>
        <w:t>Costs.</w:t>
      </w:r>
      <w:r>
        <w:rPr>
          <w:rFonts w:ascii="Segoe UI" w:hAnsi="Segoe UI" w:cs="Segoe UI" w:eastAsia="Segoe UI"/>
          <w:color w:val="101820"/>
          <w:sz w:val="21"/>
        </w:rPr>
        <w:t xml:space="preserve"> Each Party bears its own costs of negotiating and signing this Agreement.</w:t>
      </w:r>
    </w:p>
    <w:p>
      <w:pPr>
        <w:pStyle w:val="Heading1"/>
        <w:pageBreakBefore/>
      </w:pPr>
      <w:r>
        <w:rPr>
          <w:rFonts w:ascii="Segoe UI" w:hAnsi="Segoe UI" w:cs="Segoe UI" w:eastAsia="Segoe UI"/>
          <w:b/>
          <w:color w:val="0F4761"/>
          <w:sz w:val="32"/>
        </w:rPr>
        <w:t>12.  Signatures</w:t>
      </w:r>
    </w:p>
    <w:p>
      <w:pPr>
        <w:pStyle w:val="Heading2"/>
      </w:pPr>
      <w:r>
        <w:rPr>
          <w:rFonts w:ascii="Segoe UI" w:hAnsi="Segoe UI" w:cs="Segoe UI" w:eastAsia="Segoe UI"/>
          <w:b/>
          <w:color w:val="0F4761"/>
          <w:sz w:val="26"/>
        </w:rPr>
        <w:t>12.1  Signature blocks</w:t>
      </w:r>
    </w:p>
    <w:p>
      <w:pPr>
        <w:spacing w:after="120" w:line="276" w:lineRule="auto"/>
      </w:pPr>
      <w:r>
        <w:rPr>
          <w:rFonts w:ascii="Segoe UI" w:hAnsi="Segoe UI" w:cs="Segoe UI" w:eastAsia="Segoe UI"/>
          <w:color w:val="101820"/>
          <w:sz w:val="21"/>
        </w:rPr>
        <w:t>Signed by the authorised representatives of the Parties on the date first written above.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r>
        <w:tc>
          <w:tcPr>
            <w:tcW w:type="dxa" w:w="4507"/>
          </w:tcPr>
          <w:p>
            <w:pPr>
              <w:spacing w:after="20"/>
            </w:pPr>
            <w:r>
              <w:rPr>
                <w:rFonts w:ascii="Segoe UI" w:hAnsi="Segoe UI" w:cs="Segoe UI" w:eastAsia="Segoe UI"/>
                <w:color w:val="101820"/>
                <w:sz w:val="18"/>
              </w:rPr>
              <w:t>Witness: ____________________</w:t>
            </w:r>
          </w:p>
        </w:tc>
        <w:tc>
          <w:tcPr>
            <w:tcW w:type="dxa" w:w="4507"/>
          </w:tcPr>
          <w:p>
            <w:pPr>
              <w:spacing w:after="20"/>
            </w:pPr>
            <w:r>
              <w:rPr>
                <w:rFonts w:ascii="Segoe UI" w:hAnsi="Segoe UI" w:cs="Segoe UI" w:eastAsia="Segoe UI"/>
                <w:color w:val="101820"/>
                <w:sz w:val="18"/>
              </w:rPr>
              <w:t>Witness: ____________________</w:t>
            </w:r>
          </w:p>
        </w:tc>
      </w:tr>
    </w:tbl>
    <w:p>
      <w:pPr>
        <w:spacing w:after="80"/>
      </w:pPr>
    </w:p>
    <w:p>
      <w:pPr>
        <w:pStyle w:val="Heading2"/>
      </w:pPr>
      <w:r>
        <w:rPr>
          <w:rFonts w:ascii="Segoe UI" w:hAnsi="Segoe UI" w:cs="Segoe UI" w:eastAsia="Segoe UI"/>
          <w:b/>
          <w:color w:val="0F4761"/>
          <w:sz w:val="26"/>
        </w:rPr>
        <w:t>12.2  Acknowledgment</w:t>
      </w:r>
    </w:p>
    <w:p>
      <w:pPr>
        <w:spacing w:after="120" w:line="276" w:lineRule="auto"/>
      </w:pPr>
      <w:r>
        <w:rPr>
          <w:rFonts w:ascii="Segoe UI" w:hAnsi="Segoe UI" w:cs="Segoe UI" w:eastAsia="Segoe UI"/>
          <w:color w:val="101820"/>
          <w:sz w:val="21"/>
        </w:rPr>
        <w:t>[Optional: notarial acknowledgment where the Parties choose to notarise this Agreement.]</w:t>
      </w:r>
    </w:p>
    <w:p>
      <w:pPr>
        <w:spacing w:after="120" w:line="276" w:lineRule="auto"/>
      </w:pPr>
      <w:r>
        <w:rPr>
          <w:rFonts w:ascii="Segoe UI" w:hAnsi="Segoe UI" w:cs="Segoe UI" w:eastAsia="Segoe UI"/>
          <w:color w:val="101820"/>
          <w:sz w:val="21"/>
        </w:rPr>
        <w:t>REPUBLIC OF THE PHILIPPINES )</w:t>
      </w:r>
    </w:p>
    <w:p>
      <w:pPr>
        <w:spacing w:after="120" w:line="276" w:lineRule="auto"/>
      </w:pPr>
      <w:r>
        <w:rPr>
          <w:rFonts w:ascii="Segoe UI" w:hAnsi="Segoe UI" w:cs="Segoe UI" w:eastAsia="Segoe UI"/>
          <w:color w:val="101820"/>
          <w:sz w:val="21"/>
        </w:rPr>
        <w:t>[CITY OF MAKATI / TAGUIG] ) S.S.</w:t>
      </w:r>
    </w:p>
    <w:p>
      <w:pPr>
        <w:spacing w:after="120" w:line="276" w:lineRule="auto"/>
      </w:pPr>
      <w:r>
        <w:rPr>
          <w:rFonts w:ascii="Segoe UI" w:hAnsi="Segoe UI" w:cs="Segoe UI" w:eastAsia="Segoe UI"/>
          <w:color w:val="101820"/>
          <w:sz w:val="21"/>
        </w:rPr>
        <w:t>Before me, a Notary Public for and in [city], this [date], personally appeared: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08"/>
        <w:gridCol w:w="3298"/>
        <w:gridCol w:w="2309"/>
      </w:tblGrid>
      <w:tr>
        <w:trPr>
          <w:tblHeader w:val="true"/>
        </w:trPr>
        <w:tc>
          <w:tcPr>
            <w:tcW w:type="dxa" w:w="3408"/>
            <w:shd w:val="clear" w:color="auto" w:fill="DCE9F7"/>
          </w:tcPr>
          <w:p>
            <w:pPr>
              <w:spacing w:after="20"/>
            </w:pPr>
            <w:r>
              <w:rPr>
                <w:rFonts w:ascii="Segoe UI" w:hAnsi="Segoe UI" w:cs="Segoe UI" w:eastAsia="Segoe UI"/>
                <w:b/>
                <w:color w:val="0F4761"/>
                <w:sz w:val="18"/>
              </w:rPr>
              <w:t>Name</w:t>
            </w:r>
          </w:p>
        </w:tc>
        <w:tc>
          <w:tcPr>
            <w:tcW w:type="dxa" w:w="3298"/>
            <w:shd w:val="clear" w:color="auto" w:fill="DCE9F7"/>
          </w:tcPr>
          <w:p>
            <w:pPr>
              <w:spacing w:after="20"/>
            </w:pPr>
            <w:r>
              <w:rPr>
                <w:rFonts w:ascii="Segoe UI" w:hAnsi="Segoe UI" w:cs="Segoe UI" w:eastAsia="Segoe UI"/>
                <w:b/>
                <w:color w:val="0F4761"/>
                <w:sz w:val="18"/>
              </w:rPr>
              <w:t>Competent evidence of identity</w:t>
            </w:r>
          </w:p>
        </w:tc>
        <w:tc>
          <w:tcPr>
            <w:tcW w:type="dxa" w:w="2309"/>
            <w:shd w:val="clear" w:color="auto" w:fill="DCE9F7"/>
          </w:tcPr>
          <w:p>
            <w:pPr>
              <w:spacing w:after="20"/>
            </w:pPr>
            <w:r>
              <w:rPr>
                <w:rFonts w:ascii="Segoe UI" w:hAnsi="Segoe UI" w:cs="Segoe UI" w:eastAsia="Segoe UI"/>
                <w:b/>
                <w:color w:val="0F4761"/>
                <w:sz w:val="18"/>
              </w:rPr>
              <w:t>Date and place issued</w:t>
            </w:r>
          </w:p>
        </w:tc>
      </w:tr>
      <w:tr>
        <w:tc>
          <w:tcPr>
            <w:tcW w:type="dxa" w:w="3408"/>
          </w:tcPr>
          <w:p>
            <w:pPr>
              <w:spacing w:after="20"/>
            </w:pPr>
            <w:r>
              <w:rPr>
                <w:rFonts w:ascii="Segoe UI" w:hAnsi="Segoe UI" w:cs="Segoe UI" w:eastAsia="Segoe UI"/>
                <w:color w:val="101820"/>
                <w:sz w:val="18"/>
              </w:rPr>
              <w:t>[name], for iorta TechNXT Corp.</w:t>
            </w:r>
          </w:p>
        </w:tc>
        <w:tc>
          <w:tcPr>
            <w:tcW w:type="dxa" w:w="3298"/>
          </w:tcPr>
          <w:p>
            <w:pPr>
              <w:spacing w:after="20"/>
            </w:pPr>
            <w:r>
              <w:rPr>
                <w:rFonts w:ascii="Segoe UI" w:hAnsi="Segoe UI" w:cs="Segoe UI" w:eastAsia="Segoe UI"/>
                <w:color w:val="101820"/>
                <w:sz w:val="18"/>
              </w:rPr>
              <w:t>[ID type and number]</w:t>
            </w:r>
          </w:p>
        </w:tc>
        <w:tc>
          <w:tcPr>
            <w:tcW w:type="dxa" w:w="2309"/>
          </w:tcPr>
          <w:p>
            <w:pPr>
              <w:spacing w:after="20"/>
            </w:pPr>
            <w:r>
              <w:rPr>
                <w:rFonts w:ascii="Segoe UI" w:hAnsi="Segoe UI" w:cs="Segoe UI" w:eastAsia="Segoe UI"/>
                <w:color w:val="101820"/>
                <w:sz w:val="18"/>
              </w:rPr>
              <w:t>[date, place]</w:t>
            </w:r>
          </w:p>
        </w:tc>
      </w:tr>
      <w:tr>
        <w:tc>
          <w:tcPr>
            <w:tcW w:type="dxa" w:w="3408"/>
          </w:tcPr>
          <w:p>
            <w:pPr>
              <w:spacing w:after="20"/>
            </w:pPr>
            <w:r>
              <w:rPr>
                <w:rFonts w:ascii="Segoe UI" w:hAnsi="Segoe UI" w:cs="Segoe UI" w:eastAsia="Segoe UI"/>
                <w:color w:val="101820"/>
                <w:sz w:val="18"/>
              </w:rPr>
              <w:t>[name], for [Client legal name]</w:t>
            </w:r>
          </w:p>
        </w:tc>
        <w:tc>
          <w:tcPr>
            <w:tcW w:type="dxa" w:w="3298"/>
          </w:tcPr>
          <w:p>
            <w:pPr>
              <w:spacing w:after="20"/>
            </w:pPr>
            <w:r>
              <w:rPr>
                <w:rFonts w:ascii="Segoe UI" w:hAnsi="Segoe UI" w:cs="Segoe UI" w:eastAsia="Segoe UI"/>
                <w:color w:val="101820"/>
                <w:sz w:val="18"/>
              </w:rPr>
              <w:t>[ID type and number]</w:t>
            </w:r>
          </w:p>
        </w:tc>
        <w:tc>
          <w:tcPr>
            <w:tcW w:type="dxa" w:w="2309"/>
          </w:tcPr>
          <w:p>
            <w:pPr>
              <w:spacing w:after="20"/>
            </w:pPr>
            <w:r>
              <w:rPr>
                <w:rFonts w:ascii="Segoe UI" w:hAnsi="Segoe UI" w:cs="Segoe UI" w:eastAsia="Segoe UI"/>
                <w:color w:val="101820"/>
                <w:sz w:val="18"/>
              </w:rPr>
              <w:t>[date, place]</w:t>
            </w:r>
          </w:p>
        </w:tc>
      </w:tr>
    </w:tbl>
    <w:p>
      <w:pPr>
        <w:spacing w:after="80"/>
      </w:pPr>
    </w:p>
    <w:p>
      <w:pPr>
        <w:spacing w:after="120" w:line="276" w:lineRule="auto"/>
      </w:pPr>
      <w:r>
        <w:rPr>
          <w:rFonts w:ascii="Segoe UI" w:hAnsi="Segoe UI" w:cs="Segoe UI" w:eastAsia="Segoe UI"/>
          <w:color w:val="101820"/>
          <w:sz w:val="21"/>
        </w:rPr>
        <w:t>known to me to be the same persons who executed the foregoing Master Services Agreement, consisting of [number] pages including this page, and who acknowledged that it is their free and voluntary act and deed and that of the corporations they represent.</w:t>
      </w:r>
    </w:p>
    <w:p>
      <w:pPr>
        <w:spacing w:after="120" w:line="276" w:lineRule="auto"/>
      </w:pPr>
      <w:r>
        <w:rPr>
          <w:rFonts w:ascii="Segoe UI" w:hAnsi="Segoe UI" w:cs="Segoe UI" w:eastAsia="Segoe UI"/>
          <w:color w:val="101820"/>
          <w:sz w:val="21"/>
        </w:rPr>
        <w:t>WITNESS MY HAND AND SEAL on the date and at the place first written above.</w:t>
      </w:r>
    </w:p>
    <w:p>
      <w:pPr>
        <w:spacing w:after="120" w:line="276" w:lineRule="auto"/>
      </w:pPr>
      <w:r>
        <w:rPr>
          <w:rFonts w:ascii="Segoe UI" w:hAnsi="Segoe UI" w:cs="Segoe UI" w:eastAsia="Segoe UI"/>
          <w:color w:val="101820"/>
          <w:sz w:val="21"/>
        </w:rPr>
        <w:t>Notary Public. Doc. No. [ ]; Page No. [ ]; Book No. [ ]; Series of [year].</w:t>
      </w:r>
    </w:p>
    <w:p>
      <w:pPr>
        <w:pStyle w:val="Heading1"/>
        <w:pageBreakBefore/>
      </w:pPr>
      <w:r>
        <w:rPr>
          <w:rFonts w:ascii="Segoe UI" w:hAnsi="Segoe UI" w:cs="Segoe UI" w:eastAsia="Segoe UI"/>
          <w:b/>
          <w:color w:val="0F4761"/>
          <w:sz w:val="32"/>
        </w:rPr>
        <w:t>13.  Annex A: schedules and forms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Document</w:t>
            </w:r>
          </w:p>
        </w:tc>
        <w:tc>
          <w:tcPr>
            <w:tcW w:type="dxa" w:w="4507"/>
            <w:shd w:val="clear" w:color="auto" w:fill="DCE9F7"/>
          </w:tcPr>
          <w:p>
            <w:pPr>
              <w:spacing w:after="20"/>
            </w:pPr>
            <w:r>
              <w:rPr>
                <w:rFonts w:ascii="Segoe UI" w:hAnsi="Segoe UI" w:cs="Segoe UI" w:eastAsia="Segoe UI"/>
                <w:b/>
                <w:color w:val="0F4761"/>
                <w:sz w:val="18"/>
              </w:rPr>
              <w:t>Use</w:t>
            </w:r>
          </w:p>
        </w:tc>
      </w:tr>
      <w:tr>
        <w:tc>
          <w:tcPr>
            <w:tcW w:type="dxa" w:w="4507"/>
          </w:tcPr>
          <w:p>
            <w:pPr>
              <w:spacing w:after="20"/>
            </w:pPr>
            <w:r>
              <w:rPr>
                <w:rFonts w:ascii="Segoe UI" w:hAnsi="Segoe UI" w:cs="Segoe UI" w:eastAsia="Segoe UI"/>
                <w:color w:val="101820"/>
                <w:sz w:val="18"/>
              </w:rPr>
              <w:t>Order Form</w:t>
            </w:r>
          </w:p>
        </w:tc>
        <w:tc>
          <w:tcPr>
            <w:tcW w:type="dxa" w:w="4507"/>
          </w:tcPr>
          <w:p>
            <w:pPr>
              <w:spacing w:after="20"/>
            </w:pPr>
            <w:r>
              <w:rPr>
                <w:rFonts w:ascii="Segoe UI" w:hAnsi="Segoe UI" w:cs="Segoe UI" w:eastAsia="Segoe UI"/>
                <w:color w:val="101820"/>
                <w:sz w:val="18"/>
              </w:rPr>
              <w:t>Every purchase: products, model, Users, term, Fees, hosting, start date, schedules</w:t>
            </w:r>
          </w:p>
        </w:tc>
      </w:tr>
      <w:tr>
        <w:tc>
          <w:tcPr>
            <w:tcW w:type="dxa" w:w="4507"/>
          </w:tcPr>
          <w:p>
            <w:pPr>
              <w:spacing w:after="20"/>
            </w:pPr>
            <w:r>
              <w:rPr>
                <w:rFonts w:ascii="Segoe UI" w:hAnsi="Segoe UI" w:cs="Segoe UI" w:eastAsia="Segoe UI"/>
                <w:color w:val="101820"/>
                <w:sz w:val="18"/>
              </w:rPr>
              <w:t>Proposal Acceptance and Letter of Award</w:t>
            </w:r>
          </w:p>
        </w:tc>
        <w:tc>
          <w:tcPr>
            <w:tcW w:type="dxa" w:w="4507"/>
          </w:tcPr>
          <w:p>
            <w:pPr>
              <w:spacing w:after="20"/>
            </w:pPr>
            <w:r>
              <w:rPr>
                <w:rFonts w:ascii="Segoe UI" w:hAnsi="Segoe UI" w:cs="Segoe UI" w:eastAsia="Segoe UI"/>
                <w:color w:val="101820"/>
                <w:sz w:val="18"/>
              </w:rPr>
              <w:t>Client's acceptance of a proposal before the Order Form is signed</w:t>
            </w:r>
          </w:p>
        </w:tc>
      </w:tr>
      <w:tr>
        <w:tc>
          <w:tcPr>
            <w:tcW w:type="dxa" w:w="4507"/>
          </w:tcPr>
          <w:p>
            <w:pPr>
              <w:spacing w:after="20"/>
            </w:pPr>
            <w:r>
              <w:rPr>
                <w:rFonts w:ascii="Segoe UI" w:hAnsi="Segoe UI" w:cs="Segoe UI" w:eastAsia="Segoe UI"/>
                <w:color w:val="101820"/>
                <w:sz w:val="18"/>
              </w:rPr>
              <w:t>Perpetual Software Licence Agreement</w:t>
            </w:r>
          </w:p>
        </w:tc>
        <w:tc>
          <w:tcPr>
            <w:tcW w:type="dxa" w:w="4507"/>
          </w:tcPr>
          <w:p>
            <w:pPr>
              <w:spacing w:after="20"/>
            </w:pPr>
            <w:r>
              <w:rPr>
                <w:rFonts w:ascii="Segoe UI" w:hAnsi="Segoe UI" w:cs="Segoe UI" w:eastAsia="Segoe UI"/>
                <w:color w:val="101820"/>
                <w:sz w:val="18"/>
              </w:rPr>
              <w:t>Perpetual licence model</w:t>
            </w:r>
          </w:p>
        </w:tc>
      </w:tr>
      <w:tr>
        <w:tc>
          <w:tcPr>
            <w:tcW w:type="dxa" w:w="4507"/>
          </w:tcPr>
          <w:p>
            <w:pPr>
              <w:spacing w:after="20"/>
            </w:pPr>
            <w:r>
              <w:rPr>
                <w:rFonts w:ascii="Segoe UI" w:hAnsi="Segoe UI" w:cs="Segoe UI" w:eastAsia="Segoe UI"/>
                <w:color w:val="101820"/>
                <w:sz w:val="18"/>
              </w:rPr>
              <w:t>Software Subscription Agreement</w:t>
            </w:r>
          </w:p>
        </w:tc>
        <w:tc>
          <w:tcPr>
            <w:tcW w:type="dxa" w:w="4507"/>
          </w:tcPr>
          <w:p>
            <w:pPr>
              <w:spacing w:after="20"/>
            </w:pPr>
            <w:r>
              <w:rPr>
                <w:rFonts w:ascii="Segoe UI" w:hAnsi="Segoe UI" w:cs="Segoe UI" w:eastAsia="Segoe UI"/>
                <w:color w:val="101820"/>
                <w:sz w:val="18"/>
              </w:rPr>
              <w:t>Subscription model</w:t>
            </w:r>
          </w:p>
        </w:tc>
      </w:tr>
      <w:tr>
        <w:tc>
          <w:tcPr>
            <w:tcW w:type="dxa" w:w="4507"/>
          </w:tcPr>
          <w:p>
            <w:pPr>
              <w:spacing w:after="20"/>
            </w:pPr>
            <w:r>
              <w:rPr>
                <w:rFonts w:ascii="Segoe UI" w:hAnsi="Segoe UI" w:cs="Segoe UI" w:eastAsia="Segoe UI"/>
                <w:color w:val="101820"/>
                <w:sz w:val="18"/>
              </w:rPr>
              <w:t>Implementation Statement of Work</w:t>
            </w:r>
          </w:p>
        </w:tc>
        <w:tc>
          <w:tcPr>
            <w:tcW w:type="dxa" w:w="4507"/>
          </w:tcPr>
          <w:p>
            <w:pPr>
              <w:spacing w:after="20"/>
            </w:pPr>
            <w:r>
              <w:rPr>
                <w:rFonts w:ascii="Segoe UI" w:hAnsi="Segoe UI" w:cs="Segoe UI" w:eastAsia="Segoe UI"/>
                <w:color w:val="101820"/>
                <w:sz w:val="18"/>
              </w:rPr>
              <w:t>One-time implementation or onboarding</w:t>
            </w:r>
          </w:p>
        </w:tc>
      </w:tr>
      <w:tr>
        <w:tc>
          <w:tcPr>
            <w:tcW w:type="dxa" w:w="4507"/>
          </w:tcPr>
          <w:p>
            <w:pPr>
              <w:spacing w:after="20"/>
            </w:pPr>
            <w:r>
              <w:rPr>
                <w:rFonts w:ascii="Segoe UI" w:hAnsi="Segoe UI" w:cs="Segoe UI" w:eastAsia="Segoe UI"/>
                <w:color w:val="101820"/>
                <w:sz w:val="18"/>
              </w:rPr>
              <w:t>Change Request Procedure and Form</w:t>
            </w:r>
          </w:p>
        </w:tc>
        <w:tc>
          <w:tcPr>
            <w:tcW w:type="dxa" w:w="4507"/>
          </w:tcPr>
          <w:p>
            <w:pPr>
              <w:spacing w:after="20"/>
            </w:pPr>
            <w:r>
              <w:rPr>
                <w:rFonts w:ascii="Segoe UI" w:hAnsi="Segoe UI" w:cs="Segoe UI" w:eastAsia="Segoe UI"/>
                <w:color w:val="101820"/>
                <w:sz w:val="18"/>
              </w:rPr>
              <w:t>Changes to scope, plan, Deliverables or the Platform</w:t>
            </w:r>
          </w:p>
        </w:tc>
      </w:tr>
      <w:tr>
        <w:tc>
          <w:tcPr>
            <w:tcW w:type="dxa" w:w="4507"/>
          </w:tcPr>
          <w:p>
            <w:pPr>
              <w:spacing w:after="20"/>
            </w:pPr>
            <w:r>
              <w:rPr>
                <w:rFonts w:ascii="Segoe UI" w:hAnsi="Segoe UI" w:cs="Segoe UI" w:eastAsia="Segoe UI"/>
                <w:color w:val="101820"/>
                <w:sz w:val="18"/>
              </w:rPr>
              <w:t>Annual Maintenance and Support Agreement and SLA</w:t>
            </w:r>
          </w:p>
        </w:tc>
        <w:tc>
          <w:tcPr>
            <w:tcW w:type="dxa" w:w="4507"/>
          </w:tcPr>
          <w:p>
            <w:pPr>
              <w:spacing w:after="20"/>
            </w:pPr>
            <w:r>
              <w:rPr>
                <w:rFonts w:ascii="Segoe UI" w:hAnsi="Segoe UI" w:cs="Segoe UI" w:eastAsia="Segoe UI"/>
                <w:color w:val="101820"/>
                <w:sz w:val="18"/>
              </w:rPr>
              <w:t>AMC for the perpetual model; service levels for both models</w:t>
            </w:r>
          </w:p>
        </w:tc>
      </w:tr>
      <w:tr>
        <w:tc>
          <w:tcPr>
            <w:tcW w:type="dxa" w:w="4507"/>
          </w:tcPr>
          <w:p>
            <w:pPr>
              <w:spacing w:after="20"/>
            </w:pPr>
            <w:r>
              <w:rPr>
                <w:rFonts w:ascii="Segoe UI" w:hAnsi="Segoe UI" w:cs="Segoe UI" w:eastAsia="Segoe UI"/>
                <w:color w:val="101820"/>
                <w:sz w:val="18"/>
              </w:rPr>
              <w:t>Hosting and Infrastructure Services Agreement</w:t>
            </w:r>
          </w:p>
        </w:tc>
        <w:tc>
          <w:tcPr>
            <w:tcW w:type="dxa" w:w="4507"/>
          </w:tcPr>
          <w:p>
            <w:pPr>
              <w:spacing w:after="20"/>
            </w:pPr>
            <w:r>
              <w:rPr>
                <w:rFonts w:ascii="Segoe UI" w:hAnsi="Segoe UI" w:cs="Segoe UI" w:eastAsia="Segoe UI"/>
                <w:color w:val="101820"/>
                <w:sz w:val="18"/>
              </w:rPr>
              <w:t>When iorta TechNXT hosts the Platform</w:t>
            </w:r>
          </w:p>
        </w:tc>
      </w:tr>
      <w:tr>
        <w:tc>
          <w:tcPr>
            <w:tcW w:type="dxa" w:w="4507"/>
          </w:tcPr>
          <w:p>
            <w:pPr>
              <w:spacing w:after="20"/>
            </w:pPr>
            <w:r>
              <w:rPr>
                <w:rFonts w:ascii="Segoe UI" w:hAnsi="Segoe UI" w:cs="Segoe UI" w:eastAsia="Segoe UI"/>
                <w:color w:val="101820"/>
                <w:sz w:val="18"/>
              </w:rPr>
              <w:t>Data Processing Agreement</w:t>
            </w:r>
          </w:p>
        </w:tc>
        <w:tc>
          <w:tcPr>
            <w:tcW w:type="dxa" w:w="4507"/>
          </w:tcPr>
          <w:p>
            <w:pPr>
              <w:spacing w:after="20"/>
            </w:pPr>
            <w:r>
              <w:rPr>
                <w:rFonts w:ascii="Segoe UI" w:hAnsi="Segoe UI" w:cs="Segoe UI" w:eastAsia="Segoe UI"/>
                <w:color w:val="101820"/>
                <w:sz w:val="18"/>
              </w:rPr>
              <w:t>Whenever iorta TechNXT processes Personal Data</w:t>
            </w:r>
          </w:p>
        </w:tc>
      </w:tr>
      <w:tr>
        <w:tc>
          <w:tcPr>
            <w:tcW w:type="dxa" w:w="4507"/>
          </w:tcPr>
          <w:p>
            <w:pPr>
              <w:spacing w:after="20"/>
            </w:pPr>
            <w:r>
              <w:rPr>
                <w:rFonts w:ascii="Segoe UI" w:hAnsi="Segoe UI" w:cs="Segoe UI" w:eastAsia="Segoe UI"/>
                <w:color w:val="101820"/>
                <w:sz w:val="18"/>
              </w:rPr>
              <w:t>Service Catalogue and Rate Annex</w:t>
            </w:r>
          </w:p>
        </w:tc>
        <w:tc>
          <w:tcPr>
            <w:tcW w:type="dxa" w:w="4507"/>
          </w:tcPr>
          <w:p>
            <w:pPr>
              <w:spacing w:after="20"/>
            </w:pPr>
            <w:r>
              <w:rPr>
                <w:rFonts w:ascii="Segoe UI" w:hAnsi="Segoe UI" w:cs="Segoe UI" w:eastAsia="Segoe UI"/>
                <w:color w:val="101820"/>
                <w:sz w:val="18"/>
              </w:rPr>
              <w:t>Every Order Form: services, units, rates and out-of-scope list</w:t>
            </w:r>
          </w:p>
        </w:tc>
      </w:tr>
      <w:tr>
        <w:tc>
          <w:tcPr>
            <w:tcW w:type="dxa" w:w="4507"/>
          </w:tcPr>
          <w:p>
            <w:pPr>
              <w:spacing w:after="20"/>
            </w:pPr>
            <w:r>
              <w:rPr>
                <w:rFonts w:ascii="Segoe UI" w:hAnsi="Segoe UI" w:cs="Segoe UI" w:eastAsia="Segoe UI"/>
                <w:color w:val="101820"/>
                <w:sz w:val="18"/>
              </w:rPr>
              <w:t>Customer Responsibilities and RACI Annex</w:t>
            </w:r>
          </w:p>
        </w:tc>
        <w:tc>
          <w:tcPr>
            <w:tcW w:type="dxa" w:w="4507"/>
          </w:tcPr>
          <w:p>
            <w:pPr>
              <w:spacing w:after="20"/>
            </w:pPr>
            <w:r>
              <w:rPr>
                <w:rFonts w:ascii="Segoe UI" w:hAnsi="Segoe UI" w:cs="Segoe UI" w:eastAsia="Segoe UI"/>
                <w:color w:val="101820"/>
                <w:sz w:val="18"/>
              </w:rPr>
              <w:t>With the SOW and the Annual Maintenance and Support Agreement</w:t>
            </w:r>
          </w:p>
        </w:tc>
      </w:tr>
      <w:tr>
        <w:tc>
          <w:tcPr>
            <w:tcW w:type="dxa" w:w="4507"/>
          </w:tcPr>
          <w:p>
            <w:pPr>
              <w:spacing w:after="20"/>
            </w:pPr>
            <w:r>
              <w:rPr>
                <w:rFonts w:ascii="Segoe UI" w:hAnsi="Segoe UI" w:cs="Segoe UI" w:eastAsia="Segoe UI"/>
                <w:color w:val="101820"/>
                <w:sz w:val="18"/>
              </w:rPr>
              <w:t>Exit and Transition Plan</w:t>
            </w:r>
          </w:p>
        </w:tc>
        <w:tc>
          <w:tcPr>
            <w:tcW w:type="dxa" w:w="4507"/>
          </w:tcPr>
          <w:p>
            <w:pPr>
              <w:spacing w:after="20"/>
            </w:pPr>
            <w:r>
              <w:rPr>
                <w:rFonts w:ascii="Segoe UI" w:hAnsi="Segoe UI" w:cs="Segoe UI" w:eastAsia="Segoe UI"/>
                <w:color w:val="101820"/>
                <w:sz w:val="18"/>
              </w:rPr>
              <w:t>Subscription and hosting: data return, deletion and transition</w:t>
            </w:r>
          </w:p>
        </w:tc>
      </w:tr>
      <w:tr>
        <w:tc>
          <w:tcPr>
            <w:tcW w:type="dxa" w:w="4507"/>
          </w:tcPr>
          <w:p>
            <w:pPr>
              <w:spacing w:after="20"/>
            </w:pPr>
            <w:r>
              <w:rPr>
                <w:rFonts w:ascii="Segoe UI" w:hAnsi="Segoe UI" w:cs="Segoe UI" w:eastAsia="Segoe UI"/>
                <w:color w:val="101820"/>
                <w:sz w:val="18"/>
              </w:rPr>
              <w:t>Source Code Escrow Agreement</w:t>
            </w:r>
          </w:p>
        </w:tc>
        <w:tc>
          <w:tcPr>
            <w:tcW w:type="dxa" w:w="4507"/>
          </w:tcPr>
          <w:p>
            <w:pPr>
              <w:spacing w:after="20"/>
            </w:pPr>
            <w:r>
              <w:rPr>
                <w:rFonts w:ascii="Segoe UI" w:hAnsi="Segoe UI" w:cs="Segoe UI" w:eastAsia="Segoe UI"/>
                <w:color w:val="101820"/>
                <w:sz w:val="18"/>
              </w:rPr>
              <w:t>Optional, perpetual licence only; three parties</w:t>
            </w:r>
          </w:p>
        </w:tc>
      </w:tr>
      <w:tr>
        <w:tc>
          <w:tcPr>
            <w:tcW w:type="dxa" w:w="4507"/>
          </w:tcPr>
          <w:p>
            <w:pPr>
              <w:spacing w:after="20"/>
            </w:pPr>
            <w:r>
              <w:rPr>
                <w:rFonts w:ascii="Segoe UI" w:hAnsi="Segoe UI" w:cs="Segoe UI" w:eastAsia="Segoe UI"/>
                <w:color w:val="101820"/>
                <w:sz w:val="18"/>
              </w:rPr>
              <w:t>UAT Sign-off and Go-live Acceptance Certificates</w:t>
            </w:r>
          </w:p>
        </w:tc>
        <w:tc>
          <w:tcPr>
            <w:tcW w:type="dxa" w:w="4507"/>
          </w:tcPr>
          <w:p>
            <w:pPr>
              <w:spacing w:after="20"/>
            </w:pPr>
            <w:r>
              <w:rPr>
                <w:rFonts w:ascii="Segoe UI" w:hAnsi="Segoe UI" w:cs="Segoe UI" w:eastAsia="Segoe UI"/>
                <w:color w:val="101820"/>
                <w:sz w:val="18"/>
              </w:rPr>
              <w:t>UAT sign-off and go-live under the SOW</w:t>
            </w:r>
          </w:p>
        </w:tc>
      </w:tr>
      <w:tr>
        <w:tc>
          <w:tcPr>
            <w:tcW w:type="dxa" w:w="4507"/>
          </w:tcPr>
          <w:p>
            <w:pPr>
              <w:spacing w:after="20"/>
            </w:pPr>
            <w:r>
              <w:rPr>
                <w:rFonts w:ascii="Segoe UI" w:hAnsi="Segoe UI" w:cs="Segoe UI" w:eastAsia="Segoe UI"/>
                <w:color w:val="101820"/>
                <w:sz w:val="18"/>
              </w:rPr>
              <w:t>Hypercare Exit and Handover to Support Certificate</w:t>
            </w:r>
          </w:p>
        </w:tc>
        <w:tc>
          <w:tcPr>
            <w:tcW w:type="dxa" w:w="4507"/>
          </w:tcPr>
          <w:p>
            <w:pPr>
              <w:spacing w:after="20"/>
            </w:pPr>
            <w:r>
              <w:rPr>
                <w:rFonts w:ascii="Segoe UI" w:hAnsi="Segoe UI" w:cs="Segoe UI" w:eastAsia="Segoe UI"/>
                <w:color w:val="101820"/>
                <w:sz w:val="18"/>
              </w:rPr>
              <w:t>End of hypercare, start of support</w:t>
            </w:r>
          </w:p>
        </w:tc>
      </w:tr>
      <w:tr>
        <w:tc>
          <w:tcPr>
            <w:tcW w:type="dxa" w:w="4507"/>
          </w:tcPr>
          <w:p>
            <w:pPr>
              <w:spacing w:after="20"/>
            </w:pPr>
            <w:r>
              <w:rPr>
                <w:rFonts w:ascii="Segoe UI" w:hAnsi="Segoe UI" w:cs="Segoe UI" w:eastAsia="Segoe UI"/>
                <w:color w:val="101820"/>
                <w:sz w:val="18"/>
              </w:rPr>
              <w:t>Mutual Non-Disclosure Agreement</w:t>
            </w:r>
          </w:p>
        </w:tc>
        <w:tc>
          <w:tcPr>
            <w:tcW w:type="dxa" w:w="4507"/>
          </w:tcPr>
          <w:p>
            <w:pPr>
              <w:spacing w:after="20"/>
            </w:pPr>
            <w:r>
              <w:rPr>
                <w:rFonts w:ascii="Segoe UI" w:hAnsi="Segoe UI" w:cs="Segoe UI" w:eastAsia="Segoe UI"/>
                <w:color w:val="101820"/>
                <w:sz w:val="18"/>
              </w:rPr>
              <w:t>Before demonstrations and discovery</w:t>
            </w:r>
          </w:p>
        </w:tc>
      </w:tr>
      <w:tr>
        <w:tc>
          <w:tcPr>
            <w:tcW w:type="dxa" w:w="4507"/>
          </w:tcPr>
          <w:p>
            <w:pPr>
              <w:spacing w:after="20"/>
            </w:pPr>
            <w:r>
              <w:rPr>
                <w:rFonts w:ascii="Segoe UI" w:hAnsi="Segoe UI" w:cs="Segoe UI" w:eastAsia="Segoe UI"/>
                <w:color w:val="101820"/>
                <w:sz w:val="18"/>
              </w:rPr>
              <w:t>Contract Pack Index and Cover Letter</w:t>
            </w:r>
          </w:p>
        </w:tc>
        <w:tc>
          <w:tcPr>
            <w:tcW w:type="dxa" w:w="4507"/>
          </w:tcPr>
          <w:p>
            <w:pPr>
              <w:spacing w:after="20"/>
            </w:pPr>
            <w:r>
              <w:rPr>
                <w:rFonts w:ascii="Segoe UI" w:hAnsi="Segoe UI" w:cs="Segoe UI" w:eastAsia="Segoe UI"/>
                <w:color w:val="101820"/>
                <w:sz w:val="18"/>
              </w:rPr>
              <w:t>Which documents apply, signing order and checklists</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