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iNXT BrokerVerse OOTB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iNXT BrokerVerse OOTB</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Perpetual Licence Agreement</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Perpetual Licence Agreement</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 Corp.</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Legal counsel (to be completed)</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Template for discussion; subject to review by the parties' legal counsel</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AMC</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Annual Maintenance Contract</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DR</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Disaster recovery</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MSA</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Master Services Agreement</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OOTB</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PHP</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peso</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Republic Act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testing</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VAT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Value-added tax</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this template</w:t>
      </w:r>
    </w:p>
    <w:p>
      <w:pPr>
        <w:shd w:val="clear" w:color="auto" w:fill="EAF2FB"/>
        <w:spacing w:after="160"/>
        <w:ind w:left="170"/>
      </w:pPr>
      <w:r>
        <w:rPr>
          <w:rFonts w:ascii="Segoe UI" w:hAnsi="Segoe UI" w:cs="Segoe UI" w:eastAsia="Segoe UI"/>
          <w:color w:val="101820"/>
          <w:sz w:val="20"/>
        </w:rPr>
        <w:t>Template for discussion; subject to review by the parties' legal counsel.</w:t>
      </w:r>
    </w:p>
    <w:p>
      <w:pPr>
        <w:spacing w:after="120" w:line="276" w:lineRule="auto"/>
      </w:pPr>
      <w:r>
        <w:rPr>
          <w:rFonts w:ascii="Segoe UI" w:hAnsi="Segoe UI" w:cs="Segoe UI" w:eastAsia="Segoe UI"/>
          <w:color w:val="101820"/>
          <w:sz w:val="21"/>
        </w:rPr>
        <w:t xml:space="preserve">This Perpetual Software Licence Agreement (the </w:t>
      </w:r>
      <w:r>
        <w:rPr>
          <w:rFonts w:ascii="Segoe UI" w:hAnsi="Segoe UI" w:cs="Segoe UI" w:eastAsia="Segoe UI"/>
          <w:b/>
          <w:color w:val="101820"/>
          <w:sz w:val="21"/>
        </w:rPr>
        <w:t>Licence Agreement</w:t>
      </w:r>
      <w:r>
        <w:rPr>
          <w:rFonts w:ascii="Segoe UI" w:hAnsi="Segoe UI" w:cs="Segoe UI" w:eastAsia="Segoe UI"/>
          <w:color w:val="101820"/>
          <w:sz w:val="21"/>
        </w:rPr>
        <w:t xml:space="preserve">) sets the terms of a perpetual licence of iNXT BrokerVerse OOTB. It forms part of the Master Services Agreement (the </w:t>
      </w:r>
      <w:r>
        <w:rPr>
          <w:rFonts w:ascii="Segoe UI" w:hAnsi="Segoe UI" w:cs="Segoe UI" w:eastAsia="Segoe UI"/>
          <w:b/>
          <w:color w:val="101820"/>
          <w:sz w:val="21"/>
        </w:rPr>
        <w:t>MSA</w:t>
      </w:r>
      <w:r>
        <w:rPr>
          <w:rFonts w:ascii="Segoe UI" w:hAnsi="Segoe UI" w:cs="Segoe UI" w:eastAsia="Segoe UI"/>
          <w:color w:val="101820"/>
          <w:sz w:val="21"/>
        </w:rPr>
        <w:t>) between iorta TechNXT Corp. and the Client when an Order Form names it. Capitalised terms not defined here have the meaning given in the MSA. Text in [square brackets] is a placeholder or an option.</w:t>
      </w:r>
    </w:p>
    <w:p>
      <w:pPr>
        <w:pStyle w:val="Heading1"/>
        <w:pageBreakBefore/>
      </w:pPr>
      <w:r>
        <w:rPr>
          <w:rFonts w:ascii="Segoe UI" w:hAnsi="Segoe UI" w:cs="Segoe UI" w:eastAsia="Segoe UI"/>
          <w:b/>
          <w:color w:val="0F4761"/>
          <w:sz w:val="32"/>
        </w:rPr>
        <w:t>4.  Agreement and definitions</w:t>
      </w:r>
    </w:p>
    <w:p>
      <w:pPr>
        <w:pStyle w:val="Heading2"/>
      </w:pPr>
      <w:r>
        <w:rPr>
          <w:rFonts w:ascii="Segoe UI" w:hAnsi="Segoe UI" w:cs="Segoe UI" w:eastAsia="Segoe UI"/>
          <w:b/>
          <w:color w:val="0F4761"/>
          <w:sz w:val="26"/>
        </w:rPr>
        <w:t>4.1  Parties</w:t>
      </w:r>
    </w:p>
    <w:p>
      <w:pPr>
        <w:spacing w:after="120" w:line="276" w:lineRule="auto"/>
      </w:pPr>
      <w:r>
        <w:rPr>
          <w:rFonts w:ascii="Segoe UI" w:hAnsi="Segoe UI" w:cs="Segoe UI" w:eastAsia="Segoe UI"/>
          <w:color w:val="101820"/>
          <w:sz w:val="21"/>
        </w:rPr>
        <w:t xml:space="preserve">This Licence Agreement is made on [date] between </w:t>
      </w:r>
      <w:r>
        <w:rPr>
          <w:rFonts w:ascii="Segoe UI" w:hAnsi="Segoe UI" w:cs="Segoe UI" w:eastAsia="Segoe UI"/>
          <w:b/>
          <w:color w:val="101820"/>
          <w:sz w:val="21"/>
        </w:rPr>
        <w:t>iorta TechNXT Corp.</w:t>
      </w:r>
      <w:r>
        <w:rPr>
          <w:rFonts w:ascii="Segoe UI" w:hAnsi="Segoe UI" w:cs="Segoe UI" w:eastAsia="Segoe UI"/>
          <w:color w:val="101820"/>
          <w:sz w:val="21"/>
        </w:rPr>
        <w:t>, SEC registration no. [number], with principal office at [address] (</w:t>
      </w:r>
      <w:r>
        <w:rPr>
          <w:rFonts w:ascii="Segoe UI" w:hAnsi="Segoe UI" w:cs="Segoe UI" w:eastAsia="Segoe UI"/>
          <w:b/>
          <w:color w:val="101820"/>
          <w:sz w:val="21"/>
        </w:rPr>
        <w:t>iorta TechNXT</w:t>
      </w:r>
      <w:r>
        <w:rPr>
          <w:rFonts w:ascii="Segoe UI" w:hAnsi="Segoe UI" w:cs="Segoe UI" w:eastAsia="Segoe UI"/>
          <w:color w:val="101820"/>
          <w:sz w:val="21"/>
        </w:rPr>
        <w:t xml:space="preserve">), and </w:t>
      </w:r>
      <w:r>
        <w:rPr>
          <w:rFonts w:ascii="Segoe UI" w:hAnsi="Segoe UI" w:cs="Segoe UI" w:eastAsia="Segoe UI"/>
          <w:b/>
          <w:color w:val="101820"/>
          <w:sz w:val="21"/>
        </w:rPr>
        <w:t>[Client legal name]</w:t>
      </w:r>
      <w:r>
        <w:rPr>
          <w:rFonts w:ascii="Segoe UI" w:hAnsi="Segoe UI" w:cs="Segoe UI" w:eastAsia="Segoe UI"/>
          <w:color w:val="101820"/>
          <w:sz w:val="21"/>
        </w:rPr>
        <w:t xml:space="preserve">, SEC registration no. [number], with principal office at [address] (the </w:t>
      </w:r>
      <w:r>
        <w:rPr>
          <w:rFonts w:ascii="Segoe UI" w:hAnsi="Segoe UI" w:cs="Segoe UI" w:eastAsia="Segoe UI"/>
          <w:b/>
          <w:color w:val="101820"/>
          <w:sz w:val="21"/>
        </w:rPr>
        <w:t>Client</w:t>
      </w:r>
      <w:r>
        <w:rPr>
          <w:rFonts w:ascii="Segoe UI" w:hAnsi="Segoe UI" w:cs="Segoe UI" w:eastAsia="Segoe UI"/>
          <w:color w:val="101820"/>
          <w:sz w:val="21"/>
        </w:rPr>
        <w:t>), under the MSA dated [date] and Order Form no. [number].</w:t>
      </w:r>
    </w:p>
    <w:p>
      <w:pPr>
        <w:pStyle w:val="Heading2"/>
      </w:pPr>
      <w:r>
        <w:rPr>
          <w:rFonts w:ascii="Segoe UI" w:hAnsi="Segoe UI" w:cs="Segoe UI" w:eastAsia="Segoe UI"/>
          <w:b/>
          <w:color w:val="0F4761"/>
          <w:sz w:val="26"/>
        </w:rPr>
        <w:t>4.2  Definitions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167"/>
        <w:gridCol w:w="5847"/>
      </w:tblGrid>
      <w:tr>
        <w:trPr>
          <w:tblHeader w:val="true"/>
        </w:trPr>
        <w:tc>
          <w:tcPr>
            <w:tcW w:type="dxa" w:w="3167"/>
            <w:shd w:val="clear" w:color="auto" w:fill="DCE9F7"/>
          </w:tcPr>
          <w:p>
            <w:pPr>
              <w:spacing w:after="20"/>
            </w:pPr>
            <w:r>
              <w:rPr>
                <w:rFonts w:ascii="Segoe UI" w:hAnsi="Segoe UI" w:cs="Segoe UI" w:eastAsia="Segoe UI"/>
                <w:b/>
                <w:color w:val="0F4761"/>
                <w:sz w:val="18"/>
              </w:rPr>
              <w:t>Term</w:t>
            </w:r>
          </w:p>
        </w:tc>
        <w:tc>
          <w:tcPr>
            <w:tcW w:type="dxa" w:w="5847"/>
            <w:shd w:val="clear" w:color="auto" w:fill="DCE9F7"/>
          </w:tcPr>
          <w:p>
            <w:pPr>
              <w:spacing w:after="20"/>
            </w:pPr>
            <w:r>
              <w:rPr>
                <w:rFonts w:ascii="Segoe UI" w:hAnsi="Segoe UI" w:cs="Segoe UI" w:eastAsia="Segoe UI"/>
                <w:b/>
                <w:color w:val="0F4761"/>
                <w:sz w:val="18"/>
              </w:rPr>
              <w:t>Meaning</w:t>
            </w:r>
          </w:p>
        </w:tc>
      </w:tr>
      <w:tr>
        <w:tc>
          <w:tcPr>
            <w:tcW w:type="dxa" w:w="3167"/>
          </w:tcPr>
          <w:p>
            <w:pPr>
              <w:spacing w:after="20"/>
            </w:pPr>
            <w:r>
              <w:rPr>
                <w:rFonts w:ascii="Segoe UI" w:hAnsi="Segoe UI" w:cs="Segoe UI" w:eastAsia="Segoe UI"/>
                <w:color w:val="101820"/>
                <w:sz w:val="18"/>
              </w:rPr>
              <w:t>Licensed Software</w:t>
            </w:r>
          </w:p>
        </w:tc>
        <w:tc>
          <w:tcPr>
            <w:tcW w:type="dxa" w:w="5847"/>
          </w:tcPr>
          <w:p>
            <w:pPr>
              <w:spacing w:after="20"/>
            </w:pPr>
            <w:r>
              <w:rPr>
                <w:rFonts w:ascii="Segoe UI" w:hAnsi="Segoe UI" w:cs="Segoe UI" w:eastAsia="Segoe UI"/>
                <w:color w:val="101820"/>
                <w:sz w:val="18"/>
              </w:rPr>
              <w:t>iNXT BrokerVerse OOTB in object code (the compiled back-end and front-end builds and container images), the database schema and migrations, the upload templates and the Documentation, in the version delivered at Go-Live and in the updates delivered under the AMC</w:t>
            </w:r>
          </w:p>
        </w:tc>
      </w:tr>
      <w:tr>
        <w:tc>
          <w:tcPr>
            <w:tcW w:type="dxa" w:w="3167"/>
          </w:tcPr>
          <w:p>
            <w:pPr>
              <w:spacing w:after="20"/>
            </w:pPr>
            <w:r>
              <w:rPr>
                <w:rFonts w:ascii="Segoe UI" w:hAnsi="Segoe UI" w:cs="Segoe UI" w:eastAsia="Segoe UI"/>
                <w:color w:val="101820"/>
                <w:sz w:val="18"/>
              </w:rPr>
              <w:t>Licence Fee</w:t>
            </w:r>
          </w:p>
        </w:tc>
        <w:tc>
          <w:tcPr>
            <w:tcW w:type="dxa" w:w="5847"/>
          </w:tcPr>
          <w:p>
            <w:pPr>
              <w:spacing w:after="20"/>
            </w:pPr>
            <w:r>
              <w:rPr>
                <w:rFonts w:ascii="Segoe UI" w:hAnsi="Segoe UI" w:cs="Segoe UI" w:eastAsia="Segoe UI"/>
                <w:color w:val="101820"/>
                <w:sz w:val="18"/>
              </w:rPr>
              <w:t>The one-time fee for the licence stated in the Order Form</w:t>
            </w:r>
          </w:p>
        </w:tc>
      </w:tr>
      <w:tr>
        <w:tc>
          <w:tcPr>
            <w:tcW w:type="dxa" w:w="3167"/>
          </w:tcPr>
          <w:p>
            <w:pPr>
              <w:spacing w:after="20"/>
            </w:pPr>
            <w:r>
              <w:rPr>
                <w:rFonts w:ascii="Segoe UI" w:hAnsi="Segoe UI" w:cs="Segoe UI" w:eastAsia="Segoe UI"/>
                <w:color w:val="101820"/>
                <w:sz w:val="18"/>
              </w:rPr>
              <w:t>Named User</w:t>
            </w:r>
          </w:p>
        </w:tc>
        <w:tc>
          <w:tcPr>
            <w:tcW w:type="dxa" w:w="5847"/>
          </w:tcPr>
          <w:p>
            <w:pPr>
              <w:spacing w:after="20"/>
            </w:pPr>
            <w:r>
              <w:rPr>
                <w:rFonts w:ascii="Segoe UI" w:hAnsi="Segoe UI" w:cs="Segoe UI" w:eastAsia="Segoe UI"/>
                <w:color w:val="101820"/>
                <w:sz w:val="18"/>
              </w:rPr>
              <w:t>An individual identified by a personal sign-in who is authorised to use the Licensed Software; an inactive (deactivated) user is not counted</w:t>
            </w:r>
          </w:p>
        </w:tc>
      </w:tr>
      <w:tr>
        <w:tc>
          <w:tcPr>
            <w:tcW w:type="dxa" w:w="3167"/>
          </w:tcPr>
          <w:p>
            <w:pPr>
              <w:spacing w:after="20"/>
            </w:pPr>
            <w:r>
              <w:rPr>
                <w:rFonts w:ascii="Segoe UI" w:hAnsi="Segoe UI" w:cs="Segoe UI" w:eastAsia="Segoe UI"/>
                <w:color w:val="101820"/>
                <w:sz w:val="18"/>
              </w:rPr>
              <w:t>Licensed Users</w:t>
            </w:r>
          </w:p>
        </w:tc>
        <w:tc>
          <w:tcPr>
            <w:tcW w:type="dxa" w:w="5847"/>
          </w:tcPr>
          <w:p>
            <w:pPr>
              <w:spacing w:after="20"/>
            </w:pPr>
            <w:r>
              <w:rPr>
                <w:rFonts w:ascii="Segoe UI" w:hAnsi="Segoe UI" w:cs="Segoe UI" w:eastAsia="Segoe UI"/>
                <w:color w:val="101820"/>
                <w:sz w:val="18"/>
              </w:rPr>
              <w:t>The number of Named Users stated in the Order Form, as increased by later Order Forms</w:t>
            </w:r>
          </w:p>
        </w:tc>
      </w:tr>
      <w:tr>
        <w:tc>
          <w:tcPr>
            <w:tcW w:type="dxa" w:w="3167"/>
          </w:tcPr>
          <w:p>
            <w:pPr>
              <w:spacing w:after="20"/>
            </w:pPr>
            <w:r>
              <w:rPr>
                <w:rFonts w:ascii="Segoe UI" w:hAnsi="Segoe UI" w:cs="Segoe UI" w:eastAsia="Segoe UI"/>
                <w:color w:val="101820"/>
                <w:sz w:val="18"/>
              </w:rPr>
              <w:t>Production Environment</w:t>
            </w:r>
          </w:p>
        </w:tc>
        <w:tc>
          <w:tcPr>
            <w:tcW w:type="dxa" w:w="5847"/>
          </w:tcPr>
          <w:p>
            <w:pPr>
              <w:spacing w:after="20"/>
            </w:pPr>
            <w:r>
              <w:rPr>
                <w:rFonts w:ascii="Segoe UI" w:hAnsi="Segoe UI" w:cs="Segoe UI" w:eastAsia="Segoe UI"/>
                <w:color w:val="101820"/>
                <w:sz w:val="18"/>
              </w:rPr>
              <w:t>The single installation of the Licensed Software used for the Client's live business transactions</w:t>
            </w:r>
          </w:p>
        </w:tc>
      </w:tr>
      <w:tr>
        <w:tc>
          <w:tcPr>
            <w:tcW w:type="dxa" w:w="3167"/>
          </w:tcPr>
          <w:p>
            <w:pPr>
              <w:spacing w:after="20"/>
            </w:pPr>
            <w:r>
              <w:rPr>
                <w:rFonts w:ascii="Segoe UI" w:hAnsi="Segoe UI" w:cs="Segoe UI" w:eastAsia="Segoe UI"/>
                <w:color w:val="101820"/>
                <w:sz w:val="18"/>
              </w:rPr>
              <w:t>Non-Production Environment</w:t>
            </w:r>
          </w:p>
        </w:tc>
        <w:tc>
          <w:tcPr>
            <w:tcW w:type="dxa" w:w="5847"/>
          </w:tcPr>
          <w:p>
            <w:pPr>
              <w:spacing w:after="20"/>
            </w:pPr>
            <w:r>
              <w:rPr>
                <w:rFonts w:ascii="Segoe UI" w:hAnsi="Segoe UI" w:cs="Segoe UI" w:eastAsia="Segoe UI"/>
                <w:color w:val="101820"/>
                <w:sz w:val="18"/>
              </w:rPr>
              <w:t>An installation used only for testing, UAT, training or disaster recovery, and never for live transactions</w:t>
            </w:r>
          </w:p>
        </w:tc>
      </w:tr>
      <w:tr>
        <w:tc>
          <w:tcPr>
            <w:tcW w:type="dxa" w:w="3167"/>
          </w:tcPr>
          <w:p>
            <w:pPr>
              <w:spacing w:after="20"/>
            </w:pPr>
            <w:r>
              <w:rPr>
                <w:rFonts w:ascii="Segoe UI" w:hAnsi="Segoe UI" w:cs="Segoe UI" w:eastAsia="Segoe UI"/>
                <w:color w:val="101820"/>
                <w:sz w:val="18"/>
              </w:rPr>
              <w:t>Warranty Period</w:t>
            </w:r>
          </w:p>
        </w:tc>
        <w:tc>
          <w:tcPr>
            <w:tcW w:type="dxa" w:w="5847"/>
          </w:tcPr>
          <w:p>
            <w:pPr>
              <w:spacing w:after="20"/>
            </w:pPr>
            <w:r>
              <w:rPr>
                <w:rFonts w:ascii="Segoe UI" w:hAnsi="Segoe UI" w:cs="Segoe UI" w:eastAsia="Segoe UI"/>
                <w:color w:val="101820"/>
                <w:sz w:val="18"/>
              </w:rPr>
              <w:t>12 months from Go-Live</w:t>
            </w:r>
          </w:p>
        </w:tc>
      </w:tr>
    </w:tbl>
    <w:p>
      <w:pPr>
        <w:spacing w:after="80"/>
      </w:pPr>
    </w:p>
    <w:p>
      <w:pPr>
        <w:pStyle w:val="Heading1"/>
        <w:pageBreakBefore/>
      </w:pPr>
      <w:r>
        <w:rPr>
          <w:rFonts w:ascii="Segoe UI" w:hAnsi="Segoe UI" w:cs="Segoe UI" w:eastAsia="Segoe UI"/>
          <w:b/>
          <w:color w:val="0F4761"/>
          <w:sz w:val="32"/>
        </w:rPr>
        <w:t>5.  Licence</w:t>
      </w:r>
    </w:p>
    <w:p>
      <w:pPr>
        <w:pStyle w:val="Heading2"/>
      </w:pPr>
      <w:r>
        <w:rPr>
          <w:rFonts w:ascii="Segoe UI" w:hAnsi="Segoe UI" w:cs="Segoe UI" w:eastAsia="Segoe UI"/>
          <w:b/>
          <w:color w:val="0F4761"/>
          <w:sz w:val="26"/>
        </w:rPr>
        <w:t>5.1  Grant</w:t>
      </w:r>
    </w:p>
    <w:p>
      <w:pPr>
        <w:spacing w:after="60"/>
        <w:numPr>
          <w:ilvl w:val="0"/>
          <w:numId w:val="4"/>
        </w:numPr>
      </w:pPr>
      <w:r>
        <w:rPr>
          <w:rFonts w:ascii="Segoe UI" w:hAnsi="Segoe UI" w:cs="Segoe UI" w:eastAsia="Segoe UI"/>
          <w:color w:val="101820"/>
          <w:sz w:val="21"/>
        </w:rPr>
        <w:t>Subject to payment of the Licence Fee and to this Licence Agreement, iorta TechNXT grants the Client a perpetual, non-exclusive, non-transferable, non-sublicensable licence to install and use the Licensed Software in the Philippines for the internal business of the Client as a licensed insurance broker, by up to the Licensed Users.</w:t>
      </w:r>
    </w:p>
    <w:p>
      <w:pPr>
        <w:spacing w:after="60"/>
        <w:numPr>
          <w:ilvl w:val="0"/>
          <w:numId w:val="4"/>
        </w:numPr>
      </w:pPr>
      <w:r>
        <w:rPr>
          <w:rFonts w:ascii="Segoe UI" w:hAnsi="Segoe UI" w:cs="Segoe UI" w:eastAsia="Segoe UI"/>
          <w:color w:val="101820"/>
          <w:sz w:val="21"/>
        </w:rPr>
        <w:t>"Internal business" includes processing the business of the Client's clients, insurers, reinsurers and referrers in the Client's own name. It does not include providing the Licensed Software as a service, a bureau or an outsourcing service to any other person.</w:t>
      </w:r>
    </w:p>
    <w:p>
      <w:pPr>
        <w:spacing w:after="60"/>
        <w:numPr>
          <w:ilvl w:val="0"/>
          <w:numId w:val="4"/>
        </w:numPr>
      </w:pPr>
      <w:r>
        <w:rPr>
          <w:rFonts w:ascii="Segoe UI" w:hAnsi="Segoe UI" w:cs="Segoe UI" w:eastAsia="Segoe UI"/>
          <w:color w:val="101820"/>
          <w:sz w:val="21"/>
        </w:rPr>
        <w:t>The licence is perpetual: it continues after the end of the AMC, but updates, releases and support after the Warranty Period are provided only while the AMC is in force.</w:t>
      </w:r>
    </w:p>
    <w:p>
      <w:pPr>
        <w:pStyle w:val="Heading2"/>
      </w:pPr>
      <w:r>
        <w:rPr>
          <w:rFonts w:ascii="Segoe UI" w:hAnsi="Segoe UI" w:cs="Segoe UI" w:eastAsia="Segoe UI"/>
          <w:b/>
          <w:color w:val="0F4761"/>
          <w:sz w:val="26"/>
        </w:rPr>
        <w:t>5.2  Users and slabs</w:t>
      </w:r>
    </w:p>
    <w:p>
      <w:pPr>
        <w:spacing w:after="60"/>
        <w:numPr>
          <w:ilvl w:val="0"/>
          <w:numId w:val="5"/>
        </w:numPr>
      </w:pPr>
      <w:r>
        <w:rPr>
          <w:rFonts w:ascii="Segoe UI" w:hAnsi="Segoe UI" w:cs="Segoe UI" w:eastAsia="Segoe UI"/>
          <w:color w:val="101820"/>
          <w:sz w:val="21"/>
        </w:rPr>
        <w:t>The licence is for Named Users. The Licence Fee is calculated on graduated slabs: users 1 to 25 at the Small slab rate, users 26 to 100 at the Medium slab rate, users 101 to 300 at the Large slab rate and users above 300 at the Enterprise slab rate, as stated in Schedule 1 and the Order Form.</w:t>
      </w:r>
    </w:p>
    <w:p>
      <w:pPr>
        <w:spacing w:after="60"/>
        <w:numPr>
          <w:ilvl w:val="0"/>
          <w:numId w:val="5"/>
        </w:numPr>
      </w:pPr>
      <w:r>
        <w:rPr>
          <w:rFonts w:ascii="Segoe UI" w:hAnsi="Segoe UI" w:cs="Segoe UI" w:eastAsia="Segoe UI"/>
          <w:color w:val="101820"/>
          <w:sz w:val="21"/>
        </w:rPr>
        <w:t>The Client may reassign a Named User licence from one individual to another when the first individual leaves or changes role permanently, but not to share a licence among several people or rotate it.</w:t>
      </w:r>
    </w:p>
    <w:p>
      <w:pPr>
        <w:spacing w:after="60"/>
        <w:numPr>
          <w:ilvl w:val="0"/>
          <w:numId w:val="5"/>
        </w:numPr>
      </w:pPr>
      <w:r>
        <w:rPr>
          <w:rFonts w:ascii="Segoe UI" w:hAnsi="Segoe UI" w:cs="Segoe UI" w:eastAsia="Segoe UI"/>
          <w:color w:val="101820"/>
          <w:sz w:val="21"/>
        </w:rPr>
        <w:t>[Option: concurrent users. The Client may instead license a number of concurrent users, meaning the maximum number of Users signed in at the same time, at the concurrent user price stated in the Order Form.]</w:t>
      </w:r>
    </w:p>
    <w:p>
      <w:pPr>
        <w:spacing w:after="60"/>
        <w:numPr>
          <w:ilvl w:val="0"/>
          <w:numId w:val="5"/>
        </w:numPr>
      </w:pPr>
      <w:r>
        <w:rPr>
          <w:rFonts w:ascii="Segoe UI" w:hAnsi="Segoe UI" w:cs="Segoe UI" w:eastAsia="Segoe UI"/>
          <w:color w:val="101820"/>
          <w:sz w:val="21"/>
        </w:rPr>
        <w:t>Accounts used only by iorta TechNXT support staff, and service accounts used for integrations, are not counted.</w:t>
      </w:r>
    </w:p>
    <w:p>
      <w:pPr>
        <w:pStyle w:val="Heading2"/>
      </w:pPr>
      <w:r>
        <w:rPr>
          <w:rFonts w:ascii="Segoe UI" w:hAnsi="Segoe UI" w:cs="Segoe UI" w:eastAsia="Segoe UI"/>
          <w:b/>
          <w:color w:val="0F4761"/>
          <w:sz w:val="26"/>
        </w:rPr>
        <w:t>5.3  Additional users</w:t>
      </w:r>
    </w:p>
    <w:p>
      <w:pPr>
        <w:spacing w:after="120" w:line="276" w:lineRule="auto"/>
      </w:pPr>
      <w:r>
        <w:rPr>
          <w:rFonts w:ascii="Segoe UI" w:hAnsi="Segoe UI" w:cs="Segoe UI" w:eastAsia="Segoe UI"/>
          <w:color w:val="101820"/>
          <w:sz w:val="21"/>
        </w:rPr>
        <w:t>The Client may license additional Named Users at any time through an Order Form. Additional users are priced at the slab rates of the current price list for the slabs they fall into, counting from the existing Licensed Users, less any discount that the original Order Form states applies to additional users. AMC on additional users starts on the later of their licence date and the AMC start, prorated to the next AMC anniversary.</w:t>
      </w:r>
    </w:p>
    <w:p>
      <w:pPr>
        <w:pStyle w:val="Heading2"/>
      </w:pPr>
      <w:r>
        <w:rPr>
          <w:rFonts w:ascii="Segoe UI" w:hAnsi="Segoe UI" w:cs="Segoe UI" w:eastAsia="Segoe UI"/>
          <w:b/>
          <w:color w:val="0F4761"/>
          <w:sz w:val="26"/>
        </w:rPr>
        <w:t>5.4  Environments</w:t>
      </w:r>
    </w:p>
    <w:p>
      <w:pPr>
        <w:spacing w:after="60"/>
        <w:numPr>
          <w:ilvl w:val="0"/>
          <w:numId w:val="6"/>
        </w:numPr>
      </w:pPr>
      <w:r>
        <w:rPr>
          <w:rFonts w:ascii="Segoe UI" w:hAnsi="Segoe UI" w:cs="Segoe UI" w:eastAsia="Segoe UI"/>
          <w:color w:val="101820"/>
          <w:sz w:val="21"/>
        </w:rPr>
        <w:t>The licence covers one Production Environment and up to [two] Non-Production Environments (for example UAT and training), and one passive DR copy of the Production Environment that is used only when the Production Environment is unavailable or during a DR test.</w:t>
      </w:r>
    </w:p>
    <w:p>
      <w:pPr>
        <w:spacing w:after="60"/>
        <w:numPr>
          <w:ilvl w:val="0"/>
          <w:numId w:val="6"/>
        </w:numPr>
      </w:pPr>
      <w:r>
        <w:rPr>
          <w:rFonts w:ascii="Segoe UI" w:hAnsi="Segoe UI" w:cs="Segoe UI" w:eastAsia="Segoe UI"/>
          <w:color w:val="101820"/>
          <w:sz w:val="21"/>
        </w:rPr>
        <w:t>Additional Non-Production Environments may be licensed through an Order Form. Their set-up and hosting are priced as optional services.</w:t>
      </w:r>
    </w:p>
    <w:p>
      <w:pPr>
        <w:spacing w:after="60"/>
        <w:numPr>
          <w:ilvl w:val="0"/>
          <w:numId w:val="6"/>
        </w:numPr>
      </w:pPr>
      <w:r>
        <w:rPr>
          <w:rFonts w:ascii="Segoe UI" w:hAnsi="Segoe UI" w:cs="Segoe UI" w:eastAsia="Segoe UI"/>
          <w:color w:val="101820"/>
          <w:sz w:val="21"/>
        </w:rPr>
        <w:t>Production personal data is not copied into a Non-Production Environment without masking, as stated in the Data Processing Agreement.</w:t>
      </w:r>
    </w:p>
    <w:p>
      <w:pPr>
        <w:pStyle w:val="Heading2"/>
      </w:pPr>
      <w:r>
        <w:rPr>
          <w:rFonts w:ascii="Segoe UI" w:hAnsi="Segoe UI" w:cs="Segoe UI" w:eastAsia="Segoe UI"/>
          <w:b/>
          <w:color w:val="0F4761"/>
          <w:sz w:val="26"/>
        </w:rPr>
        <w:t>5.5  Delivery and installation</w:t>
      </w:r>
    </w:p>
    <w:p>
      <w:pPr>
        <w:spacing w:after="60"/>
        <w:numPr>
          <w:ilvl w:val="0"/>
          <w:numId w:val="7"/>
        </w:numPr>
      </w:pPr>
      <w:r>
        <w:rPr>
          <w:rFonts w:ascii="Segoe UI" w:hAnsi="Segoe UI" w:cs="Segoe UI" w:eastAsia="Segoe UI"/>
          <w:color w:val="101820"/>
          <w:sz w:val="21"/>
        </w:rPr>
        <w:t>iorta TechNXT delivers the Licensed Software by installing it in the environments named in the Order Form, either in the Client's own cloud account or data centre or in the hosting environment provided under the Hosting and Infrastructure Services Agreement.</w:t>
      </w:r>
    </w:p>
    <w:p>
      <w:pPr>
        <w:spacing w:after="60"/>
        <w:numPr>
          <w:ilvl w:val="0"/>
          <w:numId w:val="7"/>
        </w:numPr>
      </w:pPr>
      <w:r>
        <w:rPr>
          <w:rFonts w:ascii="Segoe UI" w:hAnsi="Segoe UI" w:cs="Segoe UI" w:eastAsia="Segoe UI"/>
          <w:color w:val="101820"/>
          <w:sz w:val="21"/>
        </w:rPr>
        <w:t>Where the Client hosts, iorta TechNXT supplies the deployment guide and the container images or build artefacts, and set-up support is charged at the day rates of the Order Form unless it is in the Implementation SOW.</w:t>
      </w:r>
    </w:p>
    <w:p>
      <w:pPr>
        <w:pStyle w:val="Heading2"/>
      </w:pPr>
      <w:r>
        <w:rPr>
          <w:rFonts w:ascii="Segoe UI" w:hAnsi="Segoe UI" w:cs="Segoe UI" w:eastAsia="Segoe UI"/>
          <w:b/>
          <w:color w:val="0F4761"/>
          <w:sz w:val="26"/>
        </w:rPr>
        <w:t>5.6  Restrictions</w:t>
      </w:r>
    </w:p>
    <w:p>
      <w:pPr>
        <w:spacing w:after="120" w:line="276" w:lineRule="auto"/>
      </w:pPr>
      <w:r>
        <w:rPr>
          <w:rFonts w:ascii="Segoe UI" w:hAnsi="Segoe UI" w:cs="Segoe UI" w:eastAsia="Segoe UI"/>
          <w:color w:val="101820"/>
          <w:sz w:val="21"/>
        </w:rPr>
        <w:t>The Client shall not, and shall not allow any person to:</w:t>
      </w:r>
    </w:p>
    <w:p>
      <w:pPr>
        <w:spacing w:after="60"/>
        <w:numPr>
          <w:ilvl w:val="0"/>
          <w:numId w:val="8"/>
        </w:numPr>
      </w:pPr>
      <w:r>
        <w:rPr>
          <w:rFonts w:ascii="Segoe UI" w:hAnsi="Segoe UI" w:cs="Segoe UI" w:eastAsia="Segoe UI"/>
          <w:color w:val="101820"/>
          <w:sz w:val="21"/>
        </w:rPr>
        <w:t>use the Licensed Software beyond the Licensed Users, the environments or the purpose in this Licence Agreement;</w:t>
      </w:r>
    </w:p>
    <w:p>
      <w:pPr>
        <w:spacing w:after="60"/>
        <w:numPr>
          <w:ilvl w:val="0"/>
          <w:numId w:val="8"/>
        </w:numPr>
      </w:pPr>
      <w:r>
        <w:rPr>
          <w:rFonts w:ascii="Segoe UI" w:hAnsi="Segoe UI" w:cs="Segoe UI" w:eastAsia="Segoe UI"/>
          <w:color w:val="101820"/>
          <w:sz w:val="21"/>
        </w:rPr>
        <w:t>copy the Licensed Software, except for the installations allowed and for reasonable back-up and archive copies;</w:t>
      </w:r>
    </w:p>
    <w:p>
      <w:pPr>
        <w:spacing w:after="60"/>
        <w:numPr>
          <w:ilvl w:val="0"/>
          <w:numId w:val="8"/>
        </w:numPr>
      </w:pPr>
      <w:r>
        <w:rPr>
          <w:rFonts w:ascii="Segoe UI" w:hAnsi="Segoe UI" w:cs="Segoe UI" w:eastAsia="Segoe UI"/>
          <w:color w:val="101820"/>
          <w:sz w:val="21"/>
        </w:rPr>
        <w:t>modify, translate, adapt or create derivative works of the Licensed Software, except through configuration in the delivered screens and settings or through Change Requests performed by iorta TechNXT;</w:t>
      </w:r>
    </w:p>
    <w:p>
      <w:pPr>
        <w:spacing w:after="60"/>
        <w:numPr>
          <w:ilvl w:val="0"/>
          <w:numId w:val="8"/>
        </w:numPr>
      </w:pPr>
      <w:r>
        <w:rPr>
          <w:rFonts w:ascii="Segoe UI" w:hAnsi="Segoe UI" w:cs="Segoe UI" w:eastAsia="Segoe UI"/>
          <w:color w:val="101820"/>
          <w:sz w:val="21"/>
        </w:rPr>
        <w:t>reverse engineer, decompile or disassemble the Licensed Software, except to the extent that RA 8293 allows it despite this restriction;</w:t>
      </w:r>
    </w:p>
    <w:p>
      <w:pPr>
        <w:spacing w:after="60"/>
        <w:numPr>
          <w:ilvl w:val="0"/>
          <w:numId w:val="8"/>
        </w:numPr>
      </w:pPr>
      <w:r>
        <w:rPr>
          <w:rFonts w:ascii="Segoe UI" w:hAnsi="Segoe UI" w:cs="Segoe UI" w:eastAsia="Segoe UI"/>
          <w:color w:val="101820"/>
          <w:sz w:val="21"/>
        </w:rPr>
        <w:t>sell, rent, lease, lend, sublicense or otherwise make the Licensed Software available to any third party, or use it to provide services to other brokers or agents;</w:t>
      </w:r>
    </w:p>
    <w:p>
      <w:pPr>
        <w:spacing w:after="60"/>
        <w:numPr>
          <w:ilvl w:val="0"/>
          <w:numId w:val="8"/>
        </w:numPr>
      </w:pPr>
      <w:r>
        <w:rPr>
          <w:rFonts w:ascii="Segoe UI" w:hAnsi="Segoe UI" w:cs="Segoe UI" w:eastAsia="Segoe UI"/>
          <w:color w:val="101820"/>
          <w:sz w:val="21"/>
        </w:rPr>
        <w:t>remove or alter any proprietary notice, or circumvent any licence control;</w:t>
      </w:r>
    </w:p>
    <w:p>
      <w:pPr>
        <w:spacing w:after="60"/>
        <w:numPr>
          <w:ilvl w:val="0"/>
          <w:numId w:val="8"/>
        </w:numPr>
      </w:pPr>
      <w:r>
        <w:rPr>
          <w:rFonts w:ascii="Segoe UI" w:hAnsi="Segoe UI" w:cs="Segoe UI" w:eastAsia="Segoe UI"/>
          <w:color w:val="101820"/>
          <w:sz w:val="21"/>
        </w:rPr>
        <w:t>use the Licensed Software to build a competing product.</w:t>
      </w:r>
    </w:p>
    <w:p>
      <w:pPr>
        <w:pStyle w:val="Heading2"/>
      </w:pPr>
      <w:r>
        <w:rPr>
          <w:rFonts w:ascii="Segoe UI" w:hAnsi="Segoe UI" w:cs="Segoe UI" w:eastAsia="Segoe UI"/>
          <w:b/>
          <w:color w:val="0F4761"/>
          <w:sz w:val="26"/>
        </w:rPr>
        <w:t>5.7  Third-party and open-source components</w:t>
      </w:r>
    </w:p>
    <w:p>
      <w:pPr>
        <w:spacing w:after="120" w:line="276" w:lineRule="auto"/>
      </w:pPr>
      <w:r>
        <w:rPr>
          <w:rFonts w:ascii="Segoe UI" w:hAnsi="Segoe UI" w:cs="Segoe UI" w:eastAsia="Segoe UI"/>
          <w:color w:val="101820"/>
          <w:sz w:val="21"/>
        </w:rPr>
        <w:t>The Licensed Software includes open-source components under their own licences, listed in the Documentation. Those licences govern the components. iorta TechNXT warrants that their use as part of the Licensed Software, as delivered, does not require the Client to disclose its own source code or data.</w:t>
      </w:r>
    </w:p>
    <w:p>
      <w:pPr>
        <w:pStyle w:val="Heading2"/>
      </w:pPr>
      <w:r>
        <w:rPr>
          <w:rFonts w:ascii="Segoe UI" w:hAnsi="Segoe UI" w:cs="Segoe UI" w:eastAsia="Segoe UI"/>
          <w:b/>
          <w:color w:val="0F4761"/>
          <w:sz w:val="26"/>
        </w:rPr>
        <w:t>5.8  Licence compliance</w:t>
      </w:r>
    </w:p>
    <w:p>
      <w:pPr>
        <w:spacing w:after="120" w:line="276" w:lineRule="auto"/>
      </w:pPr>
      <w:r>
        <w:rPr>
          <w:rFonts w:ascii="Segoe UI" w:hAnsi="Segoe UI" w:cs="Segoe UI" w:eastAsia="Segoe UI"/>
          <w:color w:val="101820"/>
          <w:sz w:val="21"/>
        </w:rPr>
        <w:t>Once a year, on 30 days' written notice, iorta TechNXT may ask the Client to confirm in writing the number of active Named Users and the environments in use. The User Management screens of the Licensed Software provide the count. If the count exceeds the Licensed Users, the Client licenses the excess at the current price list through an Order Form, with AMC from the date the excess began.</w:t>
      </w:r>
    </w:p>
    <w:p>
      <w:pPr>
        <w:pStyle w:val="Heading1"/>
        <w:pageBreakBefore/>
      </w:pPr>
      <w:r>
        <w:rPr>
          <w:rFonts w:ascii="Segoe UI" w:hAnsi="Segoe UI" w:cs="Segoe UI" w:eastAsia="Segoe UI"/>
          <w:b/>
          <w:color w:val="0F4761"/>
          <w:sz w:val="32"/>
        </w:rPr>
        <w:t>6.  Fees, warranty and AMC</w:t>
      </w:r>
    </w:p>
    <w:p>
      <w:pPr>
        <w:pStyle w:val="Heading2"/>
      </w:pPr>
      <w:r>
        <w:rPr>
          <w:rFonts w:ascii="Segoe UI" w:hAnsi="Segoe UI" w:cs="Segoe UI" w:eastAsia="Segoe UI"/>
          <w:b/>
          <w:color w:val="0F4761"/>
          <w:sz w:val="26"/>
        </w:rPr>
        <w:t>6.1  Licence Fee</w:t>
      </w:r>
    </w:p>
    <w:p>
      <w:pPr>
        <w:spacing w:after="60"/>
        <w:numPr>
          <w:ilvl w:val="0"/>
          <w:numId w:val="9"/>
        </w:numPr>
      </w:pPr>
      <w:r>
        <w:rPr>
          <w:rFonts w:ascii="Segoe UI" w:hAnsi="Segoe UI" w:cs="Segoe UI" w:eastAsia="Segoe UI"/>
          <w:color w:val="101820"/>
          <w:sz w:val="21"/>
        </w:rPr>
        <w:t>The Licence Fee is stated in the Order Form and is payable 100% on Go-Live, under the payment terms of the MSA.</w:t>
      </w:r>
    </w:p>
    <w:p>
      <w:pPr>
        <w:spacing w:after="60"/>
        <w:numPr>
          <w:ilvl w:val="0"/>
          <w:numId w:val="9"/>
        </w:numPr>
      </w:pPr>
      <w:r>
        <w:rPr>
          <w:rFonts w:ascii="Segoe UI" w:hAnsi="Segoe UI" w:cs="Segoe UI" w:eastAsia="Segoe UI"/>
          <w:color w:val="101820"/>
          <w:sz w:val="21"/>
        </w:rPr>
        <w:t>If Go-Live is delayed for more than [60] days for reasons attributable to the Client, the Licence Fee becomes payable on the date Go-Live was planned in the SOW, as adjusted by approved Change Requests.</w:t>
      </w:r>
    </w:p>
    <w:p>
      <w:pPr>
        <w:spacing w:after="60"/>
        <w:numPr>
          <w:ilvl w:val="0"/>
          <w:numId w:val="9"/>
        </w:numPr>
      </w:pPr>
      <w:r>
        <w:rPr>
          <w:rFonts w:ascii="Segoe UI" w:hAnsi="Segoe UI" w:cs="Segoe UI" w:eastAsia="Segoe UI"/>
          <w:color w:val="101820"/>
          <w:sz w:val="21"/>
        </w:rPr>
        <w:t>The Licence Fee excludes VAT. The withholding treatment of the Licence Fee is stated in the Order Form after review by both Parties' tax advisers.</w:t>
      </w:r>
    </w:p>
    <w:p>
      <w:pPr>
        <w:pStyle w:val="Heading2"/>
      </w:pPr>
      <w:r>
        <w:rPr>
          <w:rFonts w:ascii="Segoe UI" w:hAnsi="Segoe UI" w:cs="Segoe UI" w:eastAsia="Segoe UI"/>
          <w:b/>
          <w:color w:val="0F4761"/>
          <w:sz w:val="26"/>
        </w:rPr>
        <w:t>6.2  Warranty Period</w:t>
      </w:r>
    </w:p>
    <w:p>
      <w:pPr>
        <w:spacing w:after="120" w:line="276" w:lineRule="auto"/>
      </w:pPr>
      <w:r>
        <w:rPr>
          <w:rFonts w:ascii="Segoe UI" w:hAnsi="Segoe UI" w:cs="Segoe UI" w:eastAsia="Segoe UI"/>
          <w:color w:val="101820"/>
          <w:sz w:val="21"/>
        </w:rPr>
        <w:t>During the Warranty Period iorta TechNXT corrects defects in the Licensed Software and provides standard support under the service levels of the Annual Maintenance and Support Agreement, at no additional charge.</w:t>
      </w:r>
    </w:p>
    <w:p>
      <w:pPr>
        <w:pStyle w:val="Heading2"/>
      </w:pPr>
      <w:r>
        <w:rPr>
          <w:rFonts w:ascii="Segoe UI" w:hAnsi="Segoe UI" w:cs="Segoe UI" w:eastAsia="Segoe UI"/>
          <w:b/>
          <w:color w:val="0F4761"/>
          <w:sz w:val="26"/>
        </w:rPr>
        <w:t>6.3  AMC linkage</w:t>
      </w:r>
    </w:p>
    <w:p>
      <w:pPr>
        <w:spacing w:after="60"/>
        <w:numPr>
          <w:ilvl w:val="0"/>
          <w:numId w:val="10"/>
        </w:numPr>
      </w:pPr>
      <w:r>
        <w:rPr>
          <w:rFonts w:ascii="Segoe UI" w:hAnsi="Segoe UI" w:cs="Segoe UI" w:eastAsia="Segoe UI"/>
          <w:color w:val="101820"/>
          <w:sz w:val="21"/>
        </w:rPr>
        <w:t>After the Warranty Period, maintenance and support are provided under the Annual Maintenance and Support Agreement. The AMC fee is 22% of the Licence Fee a year, payable yearly in advance from the start of Year 2 and increasing 5% at each anniversary.</w:t>
      </w:r>
    </w:p>
    <w:p>
      <w:pPr>
        <w:spacing w:after="60"/>
        <w:numPr>
          <w:ilvl w:val="0"/>
          <w:numId w:val="10"/>
        </w:numPr>
      </w:pPr>
      <w:r>
        <w:rPr>
          <w:rFonts w:ascii="Segoe UI" w:hAnsi="Segoe UI" w:cs="Segoe UI" w:eastAsia="Segoe UI"/>
          <w:color w:val="101820"/>
          <w:sz w:val="21"/>
        </w:rPr>
        <w:t>The AMC covers all Licensed Users. The Client may not keep AMC on only part of its Licensed Users.</w:t>
      </w:r>
    </w:p>
    <w:p>
      <w:pPr>
        <w:spacing w:after="60"/>
        <w:numPr>
          <w:ilvl w:val="0"/>
          <w:numId w:val="10"/>
        </w:numPr>
      </w:pPr>
      <w:r>
        <w:rPr>
          <w:rFonts w:ascii="Segoe UI" w:hAnsi="Segoe UI" w:cs="Segoe UI" w:eastAsia="Segoe UI"/>
          <w:color w:val="101820"/>
          <w:sz w:val="21"/>
        </w:rPr>
        <w:t>If the Client does not renew the AMC, the licence continues, but the Client is not entitled to updates, releases, regulatory form updates, corrections or support.</w:t>
      </w:r>
    </w:p>
    <w:p>
      <w:pPr>
        <w:spacing w:after="60"/>
        <w:numPr>
          <w:ilvl w:val="0"/>
          <w:numId w:val="10"/>
        </w:numPr>
      </w:pPr>
      <w:r>
        <w:rPr>
          <w:rFonts w:ascii="Segoe UI" w:hAnsi="Segoe UI" w:cs="Segoe UI" w:eastAsia="Segoe UI"/>
          <w:color w:val="101820"/>
          <w:sz w:val="21"/>
        </w:rPr>
        <w:t>To reinstate a lapsed AMC, the Client pays the AMC fees that would have been payable for the lapsed period plus a reinstatement fee of [10%] of those fees, and iorta TechNXT upgrades the Client to the current release at the day rates of the Order Form.</w:t>
      </w:r>
    </w:p>
    <w:p>
      <w:pPr>
        <w:pStyle w:val="Heading2"/>
      </w:pPr>
      <w:r>
        <w:rPr>
          <w:rFonts w:ascii="Segoe UI" w:hAnsi="Segoe UI" w:cs="Segoe UI" w:eastAsia="Segoe UI"/>
          <w:b/>
          <w:color w:val="0F4761"/>
          <w:sz w:val="26"/>
        </w:rPr>
        <w:t>6.4  Supported versions</w:t>
      </w:r>
    </w:p>
    <w:p>
      <w:pPr>
        <w:spacing w:after="120" w:line="276" w:lineRule="auto"/>
      </w:pPr>
      <w:r>
        <w:rPr>
          <w:rFonts w:ascii="Segoe UI" w:hAnsi="Segoe UI" w:cs="Segoe UI" w:eastAsia="Segoe UI"/>
          <w:color w:val="101820"/>
          <w:sz w:val="21"/>
        </w:rPr>
        <w:t>iorta TechNXT supports the current release and the two previous planned releases. The Client applies releases in line with the release process of the Annual Maintenance and Support Agreement.</w:t>
      </w:r>
    </w:p>
    <w:p>
      <w:pPr>
        <w:pStyle w:val="Heading1"/>
        <w:pageBreakBefore/>
      </w:pPr>
      <w:r>
        <w:rPr>
          <w:rFonts w:ascii="Segoe UI" w:hAnsi="Segoe UI" w:cs="Segoe UI" w:eastAsia="Segoe UI"/>
          <w:b/>
          <w:color w:val="0F4761"/>
          <w:sz w:val="32"/>
        </w:rPr>
        <w:t>7.  Source code escrow (optional)</w:t>
      </w:r>
    </w:p>
    <w:p>
      <w:pPr>
        <w:pStyle w:val="Heading2"/>
      </w:pPr>
      <w:r>
        <w:rPr>
          <w:rFonts w:ascii="Segoe UI" w:hAnsi="Segoe UI" w:cs="Segoe UI" w:eastAsia="Segoe UI"/>
          <w:b/>
          <w:color w:val="0F4761"/>
          <w:sz w:val="26"/>
        </w:rPr>
        <w:t>7.1  Escrow deposit</w:t>
      </w:r>
    </w:p>
    <w:p>
      <w:pPr>
        <w:spacing w:after="120" w:line="276" w:lineRule="auto"/>
      </w:pPr>
      <w:r>
        <w:rPr>
          <w:rFonts w:ascii="Segoe UI" w:hAnsi="Segoe UI" w:cs="Segoe UI" w:eastAsia="Segoe UI"/>
          <w:color w:val="101820"/>
          <w:sz w:val="21"/>
        </w:rPr>
        <w:t xml:space="preserve">[Option, if selected in the Order Form.] Within 60 days of Go-Live, iorta TechNXT deposits the source code of the Licensed Software, with build instructions, with [name of escrow agent] (the </w:t>
      </w:r>
      <w:r>
        <w:rPr>
          <w:rFonts w:ascii="Segoe UI" w:hAnsi="Segoe UI" w:cs="Segoe UI" w:eastAsia="Segoe UI"/>
          <w:b/>
          <w:color w:val="101820"/>
          <w:sz w:val="21"/>
        </w:rPr>
        <w:t>Escrow Agent</w:t>
      </w:r>
      <w:r>
        <w:rPr>
          <w:rFonts w:ascii="Segoe UI" w:hAnsi="Segoe UI" w:cs="Segoe UI" w:eastAsia="Segoe UI"/>
          <w:color w:val="101820"/>
          <w:sz w:val="21"/>
        </w:rPr>
        <w:t>) under the iNXT BrokerVerse Source Code Escrow Agreement signed by iorta TechNXT, the Client and the Escrow Agent (or the Escrow Agent's standard form, adapted so that it states the same deposit, release and use terms as this clause), and updates the deposit after each major release and at least once a year while the AMC is in force.</w:t>
      </w:r>
    </w:p>
    <w:p>
      <w:pPr>
        <w:pStyle w:val="Heading2"/>
      </w:pPr>
      <w:r>
        <w:rPr>
          <w:rFonts w:ascii="Segoe UI" w:hAnsi="Segoe UI" w:cs="Segoe UI" w:eastAsia="Segoe UI"/>
          <w:b/>
          <w:color w:val="0F4761"/>
          <w:sz w:val="26"/>
        </w:rPr>
        <w:t>7.2  Release events</w:t>
      </w:r>
    </w:p>
    <w:p>
      <w:pPr>
        <w:spacing w:after="120" w:line="276" w:lineRule="auto"/>
      </w:pPr>
      <w:r>
        <w:rPr>
          <w:rFonts w:ascii="Segoe UI" w:hAnsi="Segoe UI" w:cs="Segoe UI" w:eastAsia="Segoe UI"/>
          <w:color w:val="101820"/>
          <w:sz w:val="21"/>
        </w:rPr>
        <w:t>The Escrow Agent releases the deposit to the Client if:</w:t>
      </w:r>
    </w:p>
    <w:p>
      <w:pPr>
        <w:spacing w:after="60"/>
        <w:numPr>
          <w:ilvl w:val="0"/>
          <w:numId w:val="11"/>
        </w:numPr>
      </w:pPr>
      <w:r>
        <w:rPr>
          <w:rFonts w:ascii="Segoe UI" w:hAnsi="Segoe UI" w:cs="Segoe UI" w:eastAsia="Segoe UI"/>
          <w:color w:val="101820"/>
          <w:sz w:val="21"/>
        </w:rPr>
        <w:t>iorta TechNXT ceases to carry on business, is dissolved, or is declared insolvent or placed under rehabilitation or liquidation, and no successor assumes its obligations under the AMC within 60 days; or</w:t>
      </w:r>
    </w:p>
    <w:p>
      <w:pPr>
        <w:spacing w:after="60"/>
        <w:numPr>
          <w:ilvl w:val="0"/>
          <w:numId w:val="11"/>
        </w:numPr>
      </w:pPr>
      <w:r>
        <w:rPr>
          <w:rFonts w:ascii="Segoe UI" w:hAnsi="Segoe UI" w:cs="Segoe UI" w:eastAsia="Segoe UI"/>
          <w:color w:val="101820"/>
          <w:sz w:val="21"/>
        </w:rPr>
        <w:t>iorta TechNXT, while the AMC is in force and paid, fails to correct a P1 or P2 defect within 60 days of a written notice from the Client, and does not cure the failure within a further 30 days of a second notice.</w:t>
      </w:r>
    </w:p>
    <w:p>
      <w:pPr>
        <w:pStyle w:val="Heading2"/>
      </w:pPr>
      <w:r>
        <w:rPr>
          <w:rFonts w:ascii="Segoe UI" w:hAnsi="Segoe UI" w:cs="Segoe UI" w:eastAsia="Segoe UI"/>
          <w:b/>
          <w:color w:val="0F4761"/>
          <w:sz w:val="26"/>
        </w:rPr>
        <w:t>7.3  Use of released code</w:t>
      </w:r>
    </w:p>
    <w:p>
      <w:pPr>
        <w:spacing w:after="120" w:line="276" w:lineRule="auto"/>
      </w:pPr>
      <w:r>
        <w:rPr>
          <w:rFonts w:ascii="Segoe UI" w:hAnsi="Segoe UI" w:cs="Segoe UI" w:eastAsia="Segoe UI"/>
          <w:color w:val="101820"/>
          <w:sz w:val="21"/>
        </w:rPr>
        <w:t>On release, the Client may use the source code only to maintain and correct the Licensed Software for its own internal business under this Licence Agreement, by its own staff or a contractor bound by confidentiality. The source code remains Confidential Information and the property of iorta TechNXT. No other rights are granted.</w:t>
      </w:r>
    </w:p>
    <w:p>
      <w:pPr>
        <w:pStyle w:val="Heading2"/>
      </w:pPr>
      <w:r>
        <w:rPr>
          <w:rFonts w:ascii="Segoe UI" w:hAnsi="Segoe UI" w:cs="Segoe UI" w:eastAsia="Segoe UI"/>
          <w:b/>
          <w:color w:val="0F4761"/>
          <w:sz w:val="26"/>
        </w:rPr>
        <w:t>7.4  Escrow costs</w:t>
      </w:r>
    </w:p>
    <w:p>
      <w:pPr>
        <w:spacing w:after="120" w:line="276" w:lineRule="auto"/>
      </w:pPr>
      <w:r>
        <w:rPr>
          <w:rFonts w:ascii="Segoe UI" w:hAnsi="Segoe UI" w:cs="Segoe UI" w:eastAsia="Segoe UI"/>
          <w:color w:val="101820"/>
          <w:sz w:val="21"/>
        </w:rPr>
        <w:t>The Client pays the fees of the Escrow Agent [and of any verification test it requests]. iorta TechNXT bears its own costs of preparing deposits.</w:t>
      </w:r>
    </w:p>
    <w:p>
      <w:pPr>
        <w:pStyle w:val="Heading1"/>
        <w:pageBreakBefore/>
      </w:pPr>
      <w:r>
        <w:rPr>
          <w:rFonts w:ascii="Segoe UI" w:hAnsi="Segoe UI" w:cs="Segoe UI" w:eastAsia="Segoe UI"/>
          <w:b/>
          <w:color w:val="0F4761"/>
          <w:sz w:val="32"/>
        </w:rPr>
        <w:t>8.  Term and termination</w:t>
      </w:r>
    </w:p>
    <w:p>
      <w:pPr>
        <w:pStyle w:val="Heading2"/>
      </w:pPr>
      <w:r>
        <w:rPr>
          <w:rFonts w:ascii="Segoe UI" w:hAnsi="Segoe UI" w:cs="Segoe UI" w:eastAsia="Segoe UI"/>
          <w:b/>
          <w:color w:val="0F4761"/>
          <w:sz w:val="26"/>
        </w:rPr>
        <w:t>8.1  Term</w:t>
      </w:r>
    </w:p>
    <w:p>
      <w:pPr>
        <w:spacing w:after="120" w:line="276" w:lineRule="auto"/>
      </w:pPr>
      <w:r>
        <w:rPr>
          <w:rFonts w:ascii="Segoe UI" w:hAnsi="Segoe UI" w:cs="Segoe UI" w:eastAsia="Segoe UI"/>
          <w:color w:val="101820"/>
          <w:sz w:val="21"/>
        </w:rPr>
        <w:t>This Licence Agreement starts on the date of the Order Form and continues in perpetuity unless terminated under this clause.</w:t>
      </w:r>
    </w:p>
    <w:p>
      <w:pPr>
        <w:pStyle w:val="Heading2"/>
      </w:pPr>
      <w:r>
        <w:rPr>
          <w:rFonts w:ascii="Segoe UI" w:hAnsi="Segoe UI" w:cs="Segoe UI" w:eastAsia="Segoe UI"/>
          <w:b/>
          <w:color w:val="0F4761"/>
          <w:sz w:val="26"/>
        </w:rPr>
        <w:t>8.2  Termination</w:t>
      </w:r>
    </w:p>
    <w:p>
      <w:pPr>
        <w:spacing w:after="60"/>
        <w:numPr>
          <w:ilvl w:val="0"/>
          <w:numId w:val="12"/>
        </w:numPr>
      </w:pPr>
      <w:r>
        <w:rPr>
          <w:rFonts w:ascii="Segoe UI" w:hAnsi="Segoe UI" w:cs="Segoe UI" w:eastAsia="Segoe UI"/>
          <w:color w:val="101820"/>
          <w:sz w:val="21"/>
        </w:rPr>
        <w:t>iorta TechNXT may terminate the licence by written notice if the Client: (a) fails to pay the Licence Fee within 10 Business Days of a written notice of non-payment, as in the Termination for cause clause of the MSA; or (b) materially breaches the Restrictions and does not cure the breach within 30 days of a written notice.</w:t>
      </w:r>
    </w:p>
    <w:p>
      <w:pPr>
        <w:spacing w:after="60"/>
        <w:numPr>
          <w:ilvl w:val="0"/>
          <w:numId w:val="12"/>
        </w:numPr>
      </w:pPr>
      <w:r>
        <w:rPr>
          <w:rFonts w:ascii="Segoe UI" w:hAnsi="Segoe UI" w:cs="Segoe UI" w:eastAsia="Segoe UI"/>
          <w:color w:val="101820"/>
          <w:sz w:val="21"/>
        </w:rPr>
        <w:t>The Client may terminate the licence at any time by written notice. No Licence Fee is refunded, except as stated in the MSA for infringement claims or warranty failure.</w:t>
      </w:r>
    </w:p>
    <w:p>
      <w:pPr>
        <w:pStyle w:val="Heading2"/>
      </w:pPr>
      <w:r>
        <w:rPr>
          <w:rFonts w:ascii="Segoe UI" w:hAnsi="Segoe UI" w:cs="Segoe UI" w:eastAsia="Segoe UI"/>
          <w:b/>
          <w:color w:val="0F4761"/>
          <w:sz w:val="26"/>
        </w:rPr>
        <w:t>8.3  Effect of termination</w:t>
      </w:r>
    </w:p>
    <w:p>
      <w:pPr>
        <w:spacing w:after="120" w:line="276" w:lineRule="auto"/>
      </w:pPr>
      <w:r>
        <w:rPr>
          <w:rFonts w:ascii="Segoe UI" w:hAnsi="Segoe UI" w:cs="Segoe UI" w:eastAsia="Segoe UI"/>
          <w:color w:val="101820"/>
          <w:sz w:val="21"/>
        </w:rPr>
        <w:t>On termination of the licence, the Client stops using the Licensed Software, uninstalls it from all environments and certifies this in writing within 30 days. The Client keeps its Client Data. iorta TechNXT assists with an export of the Client Data under the MSA and, where iorta TechNXT hosts, under the Exit and Transition Plan. Termination of the AMC alone does not terminate the licence.</w:t>
      </w:r>
    </w:p>
    <w:p>
      <w:pPr>
        <w:pStyle w:val="Heading1"/>
        <w:pageBreakBefore/>
      </w:pPr>
      <w:r>
        <w:rPr>
          <w:rFonts w:ascii="Segoe UI" w:hAnsi="Segoe UI" w:cs="Segoe UI" w:eastAsia="Segoe UI"/>
          <w:b/>
          <w:color w:val="0F4761"/>
          <w:sz w:val="32"/>
        </w:rPr>
        <w:t>9.  Signatures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For iorta TechNXT Corp.</w:t>
            </w:r>
          </w:p>
        </w:tc>
        <w:tc>
          <w:tcPr>
            <w:tcW w:type="dxa" w:w="4507"/>
            <w:shd w:val="clear" w:color="auto" w:fill="DCE9F7"/>
          </w:tcPr>
          <w:p>
            <w:pPr>
              <w:spacing w:after="20"/>
            </w:pPr>
            <w:r>
              <w:rPr>
                <w:rFonts w:ascii="Segoe UI" w:hAnsi="Segoe UI" w:cs="Segoe UI" w:eastAsia="Segoe UI"/>
                <w:b/>
                <w:color w:val="0F4761"/>
                <w:sz w:val="18"/>
              </w:rPr>
              <w:t>For [Client legal name]</w:t>
            </w:r>
          </w:p>
        </w:tc>
      </w:tr>
      <w:tr>
        <w:tc>
          <w:tcPr>
            <w:tcW w:type="dxa" w:w="4507"/>
          </w:tcPr>
          <w:p>
            <w:pPr>
              <w:spacing w:after="20"/>
            </w:pPr>
            <w:r>
              <w:rPr>
                <w:rFonts w:ascii="Segoe UI" w:hAnsi="Segoe UI" w:cs="Segoe UI" w:eastAsia="Segoe UI"/>
                <w:color w:val="101820"/>
                <w:sz w:val="18"/>
              </w:rPr>
              <w:t>Signature: ____________________</w:t>
            </w:r>
          </w:p>
        </w:tc>
        <w:tc>
          <w:tcPr>
            <w:tcW w:type="dxa" w:w="4507"/>
          </w:tcPr>
          <w:p>
            <w:pPr>
              <w:spacing w:after="20"/>
            </w:pPr>
            <w:r>
              <w:rPr>
                <w:rFonts w:ascii="Segoe UI" w:hAnsi="Segoe UI" w:cs="Segoe UI" w:eastAsia="Segoe UI"/>
                <w:color w:val="101820"/>
                <w:sz w:val="18"/>
              </w:rPr>
              <w:t>Signature: ____________________</w:t>
            </w:r>
          </w:p>
        </w:tc>
      </w:tr>
      <w:tr>
        <w:tc>
          <w:tcPr>
            <w:tcW w:type="dxa" w:w="4507"/>
          </w:tcPr>
          <w:p>
            <w:pPr>
              <w:spacing w:after="20"/>
            </w:pPr>
            <w:r>
              <w:rPr>
                <w:rFonts w:ascii="Segoe UI" w:hAnsi="Segoe UI" w:cs="Segoe UI" w:eastAsia="Segoe UI"/>
                <w:color w:val="101820"/>
                <w:sz w:val="18"/>
              </w:rPr>
              <w:t>Name: [name]</w:t>
            </w:r>
          </w:p>
        </w:tc>
        <w:tc>
          <w:tcPr>
            <w:tcW w:type="dxa" w:w="4507"/>
          </w:tcPr>
          <w:p>
            <w:pPr>
              <w:spacing w:after="20"/>
            </w:pPr>
            <w:r>
              <w:rPr>
                <w:rFonts w:ascii="Segoe UI" w:hAnsi="Segoe UI" w:cs="Segoe UI" w:eastAsia="Segoe UI"/>
                <w:color w:val="101820"/>
                <w:sz w:val="18"/>
              </w:rPr>
              <w:t>Name: [name]</w:t>
            </w:r>
          </w:p>
        </w:tc>
      </w:tr>
      <w:tr>
        <w:tc>
          <w:tcPr>
            <w:tcW w:type="dxa" w:w="4507"/>
          </w:tcPr>
          <w:p>
            <w:pPr>
              <w:spacing w:after="20"/>
            </w:pPr>
            <w:r>
              <w:rPr>
                <w:rFonts w:ascii="Segoe UI" w:hAnsi="Segoe UI" w:cs="Segoe UI" w:eastAsia="Segoe UI"/>
                <w:color w:val="101820"/>
                <w:sz w:val="18"/>
              </w:rPr>
              <w:t>Title: [title]</w:t>
            </w:r>
          </w:p>
        </w:tc>
        <w:tc>
          <w:tcPr>
            <w:tcW w:type="dxa" w:w="4507"/>
          </w:tcPr>
          <w:p>
            <w:pPr>
              <w:spacing w:after="20"/>
            </w:pPr>
            <w:r>
              <w:rPr>
                <w:rFonts w:ascii="Segoe UI" w:hAnsi="Segoe UI" w:cs="Segoe UI" w:eastAsia="Segoe UI"/>
                <w:color w:val="101820"/>
                <w:sz w:val="18"/>
              </w:rPr>
              <w:t>Title: [title]</w:t>
            </w:r>
          </w:p>
        </w:tc>
      </w:tr>
      <w:tr>
        <w:tc>
          <w:tcPr>
            <w:tcW w:type="dxa" w:w="4507"/>
          </w:tcPr>
          <w:p>
            <w:pPr>
              <w:spacing w:after="20"/>
            </w:pPr>
            <w:r>
              <w:rPr>
                <w:rFonts w:ascii="Segoe UI" w:hAnsi="Segoe UI" w:cs="Segoe UI" w:eastAsia="Segoe UI"/>
                <w:color w:val="101820"/>
                <w:sz w:val="18"/>
              </w:rPr>
              <w:t>Date: [date]</w:t>
            </w:r>
          </w:p>
        </w:tc>
        <w:tc>
          <w:tcPr>
            <w:tcW w:type="dxa" w:w="4507"/>
          </w:tcPr>
          <w:p>
            <w:pPr>
              <w:spacing w:after="20"/>
            </w:pPr>
            <w:r>
              <w:rPr>
                <w:rFonts w:ascii="Segoe UI" w:hAnsi="Segoe UI" w:cs="Segoe UI" w:eastAsia="Segoe UI"/>
                <w:color w:val="101820"/>
                <w:sz w:val="18"/>
              </w:rPr>
              <w:t>Date: [date]</w:t>
            </w:r>
          </w:p>
        </w:tc>
      </w:tr>
    </w:tbl>
    <w:p>
      <w:pPr>
        <w:spacing w:after="80"/>
      </w:pPr>
    </w:p>
    <w:p>
      <w:pPr>
        <w:pStyle w:val="Heading1"/>
        <w:pageBreakBefore/>
      </w:pPr>
      <w:r>
        <w:rPr>
          <w:rFonts w:ascii="Segoe UI" w:hAnsi="Segoe UI" w:cs="Segoe UI" w:eastAsia="Segoe UI"/>
          <w:b/>
          <w:color w:val="0F4761"/>
          <w:sz w:val="32"/>
        </w:rPr>
        <w:t>10.  Schedule 1: licence details</w:t>
      </w:r>
    </w:p>
    <w:p>
      <w:pPr>
        <w:pStyle w:val="Heading2"/>
      </w:pPr>
      <w:r>
        <w:rPr>
          <w:rFonts w:ascii="Segoe UI" w:hAnsi="Segoe UI" w:cs="Segoe UI" w:eastAsia="Segoe UI"/>
          <w:b/>
          <w:color w:val="0F4761"/>
          <w:sz w:val="26"/>
        </w:rPr>
        <w:t>10.1  Licensed Users and Licence Fee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348"/>
        <w:gridCol w:w="1674"/>
        <w:gridCol w:w="2447"/>
        <w:gridCol w:w="1545"/>
      </w:tblGrid>
      <w:tr>
        <w:trPr>
          <w:tblHeader w:val="true"/>
        </w:trPr>
        <w:tc>
          <w:tcPr>
            <w:tcW w:type="dxa" w:w="3348"/>
            <w:shd w:val="clear" w:color="auto" w:fill="DCE9F7"/>
          </w:tcPr>
          <w:p>
            <w:pPr>
              <w:spacing w:after="20"/>
            </w:pPr>
            <w:r>
              <w:rPr>
                <w:rFonts w:ascii="Segoe UI" w:hAnsi="Segoe UI" w:cs="Segoe UI" w:eastAsia="Segoe UI"/>
                <w:b/>
                <w:color w:val="0F4761"/>
                <w:sz w:val="18"/>
              </w:rPr>
              <w:t>Slab</w:t>
            </w:r>
          </w:p>
        </w:tc>
        <w:tc>
          <w:tcPr>
            <w:tcW w:type="dxa" w:w="1674"/>
            <w:shd w:val="clear" w:color="auto" w:fill="DCE9F7"/>
          </w:tcPr>
          <w:p>
            <w:pPr>
              <w:spacing w:after="20"/>
            </w:pPr>
            <w:r>
              <w:rPr>
                <w:rFonts w:ascii="Segoe UI" w:hAnsi="Segoe UI" w:cs="Segoe UI" w:eastAsia="Segoe UI"/>
                <w:b/>
                <w:color w:val="0F4761"/>
                <w:sz w:val="18"/>
              </w:rPr>
              <w:t>Users in slab</w:t>
            </w:r>
          </w:p>
        </w:tc>
        <w:tc>
          <w:tcPr>
            <w:tcW w:type="dxa" w:w="2447"/>
            <w:shd w:val="clear" w:color="auto" w:fill="DCE9F7"/>
          </w:tcPr>
          <w:p>
            <w:pPr>
              <w:spacing w:after="20"/>
            </w:pPr>
            <w:r>
              <w:rPr>
                <w:rFonts w:ascii="Segoe UI" w:hAnsi="Segoe UI" w:cs="Segoe UI" w:eastAsia="Segoe UI"/>
                <w:b/>
                <w:color w:val="0F4761"/>
                <w:sz w:val="18"/>
              </w:rPr>
              <w:t>Rate per user (PHP)</w:t>
            </w:r>
          </w:p>
        </w:tc>
        <w:tc>
          <w:tcPr>
            <w:tcW w:type="dxa" w:w="1545"/>
            <w:shd w:val="clear" w:color="auto" w:fill="DCE9F7"/>
          </w:tcPr>
          <w:p>
            <w:pPr>
              <w:spacing w:after="20"/>
            </w:pPr>
            <w:r>
              <w:rPr>
                <w:rFonts w:ascii="Segoe UI" w:hAnsi="Segoe UI" w:cs="Segoe UI" w:eastAsia="Segoe UI"/>
                <w:b/>
                <w:color w:val="0F4761"/>
                <w:sz w:val="18"/>
              </w:rPr>
              <w:t>Amount (PHP)</w:t>
            </w:r>
          </w:p>
        </w:tc>
      </w:tr>
      <w:tr>
        <w:tc>
          <w:tcPr>
            <w:tcW w:type="dxa" w:w="3348"/>
          </w:tcPr>
          <w:p>
            <w:pPr>
              <w:spacing w:after="20"/>
            </w:pPr>
            <w:r>
              <w:rPr>
                <w:rFonts w:ascii="Segoe UI" w:hAnsi="Segoe UI" w:cs="Segoe UI" w:eastAsia="Segoe UI"/>
                <w:color w:val="101820"/>
                <w:sz w:val="18"/>
              </w:rPr>
              <w:t>1 to 25</w:t>
            </w:r>
          </w:p>
        </w:tc>
        <w:tc>
          <w:tcPr>
            <w:tcW w:type="dxa" w:w="1674"/>
          </w:tcPr>
          <w:p>
            <w:pPr>
              <w:spacing w:after="20"/>
            </w:pPr>
            <w:r>
              <w:rPr>
                <w:rFonts w:ascii="Segoe UI" w:hAnsi="Segoe UI" w:cs="Segoe UI" w:eastAsia="Segoe UI"/>
                <w:color w:val="101820"/>
                <w:sz w:val="18"/>
              </w:rPr>
              <w:t>[number]</w:t>
            </w:r>
          </w:p>
        </w:tc>
        <w:tc>
          <w:tcPr>
            <w:tcW w:type="dxa" w:w="2447"/>
          </w:tcPr>
          <w:p>
            <w:pPr>
              <w:spacing w:after="20"/>
            </w:pPr>
            <w:r>
              <w:rPr>
                <w:rFonts w:ascii="Segoe UI" w:hAnsi="Segoe UI" w:cs="Segoe UI" w:eastAsia="Segoe UI"/>
                <w:color w:val="101820"/>
                <w:sz w:val="18"/>
              </w:rPr>
              <w:t>90,000.00</w:t>
            </w:r>
          </w:p>
        </w:tc>
        <w:tc>
          <w:tcPr>
            <w:tcW w:type="dxa" w:w="1545"/>
          </w:tcPr>
          <w:p>
            <w:pPr>
              <w:spacing w:after="20"/>
            </w:pPr>
            <w:r>
              <w:rPr>
                <w:rFonts w:ascii="Segoe UI" w:hAnsi="Segoe UI" w:cs="Segoe UI" w:eastAsia="Segoe UI"/>
                <w:color w:val="101820"/>
                <w:sz w:val="18"/>
              </w:rPr>
              <w:t>[amount]</w:t>
            </w:r>
          </w:p>
        </w:tc>
      </w:tr>
      <w:tr>
        <w:tc>
          <w:tcPr>
            <w:tcW w:type="dxa" w:w="3348"/>
          </w:tcPr>
          <w:p>
            <w:pPr>
              <w:spacing w:after="20"/>
            </w:pPr>
            <w:r>
              <w:rPr>
                <w:rFonts w:ascii="Segoe UI" w:hAnsi="Segoe UI" w:cs="Segoe UI" w:eastAsia="Segoe UI"/>
                <w:color w:val="101820"/>
                <w:sz w:val="18"/>
              </w:rPr>
              <w:t>26 to 100</w:t>
            </w:r>
          </w:p>
        </w:tc>
        <w:tc>
          <w:tcPr>
            <w:tcW w:type="dxa" w:w="1674"/>
          </w:tcPr>
          <w:p>
            <w:pPr>
              <w:spacing w:after="20"/>
            </w:pPr>
            <w:r>
              <w:rPr>
                <w:rFonts w:ascii="Segoe UI" w:hAnsi="Segoe UI" w:cs="Segoe UI" w:eastAsia="Segoe UI"/>
                <w:color w:val="101820"/>
                <w:sz w:val="18"/>
              </w:rPr>
              <w:t>[number]</w:t>
            </w:r>
          </w:p>
        </w:tc>
        <w:tc>
          <w:tcPr>
            <w:tcW w:type="dxa" w:w="2447"/>
          </w:tcPr>
          <w:p>
            <w:pPr>
              <w:spacing w:after="20"/>
            </w:pPr>
            <w:r>
              <w:rPr>
                <w:rFonts w:ascii="Segoe UI" w:hAnsi="Segoe UI" w:cs="Segoe UI" w:eastAsia="Segoe UI"/>
                <w:color w:val="101820"/>
                <w:sz w:val="18"/>
              </w:rPr>
              <w:t>78,000.00</w:t>
            </w:r>
          </w:p>
        </w:tc>
        <w:tc>
          <w:tcPr>
            <w:tcW w:type="dxa" w:w="1545"/>
          </w:tcPr>
          <w:p>
            <w:pPr>
              <w:spacing w:after="20"/>
            </w:pPr>
            <w:r>
              <w:rPr>
                <w:rFonts w:ascii="Segoe UI" w:hAnsi="Segoe UI" w:cs="Segoe UI" w:eastAsia="Segoe UI"/>
                <w:color w:val="101820"/>
                <w:sz w:val="18"/>
              </w:rPr>
              <w:t>[amount]</w:t>
            </w:r>
          </w:p>
        </w:tc>
      </w:tr>
      <w:tr>
        <w:tc>
          <w:tcPr>
            <w:tcW w:type="dxa" w:w="3348"/>
          </w:tcPr>
          <w:p>
            <w:pPr>
              <w:spacing w:after="20"/>
            </w:pPr>
            <w:r>
              <w:rPr>
                <w:rFonts w:ascii="Segoe UI" w:hAnsi="Segoe UI" w:cs="Segoe UI" w:eastAsia="Segoe UI"/>
                <w:color w:val="101820"/>
                <w:sz w:val="18"/>
              </w:rPr>
              <w:t>101 to 300</w:t>
            </w:r>
          </w:p>
        </w:tc>
        <w:tc>
          <w:tcPr>
            <w:tcW w:type="dxa" w:w="1674"/>
          </w:tcPr>
          <w:p>
            <w:pPr>
              <w:spacing w:after="20"/>
            </w:pPr>
            <w:r>
              <w:rPr>
                <w:rFonts w:ascii="Segoe UI" w:hAnsi="Segoe UI" w:cs="Segoe UI" w:eastAsia="Segoe UI"/>
                <w:color w:val="101820"/>
                <w:sz w:val="18"/>
              </w:rPr>
              <w:t>[number]</w:t>
            </w:r>
          </w:p>
        </w:tc>
        <w:tc>
          <w:tcPr>
            <w:tcW w:type="dxa" w:w="2447"/>
          </w:tcPr>
          <w:p>
            <w:pPr>
              <w:spacing w:after="20"/>
            </w:pPr>
            <w:r>
              <w:rPr>
                <w:rFonts w:ascii="Segoe UI" w:hAnsi="Segoe UI" w:cs="Segoe UI" w:eastAsia="Segoe UI"/>
                <w:color w:val="101820"/>
                <w:sz w:val="18"/>
              </w:rPr>
              <w:t>66,000.00</w:t>
            </w:r>
          </w:p>
        </w:tc>
        <w:tc>
          <w:tcPr>
            <w:tcW w:type="dxa" w:w="1545"/>
          </w:tcPr>
          <w:p>
            <w:pPr>
              <w:spacing w:after="20"/>
            </w:pPr>
            <w:r>
              <w:rPr>
                <w:rFonts w:ascii="Segoe UI" w:hAnsi="Segoe UI" w:cs="Segoe UI" w:eastAsia="Segoe UI"/>
                <w:color w:val="101820"/>
                <w:sz w:val="18"/>
              </w:rPr>
              <w:t>[amount]</w:t>
            </w:r>
          </w:p>
        </w:tc>
      </w:tr>
      <w:tr>
        <w:tc>
          <w:tcPr>
            <w:tcW w:type="dxa" w:w="3348"/>
          </w:tcPr>
          <w:p>
            <w:pPr>
              <w:spacing w:after="20"/>
            </w:pPr>
            <w:r>
              <w:rPr>
                <w:rFonts w:ascii="Segoe UI" w:hAnsi="Segoe UI" w:cs="Segoe UI" w:eastAsia="Segoe UI"/>
                <w:color w:val="101820"/>
                <w:sz w:val="18"/>
              </w:rPr>
              <w:t>Above 300</w:t>
            </w:r>
          </w:p>
        </w:tc>
        <w:tc>
          <w:tcPr>
            <w:tcW w:type="dxa" w:w="1674"/>
          </w:tcPr>
          <w:p>
            <w:pPr>
              <w:spacing w:after="20"/>
            </w:pPr>
            <w:r>
              <w:rPr>
                <w:rFonts w:ascii="Segoe UI" w:hAnsi="Segoe UI" w:cs="Segoe UI" w:eastAsia="Segoe UI"/>
                <w:color w:val="101820"/>
                <w:sz w:val="18"/>
              </w:rPr>
              <w:t>[number]</w:t>
            </w:r>
          </w:p>
        </w:tc>
        <w:tc>
          <w:tcPr>
            <w:tcW w:type="dxa" w:w="2447"/>
          </w:tcPr>
          <w:p>
            <w:pPr>
              <w:spacing w:after="20"/>
            </w:pPr>
            <w:r>
              <w:rPr>
                <w:rFonts w:ascii="Segoe UI" w:hAnsi="Segoe UI" w:cs="Segoe UI" w:eastAsia="Segoe UI"/>
                <w:color w:val="101820"/>
                <w:sz w:val="18"/>
              </w:rPr>
              <w:t>54,000.00</w:t>
            </w:r>
          </w:p>
        </w:tc>
        <w:tc>
          <w:tcPr>
            <w:tcW w:type="dxa" w:w="1545"/>
          </w:tcPr>
          <w:p>
            <w:pPr>
              <w:spacing w:after="20"/>
            </w:pPr>
            <w:r>
              <w:rPr>
                <w:rFonts w:ascii="Segoe UI" w:hAnsi="Segoe UI" w:cs="Segoe UI" w:eastAsia="Segoe UI"/>
                <w:color w:val="101820"/>
                <w:sz w:val="18"/>
              </w:rPr>
              <w:t>[amount]</w:t>
            </w:r>
          </w:p>
        </w:tc>
      </w:tr>
      <w:tr>
        <w:tc>
          <w:tcPr>
            <w:tcW w:type="dxa" w:w="3348"/>
          </w:tcPr>
          <w:p>
            <w:pPr>
              <w:spacing w:after="20"/>
            </w:pPr>
            <w:r>
              <w:rPr>
                <w:rFonts w:ascii="Segoe UI" w:hAnsi="Segoe UI" w:cs="Segoe UI" w:eastAsia="Segoe UI"/>
                <w:color w:val="101820"/>
                <w:sz w:val="18"/>
              </w:rPr>
              <w:t>Total Licensed Users</w:t>
            </w:r>
          </w:p>
        </w:tc>
        <w:tc>
          <w:tcPr>
            <w:tcW w:type="dxa" w:w="1674"/>
          </w:tcPr>
          <w:p>
            <w:pPr>
              <w:spacing w:after="20"/>
            </w:pPr>
            <w:r>
              <w:rPr>
                <w:rFonts w:ascii="Segoe UI" w:hAnsi="Segoe UI" w:cs="Segoe UI" w:eastAsia="Segoe UI"/>
                <w:color w:val="101820"/>
                <w:sz w:val="18"/>
              </w:rPr>
              <w:t>[number]</w:t>
            </w:r>
          </w:p>
        </w:tc>
        <w:tc>
          <w:tcPr>
            <w:tcW w:type="dxa" w:w="2447"/>
          </w:tcPr>
          <w:p>
            <w:pPr>
              <w:spacing w:after="20"/>
            </w:pPr>
          </w:p>
        </w:tc>
        <w:tc>
          <w:tcPr>
            <w:tcW w:type="dxa" w:w="1545"/>
          </w:tcPr>
          <w:p>
            <w:pPr>
              <w:spacing w:after="20"/>
            </w:pPr>
            <w:r>
              <w:rPr>
                <w:rFonts w:ascii="Segoe UI" w:hAnsi="Segoe UI" w:cs="Segoe UI" w:eastAsia="Segoe UI"/>
                <w:color w:val="101820"/>
                <w:sz w:val="18"/>
              </w:rPr>
              <w:t>[amount]</w:t>
            </w:r>
          </w:p>
        </w:tc>
      </w:tr>
      <w:tr>
        <w:tc>
          <w:tcPr>
            <w:tcW w:type="dxa" w:w="3348"/>
          </w:tcPr>
          <w:p>
            <w:pPr>
              <w:spacing w:after="20"/>
            </w:pPr>
            <w:r>
              <w:rPr>
                <w:rFonts w:ascii="Segoe UI" w:hAnsi="Segoe UI" w:cs="Segoe UI" w:eastAsia="Segoe UI"/>
                <w:color w:val="101820"/>
                <w:sz w:val="18"/>
              </w:rPr>
              <w:t>Discount, if any ([lever])</w:t>
            </w:r>
          </w:p>
        </w:tc>
        <w:tc>
          <w:tcPr>
            <w:tcW w:type="dxa" w:w="1674"/>
          </w:tcPr>
          <w:p>
            <w:pPr>
              <w:spacing w:after="20"/>
            </w:pPr>
          </w:p>
        </w:tc>
        <w:tc>
          <w:tcPr>
            <w:tcW w:type="dxa" w:w="2447"/>
          </w:tcPr>
          <w:p>
            <w:pPr>
              <w:spacing w:after="20"/>
            </w:pPr>
          </w:p>
        </w:tc>
        <w:tc>
          <w:tcPr>
            <w:tcW w:type="dxa" w:w="1545"/>
          </w:tcPr>
          <w:p>
            <w:pPr>
              <w:spacing w:after="20"/>
            </w:pPr>
            <w:r>
              <w:rPr>
                <w:rFonts w:ascii="Segoe UI" w:hAnsi="Segoe UI" w:cs="Segoe UI" w:eastAsia="Segoe UI"/>
                <w:color w:val="101820"/>
                <w:sz w:val="18"/>
              </w:rPr>
              <w:t>([amount])</w:t>
            </w:r>
          </w:p>
        </w:tc>
      </w:tr>
      <w:tr>
        <w:tc>
          <w:tcPr>
            <w:tcW w:type="dxa" w:w="3348"/>
          </w:tcPr>
          <w:p>
            <w:pPr>
              <w:spacing w:after="20"/>
            </w:pPr>
            <w:r>
              <w:rPr>
                <w:rFonts w:ascii="Segoe UI" w:hAnsi="Segoe UI" w:cs="Segoe UI" w:eastAsia="Segoe UI"/>
                <w:color w:val="101820"/>
                <w:sz w:val="18"/>
              </w:rPr>
              <w:t>Licence Fee, excluding VAT</w:t>
            </w:r>
          </w:p>
        </w:tc>
        <w:tc>
          <w:tcPr>
            <w:tcW w:type="dxa" w:w="1674"/>
          </w:tcPr>
          <w:p>
            <w:pPr>
              <w:spacing w:after="20"/>
            </w:pPr>
          </w:p>
        </w:tc>
        <w:tc>
          <w:tcPr>
            <w:tcW w:type="dxa" w:w="2447"/>
          </w:tcPr>
          <w:p>
            <w:pPr>
              <w:spacing w:after="20"/>
            </w:pPr>
          </w:p>
        </w:tc>
        <w:tc>
          <w:tcPr>
            <w:tcW w:type="dxa" w:w="1545"/>
          </w:tcPr>
          <w:p>
            <w:pPr>
              <w:spacing w:after="20"/>
            </w:pPr>
            <w:r>
              <w:rPr>
                <w:rFonts w:ascii="Segoe UI" w:hAnsi="Segoe UI" w:cs="Segoe UI" w:eastAsia="Segoe UI"/>
                <w:color w:val="101820"/>
                <w:sz w:val="18"/>
              </w:rPr>
              <w:t>[amount]</w:t>
            </w:r>
          </w:p>
        </w:tc>
      </w:tr>
    </w:tbl>
    <w:p>
      <w:pPr>
        <w:spacing w:after="80"/>
      </w:pPr>
    </w:p>
    <w:p>
      <w:pPr>
        <w:spacing w:after="120" w:line="276" w:lineRule="auto"/>
      </w:pPr>
      <w:r>
        <w:rPr>
          <w:rFonts w:ascii="Segoe UI" w:hAnsi="Segoe UI" w:cs="Segoe UI" w:eastAsia="Segoe UI"/>
          <w:color w:val="101820"/>
          <w:sz w:val="21"/>
        </w:rPr>
        <w:t>The rates are the list rates of the price book dated 03 October 2026 and are replaced by the rates of the signed Order Form.</w:t>
      </w:r>
    </w:p>
    <w:p>
      <w:pPr>
        <w:pStyle w:val="Heading2"/>
      </w:pPr>
      <w:r>
        <w:rPr>
          <w:rFonts w:ascii="Segoe UI" w:hAnsi="Segoe UI" w:cs="Segoe UI" w:eastAsia="Segoe UI"/>
          <w:b/>
          <w:color w:val="0F4761"/>
          <w:sz w:val="26"/>
        </w:rPr>
        <w:t>10.2  Environments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480"/>
        <w:gridCol w:w="2395"/>
        <w:gridCol w:w="5140"/>
      </w:tblGrid>
      <w:tr>
        <w:trPr>
          <w:tblHeader w:val="true"/>
        </w:trPr>
        <w:tc>
          <w:tcPr>
            <w:tcW w:type="dxa" w:w="1480"/>
            <w:shd w:val="clear" w:color="auto" w:fill="DCE9F7"/>
          </w:tcPr>
          <w:p>
            <w:pPr>
              <w:spacing w:after="20"/>
            </w:pPr>
            <w:r>
              <w:rPr>
                <w:rFonts w:ascii="Segoe UI" w:hAnsi="Segoe UI" w:cs="Segoe UI" w:eastAsia="Segoe UI"/>
                <w:b/>
                <w:color w:val="0F4761"/>
                <w:sz w:val="18"/>
              </w:rPr>
              <w:t>Environment</w:t>
            </w:r>
          </w:p>
        </w:tc>
        <w:tc>
          <w:tcPr>
            <w:tcW w:type="dxa" w:w="2395"/>
            <w:shd w:val="clear" w:color="auto" w:fill="DCE9F7"/>
          </w:tcPr>
          <w:p>
            <w:pPr>
              <w:spacing w:after="20"/>
            </w:pPr>
            <w:r>
              <w:rPr>
                <w:rFonts w:ascii="Segoe UI" w:hAnsi="Segoe UI" w:cs="Segoe UI" w:eastAsia="Segoe UI"/>
                <w:b/>
                <w:color w:val="0F4761"/>
                <w:sz w:val="18"/>
              </w:rPr>
              <w:t>Purpose</w:t>
            </w:r>
          </w:p>
        </w:tc>
        <w:tc>
          <w:tcPr>
            <w:tcW w:type="dxa" w:w="5140"/>
            <w:shd w:val="clear" w:color="auto" w:fill="DCE9F7"/>
          </w:tcPr>
          <w:p>
            <w:pPr>
              <w:spacing w:after="20"/>
            </w:pPr>
            <w:r>
              <w:rPr>
                <w:rFonts w:ascii="Segoe UI" w:hAnsi="Segoe UI" w:cs="Segoe UI" w:eastAsia="Segoe UI"/>
                <w:b/>
                <w:color w:val="0F4761"/>
                <w:sz w:val="18"/>
              </w:rPr>
              <w:t>Location</w:t>
            </w:r>
          </w:p>
        </w:tc>
      </w:tr>
      <w:tr>
        <w:tc>
          <w:tcPr>
            <w:tcW w:type="dxa" w:w="1480"/>
          </w:tcPr>
          <w:p>
            <w:pPr>
              <w:spacing w:after="20"/>
            </w:pPr>
            <w:r>
              <w:rPr>
                <w:rFonts w:ascii="Segoe UI" w:hAnsi="Segoe UI" w:cs="Segoe UI" w:eastAsia="Segoe UI"/>
                <w:color w:val="101820"/>
                <w:sz w:val="18"/>
              </w:rPr>
              <w:t>Production</w:t>
            </w:r>
          </w:p>
        </w:tc>
        <w:tc>
          <w:tcPr>
            <w:tcW w:type="dxa" w:w="2395"/>
          </w:tcPr>
          <w:p>
            <w:pPr>
              <w:spacing w:after="20"/>
            </w:pPr>
            <w:r>
              <w:rPr>
                <w:rFonts w:ascii="Segoe UI" w:hAnsi="Segoe UI" w:cs="Segoe UI" w:eastAsia="Segoe UI"/>
                <w:color w:val="101820"/>
                <w:sz w:val="18"/>
              </w:rPr>
              <w:t>Live transactions</w:t>
            </w:r>
          </w:p>
        </w:tc>
        <w:tc>
          <w:tcPr>
            <w:tcW w:type="dxa" w:w="5140"/>
          </w:tcPr>
          <w:p>
            <w:pPr>
              <w:spacing w:after="20"/>
            </w:pPr>
            <w:r>
              <w:rPr>
                <w:rFonts w:ascii="Segoe UI" w:hAnsi="Segoe UI" w:cs="Segoe UI" w:eastAsia="Segoe UI"/>
                <w:color w:val="101820"/>
                <w:sz w:val="18"/>
              </w:rPr>
              <w:t>[AWS Singapore / Azure Southeast Asia / local partner / Client data centre]</w:t>
            </w:r>
          </w:p>
        </w:tc>
      </w:tr>
      <w:tr>
        <w:tc>
          <w:tcPr>
            <w:tcW w:type="dxa" w:w="1480"/>
          </w:tcPr>
          <w:p>
            <w:pPr>
              <w:spacing w:after="20"/>
            </w:pPr>
            <w:r>
              <w:rPr>
                <w:rFonts w:ascii="Segoe UI" w:hAnsi="Segoe UI" w:cs="Segoe UI" w:eastAsia="Segoe UI"/>
                <w:color w:val="101820"/>
                <w:sz w:val="18"/>
              </w:rPr>
              <w:t>UAT</w:t>
            </w:r>
          </w:p>
        </w:tc>
        <w:tc>
          <w:tcPr>
            <w:tcW w:type="dxa" w:w="2395"/>
          </w:tcPr>
          <w:p>
            <w:pPr>
              <w:spacing w:after="20"/>
            </w:pPr>
            <w:r>
              <w:rPr>
                <w:rFonts w:ascii="Segoe UI" w:hAnsi="Segoe UI" w:cs="Segoe UI" w:eastAsia="Segoe UI"/>
                <w:color w:val="101820"/>
                <w:sz w:val="18"/>
              </w:rPr>
              <w:t>Testing and acceptance</w:t>
            </w:r>
          </w:p>
        </w:tc>
        <w:tc>
          <w:tcPr>
            <w:tcW w:type="dxa" w:w="5140"/>
          </w:tcPr>
          <w:p>
            <w:pPr>
              <w:spacing w:after="20"/>
            </w:pPr>
            <w:r>
              <w:rPr>
                <w:rFonts w:ascii="Segoe UI" w:hAnsi="Segoe UI" w:cs="Segoe UI" w:eastAsia="Segoe UI"/>
                <w:color w:val="101820"/>
                <w:sz w:val="18"/>
              </w:rPr>
              <w:t>[location]</w:t>
            </w:r>
          </w:p>
        </w:tc>
      </w:tr>
      <w:tr>
        <w:tc>
          <w:tcPr>
            <w:tcW w:type="dxa" w:w="1480"/>
          </w:tcPr>
          <w:p>
            <w:pPr>
              <w:spacing w:after="20"/>
            </w:pPr>
            <w:r>
              <w:rPr>
                <w:rFonts w:ascii="Segoe UI" w:hAnsi="Segoe UI" w:cs="Segoe UI" w:eastAsia="Segoe UI"/>
                <w:color w:val="101820"/>
                <w:sz w:val="18"/>
              </w:rPr>
              <w:t>[Training]</w:t>
            </w:r>
          </w:p>
        </w:tc>
        <w:tc>
          <w:tcPr>
            <w:tcW w:type="dxa" w:w="2395"/>
          </w:tcPr>
          <w:p>
            <w:pPr>
              <w:spacing w:after="20"/>
            </w:pPr>
            <w:r>
              <w:rPr>
                <w:rFonts w:ascii="Segoe UI" w:hAnsi="Segoe UI" w:cs="Segoe UI" w:eastAsia="Segoe UI"/>
                <w:color w:val="101820"/>
                <w:sz w:val="18"/>
              </w:rPr>
              <w:t>[Training]</w:t>
            </w:r>
          </w:p>
        </w:tc>
        <w:tc>
          <w:tcPr>
            <w:tcW w:type="dxa" w:w="5140"/>
          </w:tcPr>
          <w:p>
            <w:pPr>
              <w:spacing w:after="20"/>
            </w:pPr>
            <w:r>
              <w:rPr>
                <w:rFonts w:ascii="Segoe UI" w:hAnsi="Segoe UI" w:cs="Segoe UI" w:eastAsia="Segoe UI"/>
                <w:color w:val="101820"/>
                <w:sz w:val="18"/>
              </w:rPr>
              <w:t>[location]</w:t>
            </w:r>
          </w:p>
        </w:tc>
      </w:tr>
      <w:tr>
        <w:tc>
          <w:tcPr>
            <w:tcW w:type="dxa" w:w="1480"/>
          </w:tcPr>
          <w:p>
            <w:pPr>
              <w:spacing w:after="20"/>
            </w:pPr>
            <w:r>
              <w:rPr>
                <w:rFonts w:ascii="Segoe UI" w:hAnsi="Segoe UI" w:cs="Segoe UI" w:eastAsia="Segoe UI"/>
                <w:color w:val="101820"/>
                <w:sz w:val="18"/>
              </w:rPr>
              <w:t>DR copy</w:t>
            </w:r>
          </w:p>
        </w:tc>
        <w:tc>
          <w:tcPr>
            <w:tcW w:type="dxa" w:w="2395"/>
          </w:tcPr>
          <w:p>
            <w:pPr>
              <w:spacing w:after="20"/>
            </w:pPr>
            <w:r>
              <w:rPr>
                <w:rFonts w:ascii="Segoe UI" w:hAnsi="Segoe UI" w:cs="Segoe UI" w:eastAsia="Segoe UI"/>
                <w:color w:val="101820"/>
                <w:sz w:val="18"/>
              </w:rPr>
              <w:t>Recovery only</w:t>
            </w:r>
          </w:p>
        </w:tc>
        <w:tc>
          <w:tcPr>
            <w:tcW w:type="dxa" w:w="5140"/>
          </w:tcPr>
          <w:p>
            <w:pPr>
              <w:spacing w:after="20"/>
            </w:pPr>
            <w:r>
              <w:rPr>
                <w:rFonts w:ascii="Segoe UI" w:hAnsi="Segoe UI" w:cs="Segoe UI" w:eastAsia="Segoe UI"/>
                <w:color w:val="101820"/>
                <w:sz w:val="18"/>
              </w:rPr>
              <w:t>[location]</w:t>
            </w:r>
          </w:p>
        </w:tc>
      </w:tr>
    </w:tbl>
    <w:p>
      <w:pPr>
        <w:spacing w:after="80"/>
      </w:pPr>
    </w:p>
    <w:p>
      <w:pPr>
        <w:pStyle w:val="Heading2"/>
      </w:pPr>
      <w:r>
        <w:rPr>
          <w:rFonts w:ascii="Segoe UI" w:hAnsi="Segoe UI" w:cs="Segoe UI" w:eastAsia="Segoe UI"/>
          <w:b/>
          <w:color w:val="0F4761"/>
          <w:sz w:val="26"/>
        </w:rPr>
        <w:t>10.3  AMC</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514"/>
        <w:gridCol w:w="5500"/>
      </w:tblGrid>
      <w:tr>
        <w:trPr>
          <w:tblHeader w:val="true"/>
        </w:trPr>
        <w:tc>
          <w:tcPr>
            <w:tcW w:type="dxa" w:w="3514"/>
            <w:shd w:val="clear" w:color="auto" w:fill="DCE9F7"/>
          </w:tcPr>
          <w:p>
            <w:pPr>
              <w:spacing w:after="20"/>
            </w:pPr>
            <w:r>
              <w:rPr>
                <w:rFonts w:ascii="Segoe UI" w:hAnsi="Segoe UI" w:cs="Segoe UI" w:eastAsia="Segoe UI"/>
                <w:b/>
                <w:color w:val="0F4761"/>
                <w:sz w:val="18"/>
              </w:rPr>
              <w:t>Item</w:t>
            </w:r>
          </w:p>
        </w:tc>
        <w:tc>
          <w:tcPr>
            <w:tcW w:type="dxa" w:w="5500"/>
            <w:shd w:val="clear" w:color="auto" w:fill="DCE9F7"/>
          </w:tcPr>
          <w:p>
            <w:pPr>
              <w:spacing w:after="20"/>
            </w:pPr>
            <w:r>
              <w:rPr>
                <w:rFonts w:ascii="Segoe UI" w:hAnsi="Segoe UI" w:cs="Segoe UI" w:eastAsia="Segoe UI"/>
                <w:b/>
                <w:color w:val="0F4761"/>
                <w:sz w:val="18"/>
              </w:rPr>
              <w:t>Value</w:t>
            </w:r>
          </w:p>
        </w:tc>
      </w:tr>
      <w:tr>
        <w:tc>
          <w:tcPr>
            <w:tcW w:type="dxa" w:w="3514"/>
          </w:tcPr>
          <w:p>
            <w:pPr>
              <w:spacing w:after="20"/>
            </w:pPr>
            <w:r>
              <w:rPr>
                <w:rFonts w:ascii="Segoe UI" w:hAnsi="Segoe UI" w:cs="Segoe UI" w:eastAsia="Segoe UI"/>
                <w:color w:val="101820"/>
                <w:sz w:val="18"/>
              </w:rPr>
              <w:t>Warranty Period</w:t>
            </w:r>
          </w:p>
        </w:tc>
        <w:tc>
          <w:tcPr>
            <w:tcW w:type="dxa" w:w="5500"/>
          </w:tcPr>
          <w:p>
            <w:pPr>
              <w:spacing w:after="20"/>
            </w:pPr>
            <w:r>
              <w:rPr>
                <w:rFonts w:ascii="Segoe UI" w:hAnsi="Segoe UI" w:cs="Segoe UI" w:eastAsia="Segoe UI"/>
                <w:color w:val="101820"/>
                <w:sz w:val="18"/>
              </w:rPr>
              <w:t>12 months from Go-Live</w:t>
            </w:r>
          </w:p>
        </w:tc>
      </w:tr>
      <w:tr>
        <w:tc>
          <w:tcPr>
            <w:tcW w:type="dxa" w:w="3514"/>
          </w:tcPr>
          <w:p>
            <w:pPr>
              <w:spacing w:after="20"/>
            </w:pPr>
            <w:r>
              <w:rPr>
                <w:rFonts w:ascii="Segoe UI" w:hAnsi="Segoe UI" w:cs="Segoe UI" w:eastAsia="Segoe UI"/>
                <w:color w:val="101820"/>
                <w:sz w:val="18"/>
              </w:rPr>
              <w:t>AMC start</w:t>
            </w:r>
          </w:p>
        </w:tc>
        <w:tc>
          <w:tcPr>
            <w:tcW w:type="dxa" w:w="5500"/>
          </w:tcPr>
          <w:p>
            <w:pPr>
              <w:spacing w:after="20"/>
            </w:pPr>
            <w:r>
              <w:rPr>
                <w:rFonts w:ascii="Segoe UI" w:hAnsi="Segoe UI" w:cs="Segoe UI" w:eastAsia="Segoe UI"/>
                <w:color w:val="101820"/>
                <w:sz w:val="18"/>
              </w:rPr>
              <w:t>First day of Year 2 after Go-Live</w:t>
            </w:r>
          </w:p>
        </w:tc>
      </w:tr>
      <w:tr>
        <w:tc>
          <w:tcPr>
            <w:tcW w:type="dxa" w:w="3514"/>
          </w:tcPr>
          <w:p>
            <w:pPr>
              <w:spacing w:after="20"/>
            </w:pPr>
            <w:r>
              <w:rPr>
                <w:rFonts w:ascii="Segoe UI" w:hAnsi="Segoe UI" w:cs="Segoe UI" w:eastAsia="Segoe UI"/>
                <w:color w:val="101820"/>
                <w:sz w:val="18"/>
              </w:rPr>
              <w:t>AMC fee, first AMC year</w:t>
            </w:r>
          </w:p>
        </w:tc>
        <w:tc>
          <w:tcPr>
            <w:tcW w:type="dxa" w:w="5500"/>
          </w:tcPr>
          <w:p>
            <w:pPr>
              <w:spacing w:after="20"/>
            </w:pPr>
            <w:r>
              <w:rPr>
                <w:rFonts w:ascii="Segoe UI" w:hAnsi="Segoe UI" w:cs="Segoe UI" w:eastAsia="Segoe UI"/>
                <w:color w:val="101820"/>
                <w:sz w:val="18"/>
              </w:rPr>
              <w:t>22% of the Licence Fee: PHP [amount]</w:t>
            </w:r>
          </w:p>
        </w:tc>
      </w:tr>
      <w:tr>
        <w:tc>
          <w:tcPr>
            <w:tcW w:type="dxa" w:w="3514"/>
          </w:tcPr>
          <w:p>
            <w:pPr>
              <w:spacing w:after="20"/>
            </w:pPr>
            <w:r>
              <w:rPr>
                <w:rFonts w:ascii="Segoe UI" w:hAnsi="Segoe UI" w:cs="Segoe UI" w:eastAsia="Segoe UI"/>
                <w:color w:val="101820"/>
                <w:sz w:val="18"/>
              </w:rPr>
              <w:t>Yearly increase</w:t>
            </w:r>
          </w:p>
        </w:tc>
        <w:tc>
          <w:tcPr>
            <w:tcW w:type="dxa" w:w="5500"/>
          </w:tcPr>
          <w:p>
            <w:pPr>
              <w:spacing w:after="20"/>
            </w:pPr>
            <w:r>
              <w:rPr>
                <w:rFonts w:ascii="Segoe UI" w:hAnsi="Segoe UI" w:cs="Segoe UI" w:eastAsia="Segoe UI"/>
                <w:color w:val="101820"/>
                <w:sz w:val="18"/>
              </w:rPr>
              <w:t>5% at each anniversary</w:t>
            </w:r>
          </w:p>
        </w:tc>
      </w:tr>
      <w:tr>
        <w:tc>
          <w:tcPr>
            <w:tcW w:type="dxa" w:w="3514"/>
          </w:tcPr>
          <w:p>
            <w:pPr>
              <w:spacing w:after="20"/>
            </w:pPr>
            <w:r>
              <w:rPr>
                <w:rFonts w:ascii="Segoe UI" w:hAnsi="Segoe UI" w:cs="Segoe UI" w:eastAsia="Segoe UI"/>
                <w:color w:val="101820"/>
                <w:sz w:val="18"/>
              </w:rPr>
              <w:t>Source code escrow</w:t>
            </w:r>
          </w:p>
        </w:tc>
        <w:tc>
          <w:tcPr>
            <w:tcW w:type="dxa" w:w="5500"/>
          </w:tcPr>
          <w:p>
            <w:pPr>
              <w:spacing w:after="20"/>
            </w:pPr>
            <w:r>
              <w:rPr>
                <w:rFonts w:ascii="Segoe UI" w:hAnsi="Segoe UI" w:cs="Segoe UI" w:eastAsia="Segoe UI"/>
                <w:color w:val="101820"/>
                <w:sz w:val="18"/>
              </w:rPr>
              <w:t>[Yes, with Escrow Agent name / No]</w:t>
            </w:r>
          </w:p>
        </w:tc>
      </w:tr>
    </w:tbl>
    <w:p>
      <w:pPr>
        <w:spacing w:after="80"/>
      </w:pPr>
    </w:p>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11.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Review and completion by the parties' legal counsel before signature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Closed</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1146A836" w14:textId="10B273DD" w:rsidR="00EE516B" w:rsidRDefault="002B183A">
      <w:r w:rsidRPr="00FE19FE">
        <w:br w:type="page"/>
      </w:r>
    </w:p>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