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16">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27">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17"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 Corp.</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 Corp.</w:t>
                      </w:r>
                    </w:p>
                  </w:txbxContent>
                </v:textbox>
                <w10:wrap type="square"/>
              </v:rect>
            </w:pict>
          </mc:Fallback>
        </mc:AlternateContent>
        <mc:AlternateContent>
          <mc:Choice Requires="wps">
            <w:drawing>
              <wp:anchor behindDoc="0" distT="45720" distB="45720" distL="113030" distR="114935" simplePos="0" locked="0" layoutInCell="0" allowOverlap="1" relativeHeight="19"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21"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23"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Responsibilities and RACI</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Responsibilities and RACI</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25"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Customer responsibilities annex</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Customer responsibilities annex</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51997_3199679052">
            <w:r>
              <w:rPr>
                <w:webHidden/>
                <w:rStyle w:val="IndexLink"/>
              </w:rPr>
              <w:t xml:space="preserve"> </w:t>
            </w:r>
            <w:r>
              <w:rPr>
                <w:rStyle w:val="IndexLink"/>
                <w:i w:val="false"/>
                <w:iCs w:val="false"/>
              </w:rPr>
              <w:t>1. Document Control</w:t>
            </w:r>
            <w:r>
              <w:rPr>
                <w:rStyle w:val="IndexLink"/>
              </w:rPr>
              <w:tab/>
              <w:t>3</w:t>
            </w:r>
          </w:hyperlink>
        </w:p>
        <w:p>
          <w:pPr>
            <w:pStyle w:val="TOC1"/>
            <w:tabs>
              <w:tab w:val="clear" w:pos="900"/>
              <w:tab w:val="clear" w:pos="9350"/>
              <w:tab w:val="right" w:pos="9025" w:leader="dot"/>
            </w:tabs>
            <w:rPr/>
          </w:pPr>
          <w:hyperlink w:anchor="__RefHeading___Toc51999_3199679052">
            <w:r>
              <w:rPr>
                <w:webHidden/>
                <w:rStyle w:val="IndexLink"/>
                <w:i w:val="false"/>
                <w:iCs w:val="false"/>
              </w:rPr>
              <w:t>2. Acronyms</w:t>
            </w:r>
            <w:r>
              <w:rPr>
                <w:rStyle w:val="IndexLink"/>
              </w:rPr>
              <w:tab/>
              <w:t>3</w:t>
            </w:r>
          </w:hyperlink>
        </w:p>
        <w:p>
          <w:pPr>
            <w:pStyle w:val="TOC1"/>
            <w:tabs>
              <w:tab w:val="clear" w:pos="900"/>
              <w:tab w:val="clear" w:pos="9350"/>
              <w:tab w:val="right" w:pos="9025" w:leader="dot"/>
            </w:tabs>
            <w:rPr/>
          </w:pPr>
          <w:hyperlink w:anchor="__RefHeading___Toc52001_3199679052">
            <w:r>
              <w:rPr>
                <w:webHidden/>
                <w:rStyle w:val="IndexLink"/>
              </w:rPr>
              <w:t>3. About this annex</w:t>
              <w:tab/>
              <w:t>4</w:t>
            </w:r>
          </w:hyperlink>
        </w:p>
        <w:p>
          <w:pPr>
            <w:pStyle w:val="TOC2"/>
            <w:tabs>
              <w:tab w:val="clear" w:pos="900"/>
              <w:tab w:val="clear" w:pos="9350"/>
              <w:tab w:val="right" w:pos="9025" w:leader="dot"/>
            </w:tabs>
            <w:rPr/>
          </w:pPr>
          <w:hyperlink w:anchor="__RefHeading___Toc52003_3199679052">
            <w:r>
              <w:rPr>
                <w:webHidden/>
                <w:rStyle w:val="IndexLink"/>
              </w:rPr>
              <w:t>3.1 RACI codes</w:t>
              <w:tab/>
              <w:t>4</w:t>
            </w:r>
          </w:hyperlink>
        </w:p>
        <w:p>
          <w:pPr>
            <w:pStyle w:val="TOC1"/>
            <w:tabs>
              <w:tab w:val="clear" w:pos="900"/>
              <w:tab w:val="clear" w:pos="9350"/>
              <w:tab w:val="right" w:pos="9025" w:leader="dot"/>
            </w:tabs>
            <w:rPr/>
          </w:pPr>
          <w:hyperlink w:anchor="__RefHeading___Toc52005_3199679052">
            <w:r>
              <w:rPr>
                <w:webHidden/>
                <w:rStyle w:val="IndexLink"/>
              </w:rPr>
              <w:t>4. Roles</w:t>
              <w:tab/>
              <w:t>5</w:t>
            </w:r>
          </w:hyperlink>
        </w:p>
        <w:p>
          <w:pPr>
            <w:pStyle w:val="TOC2"/>
            <w:tabs>
              <w:tab w:val="clear" w:pos="900"/>
              <w:tab w:val="clear" w:pos="9350"/>
              <w:tab w:val="right" w:pos="9025" w:leader="dot"/>
            </w:tabs>
            <w:rPr/>
          </w:pPr>
          <w:hyperlink w:anchor="__RefHeading___Toc52007_3199679052">
            <w:r>
              <w:rPr>
                <w:webHidden/>
                <w:rStyle w:val="IndexLink"/>
              </w:rPr>
              <w:t>4.1 Client roles</w:t>
              <w:tab/>
              <w:t>5</w:t>
            </w:r>
          </w:hyperlink>
        </w:p>
        <w:p>
          <w:pPr>
            <w:pStyle w:val="TOC2"/>
            <w:tabs>
              <w:tab w:val="clear" w:pos="900"/>
              <w:tab w:val="clear" w:pos="9350"/>
              <w:tab w:val="right" w:pos="9025" w:leader="dot"/>
            </w:tabs>
            <w:rPr/>
          </w:pPr>
          <w:hyperlink w:anchor="__RefHeading___Toc52009_3199679052">
            <w:r>
              <w:rPr>
                <w:webHidden/>
                <w:rStyle w:val="IndexLink"/>
              </w:rPr>
              <w:t>4.2 iorta TechNXT roles</w:t>
              <w:tab/>
              <w:t>5</w:t>
            </w:r>
          </w:hyperlink>
        </w:p>
        <w:p>
          <w:pPr>
            <w:pStyle w:val="TOC1"/>
            <w:tabs>
              <w:tab w:val="clear" w:pos="900"/>
              <w:tab w:val="clear" w:pos="9350"/>
              <w:tab w:val="right" w:pos="9025" w:leader="dot"/>
            </w:tabs>
            <w:rPr/>
          </w:pPr>
          <w:hyperlink w:anchor="__RefHeading___Toc52011_3199679052">
            <w:r>
              <w:rPr>
                <w:webHidden/>
                <w:rStyle w:val="IndexLink"/>
              </w:rPr>
              <w:t>5. Client responsibilities</w:t>
              <w:tab/>
              <w:t>6</w:t>
            </w:r>
          </w:hyperlink>
        </w:p>
        <w:p>
          <w:pPr>
            <w:pStyle w:val="TOC2"/>
            <w:tabs>
              <w:tab w:val="clear" w:pos="900"/>
              <w:tab w:val="clear" w:pos="9350"/>
              <w:tab w:val="right" w:pos="9025" w:leader="dot"/>
            </w:tabs>
            <w:rPr/>
          </w:pPr>
          <w:hyperlink w:anchor="__RefHeading___Toc52013_3199679052">
            <w:r>
              <w:rPr>
                <w:webHidden/>
                <w:rStyle w:val="IndexLink"/>
              </w:rPr>
              <w:t>5.1 Client responsibilities in the implementation</w:t>
              <w:tab/>
              <w:t>6</w:t>
            </w:r>
          </w:hyperlink>
        </w:p>
        <w:p>
          <w:pPr>
            <w:pStyle w:val="TOC2"/>
            <w:tabs>
              <w:tab w:val="clear" w:pos="900"/>
              <w:tab w:val="clear" w:pos="9350"/>
              <w:tab w:val="right" w:pos="9025" w:leader="dot"/>
            </w:tabs>
            <w:rPr/>
          </w:pPr>
          <w:hyperlink w:anchor="__RefHeading___Toc52015_3199679052">
            <w:r>
              <w:rPr>
                <w:webHidden/>
                <w:rStyle w:val="IndexLink"/>
              </w:rPr>
              <w:t>5.2 Client responsibilities in production support</w:t>
              <w:tab/>
              <w:t>6</w:t>
            </w:r>
          </w:hyperlink>
        </w:p>
        <w:p>
          <w:pPr>
            <w:pStyle w:val="TOC1"/>
            <w:tabs>
              <w:tab w:val="clear" w:pos="900"/>
              <w:tab w:val="clear" w:pos="9350"/>
              <w:tab w:val="right" w:pos="9025" w:leader="dot"/>
            </w:tabs>
            <w:rPr/>
          </w:pPr>
          <w:hyperlink w:anchor="__RefHeading___Toc52017_3199679052">
            <w:r>
              <w:rPr>
                <w:webHidden/>
                <w:rStyle w:val="IndexLink"/>
              </w:rPr>
              <w:t>6. RACI</w:t>
              <w:tab/>
              <w:t>8</w:t>
            </w:r>
          </w:hyperlink>
        </w:p>
        <w:p>
          <w:pPr>
            <w:pStyle w:val="TOC2"/>
            <w:tabs>
              <w:tab w:val="clear" w:pos="900"/>
              <w:tab w:val="clear" w:pos="9350"/>
              <w:tab w:val="right" w:pos="9025" w:leader="dot"/>
            </w:tabs>
            <w:rPr/>
          </w:pPr>
          <w:hyperlink w:anchor="__RefHeading___Toc52019_3199679052">
            <w:r>
              <w:rPr>
                <w:webHidden/>
                <w:rStyle w:val="IndexLink"/>
              </w:rPr>
              <w:t>6.1 RACI: implementation</w:t>
              <w:tab/>
              <w:t>8</w:t>
            </w:r>
          </w:hyperlink>
        </w:p>
        <w:p>
          <w:pPr>
            <w:pStyle w:val="TOC2"/>
            <w:tabs>
              <w:tab w:val="clear" w:pos="900"/>
              <w:tab w:val="clear" w:pos="9350"/>
              <w:tab w:val="right" w:pos="9025" w:leader="dot"/>
            </w:tabs>
            <w:rPr/>
          </w:pPr>
          <w:hyperlink w:anchor="__RefHeading___Toc52021_3199679052">
            <w:r>
              <w:rPr>
                <w:webHidden/>
                <w:rStyle w:val="IndexLink"/>
              </w:rPr>
              <w:t>6.2 RACI: production support</w:t>
              <w:tab/>
              <w:t>8</w:t>
            </w:r>
          </w:hyperlink>
        </w:p>
        <w:p>
          <w:pPr>
            <w:pStyle w:val="TOC1"/>
            <w:tabs>
              <w:tab w:val="clear" w:pos="900"/>
              <w:tab w:val="clear" w:pos="9350"/>
              <w:tab w:val="right" w:pos="9025" w:leader="dot"/>
            </w:tabs>
            <w:rPr/>
          </w:pPr>
          <w:hyperlink w:anchor="__RefHeading___Toc52023_3199679052">
            <w:r>
              <w:rPr>
                <w:webHidden/>
                <w:rStyle w:val="IndexLink"/>
              </w:rPr>
              <w:t>7. Effect of a late or missing Client responsibility</w:t>
              <w:tab/>
              <w:t>10</w:t>
            </w:r>
          </w:hyperlink>
        </w:p>
        <w:p>
          <w:pPr>
            <w:pStyle w:val="TOC1"/>
            <w:tabs>
              <w:tab w:val="clear" w:pos="900"/>
              <w:tab w:val="clear" w:pos="9350"/>
              <w:tab w:val="right" w:pos="9025" w:leader="dot"/>
            </w:tabs>
            <w:rPr/>
          </w:pPr>
          <w:hyperlink w:anchor="__RefHeading___Toc52025_3199679052">
            <w:r>
              <w:rPr>
                <w:webHidden/>
                <w:rStyle w:val="IndexLink"/>
              </w:rPr>
              <w:t>8. Acceptance of this annex</w:t>
              <w:tab/>
              <w:t>11</w:t>
            </w:r>
          </w:hyperlink>
        </w:p>
        <w:p>
          <w:pPr>
            <w:pStyle w:val="TOC1"/>
            <w:tabs>
              <w:tab w:val="clear" w:pos="900"/>
              <w:tab w:val="clear" w:pos="9350"/>
              <w:tab w:val="right" w:pos="9025" w:leader="dot"/>
            </w:tabs>
            <w:rPr/>
          </w:pPr>
          <w:hyperlink w:anchor="__RefHeading___Toc52027_3199679052">
            <w:r>
              <w:rPr>
                <w:webHidden/>
                <w:rStyle w:val="IndexLink"/>
                <w:i w:val="false"/>
                <w:iCs w:val="false"/>
              </w:rPr>
              <w:t>9. Document Sign-Off</w:t>
            </w:r>
            <w:r>
              <w:rPr>
                <w:rStyle w:val="IndexLink"/>
              </w:rPr>
              <w:tab/>
              <w:t>12</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51997_3199679052"/>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 Corp.</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Legal counsel (to be completed)</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Template for discussion; subject to review by the parties' legal counsel</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51999_3199679052"/>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AMC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Annual Maintenance Contract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ATP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Authority to Print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CAB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Change advisory board</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DPO</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Data protection officer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Insurance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L1/L2/L3</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Support levels 1, 2 and 3</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MSA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Master Services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NPC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National Privacy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RACI</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Responsible, Accountable, Consulted, Informed</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RAID</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Risks, assumptions, issues and dependencies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SIT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System integration test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SLA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Service level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SMTP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Simple Mail Transfer Protocol</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SOW</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Statement of work</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testing</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52001_3199679052"/>
      <w:bookmarkEnd w:id="6"/>
      <w:r>
        <w:rPr>
          <w:rFonts w:eastAsia="Segoe UI" w:cs="Segoe UI" w:ascii="Segoe UI" w:hAnsi="Segoe UI"/>
          <w:b/>
          <w:color w:val="0F4761"/>
          <w:sz w:val="32"/>
        </w:rPr>
        <w:t>3.  About this annex</w:t>
      </w:r>
    </w:p>
    <w:p>
      <w:pPr>
        <w:pStyle w:val="Normal"/>
        <w:shd w:val="clear" w:color="auto" w:fill="EAF2FB"/>
        <w:spacing w:before="0" w:after="160"/>
        <w:ind w:left="170"/>
        <w:rPr/>
      </w:pPr>
      <w:r>
        <w:rPr>
          <w:rFonts w:eastAsia="Segoe UI" w:cs="Segoe UI" w:ascii="Segoe UI" w:hAnsi="Segoe UI"/>
          <w:color w:val="101820"/>
          <w:sz w:val="20"/>
        </w:rPr>
        <w:t>Template for discussion; subject to review by the parties' legal counsel.</w:t>
      </w:r>
    </w:p>
    <w:p>
      <w:pPr>
        <w:pStyle w:val="Normal"/>
        <w:spacing w:lineRule="auto" w:line="276" w:before="0" w:after="120"/>
        <w:rPr/>
      </w:pPr>
      <w:r>
        <w:rPr>
          <w:rFonts w:eastAsia="Segoe UI" w:cs="Segoe UI" w:ascii="Segoe UI" w:hAnsi="Segoe UI"/>
          <w:color w:val="101820"/>
          <w:sz w:val="21"/>
        </w:rPr>
        <w:t xml:space="preserve">This Customer Responsibilities and RACI Annex (the </w:t>
      </w:r>
      <w:r>
        <w:rPr>
          <w:rFonts w:eastAsia="Segoe UI" w:cs="Segoe UI" w:ascii="Segoe UI" w:hAnsi="Segoe UI"/>
          <w:b/>
          <w:color w:val="101820"/>
          <w:sz w:val="21"/>
        </w:rPr>
        <w:t>RACI Annex</w:t>
      </w:r>
      <w:r>
        <w:rPr>
          <w:rFonts w:eastAsia="Segoe UI" w:cs="Segoe UI" w:ascii="Segoe UI" w:hAnsi="Segoe UI"/>
          <w:color w:val="101820"/>
          <w:sz w:val="21"/>
        </w:rPr>
        <w:t xml:space="preserve">) sets out what [Client legal name] (the </w:t>
      </w:r>
      <w:r>
        <w:rPr>
          <w:rFonts w:eastAsia="Segoe UI" w:cs="Segoe UI" w:ascii="Segoe UI" w:hAnsi="Segoe UI"/>
          <w:b/>
          <w:color w:val="101820"/>
          <w:sz w:val="21"/>
        </w:rPr>
        <w:t>Client</w:t>
      </w:r>
      <w:r>
        <w:rPr>
          <w:rFonts w:eastAsia="Segoe UI" w:cs="Segoe UI" w:ascii="Segoe UI" w:hAnsi="Segoe UI"/>
          <w:color w:val="101820"/>
          <w:sz w:val="21"/>
        </w:rPr>
        <w:t>) provides and does, and who is responsible, accountable, consulted and informed for each activity, in:</w:t>
      </w:r>
    </w:p>
    <w:p>
      <w:pPr>
        <w:pStyle w:val="Normal"/>
        <w:numPr>
          <w:ilvl w:val="0"/>
          <w:numId w:val="1"/>
        </w:numPr>
        <w:spacing w:before="0" w:after="60"/>
        <w:rPr/>
      </w:pPr>
      <w:r>
        <w:rPr>
          <w:rFonts w:eastAsia="Segoe UI" w:cs="Segoe UI" w:ascii="Segoe UI" w:hAnsi="Segoe UI"/>
          <w:color w:val="101820"/>
          <w:sz w:val="21"/>
        </w:rPr>
        <w:t xml:space="preserve">the implementation of iNXT BrokerVerse OOTB under the Implementation Statement of Work (the </w:t>
      </w:r>
      <w:r>
        <w:rPr>
          <w:rFonts w:eastAsia="Segoe UI" w:cs="Segoe UI" w:ascii="Segoe UI" w:hAnsi="Segoe UI"/>
          <w:b/>
          <w:color w:val="101820"/>
          <w:sz w:val="21"/>
        </w:rPr>
        <w:t>SOW</w:t>
      </w:r>
      <w:r>
        <w:rPr>
          <w:rFonts w:eastAsia="Segoe UI" w:cs="Segoe UI" w:ascii="Segoe UI" w:hAnsi="Segoe UI"/>
          <w:color w:val="101820"/>
          <w:sz w:val="21"/>
        </w:rPr>
        <w:t>); and</w:t>
      </w:r>
    </w:p>
    <w:p>
      <w:pPr>
        <w:pStyle w:val="Normal"/>
        <w:numPr>
          <w:ilvl w:val="0"/>
          <w:numId w:val="1"/>
        </w:numPr>
        <w:spacing w:before="0" w:after="60"/>
        <w:rPr/>
      </w:pPr>
      <w:r>
        <w:rPr>
          <w:rFonts w:eastAsia="Segoe UI" w:cs="Segoe UI" w:ascii="Segoe UI" w:hAnsi="Segoe UI"/>
          <w:color w:val="101820"/>
          <w:sz w:val="21"/>
        </w:rPr>
        <w:t xml:space="preserve">production support under the Annual Maintenance and Support Agreement and Service Level Agreement (the </w:t>
      </w:r>
      <w:r>
        <w:rPr>
          <w:rFonts w:eastAsia="Segoe UI" w:cs="Segoe UI" w:ascii="Segoe UI" w:hAnsi="Segoe UI"/>
          <w:b/>
          <w:color w:val="101820"/>
          <w:sz w:val="21"/>
        </w:rPr>
        <w:t>Support Agreement</w:t>
      </w:r>
      <w:r>
        <w:rPr>
          <w:rFonts w:eastAsia="Segoe UI" w:cs="Segoe UI" w:ascii="Segoe UI" w:hAnsi="Segoe UI"/>
          <w:color w:val="101820"/>
          <w:sz w:val="21"/>
        </w:rPr>
        <w:t>), for a perpetual licence or a subscription.</w:t>
      </w:r>
    </w:p>
    <w:p>
      <w:pPr>
        <w:pStyle w:val="Normal"/>
        <w:spacing w:lineRule="auto" w:line="276" w:before="0" w:after="120"/>
        <w:rPr/>
      </w:pPr>
      <w:r>
        <w:rPr>
          <w:rFonts w:eastAsia="Segoe UI" w:cs="Segoe UI" w:ascii="Segoe UI" w:hAnsi="Segoe UI"/>
          <w:color w:val="101820"/>
          <w:sz w:val="21"/>
        </w:rPr>
        <w:t xml:space="preserve">It is an annex to the Order Form under the Master Services Agreement (the </w:t>
      </w:r>
      <w:r>
        <w:rPr>
          <w:rFonts w:eastAsia="Segoe UI" w:cs="Segoe UI" w:ascii="Segoe UI" w:hAnsi="Segoe UI"/>
          <w:b/>
          <w:color w:val="101820"/>
          <w:sz w:val="21"/>
        </w:rPr>
        <w:t>MSA</w:t>
      </w:r>
      <w:r>
        <w:rPr>
          <w:rFonts w:eastAsia="Segoe UI" w:cs="Segoe UI" w:ascii="Segoe UI" w:hAnsi="Segoe UI"/>
          <w:color w:val="101820"/>
          <w:sz w:val="21"/>
        </w:rPr>
        <w:t>) between iorta TechNXT Corp. (</w:t>
      </w:r>
      <w:r>
        <w:rPr>
          <w:rFonts w:eastAsia="Segoe UI" w:cs="Segoe UI" w:ascii="Segoe UI" w:hAnsi="Segoe UI"/>
          <w:b/>
          <w:color w:val="101820"/>
          <w:sz w:val="21"/>
        </w:rPr>
        <w:t>iorta TechNXT</w:t>
      </w:r>
      <w:r>
        <w:rPr>
          <w:rFonts w:eastAsia="Segoe UI" w:cs="Segoe UI" w:ascii="Segoe UI" w:hAnsi="Segoe UI"/>
          <w:color w:val="101820"/>
          <w:sz w:val="21"/>
        </w:rPr>
        <w:t>) and the Client. It brings together the Client responsibilities clause of the MSA, the Client responsibilities and Assumptions chapters of the SOW, and the Client obligations chapter of the Support Agreement. If this annex conflicts with one of them, that clause prevails. The detailed implementation RACI by task is in the iorta TechNXT Implementation Approach and Plan and its workbook. Text in [square brackets] is a placeholder or an option.</w:t>
      </w:r>
    </w:p>
    <w:p>
      <w:pPr>
        <w:pStyle w:val="Heading2"/>
        <w:rPr/>
      </w:pPr>
      <w:bookmarkStart w:id="7" w:name="__RefHeading___Toc52003_3199679052"/>
      <w:bookmarkEnd w:id="7"/>
      <w:r>
        <w:rPr>
          <w:rFonts w:eastAsia="Segoe UI" w:cs="Segoe UI"/>
          <w:b/>
          <w:color w:val="0F4761"/>
          <w:sz w:val="26"/>
        </w:rPr>
        <w:t>3.1  RACI codes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8107"/>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Code</w:t>
            </w:r>
          </w:p>
        </w:tc>
        <w:tc>
          <w:tcPr>
            <w:tcW w:w="81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Meaning</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Responsible: does the work</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Accountable: owns the result and signs it off; one per activity</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Consulted: gives input before the work or the decision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Informed: told of the result</w:t>
            </w:r>
          </w:p>
        </w:tc>
      </w:tr>
    </w:tbl>
    <w:p>
      <w:pPr>
        <w:pStyle w:val="Heading1"/>
        <w:rPr/>
      </w:pPr>
      <w:r>
        <w:br w:type="page"/>
      </w:r>
      <w:bookmarkStart w:id="8" w:name="__RefHeading___Toc52005_3199679052"/>
      <w:bookmarkEnd w:id="8"/>
      <w:r>
        <w:rPr>
          <w:rFonts w:eastAsia="Segoe UI" w:cs="Segoe UI" w:ascii="Segoe UI" w:hAnsi="Segoe UI"/>
          <w:b/>
          <w:color w:val="0F4761"/>
          <w:sz w:val="32"/>
        </w:rPr>
        <w:t>4.  Roles</w:t>
      </w:r>
    </w:p>
    <w:p>
      <w:pPr>
        <w:pStyle w:val="Heading2"/>
        <w:rPr/>
      </w:pPr>
      <w:bookmarkStart w:id="9" w:name="__RefHeading___Toc52007_3199679052"/>
      <w:bookmarkEnd w:id="9"/>
      <w:r>
        <w:rPr>
          <w:rFonts w:eastAsia="Segoe UI" w:cs="Segoe UI"/>
          <w:b/>
          <w:color w:val="0F4761"/>
          <w:sz w:val="26"/>
        </w:rPr>
        <w:t>4.1  Client roles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58"/>
        <w:gridCol w:w="3328"/>
        <w:gridCol w:w="3328"/>
      </w:tblGrid>
      <w:tr>
        <w:trPr>
          <w:tblHeader w:val="true"/>
        </w:trPr>
        <w:tc>
          <w:tcPr>
            <w:tcW w:w="235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Role</w:t>
            </w:r>
          </w:p>
        </w:tc>
        <w:tc>
          <w:tcPr>
            <w:tcW w:w="332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Responsibilities</w:t>
            </w:r>
          </w:p>
        </w:tc>
        <w:tc>
          <w:tcPr>
            <w:tcW w:w="332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Commitment</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Sponsor</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Chairs the steering committee; approves scope, change requests, go/no-go and sign-offs</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Steering committee meetings and each go/no-go</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Project manager</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Plans the Client's work, obtains data and decisions, runs UAT and training logistics</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 least 50% during discovery, UAT and cutover</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Process owners and key users</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 per team; take part in discovery, decide configuration, test, train their team; become L1 super users after go-live</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At least 50% during discovery, UAT and cutover</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Manager</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Chart of accounts, posting rules, tax set-up, opening balances, close; signs off financial reconciliation</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 needed for ledger, tax and opening balance decisions</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 Administrator</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Users, roles, masters and settings after go-live; second line inside the Client</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Trained and available in service hours</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IT head</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Escalations, change decisions, network and devices</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 needed</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Change owner</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Approves normal changes in production with iorta TechNXT (CAB)</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 needed</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 protection officer</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Privacy matters, breach decisions, privacy impact assessment, transfer decision</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As needed</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Tax adviser and compliance officer</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Review of tax codes, rates and BIR working papers</w:t>
            </w:r>
          </w:p>
        </w:tc>
        <w:tc>
          <w:tcPr>
            <w:tcW w:w="332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phase and before go-live</w:t>
            </w:r>
          </w:p>
        </w:tc>
      </w:tr>
    </w:tbl>
    <w:p>
      <w:pPr>
        <w:pStyle w:val="Normal"/>
        <w:spacing w:before="0" w:after="80"/>
        <w:rPr/>
      </w:pPr>
      <w:r>
        <w:rPr/>
      </w:r>
    </w:p>
    <w:p>
      <w:pPr>
        <w:pStyle w:val="Heading2"/>
        <w:rPr/>
      </w:pPr>
      <w:bookmarkStart w:id="10" w:name="__RefHeading___Toc52009_3199679052"/>
      <w:bookmarkEnd w:id="10"/>
      <w:r>
        <w:rPr>
          <w:rFonts w:eastAsia="Segoe UI" w:cs="Segoe UI"/>
          <w:b/>
          <w:color w:val="0F4761"/>
          <w:sz w:val="26"/>
        </w:rPr>
        <w:t>4.2  iorta TechNXT roles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87"/>
        <w:gridCol w:w="5926"/>
      </w:tblGrid>
      <w:tr>
        <w:trPr>
          <w:tblHeader w:val="true"/>
        </w:trPr>
        <w:tc>
          <w:tcPr>
            <w:tcW w:w="308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Role</w:t>
            </w:r>
          </w:p>
        </w:tc>
        <w:tc>
          <w:tcPr>
            <w:tcW w:w="592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Responsibilities</w:t>
            </w:r>
          </w:p>
        </w:tc>
      </w:tr>
      <w:tr>
        <w:trPr/>
        <w:tc>
          <w:tcPr>
            <w:tcW w:w="3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 manager</w:t>
            </w:r>
          </w:p>
        </w:tc>
        <w:tc>
          <w:tcPr>
            <w:tcW w:w="5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Commercial owner of the relationship; steering committee member</w:t>
            </w:r>
          </w:p>
        </w:tc>
      </w:tr>
      <w:tr>
        <w:trPr/>
        <w:tc>
          <w:tcPr>
            <w:tcW w:w="3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Head of delivery</w:t>
            </w:r>
          </w:p>
        </w:tc>
        <w:tc>
          <w:tcPr>
            <w:tcW w:w="5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Delivery quality and resources; escalation point</w:t>
            </w:r>
          </w:p>
        </w:tc>
      </w:tr>
      <w:tr>
        <w:trPr/>
        <w:tc>
          <w:tcPr>
            <w:tcW w:w="3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Project manager</w:t>
            </w:r>
          </w:p>
        </w:tc>
        <w:tc>
          <w:tcPr>
            <w:tcW w:w="5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Plan, RAID log, status reports, steering committee papers</w:t>
            </w:r>
          </w:p>
        </w:tc>
      </w:tr>
      <w:tr>
        <w:trPr/>
        <w:tc>
          <w:tcPr>
            <w:tcW w:w="3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Functional consultants</w:t>
            </w:r>
          </w:p>
        </w:tc>
        <w:tc>
          <w:tcPr>
            <w:tcW w:w="5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Discovery, configuration, data mapping, SIT, training of key users, UAT support</w:t>
            </w:r>
          </w:p>
        </w:tc>
      </w:tr>
      <w:tr>
        <w:trPr/>
        <w:tc>
          <w:tcPr>
            <w:tcW w:w="3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Migration lead</w:t>
            </w:r>
          </w:p>
        </w:tc>
        <w:tc>
          <w:tcPr>
            <w:tcW w:w="5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Mapping, load runs, load logs, reconciliation reports, cutover runbook</w:t>
            </w:r>
          </w:p>
        </w:tc>
      </w:tr>
      <w:tr>
        <w:trPr/>
        <w:tc>
          <w:tcPr>
            <w:tcW w:w="3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Technical and DevOps lead</w:t>
            </w:r>
          </w:p>
        </w:tc>
        <w:tc>
          <w:tcPr>
            <w:tcW w:w="5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Environments, e-mail, payment gateway, backups, monitoring, data loads, cutover execution</w:t>
            </w:r>
          </w:p>
        </w:tc>
      </w:tr>
      <w:tr>
        <w:trPr/>
        <w:tc>
          <w:tcPr>
            <w:tcW w:w="3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Support manager</w:t>
            </w:r>
          </w:p>
        </w:tc>
        <w:tc>
          <w:tcPr>
            <w:tcW w:w="5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Service desk, SLA, monthly service report and review, CAB</w:t>
            </w:r>
          </w:p>
        </w:tc>
      </w:tr>
      <w:tr>
        <w:trPr/>
        <w:tc>
          <w:tcPr>
            <w:tcW w:w="3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L2 application support</w:t>
            </w:r>
          </w:p>
        </w:tc>
        <w:tc>
          <w:tcPr>
            <w:tcW w:w="5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Triage, reproduction, analysis, configuration and data corrections under change control, workarounds</w:t>
            </w:r>
          </w:p>
        </w:tc>
      </w:tr>
      <w:tr>
        <w:trPr/>
        <w:tc>
          <w:tcPr>
            <w:tcW w:w="308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L3 engineering</w:t>
            </w:r>
          </w:p>
        </w:tc>
        <w:tc>
          <w:tcPr>
            <w:tcW w:w="592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Code defects, database scripts, performance, infrastructure where iorta TechNXT hosts, security incidents, fixes and releases</w:t>
            </w:r>
          </w:p>
        </w:tc>
      </w:tr>
    </w:tbl>
    <w:p>
      <w:pPr>
        <w:pStyle w:val="Heading1"/>
        <w:rPr/>
      </w:pPr>
      <w:r>
        <w:br w:type="page"/>
      </w:r>
      <w:bookmarkStart w:id="11" w:name="__RefHeading___Toc52011_3199679052"/>
      <w:bookmarkEnd w:id="11"/>
      <w:r>
        <w:rPr>
          <w:rFonts w:eastAsia="Segoe UI" w:cs="Segoe UI" w:ascii="Segoe UI" w:hAnsi="Segoe UI"/>
          <w:b/>
          <w:color w:val="0F4761"/>
          <w:sz w:val="32"/>
        </w:rPr>
        <w:t>5.  Client responsibilities</w:t>
      </w:r>
    </w:p>
    <w:p>
      <w:pPr>
        <w:pStyle w:val="Heading2"/>
        <w:rPr/>
      </w:pPr>
      <w:bookmarkStart w:id="12" w:name="__RefHeading___Toc52013_3199679052"/>
      <w:bookmarkEnd w:id="12"/>
      <w:r>
        <w:rPr>
          <w:rFonts w:eastAsia="Segoe UI" w:cs="Segoe UI"/>
          <w:b/>
          <w:color w:val="0F4761"/>
          <w:sz w:val="26"/>
        </w:rPr>
        <w:t>5.1  Client responsibilities in the implementation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4685"/>
        <w:gridCol w:w="3423"/>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t>
            </w:r>
          </w:p>
        </w:tc>
        <w:tc>
          <w:tcPr>
            <w:tcW w:w="468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Responsibility</w:t>
            </w:r>
          </w:p>
        </w:tc>
        <w:tc>
          <w:tcPr>
            <w:tcW w:w="342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Needed by</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46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the project manager, key users (one per team) and Accounting Manager, available at least 50% during discovery, UAT and cutover</w:t>
            </w:r>
          </w:p>
        </w:tc>
        <w:tc>
          <w:tcPr>
            <w:tcW w:w="3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1</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46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a sponsor with authority to approve scope, changes and sign-offs</w:t>
            </w:r>
          </w:p>
        </w:tc>
        <w:tc>
          <w:tcPr>
            <w:tcW w:w="3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Week 1</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46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Provide the insurer list and agreements, commission and referrer rates, and the product list</w:t>
            </w:r>
          </w:p>
        </w:tc>
        <w:tc>
          <w:tcPr>
            <w:tcW w:w="3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 of discovery</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46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Provide the chart of accounts and the accountant's mapping decisions</w:t>
            </w:r>
          </w:p>
        </w:tc>
        <w:tc>
          <w:tcPr>
            <w:tcW w:w="3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Start of ledger configuration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46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Provide the BIR Authority to Print or registered series for official receipts and invoices, and the last numbers used</w:t>
            </w:r>
          </w:p>
        </w:tc>
        <w:tc>
          <w:tcPr>
            <w:tcW w:w="3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of document numbering</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46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Provide the SMTP mailbox and credentials, and the payment gateway merchant account and credentials</w:t>
            </w:r>
          </w:p>
        </w:tc>
        <w:tc>
          <w:tcPr>
            <w:tcW w:w="3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 phase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46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Provide one recent statement export per bank account</w:t>
            </w:r>
          </w:p>
        </w:tc>
        <w:tc>
          <w:tcPr>
            <w:tcW w:w="3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Integrations phase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w:t>
            </w:r>
          </w:p>
        </w:tc>
        <w:tc>
          <w:tcPr>
            <w:tcW w:w="46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Extract and cleanse the in-force policy, open receivable and trial balance data, in the delivered templates</w:t>
            </w:r>
          </w:p>
        </w:tc>
        <w:tc>
          <w:tcPr>
            <w:tcW w:w="3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Each mock load and cutover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w:t>
            </w:r>
          </w:p>
        </w:tc>
        <w:tc>
          <w:tcPr>
            <w:tcW w:w="46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Provide the user list with roles and e-mail addresses</w:t>
            </w:r>
          </w:p>
        </w:tc>
        <w:tc>
          <w:tcPr>
            <w:tcW w:w="3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Two weeks before training</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c>
          <w:tcPr>
            <w:tcW w:w="46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Provide training rooms, devices and attendance</w:t>
            </w:r>
          </w:p>
        </w:tc>
        <w:tc>
          <w:tcPr>
            <w:tcW w:w="3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Training phase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w:t>
            </w:r>
          </w:p>
        </w:tc>
        <w:tc>
          <w:tcPr>
            <w:tcW w:w="46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Provide UAT testers and sign-off authority</w:t>
            </w:r>
          </w:p>
        </w:tc>
        <w:tc>
          <w:tcPr>
            <w:tcW w:w="3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phase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w:t>
            </w:r>
          </w:p>
        </w:tc>
        <w:tc>
          <w:tcPr>
            <w:tcW w:w="46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Freeze the old system and provide the final extract at cutover; keep the old system read-only for reference</w:t>
            </w:r>
          </w:p>
        </w:tc>
        <w:tc>
          <w:tcPr>
            <w:tcW w:w="3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Cutover</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13</w:t>
            </w:r>
          </w:p>
        </w:tc>
        <w:tc>
          <w:tcPr>
            <w:tcW w:w="46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Decide on the fit-gap register and change requests within 3 Business Days</w:t>
            </w:r>
          </w:p>
        </w:tc>
        <w:tc>
          <w:tcPr>
            <w:tcW w:w="3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Throughout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14</w:t>
            </w:r>
          </w:p>
        </w:tc>
        <w:tc>
          <w:tcPr>
            <w:tcW w:w="46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Have the tax codes, rates and BIR working papers reviewed by the Client's tax adviser</w:t>
            </w:r>
          </w:p>
        </w:tc>
        <w:tc>
          <w:tcPr>
            <w:tcW w:w="3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Configuration phase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w:t>
            </w:r>
          </w:p>
        </w:tc>
        <w:tc>
          <w:tcPr>
            <w:tcW w:w="46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Choose the hosting option and decide on and document any transfer of personal data outside the Philippines</w:t>
            </w:r>
          </w:p>
        </w:tc>
        <w:tc>
          <w:tcPr>
            <w:tcW w:w="3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Before environment set-up</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w:t>
            </w:r>
          </w:p>
        </w:tc>
        <w:tc>
          <w:tcPr>
            <w:tcW w:w="468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 or reject each Deliverable within 5 Business Days of submission</w:t>
            </w:r>
          </w:p>
        </w:tc>
        <w:tc>
          <w:tcPr>
            <w:tcW w:w="342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Throughout</w:t>
            </w:r>
          </w:p>
        </w:tc>
      </w:tr>
    </w:tbl>
    <w:p>
      <w:pPr>
        <w:pStyle w:val="Normal"/>
        <w:spacing w:before="0" w:after="80"/>
        <w:rPr/>
      </w:pPr>
      <w:r>
        <w:rPr/>
      </w:r>
    </w:p>
    <w:p>
      <w:pPr>
        <w:pStyle w:val="Heading2"/>
        <w:rPr/>
      </w:pPr>
      <w:bookmarkStart w:id="13" w:name="__RefHeading___Toc52015_3199679052"/>
      <w:bookmarkEnd w:id="13"/>
      <w:r>
        <w:rPr>
          <w:rFonts w:eastAsia="Segoe UI" w:cs="Segoe UI"/>
          <w:b/>
          <w:color w:val="0F4761"/>
          <w:sz w:val="26"/>
        </w:rPr>
        <w:t>5.2  Client responsibilities in production support</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8107"/>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t>
            </w:r>
          </w:p>
        </w:tc>
        <w:tc>
          <w:tcPr>
            <w:tcW w:w="81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Responsibility</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Keep named L1 super users (one per team) and a System Administrator, trained and available in service hours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Keep a change owner and an IT head for escalations and change decisions, and a DPO for privacy matters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Raise tickets only through named L1 contacts (up to [5]), with the minimum content of the Support Agreement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Give access to the people who can reproduce the issue and test the fix</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Provide testers for releases in UAT and approve releases within the agreed time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Give notice of business events that affect support: month-end and year-end dates, BIR filing dates, peak renewal periods, new branches or large data loads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Keep the credentials, contracts and support contacts of third parties the Client owns (SMTP mailbox, payment gateway, banks, domain names)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 supported browsers (current Chrome, Edge or Firefox) and keep a working network</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Manage Users through its own joiner, mover and leaver process; keep sign-in credentials confidential</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Remain responsible for its regulatory filings, tax returns, IC reports, NPC registrations and notifications, and its business decisions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w:t>
            </w:r>
          </w:p>
        </w:tc>
        <w:tc>
          <w:tcPr>
            <w:tcW w:w="81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Where the Client hosts: run the infrastructure, operating system, database, backups and monitoring, and deploy releases under iorta TechNXT's guidance</w:t>
            </w:r>
          </w:p>
        </w:tc>
      </w:tr>
    </w:tbl>
    <w:p>
      <w:pPr>
        <w:pStyle w:val="Heading1"/>
        <w:rPr/>
      </w:pPr>
      <w:r>
        <w:br w:type="page"/>
      </w:r>
      <w:bookmarkStart w:id="14" w:name="__RefHeading___Toc52017_3199679052"/>
      <w:bookmarkEnd w:id="14"/>
      <w:r>
        <w:rPr>
          <w:rFonts w:eastAsia="Segoe UI" w:cs="Segoe UI" w:ascii="Segoe UI" w:hAnsi="Segoe UI"/>
          <w:b/>
          <w:color w:val="0F4761"/>
          <w:sz w:val="32"/>
        </w:rPr>
        <w:t>6.  RACI</w:t>
      </w:r>
    </w:p>
    <w:p>
      <w:pPr>
        <w:pStyle w:val="Heading2"/>
        <w:rPr/>
      </w:pPr>
      <w:bookmarkStart w:id="15" w:name="__RefHeading___Toc52019_3199679052"/>
      <w:bookmarkEnd w:id="15"/>
      <w:r>
        <w:rPr>
          <w:rFonts w:eastAsia="Segoe UI" w:cs="Segoe UI"/>
          <w:b/>
          <w:color w:val="0F4761"/>
          <w:sz w:val="26"/>
        </w:rPr>
        <w:t>6.1  RACI: implementation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434"/>
        <w:gridCol w:w="1145"/>
        <w:gridCol w:w="1288"/>
        <w:gridCol w:w="1501"/>
        <w:gridCol w:w="1646"/>
      </w:tblGrid>
      <w:tr>
        <w:trPr>
          <w:tblHeader w:val="true"/>
        </w:trPr>
        <w:tc>
          <w:tcPr>
            <w:tcW w:w="34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Activity</w:t>
            </w:r>
          </w:p>
        </w:tc>
        <w:tc>
          <w:tcPr>
            <w:tcW w:w="114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iorta TechNXT PM</w:t>
            </w:r>
          </w:p>
        </w:tc>
        <w:tc>
          <w:tcPr>
            <w:tcW w:w="128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iorta TechNXT team</w:t>
            </w:r>
          </w:p>
        </w:tc>
        <w:tc>
          <w:tcPr>
            <w:tcW w:w="15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Client sponsor and PM</w:t>
            </w:r>
          </w:p>
        </w:tc>
        <w:tc>
          <w:tcPr>
            <w:tcW w:w="16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Client key users and IT</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Project plan and governance</w:t>
            </w:r>
          </w:p>
        </w:tc>
        <w:tc>
          <w:tcPr>
            <w:tcW w:w="1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1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Sponsor A</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R</w:t>
            </w:r>
          </w:p>
        </w:tc>
        <w:tc>
          <w:tcPr>
            <w:tcW w:w="16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Data request and extraction</w:t>
            </w:r>
          </w:p>
        </w:tc>
        <w:tc>
          <w:tcPr>
            <w:tcW w:w="1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1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A</w:t>
            </w:r>
          </w:p>
        </w:tc>
        <w:tc>
          <w:tcPr>
            <w:tcW w:w="16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Discovery workshops</w:t>
            </w:r>
          </w:p>
        </w:tc>
        <w:tc>
          <w:tcPr>
            <w:tcW w:w="1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c>
          <w:tcPr>
            <w:tcW w:w="1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R</w:t>
            </w:r>
          </w:p>
        </w:tc>
        <w:tc>
          <w:tcPr>
            <w:tcW w:w="16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Key users R</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IT C</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Configuration decisions</w:t>
            </w:r>
          </w:p>
        </w:tc>
        <w:tc>
          <w:tcPr>
            <w:tcW w:w="1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c>
          <w:tcPr>
            <w:tcW w:w="1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A</w:t>
            </w:r>
          </w:p>
        </w:tc>
        <w:tc>
          <w:tcPr>
            <w:tcW w:w="16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Key users R</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IT C</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Configuration in the system</w:t>
            </w:r>
          </w:p>
        </w:tc>
        <w:tc>
          <w:tcPr>
            <w:tcW w:w="1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c>
          <w:tcPr>
            <w:tcW w:w="1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I</w:t>
            </w:r>
          </w:p>
        </w:tc>
        <w:tc>
          <w:tcPr>
            <w:tcW w:w="16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Environments, backups, monitoring (iorta TechNXT hosts)</w:t>
            </w:r>
          </w:p>
        </w:tc>
        <w:tc>
          <w:tcPr>
            <w:tcW w:w="1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c>
          <w:tcPr>
            <w:tcW w:w="1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I</w:t>
            </w:r>
          </w:p>
        </w:tc>
        <w:tc>
          <w:tcPr>
            <w:tcW w:w="16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IT C</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Data cleansing</w:t>
            </w:r>
          </w:p>
        </w:tc>
        <w:tc>
          <w:tcPr>
            <w:tcW w:w="1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1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A</w:t>
            </w:r>
          </w:p>
        </w:tc>
        <w:tc>
          <w:tcPr>
            <w:tcW w:w="16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Mock loads and reconciliation</w:t>
            </w:r>
          </w:p>
        </w:tc>
        <w:tc>
          <w:tcPr>
            <w:tcW w:w="1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c>
          <w:tcPr>
            <w:tcW w:w="1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C</w:t>
            </w:r>
          </w:p>
        </w:tc>
        <w:tc>
          <w:tcPr>
            <w:tcW w:w="16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Key users R</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IT C</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E-mail, bank formats, payment gateway</w:t>
            </w:r>
          </w:p>
        </w:tc>
        <w:tc>
          <w:tcPr>
            <w:tcW w:w="1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c>
          <w:tcPr>
            <w:tcW w:w="1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C</w:t>
            </w:r>
          </w:p>
        </w:tc>
        <w:tc>
          <w:tcPr>
            <w:tcW w:w="16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Key users C</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IT R</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System integration test</w:t>
            </w:r>
          </w:p>
        </w:tc>
        <w:tc>
          <w:tcPr>
            <w:tcW w:w="1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c>
          <w:tcPr>
            <w:tcW w:w="1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I</w:t>
            </w:r>
          </w:p>
        </w:tc>
        <w:tc>
          <w:tcPr>
            <w:tcW w:w="16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UAT execution and sign-off</w:t>
            </w:r>
          </w:p>
        </w:tc>
        <w:tc>
          <w:tcPr>
            <w:tcW w:w="1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1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Sponsor A</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R</w:t>
            </w:r>
          </w:p>
        </w:tc>
        <w:tc>
          <w:tcPr>
            <w:tcW w:w="16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Train-the-trainer</w:t>
            </w:r>
          </w:p>
        </w:tc>
        <w:tc>
          <w:tcPr>
            <w:tcW w:w="1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c>
          <w:tcPr>
            <w:tcW w:w="1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C</w:t>
            </w:r>
          </w:p>
        </w:tc>
        <w:tc>
          <w:tcPr>
            <w:tcW w:w="16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End-user training</w:t>
            </w:r>
          </w:p>
        </w:tc>
        <w:tc>
          <w:tcPr>
            <w:tcW w:w="1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1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A</w:t>
            </w:r>
          </w:p>
        </w:tc>
        <w:tc>
          <w:tcPr>
            <w:tcW w:w="16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Cutover execution</w:t>
            </w:r>
          </w:p>
        </w:tc>
        <w:tc>
          <w:tcPr>
            <w:tcW w:w="1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c>
          <w:tcPr>
            <w:tcW w:w="1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R</w:t>
            </w:r>
          </w:p>
        </w:tc>
        <w:tc>
          <w:tcPr>
            <w:tcW w:w="16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Go/no-go decision</w:t>
            </w:r>
          </w:p>
        </w:tc>
        <w:tc>
          <w:tcPr>
            <w:tcW w:w="1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1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Sponsor A</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R</w:t>
            </w:r>
          </w:p>
        </w:tc>
        <w:tc>
          <w:tcPr>
            <w:tcW w:w="16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Hypercare</w:t>
            </w:r>
          </w:p>
        </w:tc>
        <w:tc>
          <w:tcPr>
            <w:tcW w:w="1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c>
          <w:tcPr>
            <w:tcW w:w="1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R</w:t>
            </w:r>
          </w:p>
        </w:tc>
        <w:tc>
          <w:tcPr>
            <w:tcW w:w="16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r>
      <w:tr>
        <w:trPr/>
        <w:tc>
          <w:tcPr>
            <w:tcW w:w="34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Handover to production support</w:t>
            </w:r>
          </w:p>
        </w:tc>
        <w:tc>
          <w:tcPr>
            <w:tcW w:w="11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c>
          <w:tcPr>
            <w:tcW w:w="128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c>
          <w:tcPr>
            <w:tcW w:w="15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PM C</w:t>
            </w:r>
          </w:p>
        </w:tc>
        <w:tc>
          <w:tcPr>
            <w:tcW w:w="16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IT R</w:t>
            </w:r>
          </w:p>
        </w:tc>
      </w:tr>
    </w:tbl>
    <w:p>
      <w:pPr>
        <w:pStyle w:val="Normal"/>
        <w:spacing w:before="0" w:after="80"/>
        <w:rPr/>
      </w:pPr>
      <w:r>
        <w:rPr/>
      </w:r>
    </w:p>
    <w:p>
      <w:pPr>
        <w:pStyle w:val="Heading2"/>
        <w:rPr/>
      </w:pPr>
      <w:bookmarkStart w:id="16" w:name="__RefHeading___Toc52021_3199679052"/>
      <w:bookmarkEnd w:id="16"/>
      <w:r>
        <w:rPr>
          <w:rFonts w:eastAsia="Segoe UI" w:cs="Segoe UI"/>
          <w:b/>
          <w:color w:val="0F4761"/>
          <w:sz w:val="26"/>
        </w:rPr>
        <w:t>6.2  RACI: production support</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782"/>
        <w:gridCol w:w="1264"/>
        <w:gridCol w:w="2039"/>
        <w:gridCol w:w="1795"/>
        <w:gridCol w:w="1135"/>
      </w:tblGrid>
      <w:tr>
        <w:trPr>
          <w:tblHeader w:val="true"/>
        </w:trPr>
        <w:tc>
          <w:tcPr>
            <w:tcW w:w="278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Activity</w:t>
            </w:r>
          </w:p>
        </w:tc>
        <w:tc>
          <w:tcPr>
            <w:tcW w:w="126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iorta TechNXT support</w:t>
            </w:r>
          </w:p>
        </w:tc>
        <w:tc>
          <w:tcPr>
            <w:tcW w:w="203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Client System Administrator and L1</w:t>
            </w:r>
          </w:p>
        </w:tc>
        <w:tc>
          <w:tcPr>
            <w:tcW w:w="179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Client IT head and change owner</w:t>
            </w:r>
          </w:p>
        </w:tc>
        <w:tc>
          <w:tcPr>
            <w:tcW w:w="113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6"/>
                <w:szCs w:val="24"/>
                <w:lang w:val="en-US" w:eastAsia="ja-JP" w:bidi="ar-SA"/>
              </w:rPr>
              <w:t>Client sponsor</w:t>
            </w:r>
          </w:p>
        </w:tc>
      </w:tr>
      <w:tr>
        <w:trPr/>
        <w:tc>
          <w:tcPr>
            <w:tcW w:w="27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How-to questions; user, role and password resets</w:t>
            </w:r>
          </w:p>
        </w:tc>
        <w:tc>
          <w:tcPr>
            <w:tcW w:w="1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c>
          <w:tcPr>
            <w:tcW w:w="20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 A</w:t>
            </w:r>
          </w:p>
        </w:tc>
        <w:tc>
          <w:tcPr>
            <w:tcW w:w="17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c>
          <w:tcPr>
            <w:tcW w:w="1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applicable</w:t>
            </w:r>
          </w:p>
        </w:tc>
      </w:tr>
      <w:tr>
        <w:trPr/>
        <w:tc>
          <w:tcPr>
            <w:tcW w:w="27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Logging a ticket with the minimum content</w:t>
            </w:r>
          </w:p>
        </w:tc>
        <w:tc>
          <w:tcPr>
            <w:tcW w:w="1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20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c>
          <w:tcPr>
            <w:tcW w:w="17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c>
          <w:tcPr>
            <w:tcW w:w="1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applicable</w:t>
            </w:r>
          </w:p>
        </w:tc>
      </w:tr>
      <w:tr>
        <w:trPr/>
        <w:tc>
          <w:tcPr>
            <w:tcW w:w="27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Severity at triage</w:t>
            </w:r>
          </w:p>
        </w:tc>
        <w:tc>
          <w:tcPr>
            <w:tcW w:w="1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 A</w:t>
            </w:r>
          </w:p>
        </w:tc>
        <w:tc>
          <w:tcPr>
            <w:tcW w:w="20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17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1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applicable</w:t>
            </w:r>
          </w:p>
        </w:tc>
      </w:tr>
      <w:tr>
        <w:trPr/>
        <w:tc>
          <w:tcPr>
            <w:tcW w:w="27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Incident diagnosis, workaround and fix</w:t>
            </w:r>
          </w:p>
        </w:tc>
        <w:tc>
          <w:tcPr>
            <w:tcW w:w="1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 A</w:t>
            </w:r>
          </w:p>
        </w:tc>
        <w:tc>
          <w:tcPr>
            <w:tcW w:w="20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17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c>
          <w:tcPr>
            <w:tcW w:w="1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applicable</w:t>
            </w:r>
          </w:p>
        </w:tc>
      </w:tr>
      <w:tr>
        <w:trPr/>
        <w:tc>
          <w:tcPr>
            <w:tcW w:w="27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P1 incident communication to users</w:t>
            </w:r>
          </w:p>
        </w:tc>
        <w:tc>
          <w:tcPr>
            <w:tcW w:w="1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20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c>
          <w:tcPr>
            <w:tcW w:w="17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c>
          <w:tcPr>
            <w:tcW w:w="1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r>
      <w:tr>
        <w:trPr/>
        <w:tc>
          <w:tcPr>
            <w:tcW w:w="27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Standard changes (users, master records, e-mail texts)</w:t>
            </w:r>
          </w:p>
        </w:tc>
        <w:tc>
          <w:tcPr>
            <w:tcW w:w="1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c>
          <w:tcPr>
            <w:tcW w:w="20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 A</w:t>
            </w:r>
          </w:p>
        </w:tc>
        <w:tc>
          <w:tcPr>
            <w:tcW w:w="17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c>
          <w:tcPr>
            <w:tcW w:w="1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applicable</w:t>
            </w:r>
          </w:p>
        </w:tc>
      </w:tr>
      <w:tr>
        <w:trPr/>
        <w:tc>
          <w:tcPr>
            <w:tcW w:w="27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Normal changes in production (release, tax rate, posting rule, data correction)</w:t>
            </w:r>
          </w:p>
        </w:tc>
        <w:tc>
          <w:tcPr>
            <w:tcW w:w="1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c>
          <w:tcPr>
            <w:tcW w:w="20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17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c>
          <w:tcPr>
            <w:tcW w:w="1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applicable</w:t>
            </w:r>
          </w:p>
        </w:tc>
      </w:tr>
      <w:tr>
        <w:trPr/>
        <w:tc>
          <w:tcPr>
            <w:tcW w:w="27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Emergency change for a P1 or a security patch</w:t>
            </w:r>
          </w:p>
        </w:tc>
        <w:tc>
          <w:tcPr>
            <w:tcW w:w="1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c>
          <w:tcPr>
            <w:tcW w:w="20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c>
          <w:tcPr>
            <w:tcW w:w="17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c>
          <w:tcPr>
            <w:tcW w:w="1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r>
      <w:tr>
        <w:trPr/>
        <w:tc>
          <w:tcPr>
            <w:tcW w:w="27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Release testing in UAT</w:t>
            </w:r>
          </w:p>
        </w:tc>
        <w:tc>
          <w:tcPr>
            <w:tcW w:w="1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20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c>
          <w:tcPr>
            <w:tcW w:w="17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c>
          <w:tcPr>
            <w:tcW w:w="1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applicable</w:t>
            </w:r>
          </w:p>
        </w:tc>
      </w:tr>
      <w:tr>
        <w:trPr/>
        <w:tc>
          <w:tcPr>
            <w:tcW w:w="27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Release deployment (iorta TechNXT hosts)</w:t>
            </w:r>
          </w:p>
        </w:tc>
        <w:tc>
          <w:tcPr>
            <w:tcW w:w="1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 A</w:t>
            </w:r>
          </w:p>
        </w:tc>
        <w:tc>
          <w:tcPr>
            <w:tcW w:w="20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c>
          <w:tcPr>
            <w:tcW w:w="17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1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applicable</w:t>
            </w:r>
          </w:p>
        </w:tc>
      </w:tr>
      <w:tr>
        <w:trPr/>
        <w:tc>
          <w:tcPr>
            <w:tcW w:w="27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Release deployment (Client hosts)</w:t>
            </w:r>
          </w:p>
        </w:tc>
        <w:tc>
          <w:tcPr>
            <w:tcW w:w="1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20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c>
          <w:tcPr>
            <w:tcW w:w="17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c>
          <w:tcPr>
            <w:tcW w:w="1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applicable</w:t>
            </w:r>
          </w:p>
        </w:tc>
      </w:tr>
      <w:tr>
        <w:trPr/>
        <w:tc>
          <w:tcPr>
            <w:tcW w:w="27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Backups, monitoring and restore tests (iorta TechNXT hosts)</w:t>
            </w:r>
          </w:p>
        </w:tc>
        <w:tc>
          <w:tcPr>
            <w:tcW w:w="1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 A</w:t>
            </w:r>
          </w:p>
        </w:tc>
        <w:tc>
          <w:tcPr>
            <w:tcW w:w="20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c>
          <w:tcPr>
            <w:tcW w:w="17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c>
          <w:tcPr>
            <w:tcW w:w="1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applicable</w:t>
            </w:r>
          </w:p>
        </w:tc>
      </w:tr>
      <w:tr>
        <w:trPr/>
        <w:tc>
          <w:tcPr>
            <w:tcW w:w="27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Monthly service report and review</w:t>
            </w:r>
          </w:p>
        </w:tc>
        <w:tc>
          <w:tcPr>
            <w:tcW w:w="1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 A</w:t>
            </w:r>
          </w:p>
        </w:tc>
        <w:tc>
          <w:tcPr>
            <w:tcW w:w="20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17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1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r>
      <w:tr>
        <w:trPr/>
        <w:tc>
          <w:tcPr>
            <w:tcW w:w="27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Root-cause analysis of a P1</w:t>
            </w:r>
          </w:p>
        </w:tc>
        <w:tc>
          <w:tcPr>
            <w:tcW w:w="1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 A</w:t>
            </w:r>
          </w:p>
        </w:tc>
        <w:tc>
          <w:tcPr>
            <w:tcW w:w="20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17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c>
          <w:tcPr>
            <w:tcW w:w="1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r>
      <w:tr>
        <w:trPr/>
        <w:tc>
          <w:tcPr>
            <w:tcW w:w="27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Suspected personal data breach: facts and containment</w:t>
            </w:r>
          </w:p>
        </w:tc>
        <w:tc>
          <w:tcPr>
            <w:tcW w:w="1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c>
          <w:tcPr>
            <w:tcW w:w="20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17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1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r>
      <w:tr>
        <w:trPr/>
        <w:tc>
          <w:tcPr>
            <w:tcW w:w="27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Suspected personal data breach: notification to the NPC and data subjects</w:t>
            </w:r>
          </w:p>
        </w:tc>
        <w:tc>
          <w:tcPr>
            <w:tcW w:w="1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20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I</w:t>
            </w:r>
          </w:p>
        </w:tc>
        <w:tc>
          <w:tcPr>
            <w:tcW w:w="17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1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p>
            <w:pPr>
              <w:pStyle w:val="Normal"/>
              <w:widowControl/>
              <w:spacing w:lineRule="auto" w:line="240" w:before="0" w:after="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Client DPO R</w:t>
            </w:r>
          </w:p>
        </w:tc>
      </w:tr>
      <w:tr>
        <w:trPr/>
        <w:tc>
          <w:tcPr>
            <w:tcW w:w="278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Regulatory filings and returns (BIR, IC, NPC, AMLC)</w:t>
            </w:r>
          </w:p>
        </w:tc>
        <w:tc>
          <w:tcPr>
            <w:tcW w:w="126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Not applicable</w:t>
            </w:r>
          </w:p>
        </w:tc>
        <w:tc>
          <w:tcPr>
            <w:tcW w:w="203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R</w:t>
            </w:r>
          </w:p>
        </w:tc>
        <w:tc>
          <w:tcPr>
            <w:tcW w:w="179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C</w:t>
            </w:r>
          </w:p>
        </w:tc>
        <w:tc>
          <w:tcPr>
            <w:tcW w:w="1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6"/>
                <w:szCs w:val="24"/>
                <w:lang w:val="en-US" w:eastAsia="ja-JP" w:bidi="ar-SA"/>
              </w:rPr>
              <w:t>A</w:t>
            </w:r>
          </w:p>
        </w:tc>
      </w:tr>
    </w:tbl>
    <w:p>
      <w:pPr>
        <w:pStyle w:val="Heading1"/>
        <w:rPr/>
      </w:pPr>
      <w:r>
        <w:br w:type="page"/>
      </w:r>
      <w:bookmarkStart w:id="17" w:name="__RefHeading___Toc52023_3199679052"/>
      <w:bookmarkEnd w:id="17"/>
      <w:r>
        <w:rPr>
          <w:rFonts w:eastAsia="Segoe UI" w:cs="Segoe UI" w:ascii="Segoe UI" w:hAnsi="Segoe UI"/>
          <w:b/>
          <w:color w:val="0F4761"/>
          <w:sz w:val="32"/>
        </w:rPr>
        <w:t>7.  Effect of a late or missing Client responsibility</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3005"/>
        <w:gridCol w:w="3005"/>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Situation</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Effect</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Source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Client dependency is late or not met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timeline moves by the time lost; iorta TechNXT may charge the extra effort at the day rates of the Order Form, after written notice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MSA, Client responsibilities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delay moves the go-live date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Recorded in the RAID log; the steering committee agrees a revised plan; additional effort is a Change Request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SOW, Change control</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payment milestone is delayed by more than 30 days for reasons attributable to the Client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may invoice the milestone on its planned date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SOW, Milestone payments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Go-Live is delayed by more than [60] days for reasons attributable to the Client (perpetual)</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Licence Fee becomes payable on the planned Go-Live date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Perpetual Software Licence Agreement, Licence Fee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written objection to a Deliverable within 5 Business Days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Deliverable is deemed accepted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SOW, Acceptance procedure</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ticket waits for the Client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SLA clock stops (status Awaiting customer); no service credit for the time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Support Agreement, Clock rules and Service credits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ticket lacks the minimum content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service credit for a missed target on that ticket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Support Agreement, Service credits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Release not applied by the Client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Support only for the current and the two previous planned releases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Support Agreement, Maintenance</w:t>
            </w:r>
          </w:p>
        </w:tc>
      </w:tr>
    </w:tbl>
    <w:p>
      <w:pPr>
        <w:pStyle w:val="Heading1"/>
        <w:rPr/>
      </w:pPr>
      <w:r>
        <w:br w:type="page"/>
      </w:r>
      <w:bookmarkStart w:id="18" w:name="__RefHeading___Toc52025_3199679052"/>
      <w:bookmarkEnd w:id="18"/>
      <w:r>
        <w:rPr>
          <w:rFonts w:eastAsia="Segoe UI" w:cs="Segoe UI" w:ascii="Segoe UI" w:hAnsi="Segoe UI"/>
          <w:b/>
          <w:color w:val="0F4761"/>
          <w:sz w:val="32"/>
        </w:rPr>
        <w:t>8.  Acceptance of this annex</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For iorta TechNXT Corp.</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For [Client legal name]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Signature: ____________________</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Signature: ____________________</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[name]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[name]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Title: [title]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Title: [title]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[date]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[date]</w:t>
            </w:r>
          </w:p>
        </w:tc>
      </w:tr>
    </w:tbl>
    <w:p>
      <w:pPr>
        <w:pStyle w:val="Heading1"/>
        <w:tabs>
          <w:tab w:val="clear" w:pos="720"/>
          <w:tab w:val="left" w:pos="360" w:leader="none"/>
        </w:tabs>
        <w:spacing w:lineRule="auto" w:line="360"/>
        <w:ind w:hanging="0" w:left="0"/>
        <w:rPr>
          <w:rStyle w:val="BookTitle"/>
          <w:b w:val="false"/>
          <w:bCs w:val="false"/>
          <w:i w:val="false"/>
          <w:i w:val="false"/>
          <w:iCs w:val="false"/>
          <w:spacing w:val="0"/>
        </w:rPr>
      </w:pPr>
      <w:r>
        <w:br w:type="page"/>
      </w:r>
      <w:bookmarkStart w:id="19" w:name="__RefHeading___Toc52027_3199679052"/>
      <w:bookmarkStart w:id="20" w:name="_Toc233203395"/>
      <w:bookmarkEnd w:id="19"/>
      <w:r>
        <w:rPr>
          <w:rStyle w:val="BookTitle"/>
          <w:bCs w:val="false"/>
          <w:i w:val="false"/>
          <w:iCs w:val="false"/>
          <w:spacing w:val="0"/>
        </w:rPr>
        <w:t>9.  Document Sign-Off</w:t>
      </w:r>
      <w:bookmarkEnd w:id="20"/>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Review and completion by the parties' legal counsel before signature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Open</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15">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4">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4">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2026-10-04T01:52:00Z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