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oter2.xml.rels" ContentType="application/vnd.openxmlformats-package.relationships+xml"/>
  <Override PartName="/word/_rels/document.xml.rels" ContentType="application/vnd.openxmlformats-package.relationships+xml"/>
  <Override PartName="/word/_rels/footer1.xml.rels" ContentType="application/vnd.openxmlformats-package.relationships+xml"/>
  <Override PartName="/word/media/image1.jpeg" ContentType="image/jpeg"/>
  <Override PartName="/word/media/image2.png" ContentType="image/png"/>
  <Override PartName="/word/media/image3.jpeg" ContentType="image/jpeg"/>
  <Override PartName="/word/media/image4.png" ContentType="image/png"/>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drawing>
          <wp:anchor behindDoc="1" distT="0" distB="0" distL="0" distR="0" simplePos="0" locked="0" layoutInCell="0" allowOverlap="1" relativeHeight="16">
            <wp:simplePos x="0" y="0"/>
            <wp:positionH relativeFrom="margin">
              <wp:posOffset>-914400</wp:posOffset>
            </wp:positionH>
            <wp:positionV relativeFrom="margin">
              <wp:posOffset>-914400</wp:posOffset>
            </wp:positionV>
            <wp:extent cx="7553960" cy="10685145"/>
            <wp:effectExtent l="0" t="0" r="0" b="0"/>
            <wp:wrapNone/>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7553960" cy="10685145"/>
                    </a:xfrm>
                    <a:prstGeom prst="rect">
                      <a:avLst/>
                    </a:prstGeom>
                  </pic:spPr>
                </pic:pic>
              </a:graphicData>
            </a:graphic>
          </wp:anchor>
        </w:drawing>
        <w:drawing>
          <wp:anchor behindDoc="1" distT="0" distB="0" distL="0" distR="0" simplePos="0" locked="0" layoutInCell="0" allowOverlap="1" relativeHeight="27">
            <wp:simplePos x="0" y="0"/>
            <wp:positionH relativeFrom="margin">
              <wp:align>center</wp:align>
            </wp:positionH>
            <wp:positionV relativeFrom="margin">
              <wp:posOffset>244475</wp:posOffset>
            </wp:positionV>
            <wp:extent cx="2000250" cy="568325"/>
            <wp:effectExtent l="0" t="0" r="0" b="0"/>
            <wp:wrapNone/>
            <wp:docPr id="2"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
                    <pic:cNvPicPr>
                      <a:picLocks noChangeAspect="1" noChangeArrowheads="1"/>
                    </pic:cNvPicPr>
                  </pic:nvPicPr>
                  <pic:blipFill>
                    <a:blip r:embed="rId3"/>
                    <a:stretch>
                      <a:fillRect/>
                    </a:stretch>
                  </pic:blipFill>
                  <pic:spPr bwMode="auto">
                    <a:xfrm>
                      <a:off x="0" y="0"/>
                      <a:ext cx="2000250" cy="568325"/>
                    </a:xfrm>
                    <a:prstGeom prst="rect">
                      <a:avLst/>
                    </a:prstGeom>
                  </pic:spPr>
                </pic:pic>
              </a:graphicData>
            </a:graphic>
          </wp:anchor>
        </w:drawing>
      </w:r>
    </w:p>
    <w:p>
      <w:pPr>
        <w:pStyle w:val="Normal"/>
        <w:rPr/>
      </w:pPr>
      <w:r>
        <w:rPr/>
        <mc:AlternateContent>
          <mc:Choice Requires="wps">
            <w:drawing>
              <wp:anchor behindDoc="0" distT="45720" distB="45720" distL="114300" distR="114300" simplePos="0" locked="0" layoutInCell="0" allowOverlap="1" relativeHeight="17" wp14:anchorId="3D43415C">
                <wp:simplePos x="0" y="0"/>
                <wp:positionH relativeFrom="page">
                  <wp:posOffset>194310</wp:posOffset>
                </wp:positionH>
                <wp:positionV relativeFrom="paragraph">
                  <wp:posOffset>4124960</wp:posOffset>
                </wp:positionV>
                <wp:extent cx="2599690" cy="266700"/>
                <wp:effectExtent l="0" t="0" r="0" b="0"/>
                <wp:wrapSquare wrapText="bothSides"/>
                <wp:docPr id="3" name="Text Box 2"/>
                <a:graphic xmlns:a="http://schemas.openxmlformats.org/drawingml/2006/main">
                  <a:graphicData uri="http://schemas.microsoft.com/office/word/2010/wordprocessingShape">
                    <wps:wsp>
                      <wps:cNvSpPr/>
                      <wps:spPr>
                        <a:xfrm>
                          <a:off x="0" y="0"/>
                          <a:ext cx="259956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Prepared by – </w:t>
                            </w:r>
                            <w:r>
                              <w:rPr>
                                <w:b/>
                                <w:bCs/>
                                <w:color w:val="1D74BA"/>
                              </w:rPr>
                              <w:t>iorta TechNXT Corp.</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15.3pt;margin-top:324.8pt;width:204.65pt;height:20.95pt;mso-wrap-style:square;v-text-anchor:top;mso-position-horizontal-relative:page" wp14:anchorId="3D43415C">
                <v:fill o:detectmouseclick="t" on="false"/>
                <v:stroke color="#3465a4" weight="9360" joinstyle="miter" endcap="flat"/>
                <v:textbox>
                  <w:txbxContent>
                    <w:p>
                      <w:pPr>
                        <w:pStyle w:val="FrameContents"/>
                        <w:spacing w:before="0" w:after="160"/>
                        <w:rPr>
                          <w:b/>
                          <w:bCs/>
                          <w:color w:val="1D74BA"/>
                        </w:rPr>
                      </w:pPr>
                      <w:r>
                        <w:rPr>
                          <w:color w:val="1D74BA"/>
                        </w:rPr>
                        <w:t xml:space="preserve">Prepared by – </w:t>
                      </w:r>
                      <w:r>
                        <w:rPr>
                          <w:b/>
                          <w:bCs/>
                          <w:color w:val="1D74BA"/>
                        </w:rPr>
                        <w:t>iorta TechNXT Corp.</w:t>
                      </w:r>
                    </w:p>
                  </w:txbxContent>
                </v:textbox>
                <w10:wrap type="square"/>
              </v:rect>
            </w:pict>
          </mc:Fallback>
        </mc:AlternateContent>
        <mc:AlternateContent>
          <mc:Choice Requires="wps">
            <w:drawing>
              <wp:anchor behindDoc="0" distT="45720" distB="45720" distL="113030" distR="114935" simplePos="0" locked="0" layoutInCell="0" allowOverlap="1" relativeHeight="19" wp14:anchorId="58C23128">
                <wp:simplePos x="0" y="0"/>
                <wp:positionH relativeFrom="page">
                  <wp:posOffset>3094990</wp:posOffset>
                </wp:positionH>
                <wp:positionV relativeFrom="paragraph">
                  <wp:posOffset>4124960</wp:posOffset>
                </wp:positionV>
                <wp:extent cx="1599565" cy="266700"/>
                <wp:effectExtent l="0" t="0" r="0" b="0"/>
                <wp:wrapSquare wrapText="bothSides"/>
                <wp:docPr id="4" name="Text Box 2"/>
                <a:graphic xmlns:a="http://schemas.openxmlformats.org/drawingml/2006/main">
                  <a:graphicData uri="http://schemas.microsoft.com/office/word/2010/wordprocessingShape">
                    <wps:wsp>
                      <wps:cNvSpPr/>
                      <wps:spPr>
                        <a:xfrm>
                          <a:off x="0" y="0"/>
                          <a:ext cx="1599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Version - </w:t>
                            </w:r>
                            <w:r>
                              <w:rPr>
                                <w:b/>
                                <w:bCs/>
                                <w:color w:val="1D74BA"/>
                              </w:rPr>
                              <w:t>1.0</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243.7pt;margin-top:324.8pt;width:125.9pt;height:20.95pt;mso-wrap-style:square;v-text-anchor:top;mso-position-horizontal-relative:page" wp14:anchorId="58C23128">
                <v:fill o:detectmouseclick="t" on="false"/>
                <v:stroke color="#3465a4" weight="9360" joinstyle="miter" endcap="flat"/>
                <v:textbox>
                  <w:txbxContent>
                    <w:p>
                      <w:pPr>
                        <w:pStyle w:val="FrameContents"/>
                        <w:spacing w:before="0" w:after="160"/>
                        <w:rPr>
                          <w:b/>
                          <w:bCs/>
                          <w:color w:val="1D74BA"/>
                        </w:rPr>
                      </w:pPr>
                      <w:r>
                        <w:rPr>
                          <w:color w:val="1D74BA"/>
                        </w:rPr>
                        <w:t xml:space="preserve">Version - </w:t>
                      </w:r>
                      <w:r>
                        <w:rPr>
                          <w:b/>
                          <w:bCs/>
                          <w:color w:val="1D74BA"/>
                        </w:rPr>
                        <w:t>1.0</w:t>
                      </w:r>
                    </w:p>
                  </w:txbxContent>
                </v:textbox>
                <w10:wrap type="square"/>
              </v:rect>
            </w:pict>
          </mc:Fallback>
        </mc:AlternateContent>
        <mc:AlternateContent>
          <mc:Choice Requires="wps">
            <w:drawing>
              <wp:anchor behindDoc="0" distT="45720" distB="45720" distL="114300" distR="113665" simplePos="0" locked="0" layoutInCell="0" allowOverlap="1" relativeHeight="21" wp14:anchorId="1BF25123">
                <wp:simplePos x="0" y="0"/>
                <wp:positionH relativeFrom="page">
                  <wp:posOffset>4992370</wp:posOffset>
                </wp:positionH>
                <wp:positionV relativeFrom="paragraph">
                  <wp:posOffset>4124960</wp:posOffset>
                </wp:positionV>
                <wp:extent cx="2400300" cy="266700"/>
                <wp:effectExtent l="0" t="0" r="0" b="0"/>
                <wp:wrapSquare wrapText="bothSides"/>
                <wp:docPr id="5" name="Text Box 2"/>
                <a:graphic xmlns:a="http://schemas.openxmlformats.org/drawingml/2006/main">
                  <a:graphicData uri="http://schemas.microsoft.com/office/word/2010/wordprocessingShape">
                    <wps:wsp>
                      <wps:cNvSpPr/>
                      <wps:spPr>
                        <a:xfrm>
                          <a:off x="0" y="0"/>
                          <a:ext cx="2400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Date - </w:t>
                            </w:r>
                            <w:r>
                              <w:rPr>
                                <w:b/>
                                <w:bCs/>
                                <w:color w:val="1D74BA"/>
                              </w:rPr>
                              <w:t>03 October 2026</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393.1pt;margin-top:324.8pt;width:188.95pt;height:20.95pt;mso-wrap-style:square;v-text-anchor:top;mso-position-horizontal-relative:page" wp14:anchorId="1BF25123">
                <v:fill o:detectmouseclick="t" on="false"/>
                <v:stroke color="#3465a4" weight="9360" joinstyle="miter" endcap="flat"/>
                <v:textbox>
                  <w:txbxContent>
                    <w:p>
                      <w:pPr>
                        <w:pStyle w:val="FrameContents"/>
                        <w:spacing w:before="0" w:after="160"/>
                        <w:rPr>
                          <w:b/>
                          <w:bCs/>
                          <w:color w:val="1D74BA"/>
                        </w:rPr>
                      </w:pPr>
                      <w:r>
                        <w:rPr>
                          <w:color w:val="1D74BA"/>
                        </w:rPr>
                        <w:t xml:space="preserve">Date - </w:t>
                      </w:r>
                      <w:r>
                        <w:rPr>
                          <w:b/>
                          <w:bCs/>
                          <w:color w:val="1D74BA"/>
                        </w:rPr>
                        <w:t>03 October 2026</w:t>
                      </w:r>
                    </w:p>
                  </w:txbxContent>
                </v:textbox>
                <w10:wrap type="square"/>
              </v:rect>
            </w:pict>
          </mc:Fallback>
        </mc:AlternateContent>
        <mc:AlternateContent>
          <mc:Choice Requires="wps">
            <w:drawing>
              <wp:anchor behindDoc="0" distT="45720" distB="46355" distL="114300" distR="114300" simplePos="0" locked="0" layoutInCell="0" allowOverlap="1" relativeHeight="23" wp14:anchorId="01DE2BF4">
                <wp:simplePos x="0" y="0"/>
                <wp:positionH relativeFrom="margin">
                  <wp:align>center</wp:align>
                </wp:positionH>
                <wp:positionV relativeFrom="paragraph">
                  <wp:posOffset>1291590</wp:posOffset>
                </wp:positionV>
                <wp:extent cx="4528820" cy="1249680"/>
                <wp:effectExtent l="0" t="0" r="0" b="0"/>
                <wp:wrapSquare wrapText="bothSides"/>
                <wp:docPr id="6" name="Text Box 2"/>
                <a:graphic xmlns:a="http://schemas.openxmlformats.org/drawingml/2006/main">
                  <a:graphicData uri="http://schemas.microsoft.com/office/word/2010/wordprocessingShape">
                    <wps:wsp>
                      <wps:cNvSpPr/>
                      <wps:spPr>
                        <a:xfrm>
                          <a:off x="0" y="0"/>
                          <a:ext cx="4528800" cy="1249560"/>
                        </a:xfrm>
                        <a:prstGeom prst="rect">
                          <a:avLst/>
                        </a:prstGeom>
                        <a:noFill/>
                        <a:ln w="9525">
                          <a:noFill/>
                        </a:ln>
                      </wps:spPr>
                      <wps:style>
                        <a:lnRef idx="0"/>
                        <a:fillRef idx="0"/>
                        <a:effectRef idx="0"/>
                        <a:fontRef idx="minor"/>
                      </wps:style>
                      <wps:txbx>
                        <w:txbxContent>
                          <w:p>
                            <w:pPr>
                              <w:pStyle w:val="FrameContents"/>
                              <w:rPr>
                                <w:b/>
                                <w:bCs/>
                                <w:color w:val="1D74BA"/>
                                <w:sz w:val="36"/>
                                <w:szCs w:val="36"/>
                                <w:lang w:val="en-MY"/>
                              </w:rPr>
                            </w:pPr>
                            <w:r>
                              <w:rPr>
                                <w:b/>
                                <w:bCs/>
                                <w:color w:val="1D74BA"/>
                                <w:sz w:val="36"/>
                                <w:szCs w:val="36"/>
                                <w:lang w:val="en-MY"/>
                              </w:rPr>
                              <w:t>Exit and Transition Plan</w:t>
                            </w:r>
                          </w:p>
                          <w:p>
                            <w:pPr>
                              <w:pStyle w:val="FrameContents"/>
                              <w:spacing w:before="0" w:after="160"/>
                              <w:rPr>
                                <w:b/>
                                <w:bCs/>
                                <w:color w:val="1D74BA"/>
                                <w:sz w:val="56"/>
                                <w:szCs w:val="56"/>
                              </w:rPr>
                            </w:pPr>
                            <w:r>
                              <w:rPr/>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01.7pt;width:356.55pt;height:98.35pt;mso-wrap-style:square;v-text-anchor:top;mso-position-horizontal:center;mso-position-horizontal-relative:margin" wp14:anchorId="01DE2BF4">
                <v:fill o:detectmouseclick="t" on="false"/>
                <v:stroke color="#3465a4" weight="9360" joinstyle="miter" endcap="flat"/>
                <v:textbox>
                  <w:txbxContent>
                    <w:p>
                      <w:pPr>
                        <w:pStyle w:val="FrameContents"/>
                        <w:rPr>
                          <w:b/>
                          <w:bCs/>
                          <w:color w:val="1D74BA"/>
                          <w:sz w:val="36"/>
                          <w:szCs w:val="36"/>
                          <w:lang w:val="en-MY"/>
                        </w:rPr>
                      </w:pPr>
                      <w:r>
                        <w:rPr>
                          <w:b/>
                          <w:bCs/>
                          <w:color w:val="1D74BA"/>
                          <w:sz w:val="36"/>
                          <w:szCs w:val="36"/>
                          <w:lang w:val="en-MY"/>
                        </w:rPr>
                        <w:t>Exit and Transition Plan</w:t>
                      </w:r>
                    </w:p>
                    <w:p>
                      <w:pPr>
                        <w:pStyle w:val="FrameContents"/>
                        <w:spacing w:before="0" w:after="160"/>
                        <w:rPr>
                          <w:b/>
                          <w:bCs/>
                          <w:color w:val="1D74BA"/>
                          <w:sz w:val="56"/>
                          <w:szCs w:val="56"/>
                        </w:rPr>
                      </w:pPr>
                      <w:r>
                        <w:rPr/>
                      </w:r>
                    </w:p>
                  </w:txbxContent>
                </v:textbox>
                <w10:wrap type="square"/>
              </v:rect>
            </w:pict>
          </mc:Fallback>
        </mc:AlternateContent>
        <mc:AlternateContent>
          <mc:Choice Requires="wps">
            <w:drawing>
              <wp:anchor behindDoc="0" distT="45720" distB="50800" distL="114300" distR="114300" simplePos="0" locked="0" layoutInCell="0" allowOverlap="1" relativeHeight="25" wp14:anchorId="204C02CC">
                <wp:simplePos x="0" y="0"/>
                <wp:positionH relativeFrom="margin">
                  <wp:align>center</wp:align>
                </wp:positionH>
                <wp:positionV relativeFrom="paragraph">
                  <wp:posOffset>1979295</wp:posOffset>
                </wp:positionV>
                <wp:extent cx="4528820" cy="337820"/>
                <wp:effectExtent l="0" t="0" r="0" b="5080"/>
                <wp:wrapSquare wrapText="bothSides"/>
                <wp:docPr id="7" name="Text Box 2"/>
                <a:graphic xmlns:a="http://schemas.openxmlformats.org/drawingml/2006/main">
                  <a:graphicData uri="http://schemas.microsoft.com/office/word/2010/wordprocessingShape">
                    <wps:wsp>
                      <wps:cNvSpPr/>
                      <wps:spPr>
                        <a:xfrm>
                          <a:off x="0" y="0"/>
                          <a:ext cx="4528800" cy="337680"/>
                        </a:xfrm>
                        <a:prstGeom prst="rect">
                          <a:avLst/>
                        </a:prstGeom>
                        <a:noFill/>
                        <a:ln w="9525">
                          <a:noFill/>
                        </a:ln>
                      </wps:spPr>
                      <wps:style>
                        <a:lnRef idx="0"/>
                        <a:fillRef idx="0"/>
                        <a:effectRef idx="0"/>
                        <a:fontRef idx="minor"/>
                      </wps:style>
                      <wps:txbx>
                        <w:txbxContent>
                          <w:p>
                            <w:pPr>
                              <w:pStyle w:val="FrameContents"/>
                              <w:spacing w:before="0" w:after="160"/>
                              <w:rPr>
                                <w:b/>
                                <w:bCs/>
                                <w:color w:val="071B2C"/>
                                <w:sz w:val="36"/>
                                <w:szCs w:val="36"/>
                              </w:rPr>
                            </w:pPr>
                            <w:r>
                              <w:rPr>
                                <w:b/>
                                <w:bCs/>
                                <w:color w:val="071B2C"/>
                                <w:sz w:val="36"/>
                                <w:szCs w:val="36"/>
                              </w:rPr>
                              <w:t>iNXT BrokerVerse OOTB</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55.85pt;width:356.55pt;height:26.55pt;mso-wrap-style:square;v-text-anchor:top;mso-position-horizontal:center;mso-position-horizontal-relative:margin" wp14:anchorId="204C02CC">
                <v:fill o:detectmouseclick="t" on="false"/>
                <v:stroke color="#3465a4" weight="9360" joinstyle="miter" endcap="flat"/>
                <v:textbox>
                  <w:txbxContent>
                    <w:p>
                      <w:pPr>
                        <w:pStyle w:val="FrameContents"/>
                        <w:spacing w:before="0" w:after="160"/>
                        <w:rPr>
                          <w:b/>
                          <w:bCs/>
                          <w:color w:val="071B2C"/>
                          <w:sz w:val="36"/>
                          <w:szCs w:val="36"/>
                        </w:rPr>
                      </w:pPr>
                      <w:r>
                        <w:rPr>
                          <w:b/>
                          <w:bCs/>
                          <w:color w:val="071B2C"/>
                          <w:sz w:val="36"/>
                          <w:szCs w:val="36"/>
                        </w:rPr>
                        <w:t>iNXT BrokerVerse OOTB</w:t>
                      </w:r>
                    </w:p>
                  </w:txbxContent>
                </v:textbox>
                <w10:wrap type="square"/>
              </v:rect>
            </w:pict>
          </mc:Fallback>
        </mc:AlternateContent>
      </w:r>
      <w:r>
        <w:br w:type="page"/>
      </w:r>
    </w:p>
    <w:p>
      <w:pPr>
        <w:pStyle w:val="TOCHeading"/>
        <w:tabs>
          <w:tab w:val="clear" w:pos="720"/>
          <w:tab w:val="left" w:pos="1991" w:leader="none"/>
          <w:tab w:val="center" w:pos="4725" w:leader="none"/>
          <w:tab w:val="right" w:pos="9450" w:leader="none"/>
        </w:tabs>
        <w:spacing w:before="0" w:after="0"/>
        <w:rPr>
          <w:rFonts w:ascii="Segoe UI" w:hAnsi="Segoe UI" w:cs="Segoe UI"/>
          <w:b/>
          <w:color w:val="003399"/>
        </w:rPr>
      </w:pPr>
      <w:r>
        <w:rPr>
          <w:rFonts w:eastAsia="Arial" w:cs="Segoe UI" w:ascii="Segoe UI" w:hAnsi="Segoe UI"/>
          <w:b/>
          <w:color w:val="003399"/>
        </w:rPr>
        <w:t>TABLE OF CONTENTS</w:t>
      </w:r>
    </w:p>
    <w:p>
      <w:pPr>
        <w:pStyle w:val="Normal"/>
        <w:rPr>
          <w:rFonts w:ascii="Segoe UI" w:hAnsi="Segoe UI" w:cs="Segoe UI"/>
          <w:color w:val="101820"/>
        </w:rPr>
      </w:pPr>
      <w:r>
        <w:rPr>
          <w:rFonts w:cs="Segoe UI" w:ascii="Segoe UI" w:hAnsi="Segoe UI"/>
          <w:color w:val="101820"/>
        </w:rPr>
      </w:r>
    </w:p>
    <w:sdt>
      <w:sdtPr>
        <w:docPartObj>
          <w:docPartGallery w:val="Table of Contents"/>
          <w:docPartUnique w:val="true"/>
        </w:docPartObj>
      </w:sdtPr>
      <w:sdtContent>
        <w:p>
          <w:pPr>
            <w:pStyle w:val="TOC1"/>
            <w:tabs>
              <w:tab w:val="clear" w:pos="900"/>
              <w:tab w:val="clear" w:pos="9350"/>
              <w:tab w:val="right" w:pos="9025" w:leader="dot"/>
            </w:tabs>
            <w:rPr/>
          </w:pPr>
          <w:r>
            <w:fldChar w:fldCharType="begin"/>
          </w:r>
          <w:r>
            <w:rPr>
              <w:webHidden/>
              <w:rStyle w:val="IndexLink"/>
            </w:rPr>
            <w:instrText xml:space="preserve"> TOC \z \o "1-2" \u \h</w:instrText>
          </w:r>
          <w:r>
            <w:rPr>
              <w:webHidden/>
              <w:rStyle w:val="IndexLink"/>
            </w:rPr>
            <w:fldChar w:fldCharType="separate"/>
          </w:r>
          <w:hyperlink w:anchor="__RefHeading___Toc58196_3199679052">
            <w:r>
              <w:rPr>
                <w:webHidden/>
                <w:rStyle w:val="IndexLink"/>
              </w:rPr>
              <w:t xml:space="preserve"> </w:t>
            </w:r>
            <w:r>
              <w:rPr>
                <w:rStyle w:val="IndexLink"/>
                <w:i w:val="false"/>
                <w:iCs w:val="false"/>
              </w:rPr>
              <w:t>1. Document Control</w:t>
            </w:r>
            <w:r>
              <w:rPr>
                <w:rStyle w:val="IndexLink"/>
              </w:rPr>
              <w:tab/>
              <w:t>3</w:t>
            </w:r>
          </w:hyperlink>
        </w:p>
        <w:p>
          <w:pPr>
            <w:pStyle w:val="TOC1"/>
            <w:tabs>
              <w:tab w:val="clear" w:pos="900"/>
              <w:tab w:val="clear" w:pos="9350"/>
              <w:tab w:val="right" w:pos="9025" w:leader="dot"/>
            </w:tabs>
            <w:rPr/>
          </w:pPr>
          <w:hyperlink w:anchor="__RefHeading___Toc58198_3199679052">
            <w:r>
              <w:rPr>
                <w:webHidden/>
                <w:rStyle w:val="IndexLink"/>
                <w:i w:val="false"/>
                <w:iCs w:val="false"/>
              </w:rPr>
              <w:t>2. Acronyms</w:t>
            </w:r>
            <w:r>
              <w:rPr>
                <w:rStyle w:val="IndexLink"/>
              </w:rPr>
              <w:tab/>
              <w:t>3</w:t>
            </w:r>
          </w:hyperlink>
        </w:p>
        <w:p>
          <w:pPr>
            <w:pStyle w:val="TOC1"/>
            <w:tabs>
              <w:tab w:val="clear" w:pos="900"/>
              <w:tab w:val="clear" w:pos="9350"/>
              <w:tab w:val="right" w:pos="9025" w:leader="dot"/>
            </w:tabs>
            <w:rPr/>
          </w:pPr>
          <w:hyperlink w:anchor="__RefHeading___Toc58200_3199679052">
            <w:r>
              <w:rPr>
                <w:webHidden/>
                <w:rStyle w:val="IndexLink"/>
              </w:rPr>
              <w:t>3. About this plan</w:t>
              <w:tab/>
              <w:t>4</w:t>
            </w:r>
          </w:hyperlink>
        </w:p>
        <w:p>
          <w:pPr>
            <w:pStyle w:val="TOC1"/>
            <w:tabs>
              <w:tab w:val="clear" w:pos="900"/>
              <w:tab w:val="clear" w:pos="9350"/>
              <w:tab w:val="right" w:pos="9025" w:leader="dot"/>
            </w:tabs>
            <w:rPr/>
          </w:pPr>
          <w:hyperlink w:anchor="__RefHeading___Toc58202_3199679052">
            <w:r>
              <w:rPr>
                <w:webHidden/>
                <w:rStyle w:val="IndexLink"/>
              </w:rPr>
              <w:t>4. Where it applies</w:t>
              <w:tab/>
              <w:t>5</w:t>
            </w:r>
          </w:hyperlink>
        </w:p>
        <w:p>
          <w:pPr>
            <w:pStyle w:val="TOC2"/>
            <w:tabs>
              <w:tab w:val="clear" w:pos="900"/>
              <w:tab w:val="clear" w:pos="9350"/>
              <w:tab w:val="right" w:pos="9025" w:leader="dot"/>
            </w:tabs>
            <w:rPr/>
          </w:pPr>
          <w:hyperlink w:anchor="__RefHeading___Toc58204_3199679052">
            <w:r>
              <w:rPr>
                <w:webHidden/>
                <w:rStyle w:val="IndexLink"/>
              </w:rPr>
              <w:t>4.1 Exit triggers</w:t>
              <w:tab/>
              <w:t>5</w:t>
            </w:r>
          </w:hyperlink>
        </w:p>
        <w:p>
          <w:pPr>
            <w:pStyle w:val="TOC1"/>
            <w:tabs>
              <w:tab w:val="clear" w:pos="900"/>
              <w:tab w:val="clear" w:pos="9350"/>
              <w:tab w:val="right" w:pos="9025" w:leader="dot"/>
            </w:tabs>
            <w:rPr/>
          </w:pPr>
          <w:hyperlink w:anchor="__RefHeading___Toc58206_3199679052">
            <w:r>
              <w:rPr>
                <w:webHidden/>
                <w:rStyle w:val="IndexLink"/>
              </w:rPr>
              <w:t>5. Exit timeline</w:t>
              <w:tab/>
              <w:t>6</w:t>
            </w:r>
          </w:hyperlink>
        </w:p>
        <w:p>
          <w:pPr>
            <w:pStyle w:val="TOC1"/>
            <w:tabs>
              <w:tab w:val="clear" w:pos="900"/>
              <w:tab w:val="clear" w:pos="9350"/>
              <w:tab w:val="right" w:pos="9025" w:leader="dot"/>
            </w:tabs>
            <w:rPr/>
          </w:pPr>
          <w:hyperlink w:anchor="__RefHeading___Toc58208_3199679052">
            <w:r>
              <w:rPr>
                <w:webHidden/>
                <w:rStyle w:val="IndexLink"/>
              </w:rPr>
              <w:t>6. Data return</w:t>
              <w:tab/>
              <w:t>7</w:t>
            </w:r>
          </w:hyperlink>
        </w:p>
        <w:p>
          <w:pPr>
            <w:pStyle w:val="TOC2"/>
            <w:tabs>
              <w:tab w:val="clear" w:pos="900"/>
              <w:tab w:val="clear" w:pos="9350"/>
              <w:tab w:val="right" w:pos="9025" w:leader="dot"/>
            </w:tabs>
            <w:rPr/>
          </w:pPr>
          <w:hyperlink w:anchor="__RefHeading___Toc58210_3199679052">
            <w:r>
              <w:rPr>
                <w:webHidden/>
                <w:rStyle w:val="IndexLink"/>
              </w:rPr>
              <w:t>6.1 What is returned</w:t>
              <w:tab/>
              <w:t>7</w:t>
            </w:r>
          </w:hyperlink>
        </w:p>
        <w:p>
          <w:pPr>
            <w:pStyle w:val="TOC2"/>
            <w:tabs>
              <w:tab w:val="clear" w:pos="900"/>
              <w:tab w:val="clear" w:pos="9350"/>
              <w:tab w:val="right" w:pos="9025" w:leader="dot"/>
            </w:tabs>
            <w:rPr/>
          </w:pPr>
          <w:hyperlink w:anchor="__RefHeading___Toc58212_3199679052">
            <w:r>
              <w:rPr>
                <w:webHidden/>
                <w:rStyle w:val="IndexLink"/>
              </w:rPr>
              <w:t>6.2 What is not returned</w:t>
              <w:tab/>
              <w:t>7</w:t>
            </w:r>
          </w:hyperlink>
        </w:p>
        <w:p>
          <w:pPr>
            <w:pStyle w:val="TOC2"/>
            <w:tabs>
              <w:tab w:val="clear" w:pos="900"/>
              <w:tab w:val="clear" w:pos="9350"/>
              <w:tab w:val="right" w:pos="9025" w:leader="dot"/>
            </w:tabs>
            <w:rPr/>
          </w:pPr>
          <w:hyperlink w:anchor="__RefHeading___Toc58214_3199679052">
            <w:r>
              <w:rPr>
                <w:webHidden/>
                <w:rStyle w:val="IndexLink"/>
              </w:rPr>
              <w:t>6.3 Delivery</w:t>
              <w:tab/>
              <w:t>7</w:t>
            </w:r>
          </w:hyperlink>
        </w:p>
        <w:p>
          <w:pPr>
            <w:pStyle w:val="TOC1"/>
            <w:tabs>
              <w:tab w:val="clear" w:pos="900"/>
              <w:tab w:val="clear" w:pos="9350"/>
              <w:tab w:val="right" w:pos="9025" w:leader="dot"/>
            </w:tabs>
            <w:rPr/>
          </w:pPr>
          <w:hyperlink w:anchor="__RefHeading___Toc58216_3199679052">
            <w:r>
              <w:rPr>
                <w:webHidden/>
                <w:rStyle w:val="IndexLink"/>
              </w:rPr>
              <w:t>7. Transition assistance and deletion</w:t>
              <w:tab/>
              <w:t>8</w:t>
            </w:r>
          </w:hyperlink>
        </w:p>
        <w:p>
          <w:pPr>
            <w:pStyle w:val="TOC2"/>
            <w:tabs>
              <w:tab w:val="clear" w:pos="900"/>
              <w:tab w:val="clear" w:pos="9350"/>
              <w:tab w:val="right" w:pos="9025" w:leader="dot"/>
            </w:tabs>
            <w:rPr/>
          </w:pPr>
          <w:hyperlink w:anchor="__RefHeading___Toc58218_3199679052">
            <w:r>
              <w:rPr>
                <w:webHidden/>
                <w:rStyle w:val="IndexLink"/>
              </w:rPr>
              <w:t>7.1 Transition assistance</w:t>
              <w:tab/>
              <w:t>8</w:t>
            </w:r>
          </w:hyperlink>
        </w:p>
        <w:p>
          <w:pPr>
            <w:pStyle w:val="TOC2"/>
            <w:tabs>
              <w:tab w:val="clear" w:pos="900"/>
              <w:tab w:val="clear" w:pos="9350"/>
              <w:tab w:val="right" w:pos="9025" w:leader="dot"/>
            </w:tabs>
            <w:rPr/>
          </w:pPr>
          <w:hyperlink w:anchor="__RefHeading___Toc58220_3199679052">
            <w:r>
              <w:rPr>
                <w:webHidden/>
                <w:rStyle w:val="IndexLink"/>
              </w:rPr>
              <w:t>7.2 Deletion</w:t>
              <w:tab/>
              <w:t>8</w:t>
            </w:r>
          </w:hyperlink>
        </w:p>
        <w:p>
          <w:pPr>
            <w:pStyle w:val="TOC1"/>
            <w:tabs>
              <w:tab w:val="clear" w:pos="900"/>
              <w:tab w:val="clear" w:pos="9350"/>
              <w:tab w:val="right" w:pos="9025" w:leader="dot"/>
            </w:tabs>
            <w:rPr/>
          </w:pPr>
          <w:hyperlink w:anchor="__RefHeading___Toc58222_3199679052">
            <w:r>
              <w:rPr>
                <w:webHidden/>
                <w:rStyle w:val="IndexLink"/>
              </w:rPr>
              <w:t>8. Responsibilities and fees during exit</w:t>
              <w:tab/>
              <w:t>9</w:t>
            </w:r>
          </w:hyperlink>
        </w:p>
        <w:p>
          <w:pPr>
            <w:pStyle w:val="TOC2"/>
            <w:tabs>
              <w:tab w:val="clear" w:pos="900"/>
              <w:tab w:val="clear" w:pos="9350"/>
              <w:tab w:val="right" w:pos="9025" w:leader="dot"/>
            </w:tabs>
            <w:rPr/>
          </w:pPr>
          <w:hyperlink w:anchor="__RefHeading___Toc58224_3199679052">
            <w:r>
              <w:rPr>
                <w:webHidden/>
                <w:rStyle w:val="IndexLink"/>
              </w:rPr>
              <w:t>8.1 Responsibilities during exit</w:t>
              <w:tab/>
              <w:t>9</w:t>
            </w:r>
          </w:hyperlink>
        </w:p>
        <w:p>
          <w:pPr>
            <w:pStyle w:val="TOC2"/>
            <w:tabs>
              <w:tab w:val="clear" w:pos="900"/>
              <w:tab w:val="clear" w:pos="9350"/>
              <w:tab w:val="right" w:pos="9025" w:leader="dot"/>
            </w:tabs>
            <w:rPr/>
          </w:pPr>
          <w:hyperlink w:anchor="__RefHeading___Toc58226_3199679052">
            <w:r>
              <w:rPr>
                <w:webHidden/>
                <w:rStyle w:val="IndexLink"/>
              </w:rPr>
              <w:t>8.2 Fees during exit</w:t>
              <w:tab/>
              <w:t>9</w:t>
            </w:r>
          </w:hyperlink>
        </w:p>
        <w:p>
          <w:pPr>
            <w:pStyle w:val="TOC1"/>
            <w:tabs>
              <w:tab w:val="clear" w:pos="900"/>
              <w:tab w:val="clear" w:pos="9350"/>
              <w:tab w:val="right" w:pos="9025" w:leader="dot"/>
            </w:tabs>
            <w:rPr/>
          </w:pPr>
          <w:hyperlink w:anchor="__RefHeading___Toc58228_3199679052">
            <w:r>
              <w:rPr>
                <w:webHidden/>
                <w:rStyle w:val="IndexLink"/>
              </w:rPr>
              <w:t>9. Annexes</w:t>
              <w:tab/>
              <w:t>10</w:t>
            </w:r>
          </w:hyperlink>
        </w:p>
        <w:p>
          <w:pPr>
            <w:pStyle w:val="TOC2"/>
            <w:tabs>
              <w:tab w:val="clear" w:pos="900"/>
              <w:tab w:val="clear" w:pos="9350"/>
              <w:tab w:val="right" w:pos="9025" w:leader="dot"/>
            </w:tabs>
            <w:rPr/>
          </w:pPr>
          <w:hyperlink w:anchor="__RefHeading___Toc58230_3199679052">
            <w:r>
              <w:rPr>
                <w:webHidden/>
                <w:rStyle w:val="IndexLink"/>
              </w:rPr>
              <w:t>9.1 Annex A: exit schedule</w:t>
              <w:tab/>
              <w:t>10</w:t>
            </w:r>
          </w:hyperlink>
        </w:p>
        <w:p>
          <w:pPr>
            <w:pStyle w:val="TOC2"/>
            <w:tabs>
              <w:tab w:val="clear" w:pos="900"/>
              <w:tab w:val="clear" w:pos="9350"/>
              <w:tab w:val="right" w:pos="9025" w:leader="dot"/>
            </w:tabs>
            <w:rPr/>
          </w:pPr>
          <w:hyperlink w:anchor="__RefHeading___Toc58232_3199679052">
            <w:r>
              <w:rPr>
                <w:webHidden/>
                <w:rStyle w:val="IndexLink"/>
              </w:rPr>
              <w:t>9.2 Annex B: export manifest</w:t>
              <w:tab/>
              <w:t>10</w:t>
            </w:r>
          </w:hyperlink>
        </w:p>
        <w:p>
          <w:pPr>
            <w:pStyle w:val="TOC2"/>
            <w:tabs>
              <w:tab w:val="clear" w:pos="900"/>
              <w:tab w:val="clear" w:pos="9350"/>
              <w:tab w:val="right" w:pos="9025" w:leader="dot"/>
            </w:tabs>
            <w:rPr/>
          </w:pPr>
          <w:hyperlink w:anchor="__RefHeading___Toc58234_3199679052">
            <w:r>
              <w:rPr>
                <w:webHidden/>
                <w:rStyle w:val="IndexLink"/>
              </w:rPr>
              <w:t>9.3 Annex C: confirmation of data return</w:t>
              <w:tab/>
              <w:t>10</w:t>
            </w:r>
          </w:hyperlink>
        </w:p>
        <w:p>
          <w:pPr>
            <w:pStyle w:val="TOC2"/>
            <w:tabs>
              <w:tab w:val="clear" w:pos="900"/>
              <w:tab w:val="clear" w:pos="9350"/>
              <w:tab w:val="right" w:pos="9025" w:leader="dot"/>
            </w:tabs>
            <w:rPr/>
          </w:pPr>
          <w:hyperlink w:anchor="__RefHeading___Toc58236_3199679052">
            <w:r>
              <w:rPr>
                <w:webHidden/>
                <w:rStyle w:val="IndexLink"/>
              </w:rPr>
              <w:t>9.4 Annex D: certificate of deletion</w:t>
              <w:tab/>
              <w:t>10</w:t>
            </w:r>
          </w:hyperlink>
        </w:p>
        <w:p>
          <w:pPr>
            <w:pStyle w:val="TOC1"/>
            <w:tabs>
              <w:tab w:val="clear" w:pos="900"/>
              <w:tab w:val="clear" w:pos="9350"/>
              <w:tab w:val="right" w:pos="9025" w:leader="dot"/>
            </w:tabs>
            <w:rPr/>
          </w:pPr>
          <w:hyperlink w:anchor="__RefHeading___Toc58238_3199679052">
            <w:r>
              <w:rPr>
                <w:webHidden/>
                <w:rStyle w:val="IndexLink"/>
                <w:i w:val="false"/>
                <w:iCs w:val="false"/>
              </w:rPr>
              <w:t>10. Document Sign-Off</w:t>
            </w:r>
            <w:r>
              <w:rPr>
                <w:rStyle w:val="IndexLink"/>
              </w:rPr>
              <w:tab/>
              <w:t>12</w:t>
            </w:r>
          </w:hyperlink>
          <w:r>
            <w:rPr>
              <w:rStyle w:val="IndexLink"/>
            </w:rPr>
            <w:fldChar w:fldCharType="end"/>
          </w:r>
        </w:p>
      </w:sdtContent>
    </w:sdt>
    <w:p>
      <w:pPr>
        <w:pStyle w:val="Heading1"/>
        <w:tabs>
          <w:tab w:val="clear" w:pos="720"/>
          <w:tab w:val="left" w:pos="360" w:leader="none"/>
        </w:tabs>
        <w:ind w:hanging="0" w:left="0"/>
        <w:rPr>
          <w:rStyle w:val="BookTitle"/>
          <w:b w:val="false"/>
          <w:bCs w:val="false"/>
          <w:i w:val="false"/>
          <w:i w:val="false"/>
          <w:iCs w:val="false"/>
          <w:spacing w:val="0"/>
        </w:rPr>
      </w:pPr>
      <w:r>
        <w:br w:type="page"/>
      </w:r>
      <w:bookmarkStart w:id="0" w:name="__RefHeading___Toc58196_3199679052"/>
      <w:bookmarkStart w:id="1" w:name="_Toc48319687"/>
      <w:bookmarkStart w:id="2" w:name="_Toc11824118"/>
      <w:bookmarkEnd w:id="0"/>
      <w:r>
        <w:rPr>
          <w:rStyle w:val="BookTitle"/>
          <w:b w:val="false"/>
        </w:rPr>
        <w:t xml:space="preserve"> </w:t>
      </w:r>
      <w:bookmarkStart w:id="3" w:name="_Toc233203387"/>
      <w:r>
        <w:rPr>
          <w:rStyle w:val="BookTitle"/>
          <w:bCs w:val="false"/>
          <w:i w:val="false"/>
          <w:iCs w:val="false"/>
          <w:spacing w:val="0"/>
        </w:rPr>
        <w:t>1.  Document Control</w:t>
      </w:r>
      <w:bookmarkEnd w:id="1"/>
      <w:bookmarkEnd w:id="2"/>
      <w:bookmarkEnd w:id="3"/>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785"/>
        <w:gridCol w:w="1608"/>
        <w:gridCol w:w="1692"/>
        <w:gridCol w:w="1696"/>
        <w:gridCol w:w="1690"/>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Date</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Version</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Author &amp; Business Unit Info</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Reviewed By &amp; Business Unit Info</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 &amp; Business Unit Info</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Change History</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03 October 2026</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1.0</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 Corp.</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Legal counsel (to be completed)</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To be completed</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Template for discussion; subject to review by the parties' legal counsel</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Normal"/>
        <w:spacing w:before="60" w:after="160"/>
        <w:rPr>
          <w:rFonts w:ascii="Segoe UI" w:hAnsi="Segoe UI" w:eastAsia="Arial" w:cs="Segoe UI"/>
          <w:b/>
          <w:color w:val="D74E0F"/>
          <w:sz w:val="28"/>
        </w:rPr>
      </w:pPr>
      <w:r>
        <w:rPr>
          <w:rFonts w:eastAsia="Arial" w:cs="Segoe UI" w:ascii="Segoe UI" w:hAnsi="Segoe UI"/>
          <w:b/>
          <w:color w:val="D74E0F"/>
          <w:sz w:val="28"/>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Heading1"/>
        <w:tabs>
          <w:tab w:val="clear" w:pos="720"/>
          <w:tab w:val="left" w:pos="360" w:leader="none"/>
        </w:tabs>
        <w:ind w:hanging="0" w:left="0"/>
        <w:rPr>
          <w:rStyle w:val="BookTitle"/>
          <w:b w:val="false"/>
          <w:bCs w:val="false"/>
          <w:i w:val="false"/>
          <w:i w:val="false"/>
          <w:iCs w:val="false"/>
          <w:spacing w:val="0"/>
        </w:rPr>
      </w:pPr>
      <w:bookmarkStart w:id="4" w:name="__RefHeading___Toc58198_3199679052"/>
      <w:bookmarkStart w:id="5" w:name="_Toc233203388"/>
      <w:bookmarkEnd w:id="4"/>
      <w:r>
        <w:rPr>
          <w:rStyle w:val="BookTitle"/>
          <w:bCs w:val="false"/>
          <w:i w:val="false"/>
          <w:iCs w:val="false"/>
          <w:spacing w:val="0"/>
        </w:rPr>
        <w:t>2.  Acronyms</w:t>
      </w:r>
      <w:bookmarkEnd w:id="5"/>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345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514"/>
        <w:gridCol w:w="3712"/>
      </w:tblGrid>
      <w:tr>
        <w:trPr>
          <w:trHeight w:val="440"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Acronym / Symbol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Definition / Meaning</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AMC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Annual Maintenance Contract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BIR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Bureau of Internal Revenue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CSV</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Comma-separated values</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DPA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Data Processing Agreement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DPO</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Data protection officer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MSA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Master Services Agreement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NPC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National Privacy Commission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OOTB</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Out of the box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PDF</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Portable Document Format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PHP</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Philippine peso</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SaaS</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Software as a service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VAT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Value-added tax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XLSX</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Excel workbook</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Heading1"/>
        <w:pageBreakBefore w:val="false"/>
        <w:rPr/>
      </w:pPr>
      <w:bookmarkStart w:id="6" w:name="__RefHeading___Toc58200_3199679052"/>
      <w:bookmarkEnd w:id="6"/>
      <w:r>
        <w:rPr>
          <w:rFonts w:eastAsia="Segoe UI" w:cs="Segoe UI" w:ascii="Segoe UI" w:hAnsi="Segoe UI"/>
          <w:b/>
          <w:color w:val="0F4761"/>
          <w:sz w:val="32"/>
        </w:rPr>
        <w:t>3.  About this plan</w:t>
      </w:r>
    </w:p>
    <w:p>
      <w:pPr>
        <w:pStyle w:val="Normal"/>
        <w:shd w:val="clear" w:color="auto" w:fill="EAF2FB"/>
        <w:spacing w:before="0" w:after="160"/>
        <w:ind w:left="170"/>
        <w:rPr/>
      </w:pPr>
      <w:r>
        <w:rPr>
          <w:rFonts w:eastAsia="Segoe UI" w:cs="Segoe UI" w:ascii="Segoe UI" w:hAnsi="Segoe UI"/>
          <w:color w:val="101820"/>
          <w:sz w:val="20"/>
        </w:rPr>
        <w:t>Template for discussion; subject to review by the parties' legal counsel.</w:t>
      </w:r>
    </w:p>
    <w:p>
      <w:pPr>
        <w:pStyle w:val="Normal"/>
        <w:spacing w:lineRule="auto" w:line="276" w:before="0" w:after="120"/>
        <w:rPr/>
      </w:pPr>
      <w:r>
        <w:rPr>
          <w:rFonts w:eastAsia="Segoe UI" w:cs="Segoe UI" w:ascii="Segoe UI" w:hAnsi="Segoe UI"/>
          <w:color w:val="101820"/>
          <w:sz w:val="21"/>
        </w:rPr>
        <w:t xml:space="preserve">This Exit and Transition Plan (the </w:t>
      </w:r>
      <w:r>
        <w:rPr>
          <w:rFonts w:eastAsia="Segoe UI" w:cs="Segoe UI" w:ascii="Segoe UI" w:hAnsi="Segoe UI"/>
          <w:b/>
          <w:color w:val="101820"/>
          <w:sz w:val="21"/>
        </w:rPr>
        <w:t>Exit Plan</w:t>
      </w:r>
      <w:r>
        <w:rPr>
          <w:rFonts w:eastAsia="Segoe UI" w:cs="Segoe UI" w:ascii="Segoe UI" w:hAnsi="Segoe UI"/>
          <w:color w:val="101820"/>
          <w:sz w:val="21"/>
        </w:rPr>
        <w:t>) sets out how iorta TechNXT Corp. (</w:t>
      </w:r>
      <w:r>
        <w:rPr>
          <w:rFonts w:eastAsia="Segoe UI" w:cs="Segoe UI" w:ascii="Segoe UI" w:hAnsi="Segoe UI"/>
          <w:b/>
          <w:color w:val="101820"/>
          <w:sz w:val="21"/>
        </w:rPr>
        <w:t>iorta TechNXT</w:t>
      </w:r>
      <w:r>
        <w:rPr>
          <w:rFonts w:eastAsia="Segoe UI" w:cs="Segoe UI" w:ascii="Segoe UI" w:hAnsi="Segoe UI"/>
          <w:color w:val="101820"/>
          <w:sz w:val="21"/>
        </w:rPr>
        <w:t xml:space="preserve">) returns the Client Data, supports the move to another system or provider, and deletes the Client Data when a subscription or a hosting service of iNXT BrokerVerse OOTB ends. It is an annex to the Order Form under the Master Services Agreement (the </w:t>
      </w:r>
      <w:r>
        <w:rPr>
          <w:rFonts w:eastAsia="Segoe UI" w:cs="Segoe UI" w:ascii="Segoe UI" w:hAnsi="Segoe UI"/>
          <w:b/>
          <w:color w:val="101820"/>
          <w:sz w:val="21"/>
        </w:rPr>
        <w:t>MSA</w:t>
      </w:r>
      <w:r>
        <w:rPr>
          <w:rFonts w:eastAsia="Segoe UI" w:cs="Segoe UI" w:ascii="Segoe UI" w:hAnsi="Segoe UI"/>
          <w:color w:val="101820"/>
          <w:sz w:val="21"/>
        </w:rPr>
        <w:t xml:space="preserve">) between iorta TechNXT and [Client legal name] (the </w:t>
      </w:r>
      <w:r>
        <w:rPr>
          <w:rFonts w:eastAsia="Segoe UI" w:cs="Segoe UI" w:ascii="Segoe UI" w:hAnsi="Segoe UI"/>
          <w:b/>
          <w:color w:val="101820"/>
          <w:sz w:val="21"/>
        </w:rPr>
        <w:t>Client</w:t>
      </w:r>
      <w:r>
        <w:rPr>
          <w:rFonts w:eastAsia="Segoe UI" w:cs="Segoe UI" w:ascii="Segoe UI" w:hAnsi="Segoe UI"/>
          <w:color w:val="101820"/>
          <w:sz w:val="21"/>
        </w:rPr>
        <w:t>).</w:t>
      </w:r>
    </w:p>
    <w:p>
      <w:pPr>
        <w:pStyle w:val="Normal"/>
        <w:spacing w:lineRule="auto" w:line="276" w:before="0" w:after="120"/>
        <w:rPr/>
      </w:pPr>
      <w:r>
        <w:rPr>
          <w:rFonts w:eastAsia="Segoe UI" w:cs="Segoe UI" w:ascii="Segoe UI" w:hAnsi="Segoe UI"/>
          <w:color w:val="101820"/>
          <w:sz w:val="21"/>
        </w:rPr>
        <w:t>It puts into practice, in one place, the exit terms of these documents, which remain the binding terms: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61"/>
        <w:gridCol w:w="4652"/>
      </w:tblGrid>
      <w:tr>
        <w:trPr>
          <w:tblHeader w:val="true"/>
        </w:trPr>
        <w:tc>
          <w:tcPr>
            <w:tcW w:w="436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Document</w:t>
            </w:r>
          </w:p>
        </w:tc>
        <w:tc>
          <w:tcPr>
            <w:tcW w:w="465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Clause</w:t>
            </w:r>
          </w:p>
        </w:tc>
      </w:tr>
      <w:tr>
        <w:trPr/>
        <w:tc>
          <w:tcPr>
            <w:tcW w:w="4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MSA</w:t>
            </w:r>
          </w:p>
        </w:tc>
        <w:tc>
          <w:tcPr>
            <w:tcW w:w="46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Effect of termination</w:t>
            </w:r>
          </w:p>
        </w:tc>
      </w:tr>
      <w:tr>
        <w:trPr/>
        <w:tc>
          <w:tcPr>
            <w:tcW w:w="4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Software Subscription Agreement</w:t>
            </w:r>
          </w:p>
        </w:tc>
        <w:tc>
          <w:tcPr>
            <w:tcW w:w="46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 Data on exit (Data return, Data deletion)</w:t>
            </w:r>
          </w:p>
        </w:tc>
      </w:tr>
      <w:tr>
        <w:trPr/>
        <w:tc>
          <w:tcPr>
            <w:tcW w:w="4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Hosting and Infrastructure Services Agreement</w:t>
            </w:r>
          </w:p>
        </w:tc>
        <w:tc>
          <w:tcPr>
            <w:tcW w:w="46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Exit and transition; Backup and recovery</w:t>
            </w:r>
          </w:p>
        </w:tc>
      </w:tr>
      <w:tr>
        <w:trPr/>
        <w:tc>
          <w:tcPr>
            <w:tcW w:w="4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 Processing Agreement</w:t>
            </w:r>
          </w:p>
        </w:tc>
        <w:tc>
          <w:tcPr>
            <w:tcW w:w="46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Return and deletion</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If this Exit Plan conflicts with one of those clauses, the clause prevails. Capitalised terms have the meaning given in the MSA. Text in [square brackets] is a placeholder or an option.</w:t>
      </w:r>
      <w:r>
        <w:br w:type="page"/>
      </w:r>
    </w:p>
    <w:p>
      <w:pPr>
        <w:pStyle w:val="Heading1"/>
        <w:rPr/>
      </w:pPr>
      <w:bookmarkStart w:id="7" w:name="__RefHeading___Toc58202_3199679052"/>
      <w:bookmarkEnd w:id="7"/>
      <w:r>
        <w:rPr>
          <w:rFonts w:eastAsia="Segoe UI" w:cs="Segoe UI" w:ascii="Segoe UI" w:hAnsi="Segoe UI"/>
          <w:b/>
          <w:color w:val="0F4761"/>
          <w:sz w:val="32"/>
        </w:rPr>
        <w:t>4.  Where it applies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5"/>
        <w:gridCol w:w="3005"/>
        <w:gridCol w:w="3005"/>
      </w:tblGrid>
      <w:tr>
        <w:trPr>
          <w:tblHeader w:val="true"/>
        </w:trPr>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Commercial model</w:t>
            </w:r>
          </w:p>
        </w:tc>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Applies</w:t>
            </w:r>
          </w:p>
        </w:tc>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Notes</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Subscription, hosted by iorta TechNXT (Standard package)</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Yes, in full</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Subscription and hosting both end</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Subscription, hosted by the Client (Essentials package)</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Yes, for the data return formats, the transition assistance and the end of the right of use</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Client already holds its database; iorta TechNXT deletes the Client Data it holds from support and migration work</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Perpetual licence, hosted by iorta TechNXT (Ownership and Ownership Plus packages)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Yes, for the hosting service</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licence continues. The Client may move the Platform to its own hosting under the Hosting Agreement</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Perpetual licence, hosted by the Client</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Only the deletion of Client Data that iorta TechNXT holds from support work</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licence and the Client Data stay with the Client; end of AMC only stops updates and support</w:t>
            </w:r>
          </w:p>
        </w:tc>
      </w:tr>
    </w:tbl>
    <w:p>
      <w:pPr>
        <w:pStyle w:val="Normal"/>
        <w:spacing w:before="0" w:after="80"/>
        <w:rPr/>
      </w:pPr>
      <w:r>
        <w:rPr/>
      </w:r>
    </w:p>
    <w:p>
      <w:pPr>
        <w:pStyle w:val="Heading2"/>
        <w:rPr/>
      </w:pPr>
      <w:bookmarkStart w:id="8" w:name="__RefHeading___Toc58204_3199679052"/>
      <w:bookmarkEnd w:id="8"/>
      <w:r>
        <w:rPr>
          <w:rFonts w:eastAsia="Segoe UI" w:cs="Segoe UI"/>
          <w:b/>
          <w:color w:val="0F4761"/>
          <w:sz w:val="26"/>
        </w:rPr>
        <w:t>4.1  Exit triggers</w:t>
      </w:r>
    </w:p>
    <w:p>
      <w:pPr>
        <w:pStyle w:val="Normal"/>
        <w:numPr>
          <w:ilvl w:val="0"/>
          <w:numId w:val="7"/>
        </w:numPr>
        <w:spacing w:before="0" w:after="60"/>
        <w:rPr/>
      </w:pPr>
      <w:r>
        <w:rPr>
          <w:rFonts w:eastAsia="Segoe UI" w:cs="Segoe UI" w:ascii="Segoe UI" w:hAnsi="Segoe UI"/>
          <w:color w:val="101820"/>
          <w:sz w:val="21"/>
        </w:rPr>
        <w:t>Expiry after a notice of non-renewal given at least 90 days before the end of the current term (subscription, hosting).</w:t>
      </w:r>
    </w:p>
    <w:p>
      <w:pPr>
        <w:pStyle w:val="Normal"/>
        <w:numPr>
          <w:ilvl w:val="0"/>
          <w:numId w:val="1"/>
        </w:numPr>
        <w:spacing w:before="0" w:after="60"/>
        <w:rPr/>
      </w:pPr>
      <w:r>
        <w:rPr>
          <w:rFonts w:eastAsia="Segoe UI" w:cs="Segoe UI" w:ascii="Segoe UI" w:hAnsi="Segoe UI"/>
          <w:color w:val="101820"/>
          <w:sz w:val="21"/>
        </w:rPr>
        <w:t>Termination for cause under the MSA, including for non-payment.</w:t>
      </w:r>
    </w:p>
    <w:p>
      <w:pPr>
        <w:pStyle w:val="Normal"/>
        <w:numPr>
          <w:ilvl w:val="0"/>
          <w:numId w:val="1"/>
        </w:numPr>
        <w:spacing w:before="0" w:after="60"/>
        <w:rPr/>
      </w:pPr>
      <w:r>
        <w:rPr>
          <w:rFonts w:eastAsia="Segoe UI" w:cs="Segoe UI" w:ascii="Segoe UI" w:hAnsi="Segoe UI"/>
          <w:color w:val="101820"/>
          <w:sz w:val="21"/>
        </w:rPr>
        <w:t>Termination for convenience where the Order Form allows it, with the early termination fee stated there.</w:t>
      </w:r>
    </w:p>
    <w:p>
      <w:pPr>
        <w:pStyle w:val="Normal"/>
        <w:numPr>
          <w:ilvl w:val="0"/>
          <w:numId w:val="1"/>
        </w:numPr>
        <w:spacing w:before="0" w:after="60"/>
        <w:rPr/>
      </w:pPr>
      <w:r>
        <w:rPr>
          <w:rFonts w:eastAsia="Segoe UI" w:cs="Segoe UI" w:ascii="Segoe UI" w:hAnsi="Segoe UI"/>
          <w:color w:val="101820"/>
          <w:sz w:val="21"/>
        </w:rPr>
        <w:t>A planned move requested by the Client during the term, for example from hosting by iorta TechNXT to hosting by the Client under a perpetual licence.</w:t>
      </w:r>
      <w:r>
        <w:br w:type="page"/>
      </w:r>
    </w:p>
    <w:p>
      <w:pPr>
        <w:pStyle w:val="Heading1"/>
        <w:rPr/>
      </w:pPr>
      <w:bookmarkStart w:id="9" w:name="__RefHeading___Toc58206_3199679052"/>
      <w:bookmarkEnd w:id="9"/>
      <w:r>
        <w:rPr>
          <w:rFonts w:eastAsia="Segoe UI" w:cs="Segoe UI" w:ascii="Segoe UI" w:hAnsi="Segoe UI"/>
          <w:b/>
          <w:color w:val="0F4761"/>
          <w:sz w:val="32"/>
        </w:rPr>
        <w:t>5.  Exit timeline</w:t>
      </w:r>
    </w:p>
    <w:p>
      <w:pPr>
        <w:pStyle w:val="Normal"/>
        <w:spacing w:lineRule="auto" w:line="276" w:before="0" w:after="120"/>
        <w:rPr/>
      </w:pPr>
      <w:r>
        <w:rPr>
          <w:rFonts w:eastAsia="Segoe UI" w:cs="Segoe UI" w:ascii="Segoe UI" w:hAnsi="Segoe UI"/>
          <w:color w:val="101820"/>
          <w:sz w:val="21"/>
        </w:rPr>
        <w:t xml:space="preserve">Day 0 is the date on which the subscription or the hosting service ends (the </w:t>
      </w:r>
      <w:r>
        <w:rPr>
          <w:rFonts w:eastAsia="Segoe UI" w:cs="Segoe UI" w:ascii="Segoe UI" w:hAnsi="Segoe UI"/>
          <w:b/>
          <w:color w:val="101820"/>
          <w:sz w:val="21"/>
        </w:rPr>
        <w:t>End Date</w:t>
      </w:r>
      <w:r>
        <w:rPr>
          <w:rFonts w:eastAsia="Segoe UI" w:cs="Segoe UI" w:ascii="Segoe UI" w:hAnsi="Segoe UI"/>
          <w:color w:val="101820"/>
          <w:sz w:val="21"/>
        </w:rPr>
        <w:t>). The timeline below assumes expiry after notice of non-renewal; on termination for cause, the steps before Day 0 are compressed into the notice period.</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970"/>
        <w:gridCol w:w="3970"/>
        <w:gridCol w:w="1075"/>
      </w:tblGrid>
      <w:tr>
        <w:trPr>
          <w:tblHeader w:val="true"/>
        </w:trPr>
        <w:tc>
          <w:tcPr>
            <w:tcW w:w="397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When</w:t>
            </w:r>
          </w:p>
        </w:tc>
        <w:tc>
          <w:tcPr>
            <w:tcW w:w="397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Step</w:t>
            </w:r>
          </w:p>
        </w:tc>
        <w:tc>
          <w:tcPr>
            <w:tcW w:w="107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Owner</w:t>
            </w:r>
          </w:p>
        </w:tc>
      </w:tr>
      <w:tr>
        <w:trPr/>
        <w:tc>
          <w:tcPr>
            <w:tcW w:w="39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Day minus 90 or earlier</w:t>
            </w:r>
          </w:p>
        </w:tc>
        <w:tc>
          <w:tcPr>
            <w:tcW w:w="39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Written notice of non-renewal, or notice of a planned move</w:t>
            </w:r>
          </w:p>
        </w:tc>
        <w:tc>
          <w:tcPr>
            <w:tcW w:w="10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Either Party</w:t>
            </w:r>
          </w:p>
        </w:tc>
      </w:tr>
      <w:tr>
        <w:trPr/>
        <w:tc>
          <w:tcPr>
            <w:tcW w:w="39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Within 10 Business Days of the notice</w:t>
            </w:r>
          </w:p>
        </w:tc>
        <w:tc>
          <w:tcPr>
            <w:tcW w:w="39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Exit kick-off meeting; exit contacts named; this Exit Plan confirmed with dates (Annex A)</w:t>
            </w:r>
          </w:p>
        </w:tc>
        <w:tc>
          <w:tcPr>
            <w:tcW w:w="10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Both</w:t>
            </w:r>
          </w:p>
        </w:tc>
      </w:tr>
      <w:tr>
        <w:trPr/>
        <w:tc>
          <w:tcPr>
            <w:tcW w:w="39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Day minus 60</w:t>
            </w:r>
          </w:p>
        </w:tc>
        <w:tc>
          <w:tcPr>
            <w:tcW w:w="39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 confirms the export scope, the formats, the delivery method and any transition assistance it wants</w:t>
            </w:r>
          </w:p>
        </w:tc>
        <w:tc>
          <w:tcPr>
            <w:tcW w:w="10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w:t>
            </w:r>
          </w:p>
        </w:tc>
      </w:tr>
      <w:tr>
        <w:trPr/>
        <w:tc>
          <w:tcPr>
            <w:tcW w:w="39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Day minus 30 [optional]</w:t>
            </w:r>
          </w:p>
        </w:tc>
        <w:tc>
          <w:tcPr>
            <w:tcW w:w="39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Trial export delivered for the Client to test the load into its new system [counted as the included export / charged at day rates]</w:t>
            </w:r>
          </w:p>
        </w:tc>
        <w:tc>
          <w:tcPr>
            <w:tcW w:w="10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w:t>
            </w:r>
          </w:p>
        </w:tc>
      </w:tr>
      <w:tr>
        <w:trPr/>
        <w:tc>
          <w:tcPr>
            <w:tcW w:w="39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Day 0</w:t>
            </w:r>
          </w:p>
        </w:tc>
        <w:tc>
          <w:tcPr>
            <w:tcW w:w="39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End Date. The right of use ends. Read-only access for the System Administrator may continue under the next row</w:t>
            </w:r>
          </w:p>
        </w:tc>
        <w:tc>
          <w:tcPr>
            <w:tcW w:w="10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Both</w:t>
            </w:r>
          </w:p>
        </w:tc>
      </w:tr>
      <w:tr>
        <w:trPr/>
        <w:tc>
          <w:tcPr>
            <w:tcW w:w="39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Day 0 to Day 60</w:t>
            </w:r>
          </w:p>
        </w:tc>
        <w:tc>
          <w:tcPr>
            <w:tcW w:w="39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Request window: the Client requests the full export. iorta TechNXT keeps the Client Data and may keep read-only access open for the System Administrator at [no charge / the Monthly Fee prorated]</w:t>
            </w:r>
          </w:p>
        </w:tc>
        <w:tc>
          <w:tcPr>
            <w:tcW w:w="10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w:t>
            </w:r>
          </w:p>
        </w:tc>
      </w:tr>
      <w:tr>
        <w:trPr/>
        <w:tc>
          <w:tcPr>
            <w:tcW w:w="39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Within 30 days of the request</w:t>
            </w:r>
          </w:p>
        </w:tc>
        <w:tc>
          <w:tcPr>
            <w:tcW w:w="39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Full export delivered</w:t>
            </w:r>
          </w:p>
        </w:tc>
        <w:tc>
          <w:tcPr>
            <w:tcW w:w="10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w:t>
            </w:r>
          </w:p>
        </w:tc>
      </w:tr>
      <w:tr>
        <w:trPr/>
        <w:tc>
          <w:tcPr>
            <w:tcW w:w="39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Up to Day 90 [hosting]</w:t>
            </w:r>
          </w:p>
        </w:tc>
        <w:tc>
          <w:tcPr>
            <w:tcW w:w="39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If the Client asks, iorta TechNXT keeps the hosted environment running at the monthly hosting fee prorated, for parallel running and cutover</w:t>
            </w:r>
          </w:p>
        </w:tc>
        <w:tc>
          <w:tcPr>
            <w:tcW w:w="10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w:t>
            </w:r>
          </w:p>
        </w:tc>
      </w:tr>
      <w:tr>
        <w:trPr/>
        <w:tc>
          <w:tcPr>
            <w:tcW w:w="39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Within 10 Business Days of delivery</w:t>
            </w:r>
          </w:p>
        </w:tc>
        <w:tc>
          <w:tcPr>
            <w:tcW w:w="39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 confirms receipt and readability of the export (Annex C), or lists the defects</w:t>
            </w:r>
          </w:p>
        </w:tc>
        <w:tc>
          <w:tcPr>
            <w:tcW w:w="10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w:t>
            </w:r>
          </w:p>
        </w:tc>
      </w:tr>
      <w:tr>
        <w:trPr/>
        <w:tc>
          <w:tcPr>
            <w:tcW w:w="39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Within 30 days of the Client's confirmation, or within 30 days after Day 60 if no request is made</w:t>
            </w:r>
          </w:p>
        </w:tc>
        <w:tc>
          <w:tcPr>
            <w:tcW w:w="39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Deletion of the Client Data from production and non-production environments</w:t>
            </w:r>
          </w:p>
        </w:tc>
        <w:tc>
          <w:tcPr>
            <w:tcW w:w="10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w:t>
            </w:r>
          </w:p>
        </w:tc>
      </w:tr>
      <w:tr>
        <w:trPr/>
        <w:tc>
          <w:tcPr>
            <w:tcW w:w="39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Within 10 Business Days of completing deletion</w:t>
            </w:r>
          </w:p>
        </w:tc>
        <w:tc>
          <w:tcPr>
            <w:tcW w:w="39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Certificate of deletion signed by the iorta TechNXT DPO (Annex D)</w:t>
            </w:r>
          </w:p>
        </w:tc>
        <w:tc>
          <w:tcPr>
            <w:tcW w:w="10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w:t>
            </w:r>
          </w:p>
        </w:tc>
      </w:tr>
      <w:tr>
        <w:trPr/>
        <w:tc>
          <w:tcPr>
            <w:tcW w:w="39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Up to 12 months after Day 0 (longer only for year-end copies the Client instructed)</w:t>
            </w:r>
          </w:p>
        </w:tc>
        <w:tc>
          <w:tcPr>
            <w:tcW w:w="39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Backups expire under the backup retention; they are not restored except to comply with law</w:t>
            </w:r>
          </w:p>
        </w:tc>
        <w:tc>
          <w:tcPr>
            <w:tcW w:w="10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w:t>
            </w:r>
          </w:p>
        </w:tc>
      </w:tr>
    </w:tbl>
    <w:p>
      <w:pPr>
        <w:pStyle w:val="Normal"/>
        <w:spacing w:before="0" w:after="80"/>
        <w:rPr/>
      </w:pPr>
      <w:r>
        <w:rPr/>
      </w:r>
    </w:p>
    <w:p>
      <w:pPr>
        <w:pStyle w:val="Normal"/>
        <w:shd w:val="clear" w:color="auto" w:fill="EAF2FB"/>
        <w:spacing w:before="0" w:after="160"/>
        <w:ind w:left="170"/>
        <w:rPr/>
      </w:pPr>
      <w:r>
        <w:rPr>
          <w:rFonts w:eastAsia="Segoe UI" w:cs="Segoe UI" w:ascii="Segoe UI" w:hAnsi="Segoe UI"/>
          <w:color w:val="101820"/>
          <w:sz w:val="20"/>
        </w:rPr>
        <w:t>If the Client does not confirm or reject the export within 10 Business Days of delivery, the export is treated as confirmed for the purpose of the deletion timeline. This is a proposal of this Exit Plan and should be confirmed by legal counsel.</w:t>
      </w:r>
      <w:r>
        <w:br w:type="page"/>
      </w:r>
    </w:p>
    <w:p>
      <w:pPr>
        <w:pStyle w:val="Heading1"/>
        <w:rPr/>
      </w:pPr>
      <w:bookmarkStart w:id="10" w:name="__RefHeading___Toc58208_3199679052"/>
      <w:bookmarkEnd w:id="10"/>
      <w:r>
        <w:rPr>
          <w:rFonts w:eastAsia="Segoe UI" w:cs="Segoe UI" w:ascii="Segoe UI" w:hAnsi="Segoe UI"/>
          <w:b/>
          <w:color w:val="0F4761"/>
          <w:sz w:val="32"/>
        </w:rPr>
        <w:t>6.  Data return</w:t>
      </w:r>
    </w:p>
    <w:p>
      <w:pPr>
        <w:pStyle w:val="Heading2"/>
        <w:rPr/>
      </w:pPr>
      <w:bookmarkStart w:id="11" w:name="__RefHeading___Toc58210_3199679052"/>
      <w:bookmarkEnd w:id="11"/>
      <w:r>
        <w:rPr>
          <w:rFonts w:eastAsia="Segoe UI" w:cs="Segoe UI"/>
          <w:b/>
          <w:color w:val="0F4761"/>
          <w:sz w:val="26"/>
        </w:rPr>
        <w:t>6.1  What is returned</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3730"/>
        <w:gridCol w:w="3730"/>
      </w:tblGrid>
      <w:tr>
        <w:trPr>
          <w:tblHeader w:val="true"/>
        </w:trPr>
        <w:tc>
          <w:tcPr>
            <w:tcW w:w="155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373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Format</w:t>
            </w:r>
          </w:p>
        </w:tc>
        <w:tc>
          <w:tcPr>
            <w:tcW w:w="373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Notes</w:t>
            </w:r>
          </w:p>
        </w:tc>
      </w:tr>
      <w:tr>
        <w:trPr/>
        <w:tc>
          <w:tcPr>
            <w:tcW w:w="15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Database</w:t>
            </w:r>
          </w:p>
        </w:tc>
        <w:tc>
          <w:tcPr>
            <w:tcW w:w="37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PostgreSQL 16 dump of the Client's database in custom format, restorable with the standard PostgreSQL tools</w:t>
            </w:r>
          </w:p>
        </w:tc>
        <w:tc>
          <w:tcPr>
            <w:tcW w:w="37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Complete Client Data, including the audit trail, users and configuration</w:t>
            </w:r>
          </w:p>
        </w:tc>
      </w:tr>
      <w:tr>
        <w:trPr/>
        <w:tc>
          <w:tcPr>
            <w:tcW w:w="15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Uploaded documents</w:t>
            </w:r>
          </w:p>
        </w:tc>
        <w:tc>
          <w:tcPr>
            <w:tcW w:w="37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Archive of the uploaded files (documents, ID images, reports produced by the system) in their original formats, with the folder structure of the file store</w:t>
            </w:r>
          </w:p>
        </w:tc>
        <w:tc>
          <w:tcPr>
            <w:tcW w:w="37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Personal data of the Client's clients included</w:t>
            </w:r>
          </w:p>
        </w:tc>
      </w:tr>
      <w:tr>
        <w:trPr/>
        <w:tc>
          <w:tcPr>
            <w:tcW w:w="15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Register extracts</w:t>
            </w:r>
          </w:p>
        </w:tc>
        <w:tc>
          <w:tcPr>
            <w:tcW w:w="37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CSV extracts of the main registers listed in the Documentation, with the data dictionary</w:t>
            </w:r>
          </w:p>
        </w:tc>
        <w:tc>
          <w:tcPr>
            <w:tcW w:w="37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For loading into another system without PostgreSQL</w:t>
            </w:r>
          </w:p>
        </w:tc>
      </w:tr>
      <w:tr>
        <w:trPr/>
        <w:tc>
          <w:tcPr>
            <w:tcW w:w="15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Configuration</w:t>
            </w:r>
          </w:p>
        </w:tc>
        <w:tc>
          <w:tcPr>
            <w:tcW w:w="37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Configuration export of the Platform (hosting): settings, masters, number series, posting rules</w:t>
            </w:r>
          </w:p>
        </w:tc>
        <w:tc>
          <w:tcPr>
            <w:tcW w:w="37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Hosting Agreement, Exit and transition clause</w:t>
            </w:r>
          </w:p>
        </w:tc>
      </w:tr>
      <w:tr>
        <w:trPr/>
        <w:tc>
          <w:tcPr>
            <w:tcW w:w="15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Self-service reports</w:t>
            </w:r>
          </w:p>
        </w:tc>
        <w:tc>
          <w:tcPr>
            <w:tcW w:w="37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XLSX, CSV and PDF reports and exports run by the Client's users before the End Date</w:t>
            </w:r>
          </w:p>
        </w:tc>
        <w:tc>
          <w:tcPr>
            <w:tcW w:w="37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Available at any time during the term</w:t>
            </w:r>
          </w:p>
        </w:tc>
      </w:tr>
    </w:tbl>
    <w:p>
      <w:pPr>
        <w:pStyle w:val="Normal"/>
        <w:spacing w:before="0" w:after="80"/>
        <w:rPr/>
      </w:pPr>
      <w:r>
        <w:rPr/>
      </w:r>
    </w:p>
    <w:p>
      <w:pPr>
        <w:pStyle w:val="Heading2"/>
        <w:rPr/>
      </w:pPr>
      <w:bookmarkStart w:id="12" w:name="__RefHeading___Toc58212_3199679052"/>
      <w:bookmarkEnd w:id="12"/>
      <w:r>
        <w:rPr>
          <w:rFonts w:eastAsia="Segoe UI" w:cs="Segoe UI"/>
          <w:b/>
          <w:color w:val="0F4761"/>
          <w:sz w:val="26"/>
        </w:rPr>
        <w:t>6.2  What is not returned</w:t>
      </w:r>
    </w:p>
    <w:p>
      <w:pPr>
        <w:pStyle w:val="Normal"/>
        <w:numPr>
          <w:ilvl w:val="0"/>
          <w:numId w:val="8"/>
        </w:numPr>
        <w:spacing w:before="0" w:after="60"/>
        <w:rPr/>
      </w:pPr>
      <w:r>
        <w:rPr>
          <w:rFonts w:eastAsia="Segoe UI" w:cs="Segoe UI" w:ascii="Segoe UI" w:hAnsi="Segoe UI"/>
          <w:color w:val="101820"/>
          <w:sz w:val="21"/>
        </w:rPr>
        <w:t>The Platform, its source code, the Documentation, the upload templates and other materials of iorta TechNXT. These remain iorta TechNXT's property under the MSA.</w:t>
      </w:r>
    </w:p>
    <w:p>
      <w:pPr>
        <w:pStyle w:val="Normal"/>
        <w:numPr>
          <w:ilvl w:val="0"/>
          <w:numId w:val="9"/>
        </w:numPr>
        <w:spacing w:before="0" w:after="60"/>
        <w:rPr/>
      </w:pPr>
      <w:r>
        <w:rPr>
          <w:rFonts w:eastAsia="Segoe UI" w:cs="Segoe UI" w:ascii="Segoe UI" w:hAnsi="Segoe UI"/>
          <w:color w:val="101820"/>
          <w:sz w:val="21"/>
        </w:rPr>
        <w:t>Application secrets and encryption keys of the iorta TechNXT environments. Two-step verification secrets in the dump are encrypted; a new system cannot use them, and users enrol again in the new system.</w:t>
      </w:r>
    </w:p>
    <w:p>
      <w:pPr>
        <w:pStyle w:val="Normal"/>
        <w:numPr>
          <w:ilvl w:val="0"/>
          <w:numId w:val="10"/>
        </w:numPr>
        <w:spacing w:before="0" w:after="60"/>
        <w:rPr/>
      </w:pPr>
      <w:r>
        <w:rPr>
          <w:rFonts w:eastAsia="Segoe UI" w:cs="Segoe UI" w:ascii="Segoe UI" w:hAnsi="Segoe UI"/>
          <w:color w:val="101820"/>
          <w:sz w:val="21"/>
        </w:rPr>
        <w:t>Monitoring data, logs and tickets of iorta TechNXT, except the audit trail inside the Client's database and the ticket history that the Client asks for.</w:t>
      </w:r>
    </w:p>
    <w:p>
      <w:pPr>
        <w:pStyle w:val="Heading2"/>
        <w:rPr/>
      </w:pPr>
      <w:bookmarkStart w:id="13" w:name="__RefHeading___Toc58214_3199679052"/>
      <w:bookmarkEnd w:id="13"/>
      <w:r>
        <w:rPr>
          <w:rFonts w:eastAsia="Segoe UI" w:cs="Segoe UI"/>
          <w:b/>
          <w:color w:val="0F4761"/>
          <w:sz w:val="26"/>
        </w:rPr>
        <w:t>6.3  Delivery</w:t>
      </w:r>
    </w:p>
    <w:p>
      <w:pPr>
        <w:pStyle w:val="Normal"/>
        <w:numPr>
          <w:ilvl w:val="0"/>
          <w:numId w:val="11"/>
        </w:numPr>
        <w:spacing w:before="0" w:after="60"/>
        <w:rPr/>
      </w:pPr>
      <w:r>
        <w:rPr>
          <w:rFonts w:eastAsia="Segoe UI" w:cs="Segoe UI" w:ascii="Segoe UI" w:hAnsi="Segoe UI"/>
          <w:color w:val="101820"/>
          <w:sz w:val="21"/>
        </w:rPr>
        <w:t>The export is delivered by secure file transfer or on encrypted media, at the Client's choice. The decryption password is sent by a separate channel to the Client's named exit contact. [Recommended practice; confirm with the Client's DPO.]</w:t>
      </w:r>
    </w:p>
    <w:p>
      <w:pPr>
        <w:pStyle w:val="Normal"/>
        <w:numPr>
          <w:ilvl w:val="0"/>
          <w:numId w:val="12"/>
        </w:numPr>
        <w:spacing w:before="0" w:after="60"/>
        <w:rPr/>
      </w:pPr>
      <w:r>
        <w:rPr>
          <w:rFonts w:eastAsia="Segoe UI" w:cs="Segoe UI" w:ascii="Segoe UI" w:hAnsi="Segoe UI"/>
          <w:color w:val="101820"/>
          <w:sz w:val="21"/>
        </w:rPr>
        <w:t>Each file comes with a manifest listing the file names, sizes, row counts of the CSV extracts and a checksum.</w:t>
      </w:r>
    </w:p>
    <w:p>
      <w:pPr>
        <w:pStyle w:val="Normal"/>
        <w:numPr>
          <w:ilvl w:val="0"/>
          <w:numId w:val="13"/>
        </w:numPr>
        <w:spacing w:before="0" w:after="60"/>
        <w:rPr/>
      </w:pPr>
      <w:r>
        <w:rPr>
          <w:rFonts w:eastAsia="Segoe UI" w:cs="Segoe UI" w:ascii="Segoe UI" w:hAnsi="Segoe UI"/>
          <w:color w:val="101820"/>
          <w:sz w:val="21"/>
        </w:rPr>
        <w:t>One full export is included. Further exports and a trial export (unless counted as the included export) are charged at the day rates of the Order Form.</w:t>
      </w:r>
    </w:p>
    <w:p>
      <w:pPr>
        <w:pStyle w:val="Normal"/>
        <w:numPr>
          <w:ilvl w:val="0"/>
          <w:numId w:val="14"/>
        </w:numPr>
        <w:spacing w:before="0" w:after="60"/>
        <w:rPr/>
      </w:pPr>
      <w:r>
        <w:rPr>
          <w:rFonts w:eastAsia="Segoe UI" w:cs="Segoe UI" w:ascii="Segoe UI" w:hAnsi="Segoe UI"/>
          <w:color w:val="101820"/>
          <w:sz w:val="21"/>
        </w:rPr>
        <w:t>Under a planned move of a perpetual licence to the Client's own hosting, iorta TechNXT also supplies the deployment guide and the container images or build artefacts of the current release, and supports the move at day rates. The application secrets are handed over under dual control so that users keep their two-step verification.</w:t>
      </w:r>
      <w:r>
        <w:br w:type="page"/>
      </w:r>
    </w:p>
    <w:p>
      <w:pPr>
        <w:pStyle w:val="Heading1"/>
        <w:rPr/>
      </w:pPr>
      <w:bookmarkStart w:id="14" w:name="__RefHeading___Toc58216_3199679052"/>
      <w:bookmarkEnd w:id="14"/>
      <w:r>
        <w:rPr>
          <w:rFonts w:eastAsia="Segoe UI" w:cs="Segoe UI" w:ascii="Segoe UI" w:hAnsi="Segoe UI"/>
          <w:b/>
          <w:color w:val="0F4761"/>
          <w:sz w:val="32"/>
        </w:rPr>
        <w:t>7.  Transition assistance and deletion</w:t>
      </w:r>
    </w:p>
    <w:p>
      <w:pPr>
        <w:pStyle w:val="Heading2"/>
        <w:rPr/>
      </w:pPr>
      <w:bookmarkStart w:id="15" w:name="__RefHeading___Toc58218_3199679052"/>
      <w:bookmarkEnd w:id="15"/>
      <w:r>
        <w:rPr>
          <w:rFonts w:eastAsia="Segoe UI" w:cs="Segoe UI"/>
          <w:b/>
          <w:color w:val="0F4761"/>
          <w:sz w:val="26"/>
        </w:rPr>
        <w:t>7.1  Transition assistance</w:t>
      </w:r>
    </w:p>
    <w:p>
      <w:pPr>
        <w:pStyle w:val="Heading3"/>
        <w:rPr/>
      </w:pPr>
      <w:r>
        <w:rPr>
          <w:rFonts w:eastAsia="Segoe UI" w:cs="Segoe UI"/>
          <w:b/>
          <w:color w:val="0F4761"/>
          <w:sz w:val="23"/>
        </w:rPr>
        <w:t>7.1.1  Included</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5"/>
        <w:gridCol w:w="6008"/>
      </w:tblGrid>
      <w:tr>
        <w:trPr>
          <w:tblHeader w:val="true"/>
        </w:trPr>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Model</w:t>
            </w:r>
          </w:p>
        </w:tc>
        <w:tc>
          <w:tcPr>
            <w:tcW w:w="600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Included at no charge</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Hosting by iorta TechNXT</w:t>
            </w:r>
          </w:p>
        </w:tc>
        <w:tc>
          <w:tcPr>
            <w:tcW w:w="60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Handover meeting with the Client's new provider, and answers to questions, up to [5] man-days in total</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Subscription</w:t>
            </w:r>
          </w:p>
        </w:tc>
        <w:tc>
          <w:tcPr>
            <w:tcW w:w="60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One full export; no other transition assistance</w:t>
            </w:r>
          </w:p>
        </w:tc>
      </w:tr>
    </w:tbl>
    <w:p>
      <w:pPr>
        <w:pStyle w:val="Normal"/>
        <w:spacing w:before="0" w:after="80"/>
        <w:rPr/>
      </w:pPr>
      <w:r>
        <w:rPr/>
      </w:r>
    </w:p>
    <w:p>
      <w:pPr>
        <w:pStyle w:val="Heading3"/>
        <w:rPr/>
      </w:pPr>
      <w:r>
        <w:rPr>
          <w:rFonts w:eastAsia="Segoe UI" w:cs="Segoe UI"/>
          <w:b/>
          <w:color w:val="0F4761"/>
          <w:sz w:val="23"/>
        </w:rPr>
        <w:t>7.1.2  At day rates</w:t>
      </w:r>
    </w:p>
    <w:p>
      <w:pPr>
        <w:pStyle w:val="Normal"/>
        <w:spacing w:lineRule="auto" w:line="276" w:before="0" w:after="120"/>
        <w:rPr/>
      </w:pPr>
      <w:r>
        <w:rPr>
          <w:rFonts w:eastAsia="Segoe UI" w:cs="Segoe UI" w:ascii="Segoe UI" w:hAnsi="Segoe UI"/>
          <w:color w:val="101820"/>
          <w:sz w:val="21"/>
        </w:rPr>
        <w:t>Further assistance is provided at the day rates of the Order Form (list rates in the Service Catalogue and Rate Annex), after the Client approves an estimate:</w:t>
      </w:r>
    </w:p>
    <w:tbl>
      <w:tblPr>
        <w:tblStyle w:val="TableGrid"/>
        <w:tblW w:w="901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460"/>
        <w:gridCol w:w="2092"/>
        <w:gridCol w:w="3461"/>
      </w:tblGrid>
      <w:tr>
        <w:trPr>
          <w:tblHeader w:val="true"/>
        </w:trPr>
        <w:tc>
          <w:tcPr>
            <w:tcW w:w="346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Assistance</w:t>
            </w:r>
          </w:p>
        </w:tc>
        <w:tc>
          <w:tcPr>
            <w:tcW w:w="209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Typical role</w:t>
            </w:r>
          </w:p>
        </w:tc>
        <w:tc>
          <w:tcPr>
            <w:tcW w:w="346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Unit</w:t>
            </w:r>
          </w:p>
        </w:tc>
      </w:tr>
      <w:tr>
        <w:trPr/>
        <w:tc>
          <w:tcPr>
            <w:tcW w:w="34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Further exports or extracts in another layout</w:t>
            </w:r>
          </w:p>
        </w:tc>
        <w:tc>
          <w:tcPr>
            <w:tcW w:w="20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Developer</w:t>
            </w:r>
          </w:p>
        </w:tc>
        <w:tc>
          <w:tcPr>
            <w:tcW w:w="34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Man-day</w:t>
            </w:r>
          </w:p>
        </w:tc>
      </w:tr>
      <w:tr>
        <w:trPr/>
        <w:tc>
          <w:tcPr>
            <w:tcW w:w="34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Mapping of the Client Data to the new system's layouts</w:t>
            </w:r>
          </w:p>
        </w:tc>
        <w:tc>
          <w:tcPr>
            <w:tcW w:w="20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Business analyst</w:t>
            </w:r>
          </w:p>
        </w:tc>
        <w:tc>
          <w:tcPr>
            <w:tcW w:w="34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Man-day</w:t>
            </w:r>
          </w:p>
        </w:tc>
      </w:tr>
      <w:tr>
        <w:trPr/>
        <w:tc>
          <w:tcPr>
            <w:tcW w:w="34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Answers to the new provider beyond the included days</w:t>
            </w:r>
          </w:p>
        </w:tc>
        <w:tc>
          <w:tcPr>
            <w:tcW w:w="20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Business analyst or developer</w:t>
            </w:r>
          </w:p>
        </w:tc>
        <w:tc>
          <w:tcPr>
            <w:tcW w:w="34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Man-day</w:t>
            </w:r>
          </w:p>
        </w:tc>
      </w:tr>
      <w:tr>
        <w:trPr/>
        <w:tc>
          <w:tcPr>
            <w:tcW w:w="34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Parallel running support</w:t>
            </w:r>
          </w:p>
        </w:tc>
        <w:tc>
          <w:tcPr>
            <w:tcW w:w="20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Business analyst</w:t>
            </w:r>
          </w:p>
        </w:tc>
        <w:tc>
          <w:tcPr>
            <w:tcW w:w="34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Man-day</w:t>
            </w:r>
          </w:p>
        </w:tc>
      </w:tr>
      <w:tr>
        <w:trPr/>
        <w:tc>
          <w:tcPr>
            <w:tcW w:w="34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Project management of the exit</w:t>
            </w:r>
          </w:p>
        </w:tc>
        <w:tc>
          <w:tcPr>
            <w:tcW w:w="20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Project manager</w:t>
            </w:r>
          </w:p>
        </w:tc>
        <w:tc>
          <w:tcPr>
            <w:tcW w:w="34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Man-day</w:t>
            </w:r>
          </w:p>
        </w:tc>
      </w:tr>
      <w:tr>
        <w:trPr/>
        <w:tc>
          <w:tcPr>
            <w:tcW w:w="34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Hosted environment kept running after Day 0</w:t>
            </w:r>
          </w:p>
        </w:tc>
        <w:tc>
          <w:tcPr>
            <w:tcW w:w="20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Not applicable</w:t>
            </w:r>
          </w:p>
        </w:tc>
        <w:tc>
          <w:tcPr>
            <w:tcW w:w="34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Monthly hosting fee, prorated by day, up to Day 90</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The assistance is limited to the Client Data and the Platform as delivered. iorta TechNXT does not build, configure or test the new system.</w:t>
      </w:r>
    </w:p>
    <w:p>
      <w:pPr>
        <w:pStyle w:val="Heading2"/>
        <w:rPr/>
      </w:pPr>
      <w:bookmarkStart w:id="16" w:name="__RefHeading___Toc58220_3199679052"/>
      <w:bookmarkEnd w:id="16"/>
      <w:r>
        <w:rPr>
          <w:rFonts w:eastAsia="Segoe UI" w:cs="Segoe UI"/>
          <w:b/>
          <w:color w:val="0F4761"/>
          <w:sz w:val="26"/>
        </w:rPr>
        <w:t>7.2  Deletion</w:t>
      </w:r>
    </w:p>
    <w:p>
      <w:pPr>
        <w:pStyle w:val="Normal"/>
        <w:numPr>
          <w:ilvl w:val="0"/>
          <w:numId w:val="15"/>
        </w:numPr>
        <w:spacing w:before="0" w:after="60"/>
        <w:rPr/>
      </w:pPr>
      <w:r>
        <w:rPr>
          <w:rFonts w:eastAsia="Segoe UI" w:cs="Segoe UI" w:ascii="Segoe UI" w:hAnsi="Segoe UI"/>
          <w:color w:val="101820"/>
          <w:sz w:val="21"/>
        </w:rPr>
        <w:t>iorta TechNXT deletes the Client Data from the production and non-production environments it operates, including the UAT and any additional environments, the file store and copies made for support or data migration work.</w:t>
      </w:r>
    </w:p>
    <w:p>
      <w:pPr>
        <w:pStyle w:val="Normal"/>
        <w:numPr>
          <w:ilvl w:val="0"/>
          <w:numId w:val="16"/>
        </w:numPr>
        <w:spacing w:before="0" w:after="60"/>
        <w:rPr/>
      </w:pPr>
      <w:r>
        <w:rPr>
          <w:rFonts w:eastAsia="Segoe UI" w:cs="Segoe UI" w:ascii="Segoe UI" w:hAnsi="Segoe UI"/>
          <w:color w:val="101820"/>
          <w:sz w:val="21"/>
        </w:rPr>
        <w:t>Backups that contain Client Data are not deleted one by one. They expire under the retention of the Hosting Agreement: at most 35 days for daily backups and point-in-time recovery, 12 months for monthly copies and monthly logical dumps, and 10 years for year-end copies only if the Client has instructed that retention. They are not restored in the meantime, except to comply with law.</w:t>
      </w:r>
    </w:p>
    <w:p>
      <w:pPr>
        <w:pStyle w:val="Normal"/>
        <w:numPr>
          <w:ilvl w:val="0"/>
          <w:numId w:val="17"/>
        </w:numPr>
        <w:spacing w:before="0" w:after="60"/>
        <w:rPr/>
      </w:pPr>
      <w:r>
        <w:rPr>
          <w:rFonts w:eastAsia="Segoe UI" w:cs="Segoe UI" w:ascii="Segoe UI" w:hAnsi="Segoe UI"/>
          <w:color w:val="101820"/>
          <w:sz w:val="21"/>
        </w:rPr>
        <w:t>iorta TechNXT may keep Client Data longer only where Philippine law requires, under the Data Processing Agreement, and keeps it confidential and protected.</w:t>
      </w:r>
    </w:p>
    <w:p>
      <w:pPr>
        <w:pStyle w:val="Normal"/>
        <w:numPr>
          <w:ilvl w:val="0"/>
          <w:numId w:val="18"/>
        </w:numPr>
        <w:spacing w:before="0" w:after="60"/>
        <w:rPr/>
      </w:pPr>
      <w:r>
        <w:rPr>
          <w:rFonts w:eastAsia="Segoe UI" w:cs="Segoe UI" w:ascii="Segoe UI" w:hAnsi="Segoe UI"/>
          <w:color w:val="101820"/>
          <w:sz w:val="21"/>
        </w:rPr>
        <w:t>The Client remains responsible for keeping its own records for the periods required by law, including the Insurance Code and the tax laws, after it receives the export.</w:t>
      </w:r>
      <w:r>
        <w:br w:type="page"/>
      </w:r>
    </w:p>
    <w:p>
      <w:pPr>
        <w:pStyle w:val="Heading1"/>
        <w:rPr/>
      </w:pPr>
      <w:bookmarkStart w:id="17" w:name="__RefHeading___Toc58222_3199679052"/>
      <w:bookmarkEnd w:id="17"/>
      <w:r>
        <w:rPr>
          <w:rFonts w:eastAsia="Segoe UI" w:cs="Segoe UI" w:ascii="Segoe UI" w:hAnsi="Segoe UI"/>
          <w:b/>
          <w:color w:val="0F4761"/>
          <w:sz w:val="32"/>
        </w:rPr>
        <w:t>8.  Responsibilities and fees during exit</w:t>
      </w:r>
    </w:p>
    <w:p>
      <w:pPr>
        <w:pStyle w:val="Heading2"/>
        <w:rPr/>
      </w:pPr>
      <w:bookmarkStart w:id="18" w:name="__RefHeading___Toc58224_3199679052"/>
      <w:bookmarkEnd w:id="18"/>
      <w:r>
        <w:rPr>
          <w:rFonts w:eastAsia="Segoe UI" w:cs="Segoe UI"/>
          <w:b/>
          <w:color w:val="0F4761"/>
          <w:sz w:val="26"/>
        </w:rPr>
        <w:t>8.1  Responsibilities during exit</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666"/>
        <w:gridCol w:w="2522"/>
        <w:gridCol w:w="2826"/>
      </w:tblGrid>
      <w:tr>
        <w:trPr>
          <w:tblHeader w:val="true"/>
        </w:trPr>
        <w:tc>
          <w:tcPr>
            <w:tcW w:w="366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Activity</w:t>
            </w:r>
          </w:p>
        </w:tc>
        <w:tc>
          <w:tcPr>
            <w:tcW w:w="252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iorta TechNXT</w:t>
            </w:r>
          </w:p>
        </w:tc>
        <w:tc>
          <w:tcPr>
            <w:tcW w:w="282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Client</w:t>
            </w:r>
          </w:p>
        </w:tc>
      </w:tr>
      <w:tr>
        <w:trPr/>
        <w:tc>
          <w:tcPr>
            <w:tcW w:w="36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Notice of non-renewal or move</w:t>
            </w:r>
          </w:p>
        </w:tc>
        <w:tc>
          <w:tcPr>
            <w:tcW w:w="25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Either Party</w:t>
            </w:r>
          </w:p>
        </w:tc>
        <w:tc>
          <w:tcPr>
            <w:tcW w:w="28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Either Party</w:t>
            </w:r>
          </w:p>
        </w:tc>
      </w:tr>
      <w:tr>
        <w:trPr/>
        <w:tc>
          <w:tcPr>
            <w:tcW w:w="36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Exit contacts and Annex A dates</w:t>
            </w:r>
          </w:p>
        </w:tc>
        <w:tc>
          <w:tcPr>
            <w:tcW w:w="25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Proposes</w:t>
            </w:r>
          </w:p>
        </w:tc>
        <w:tc>
          <w:tcPr>
            <w:tcW w:w="28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Confirms</w:t>
            </w:r>
          </w:p>
        </w:tc>
      </w:tr>
      <w:tr>
        <w:trPr/>
        <w:tc>
          <w:tcPr>
            <w:tcW w:w="36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Export scope, formats and delivery method</w:t>
            </w:r>
          </w:p>
        </w:tc>
        <w:tc>
          <w:tcPr>
            <w:tcW w:w="25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Advises</w:t>
            </w:r>
          </w:p>
        </w:tc>
        <w:tc>
          <w:tcPr>
            <w:tcW w:w="28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Decides</w:t>
            </w:r>
          </w:p>
        </w:tc>
      </w:tr>
      <w:tr>
        <w:trPr/>
        <w:tc>
          <w:tcPr>
            <w:tcW w:w="36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Export and manifest</w:t>
            </w:r>
          </w:p>
        </w:tc>
        <w:tc>
          <w:tcPr>
            <w:tcW w:w="25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Produces and delivers</w:t>
            </w:r>
          </w:p>
        </w:tc>
        <w:tc>
          <w:tcPr>
            <w:tcW w:w="28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Receives</w:t>
            </w:r>
          </w:p>
        </w:tc>
      </w:tr>
      <w:tr>
        <w:trPr/>
        <w:tc>
          <w:tcPr>
            <w:tcW w:w="36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Test of the export in the new system</w:t>
            </w:r>
          </w:p>
        </w:tc>
        <w:tc>
          <w:tcPr>
            <w:tcW w:w="25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Answers questions (included days)</w:t>
            </w:r>
          </w:p>
        </w:tc>
        <w:tc>
          <w:tcPr>
            <w:tcW w:w="28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Performs</w:t>
            </w:r>
          </w:p>
        </w:tc>
      </w:tr>
      <w:tr>
        <w:trPr/>
        <w:tc>
          <w:tcPr>
            <w:tcW w:w="36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Confirmation of the export (Annex C)</w:t>
            </w:r>
          </w:p>
        </w:tc>
        <w:tc>
          <w:tcPr>
            <w:tcW w:w="25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Requests</w:t>
            </w:r>
          </w:p>
        </w:tc>
        <w:tc>
          <w:tcPr>
            <w:tcW w:w="28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Signs</w:t>
            </w:r>
          </w:p>
        </w:tc>
      </w:tr>
      <w:tr>
        <w:trPr/>
        <w:tc>
          <w:tcPr>
            <w:tcW w:w="36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Deletion and certificate (Annex D)</w:t>
            </w:r>
          </w:p>
        </w:tc>
        <w:tc>
          <w:tcPr>
            <w:tcW w:w="25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Performs and signs</w:t>
            </w:r>
          </w:p>
        </w:tc>
        <w:tc>
          <w:tcPr>
            <w:tcW w:w="28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Receives</w:t>
            </w:r>
          </w:p>
        </w:tc>
      </w:tr>
      <w:tr>
        <w:trPr/>
        <w:tc>
          <w:tcPr>
            <w:tcW w:w="36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Records retention after exit</w:t>
            </w:r>
          </w:p>
        </w:tc>
        <w:tc>
          <w:tcPr>
            <w:tcW w:w="25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Not applicable</w:t>
            </w:r>
          </w:p>
        </w:tc>
        <w:tc>
          <w:tcPr>
            <w:tcW w:w="28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Keeps its records as the law requires</w:t>
            </w:r>
          </w:p>
        </w:tc>
      </w:tr>
      <w:tr>
        <w:trPr/>
        <w:tc>
          <w:tcPr>
            <w:tcW w:w="36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Notices to its clients, insurers and the NPC where needed</w:t>
            </w:r>
          </w:p>
        </w:tc>
        <w:tc>
          <w:tcPr>
            <w:tcW w:w="25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Not applicable</w:t>
            </w:r>
          </w:p>
        </w:tc>
        <w:tc>
          <w:tcPr>
            <w:tcW w:w="28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Gives them</w:t>
            </w:r>
          </w:p>
        </w:tc>
      </w:tr>
    </w:tbl>
    <w:p>
      <w:pPr>
        <w:pStyle w:val="Normal"/>
        <w:spacing w:before="0" w:after="80"/>
        <w:rPr/>
      </w:pPr>
      <w:r>
        <w:rPr/>
      </w:r>
    </w:p>
    <w:p>
      <w:pPr>
        <w:pStyle w:val="Heading2"/>
        <w:rPr/>
      </w:pPr>
      <w:bookmarkStart w:id="19" w:name="__RefHeading___Toc58226_3199679052"/>
      <w:bookmarkEnd w:id="19"/>
      <w:r>
        <w:rPr>
          <w:rFonts w:eastAsia="Segoe UI" w:cs="Segoe UI"/>
          <w:b/>
          <w:color w:val="0F4761"/>
          <w:sz w:val="26"/>
        </w:rPr>
        <w:t>8.2  Fees during exit</w:t>
      </w:r>
    </w:p>
    <w:p>
      <w:pPr>
        <w:pStyle w:val="Normal"/>
        <w:numPr>
          <w:ilvl w:val="0"/>
          <w:numId w:val="19"/>
        </w:numPr>
        <w:spacing w:before="0" w:after="60"/>
        <w:rPr/>
      </w:pPr>
      <w:r>
        <w:rPr>
          <w:rFonts w:eastAsia="Segoe UI" w:cs="Segoe UI" w:ascii="Segoe UI" w:hAnsi="Segoe UI"/>
          <w:color w:val="101820"/>
          <w:sz w:val="21"/>
        </w:rPr>
        <w:t>Subscription and hosting fees are payable up to the End Date. Fees for read-only access and for running the hosted environment after the End Date are as stated in the Exit timeline.</w:t>
      </w:r>
    </w:p>
    <w:p>
      <w:pPr>
        <w:pStyle w:val="Normal"/>
        <w:numPr>
          <w:ilvl w:val="0"/>
          <w:numId w:val="20"/>
        </w:numPr>
        <w:spacing w:before="0" w:after="60"/>
        <w:rPr/>
      </w:pPr>
      <w:r>
        <w:rPr>
          <w:rFonts w:eastAsia="Segoe UI" w:cs="Segoe UI" w:ascii="Segoe UI" w:hAnsi="Segoe UI"/>
          <w:color w:val="101820"/>
          <w:sz w:val="21"/>
        </w:rPr>
        <w:t>Transition assistance beyond the included items is invoiced monthly in arrears at actual man-days, up to the approved estimate.</w:t>
      </w:r>
    </w:p>
    <w:p>
      <w:pPr>
        <w:pStyle w:val="Normal"/>
        <w:numPr>
          <w:ilvl w:val="0"/>
          <w:numId w:val="21"/>
        </w:numPr>
        <w:spacing w:before="0" w:after="60"/>
        <w:rPr/>
      </w:pPr>
      <w:r>
        <w:rPr>
          <w:rFonts w:eastAsia="Segoe UI" w:cs="Segoe UI" w:ascii="Segoe UI" w:hAnsi="Segoe UI"/>
          <w:color w:val="101820"/>
          <w:sz w:val="21"/>
        </w:rPr>
        <w:t>iorta TechNXT may withhold the export only for undisputed amounts that remain unpaid after the notice under the MSA. It does not withhold the deletion or the certificate of deletion.</w:t>
      </w:r>
      <w:r>
        <w:br w:type="page"/>
      </w:r>
    </w:p>
    <w:p>
      <w:pPr>
        <w:pStyle w:val="Heading1"/>
        <w:rPr/>
      </w:pPr>
      <w:bookmarkStart w:id="20" w:name="__RefHeading___Toc58228_3199679052"/>
      <w:bookmarkEnd w:id="20"/>
      <w:r>
        <w:rPr>
          <w:rFonts w:eastAsia="Segoe UI" w:cs="Segoe UI" w:ascii="Segoe UI" w:hAnsi="Segoe UI"/>
          <w:b/>
          <w:color w:val="0F4761"/>
          <w:sz w:val="32"/>
        </w:rPr>
        <w:t>9.  Annexes</w:t>
      </w:r>
    </w:p>
    <w:p>
      <w:pPr>
        <w:pStyle w:val="Heading2"/>
        <w:rPr/>
      </w:pPr>
      <w:bookmarkStart w:id="21" w:name="__RefHeading___Toc58230_3199679052"/>
      <w:bookmarkEnd w:id="21"/>
      <w:r>
        <w:rPr>
          <w:rFonts w:eastAsia="Segoe UI" w:cs="Segoe UI"/>
          <w:b/>
          <w:color w:val="0F4761"/>
          <w:sz w:val="26"/>
        </w:rPr>
        <w:t>9.1  Annex A: exit schedule</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737"/>
        <w:gridCol w:w="5277"/>
      </w:tblGrid>
      <w:tr>
        <w:trPr>
          <w:tblHeader w:val="true"/>
        </w:trPr>
        <w:tc>
          <w:tcPr>
            <w:tcW w:w="373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527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Entry</w:t>
            </w:r>
          </w:p>
        </w:tc>
      </w:tr>
      <w:tr>
        <w:trPr/>
        <w:tc>
          <w:tcPr>
            <w:tcW w:w="37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Order Form no. and services ending</w:t>
            </w:r>
          </w:p>
        </w:tc>
        <w:tc>
          <w:tcPr>
            <w:tcW w:w="527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[number]; [subscription / hosting / both]</w:t>
            </w:r>
          </w:p>
        </w:tc>
      </w:tr>
      <w:tr>
        <w:trPr/>
        <w:tc>
          <w:tcPr>
            <w:tcW w:w="37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Notice given by and on</w:t>
            </w:r>
          </w:p>
        </w:tc>
        <w:tc>
          <w:tcPr>
            <w:tcW w:w="527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[Party], [date]</w:t>
            </w:r>
          </w:p>
        </w:tc>
      </w:tr>
      <w:tr>
        <w:trPr/>
        <w:tc>
          <w:tcPr>
            <w:tcW w:w="37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End Date (Day 0)</w:t>
            </w:r>
          </w:p>
        </w:tc>
        <w:tc>
          <w:tcPr>
            <w:tcW w:w="527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[date]</w:t>
            </w:r>
          </w:p>
        </w:tc>
      </w:tr>
      <w:tr>
        <w:trPr/>
        <w:tc>
          <w:tcPr>
            <w:tcW w:w="37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Exit contacts</w:t>
            </w:r>
          </w:p>
        </w:tc>
        <w:tc>
          <w:tcPr>
            <w:tcW w:w="527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[name, e-mail]; Client: [name, e-mail]; Client DPO: [name, e-mail]</w:t>
            </w:r>
          </w:p>
        </w:tc>
      </w:tr>
      <w:tr>
        <w:trPr/>
        <w:tc>
          <w:tcPr>
            <w:tcW w:w="37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Export scope and formats</w:t>
            </w:r>
          </w:p>
        </w:tc>
        <w:tc>
          <w:tcPr>
            <w:tcW w:w="527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[as in the Data return chapter / changes]</w:t>
            </w:r>
          </w:p>
        </w:tc>
      </w:tr>
      <w:tr>
        <w:trPr/>
        <w:tc>
          <w:tcPr>
            <w:tcW w:w="37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Delivery method</w:t>
            </w:r>
          </w:p>
        </w:tc>
        <w:tc>
          <w:tcPr>
            <w:tcW w:w="527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[secure transfer / encrypted media]</w:t>
            </w:r>
          </w:p>
        </w:tc>
      </w:tr>
      <w:tr>
        <w:trPr/>
        <w:tc>
          <w:tcPr>
            <w:tcW w:w="37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Trial export</w:t>
            </w:r>
          </w:p>
        </w:tc>
        <w:tc>
          <w:tcPr>
            <w:tcW w:w="527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[Yes, on date / No]</w:t>
            </w:r>
          </w:p>
        </w:tc>
      </w:tr>
      <w:tr>
        <w:trPr/>
        <w:tc>
          <w:tcPr>
            <w:tcW w:w="37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Read-only access after Day 0</w:t>
            </w:r>
          </w:p>
        </w:tc>
        <w:tc>
          <w:tcPr>
            <w:tcW w:w="527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[Yes, until date, at no charge or fee / No]</w:t>
            </w:r>
          </w:p>
        </w:tc>
      </w:tr>
      <w:tr>
        <w:trPr/>
        <w:tc>
          <w:tcPr>
            <w:tcW w:w="37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Hosted environment after Day 0</w:t>
            </w:r>
          </w:p>
        </w:tc>
        <w:tc>
          <w:tcPr>
            <w:tcW w:w="527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[Yes, until date (at most Day 90) / No]</w:t>
            </w:r>
          </w:p>
        </w:tc>
      </w:tr>
      <w:tr>
        <w:trPr/>
        <w:tc>
          <w:tcPr>
            <w:tcW w:w="37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Transition assistance estimate</w:t>
            </w:r>
          </w:p>
        </w:tc>
        <w:tc>
          <w:tcPr>
            <w:tcW w:w="527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[man-days by role; amount PHP]</w:t>
            </w:r>
          </w:p>
        </w:tc>
      </w:tr>
      <w:tr>
        <w:trPr/>
        <w:tc>
          <w:tcPr>
            <w:tcW w:w="37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Planned deletion date</w:t>
            </w:r>
          </w:p>
        </w:tc>
        <w:tc>
          <w:tcPr>
            <w:tcW w:w="527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[date]</w:t>
            </w:r>
          </w:p>
        </w:tc>
      </w:tr>
    </w:tbl>
    <w:p>
      <w:pPr>
        <w:pStyle w:val="Normal"/>
        <w:spacing w:before="0" w:after="80"/>
        <w:rPr/>
      </w:pPr>
      <w:r>
        <w:rPr/>
      </w:r>
    </w:p>
    <w:p>
      <w:pPr>
        <w:pStyle w:val="Heading2"/>
        <w:rPr/>
      </w:pPr>
      <w:bookmarkStart w:id="22" w:name="__RefHeading___Toc58232_3199679052"/>
      <w:bookmarkEnd w:id="22"/>
      <w:r>
        <w:rPr>
          <w:rFonts w:eastAsia="Segoe UI" w:cs="Segoe UI"/>
          <w:b/>
          <w:color w:val="0F4761"/>
          <w:sz w:val="26"/>
        </w:rPr>
        <w:t>9.2  Annex B: export manifest</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60"/>
        <w:gridCol w:w="2389"/>
        <w:gridCol w:w="2178"/>
        <w:gridCol w:w="907"/>
        <w:gridCol w:w="1346"/>
        <w:gridCol w:w="1133"/>
      </w:tblGrid>
      <w:tr>
        <w:trPr>
          <w:tblHeader w:val="true"/>
        </w:trPr>
        <w:tc>
          <w:tcPr>
            <w:tcW w:w="106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File</w:t>
            </w:r>
          </w:p>
        </w:tc>
        <w:tc>
          <w:tcPr>
            <w:tcW w:w="238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Content</w:t>
            </w:r>
          </w:p>
        </w:tc>
        <w:tc>
          <w:tcPr>
            <w:tcW w:w="217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Format</w:t>
            </w:r>
          </w:p>
        </w:tc>
        <w:tc>
          <w:tcPr>
            <w:tcW w:w="9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Size</w:t>
            </w:r>
          </w:p>
        </w:tc>
        <w:tc>
          <w:tcPr>
            <w:tcW w:w="134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Rows</w:t>
            </w:r>
          </w:p>
        </w:tc>
        <w:tc>
          <w:tcPr>
            <w:tcW w:w="11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Checksum</w:t>
            </w:r>
          </w:p>
        </w:tc>
      </w:tr>
      <w:tr>
        <w:trPr/>
        <w:tc>
          <w:tcPr>
            <w:tcW w:w="10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[file name]</w:t>
            </w:r>
          </w:p>
        </w:tc>
        <w:tc>
          <w:tcPr>
            <w:tcW w:w="23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Database dump</w:t>
            </w:r>
          </w:p>
        </w:tc>
        <w:tc>
          <w:tcPr>
            <w:tcW w:w="21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PostgreSQL custom format</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[size]</w:t>
            </w:r>
          </w:p>
        </w:tc>
        <w:tc>
          <w:tcPr>
            <w:tcW w:w="13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 applicable</w:t>
            </w:r>
          </w:p>
        </w:tc>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[checksum]</w:t>
            </w:r>
          </w:p>
        </w:tc>
      </w:tr>
      <w:tr>
        <w:trPr/>
        <w:tc>
          <w:tcPr>
            <w:tcW w:w="10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[file name]</w:t>
            </w:r>
          </w:p>
        </w:tc>
        <w:tc>
          <w:tcPr>
            <w:tcW w:w="23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Uploaded documents archive</w:t>
            </w:r>
          </w:p>
        </w:tc>
        <w:tc>
          <w:tcPr>
            <w:tcW w:w="21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Archive</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[size]</w:t>
            </w:r>
          </w:p>
        </w:tc>
        <w:tc>
          <w:tcPr>
            <w:tcW w:w="13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[files]</w:t>
            </w:r>
          </w:p>
        </w:tc>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[checksum]</w:t>
            </w:r>
          </w:p>
        </w:tc>
      </w:tr>
      <w:tr>
        <w:trPr/>
        <w:tc>
          <w:tcPr>
            <w:tcW w:w="10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[file name]</w:t>
            </w:r>
          </w:p>
        </w:tc>
        <w:tc>
          <w:tcPr>
            <w:tcW w:w="23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[register] extract</w:t>
            </w:r>
          </w:p>
        </w:tc>
        <w:tc>
          <w:tcPr>
            <w:tcW w:w="21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CSV</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[size]</w:t>
            </w:r>
          </w:p>
        </w:tc>
        <w:tc>
          <w:tcPr>
            <w:tcW w:w="13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[rows]</w:t>
            </w:r>
          </w:p>
        </w:tc>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[checksum]</w:t>
            </w:r>
          </w:p>
        </w:tc>
      </w:tr>
      <w:tr>
        <w:trPr/>
        <w:tc>
          <w:tcPr>
            <w:tcW w:w="10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[file name]</w:t>
            </w:r>
          </w:p>
        </w:tc>
        <w:tc>
          <w:tcPr>
            <w:tcW w:w="23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Data dictionary</w:t>
            </w:r>
          </w:p>
        </w:tc>
        <w:tc>
          <w:tcPr>
            <w:tcW w:w="21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XLSX</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[size]</w:t>
            </w:r>
          </w:p>
        </w:tc>
        <w:tc>
          <w:tcPr>
            <w:tcW w:w="13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 applicable</w:t>
            </w:r>
          </w:p>
        </w:tc>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[checksum]</w:t>
            </w:r>
          </w:p>
        </w:tc>
      </w:tr>
      <w:tr>
        <w:trPr/>
        <w:tc>
          <w:tcPr>
            <w:tcW w:w="10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[file name]</w:t>
            </w:r>
          </w:p>
        </w:tc>
        <w:tc>
          <w:tcPr>
            <w:tcW w:w="23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Configuration export</w:t>
            </w:r>
          </w:p>
        </w:tc>
        <w:tc>
          <w:tcPr>
            <w:tcW w:w="21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[format]</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[size]</w:t>
            </w:r>
          </w:p>
        </w:tc>
        <w:tc>
          <w:tcPr>
            <w:tcW w:w="13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 applicable</w:t>
            </w:r>
          </w:p>
        </w:tc>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[checksum]</w:t>
            </w:r>
          </w:p>
        </w:tc>
      </w:tr>
    </w:tbl>
    <w:p>
      <w:pPr>
        <w:pStyle w:val="Normal"/>
        <w:spacing w:before="0" w:after="80"/>
        <w:rPr/>
      </w:pPr>
      <w:r>
        <w:rPr/>
      </w:r>
    </w:p>
    <w:p>
      <w:pPr>
        <w:pStyle w:val="Heading2"/>
        <w:rPr/>
      </w:pPr>
      <w:bookmarkStart w:id="23" w:name="__RefHeading___Toc58234_3199679052"/>
      <w:bookmarkEnd w:id="23"/>
      <w:r>
        <w:rPr>
          <w:rFonts w:eastAsia="Segoe UI" w:cs="Segoe UI"/>
          <w:b/>
          <w:color w:val="0F4761"/>
          <w:sz w:val="26"/>
        </w:rPr>
        <w:t>9.3  Annex C: confirmation of data return</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87"/>
        <w:gridCol w:w="5926"/>
      </w:tblGrid>
      <w:tr>
        <w:trPr>
          <w:tblHeader w:val="true"/>
        </w:trPr>
        <w:tc>
          <w:tcPr>
            <w:tcW w:w="308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Field</w:t>
            </w:r>
          </w:p>
        </w:tc>
        <w:tc>
          <w:tcPr>
            <w:tcW w:w="592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Entry</w:t>
            </w:r>
          </w:p>
        </w:tc>
      </w:tr>
      <w:tr>
        <w:trPr/>
        <w:tc>
          <w:tcPr>
            <w:tcW w:w="30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w:t>
            </w:r>
          </w:p>
        </w:tc>
        <w:tc>
          <w:tcPr>
            <w:tcW w:w="59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 legal name]</w:t>
            </w:r>
          </w:p>
        </w:tc>
      </w:tr>
      <w:tr>
        <w:trPr/>
        <w:tc>
          <w:tcPr>
            <w:tcW w:w="30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Export delivered on</w:t>
            </w:r>
          </w:p>
        </w:tc>
        <w:tc>
          <w:tcPr>
            <w:tcW w:w="59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[date], manifest ref. [reference]</w:t>
            </w:r>
          </w:p>
        </w:tc>
      </w:tr>
      <w:tr>
        <w:trPr/>
        <w:tc>
          <w:tcPr>
            <w:tcW w:w="30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Checks made by the Client</w:t>
            </w:r>
          </w:p>
        </w:tc>
        <w:tc>
          <w:tcPr>
            <w:tcW w:w="59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[checksums verified; dump restored into PostgreSQL 16; row counts compared; documents opened]</w:t>
            </w:r>
          </w:p>
        </w:tc>
      </w:tr>
      <w:tr>
        <w:trPr/>
        <w:tc>
          <w:tcPr>
            <w:tcW w:w="30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Result</w:t>
            </w:r>
          </w:p>
        </w:tc>
        <w:tc>
          <w:tcPr>
            <w:tcW w:w="59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[Export received and readable / Defects listed below]</w:t>
            </w:r>
          </w:p>
        </w:tc>
      </w:tr>
      <w:tr>
        <w:trPr/>
        <w:tc>
          <w:tcPr>
            <w:tcW w:w="30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Defects, if any</w:t>
            </w:r>
          </w:p>
        </w:tc>
        <w:tc>
          <w:tcPr>
            <w:tcW w:w="59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[list]</w:t>
            </w:r>
          </w:p>
        </w:tc>
      </w:tr>
      <w:tr>
        <w:trPr/>
        <w:tc>
          <w:tcPr>
            <w:tcW w:w="30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Confirmed by (Client)</w:t>
            </w:r>
          </w:p>
        </w:tc>
        <w:tc>
          <w:tcPr>
            <w:tcW w:w="59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 title, signature, date]</w:t>
            </w:r>
          </w:p>
        </w:tc>
      </w:tr>
    </w:tbl>
    <w:p>
      <w:pPr>
        <w:pStyle w:val="Normal"/>
        <w:spacing w:before="0" w:after="80"/>
        <w:rPr/>
      </w:pPr>
      <w:r>
        <w:rPr/>
      </w:r>
    </w:p>
    <w:p>
      <w:pPr>
        <w:pStyle w:val="Heading2"/>
        <w:rPr/>
      </w:pPr>
      <w:bookmarkStart w:id="24" w:name="__RefHeading___Toc58236_3199679052"/>
      <w:bookmarkEnd w:id="24"/>
      <w:r>
        <w:rPr>
          <w:rFonts w:eastAsia="Segoe UI" w:cs="Segoe UI"/>
          <w:b/>
          <w:color w:val="0F4761"/>
          <w:sz w:val="26"/>
        </w:rPr>
        <w:t>9.4  Annex D: certificate of deletion</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07"/>
        <w:gridCol w:w="4506"/>
      </w:tblGrid>
      <w:tr>
        <w:trPr>
          <w:tblHeader w:val="true"/>
        </w:trPr>
        <w:tc>
          <w:tcPr>
            <w:tcW w:w="45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Field</w:t>
            </w:r>
          </w:p>
        </w:tc>
        <w:tc>
          <w:tcPr>
            <w:tcW w:w="45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Entry</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Certificate no.</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[DEL-year-number]</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Controller</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 legal name]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Processor</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Corp.</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Services ended</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[subscription / hosting], Order Form no. [number], End Date [date]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Environments deleted</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[production, UAT, additional environments], [provider and region]</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Other copies deleted</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[support and migration copies, file store]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Date deletion completed</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Method</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[Deletion of the database instances and storage volumes; deletion of file store and object storage; provider confirmation reference]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Backups remaining and their expiry</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[daily backups expire by date; monthly copies expire by date; year-end copies expire by date, if instructed]</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 kept because the law requires it</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[None / description and legal basis]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Statement</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certifies that the Client Data in the environments listed above has been deleted as stated, and that the remaining backups will expire as stated and will not be restored except to comply with law.</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Signed by the iorta TechNXT data protection officer</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 signature, date]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Received by the Client's data protection officer</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 signature, date]</w:t>
            </w:r>
          </w:p>
        </w:tc>
      </w:tr>
    </w:tbl>
    <w:p>
      <w:pPr>
        <w:pStyle w:val="Heading1"/>
        <w:tabs>
          <w:tab w:val="clear" w:pos="720"/>
          <w:tab w:val="left" w:pos="360" w:leader="none"/>
        </w:tabs>
        <w:spacing w:lineRule="auto" w:line="360"/>
        <w:ind w:hanging="0" w:left="0"/>
        <w:rPr>
          <w:rStyle w:val="BookTitle"/>
          <w:b w:val="false"/>
          <w:bCs w:val="false"/>
          <w:i w:val="false"/>
          <w:i w:val="false"/>
          <w:iCs w:val="false"/>
          <w:spacing w:val="0"/>
        </w:rPr>
      </w:pPr>
      <w:r>
        <w:br w:type="page"/>
      </w:r>
      <w:bookmarkStart w:id="25" w:name="__RefHeading___Toc58238_3199679052"/>
      <w:bookmarkStart w:id="26" w:name="_Toc233203395"/>
      <w:bookmarkEnd w:id="25"/>
      <w:r>
        <w:rPr>
          <w:rStyle w:val="BookTitle"/>
          <w:bCs w:val="false"/>
          <w:i w:val="false"/>
          <w:iCs w:val="false"/>
          <w:spacing w:val="0"/>
        </w:rPr>
        <w:t>10.  Document Sign-Off</w:t>
      </w:r>
      <w:bookmarkEnd w:id="26"/>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457"/>
        <w:gridCol w:w="3859"/>
        <w:gridCol w:w="1727"/>
        <w:gridCol w:w="1982"/>
      </w:tblGrid>
      <w:tr>
        <w:trPr>
          <w:trHeight w:val="440"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Serial Number</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Description</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Owner</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Status</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Review and completion by the parties' legal counsel and data protection officers before signature</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Open</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3294"/>
        <w:gridCol w:w="1828"/>
        <w:gridCol w:w="2349"/>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 Off Date</w:t>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Signature</w:t>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w:t>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Department &amp; Project Role</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rPr/>
      </w:pPr>
      <w:r>
        <w:rPr/>
      </w:r>
      <w:r>
        <w:br w:type="page"/>
      </w:r>
    </w:p>
    <w:p>
      <w:pPr>
        <w:pStyle w:val="Normal"/>
        <w:spacing w:before="0" w:after="160"/>
        <w:rPr/>
      </w:pPr>
      <w:r>
        <w:rPr/>
      </w:r>
    </w:p>
    <w:p>
      <w:pPr>
        <w:pStyle w:val="Normal"/>
        <w:widowControl/>
        <w:bidi w:val="0"/>
        <w:spacing w:lineRule="auto" w:line="278" w:before="0" w:after="160"/>
        <w:jc w:val="left"/>
        <w:rPr/>
      </w:pPr>
      <w:r>
        <w:rPr/>
        <w:drawing>
          <wp:anchor behindDoc="1" distT="0" distB="0" distL="0" distR="0" simplePos="0" locked="0" layoutInCell="0" allowOverlap="1" relativeHeight="15">
            <wp:simplePos x="0" y="0"/>
            <wp:positionH relativeFrom="margin">
              <wp:align>center</wp:align>
            </wp:positionH>
            <wp:positionV relativeFrom="margin">
              <wp:align>center</wp:align>
            </wp:positionV>
            <wp:extent cx="7548245" cy="10677525"/>
            <wp:effectExtent l="0" t="0" r="0" b="0"/>
            <wp:wrapNone/>
            <wp:docPr id="8"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
                    <pic:cNvPicPr>
                      <a:picLocks noChangeAspect="1" noChangeArrowheads="1"/>
                    </pic:cNvPicPr>
                  </pic:nvPicPr>
                  <pic:blipFill>
                    <a:blip r:embed="rId4"/>
                    <a:stretch>
                      <a:fillRect/>
                    </a:stretch>
                  </pic:blipFill>
                  <pic:spPr bwMode="auto">
                    <a:xfrm>
                      <a:off x="0" y="0"/>
                      <a:ext cx="7548245" cy="10677525"/>
                    </a:xfrm>
                    <a:prstGeom prst="rect">
                      <a:avLst/>
                    </a:prstGeom>
                  </pic:spPr>
                </pic:pic>
              </a:graphicData>
            </a:graphic>
          </wp:anchor>
        </w:drawing>
      </w:r>
    </w:p>
    <w:sectPr>
      <w:footerReference w:type="default" r:id="rId5"/>
      <w:footerReference w:type="first" r:id="rId6"/>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Segoe UI">
    <w:charset w:val="01"/>
    <w:family w:val="roman"/>
    <w:pitch w:val="variable"/>
  </w:font>
  <w:font w:name="Liberation Sans">
    <w:altName w:val="Arial"/>
    <w:charset w:val="01"/>
    <w:family w:val="swiss"/>
    <w:pitch w:val="variable"/>
  </w:font>
  <w:font w:name="Aria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14">
          <wp:simplePos x="0" y="0"/>
          <wp:positionH relativeFrom="page">
            <wp:align>left</wp:align>
          </wp:positionH>
          <wp:positionV relativeFrom="paragraph">
            <wp:posOffset>-708025</wp:posOffset>
          </wp:positionV>
          <wp:extent cx="8778240" cy="885190"/>
          <wp:effectExtent l="0" t="0" r="0" b="0"/>
          <wp:wrapNone/>
          <wp:docPr id="9"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14">
          <wp:simplePos x="0" y="0"/>
          <wp:positionH relativeFrom="page">
            <wp:align>left</wp:align>
          </wp:positionH>
          <wp:positionV relativeFrom="paragraph">
            <wp:posOffset>-708025</wp:posOffset>
          </wp:positionV>
          <wp:extent cx="8778240" cy="885190"/>
          <wp:effectExtent l="0" t="0" r="0" b="0"/>
          <wp:wrapNone/>
          <wp:docPr id="10"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1"/>
    <w:lvlOverride w:ilvl="0">
      <w:startOverride w:val="1"/>
    </w:lvlOverride>
  </w:num>
  <w:num w:numId="8">
    <w:abstractNumId w:val="1"/>
    <w:lvlOverride w:ilvl="0">
      <w:startOverride w:val="1"/>
    </w:lvlOverride>
  </w:num>
  <w:num w:numId="9">
    <w:abstractNumId w:val="1"/>
  </w:num>
  <w:num w:numId="10">
    <w:abstractNumId w:val="1"/>
  </w:num>
  <w:num w:numId="11">
    <w:abstractNumId w:val="1"/>
    <w:lvlOverride w:ilvl="0">
      <w:startOverride w:val="1"/>
    </w:lvlOverride>
  </w:num>
  <w:num w:numId="12">
    <w:abstractNumId w:val="1"/>
  </w:num>
  <w:num w:numId="13">
    <w:abstractNumId w:val="1"/>
  </w:num>
  <w:num w:numId="14">
    <w:abstractNumId w:val="1"/>
  </w:num>
  <w:num w:numId="15">
    <w:abstractNumId w:val="1"/>
    <w:lvlOverride w:ilvl="0">
      <w:startOverride w:val="1"/>
    </w:lvlOverride>
  </w:num>
  <w:num w:numId="16">
    <w:abstractNumId w:val="1"/>
  </w:num>
  <w:num w:numId="17">
    <w:abstractNumId w:val="1"/>
  </w:num>
  <w:num w:numId="18">
    <w:abstractNumId w:val="1"/>
  </w:num>
  <w:num w:numId="19">
    <w:abstractNumId w:val="1"/>
    <w:lvlOverride w:ilvl="0">
      <w:startOverride w:val="1"/>
    </w:lvlOverride>
  </w:num>
  <w:num w:numId="20">
    <w:abstractNumId w:val="1"/>
  </w:num>
  <w:num w:numId="21">
    <w:abstractNumId w:val="1"/>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ＭＳ 明朝" w:cs="Arial"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left"/>
    </w:pPr>
    <w:rPr>
      <w:rFonts w:ascii="Aptos" w:hAnsi="Aptos" w:eastAsia="ＭＳ 明朝" w:cs="Arial" w:asciiTheme="minorHAnsi" w:cstheme="minorBidi" w:eastAsiaTheme="minorEastAsia" w:hAnsiTheme="minorHAnsi"/>
      <w:color w:val="auto"/>
      <w:kern w:val="0"/>
      <w:sz w:val="24"/>
      <w:szCs w:val="24"/>
      <w:lang w:val="en-US" w:eastAsia="ja-JP" w:bidi="ar-SA"/>
    </w:rPr>
  </w:style>
  <w:style w:type="paragraph" w:styleId="Heading1">
    <w:name w:val="Heading 1"/>
    <w:basedOn w:val="Normal"/>
    <w:next w:val="Normal"/>
    <w:link w:val="Heading1Char"/>
    <w:uiPriority w:val="9"/>
    <w:qFormat/>
    <w:rsid w:val="002b183a"/>
    <w:pPr>
      <w:keepNext w:val="true"/>
      <w:keepLines/>
      <w:spacing w:before="240" w:after="0"/>
      <w:outlineLvl w:val="0"/>
    </w:pPr>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paragraph" w:styleId="Heading2" w:customStyle="1">
    <w:name w:val="Heading 2"/>
    <w:basedOn w:val="Normal"/>
    <w:qFormat/>
    <w:pPr>
      <w:keepNext w:val="true"/>
      <w:spacing w:before="240" w:after="80"/>
      <w:outlineLvl w:val="1"/>
    </w:pPr>
    <w:rPr>
      <w:rFonts w:ascii="Segoe UI" w:hAnsi="Segoe UI"/>
      <w:b/>
      <w:color w:val="0F4761"/>
      <w:sz w:val="26"/>
    </w:rPr>
  </w:style>
  <w:style w:type="paragraph" w:styleId="Heading3" w:customStyle="1">
    <w:name w:val="Heading 3"/>
    <w:basedOn w:val="Normal"/>
    <w:qFormat/>
    <w:pPr>
      <w:keepNext w:val="true"/>
      <w:spacing w:before="240" w:after="80"/>
      <w:outlineLvl w:val="2"/>
    </w:pPr>
    <w:rPr>
      <w:rFonts w:ascii="Segoe UI" w:hAnsi="Segoe UI"/>
      <w:b/>
      <w:color w:val="0F4761"/>
      <w:sz w:val="23"/>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7526c4"/>
    <w:rPr/>
  </w:style>
  <w:style w:type="character" w:styleId="FooterChar" w:customStyle="1">
    <w:name w:val="Footer Char"/>
    <w:basedOn w:val="DefaultParagraphFont"/>
    <w:link w:val="Footer"/>
    <w:uiPriority w:val="99"/>
    <w:qFormat/>
    <w:rsid w:val="007a4a03"/>
    <w:rPr/>
  </w:style>
  <w:style w:type="character" w:styleId="Heading1Char" w:customStyle="1">
    <w:name w:val="Heading 1 Char"/>
    <w:basedOn w:val="DefaultParagraphFont"/>
    <w:link w:val="Heading1"/>
    <w:uiPriority w:val="9"/>
    <w:qFormat/>
    <w:rsid w:val="002b183a"/>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character" w:styleId="Hyperlink">
    <w:name w:val="Hyperlink"/>
    <w:uiPriority w:val="99"/>
    <w:unhideWhenUsed/>
    <w:rsid w:val="002b183a"/>
    <w:rPr>
      <w:color w:val="0000FF"/>
      <w:u w:val="single"/>
    </w:rPr>
  </w:style>
  <w:style w:type="character" w:styleId="BookTitle">
    <w:name w:val="Book Title"/>
    <w:uiPriority w:val="33"/>
    <w:qFormat/>
    <w:rsid w:val="002b183a"/>
    <w:rPr>
      <w:b/>
      <w:bCs/>
      <w:i/>
      <w:iCs/>
      <w:spacing w:val="5"/>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1b9ac10c"/>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1b9ac10c"/>
    <w:pPr>
      <w:tabs>
        <w:tab w:val="clear" w:pos="720"/>
        <w:tab w:val="center" w:pos="4680" w:leader="none"/>
        <w:tab w:val="right" w:pos="9360" w:leader="none"/>
      </w:tabs>
      <w:spacing w:lineRule="auto" w:line="240" w:before="0" w:after="0"/>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2b183a"/>
    <w:pPr>
      <w:spacing w:lineRule="auto" w:line="276" w:before="480" w:after="0"/>
      <w:outlineLvl w:val="9"/>
    </w:pPr>
    <w:rPr>
      <w:rFonts w:ascii="Arial" w:hAnsi="Arial" w:eastAsia="Times New Roman" w:cs="Arial"/>
      <w:bCs/>
      <w:color w:themeColor="accent1" w:themeShade="bf" w:val="365F91"/>
      <w:sz w:val="28"/>
      <w:szCs w:val="28"/>
      <w:lang w:eastAsia="en-US"/>
    </w:rPr>
  </w:style>
  <w:style w:type="paragraph" w:styleId="TOC1">
    <w:name w:val="TOC 1"/>
    <w:basedOn w:val="Normal"/>
    <w:next w:val="Normal"/>
    <w:autoRedefine/>
    <w:uiPriority w:val="39"/>
    <w:unhideWhenUsed/>
    <w:qFormat/>
    <w:rsid w:val="002b183a"/>
    <w:pPr>
      <w:tabs>
        <w:tab w:val="clear" w:pos="720"/>
        <w:tab w:val="left" w:pos="900" w:leader="none"/>
        <w:tab w:val="right" w:pos="9350" w:leader="dot"/>
      </w:tabs>
      <w:spacing w:lineRule="auto" w:line="276" w:before="0" w:after="100"/>
      <w:jc w:val="both"/>
    </w:pPr>
    <w:rPr>
      <w:rFonts w:ascii="Segoe UI" w:hAnsi="Segoe UI" w:eastAsia="Times New Roman" w:cs="Times New Roman"/>
      <w:b/>
      <w:color w:val="101820"/>
      <w:sz w:val="20"/>
      <w:szCs w:val="22"/>
      <w:lang w:eastAsia="en-US"/>
    </w:rPr>
  </w:style>
  <w:style w:type="paragraph" w:styleId="TOC2" w:customStyle="1">
    <w:name w:val="TOC 2"/>
    <w:basedOn w:val="TOC1"/>
    <w:pPr>
      <w:ind w:left="340"/>
    </w:pPr>
    <w:rPr/>
  </w:style>
  <w:style w:type="paragraph" w:styleId="TOC3" w:customStyle="1">
    <w:name w:val="TOC 3"/>
    <w:basedOn w:val="TOC1"/>
    <w:pPr>
      <w:ind w:left="68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Relationship Id="rId12" Type="http://schemas.openxmlformats.org/officeDocument/2006/relationships/customXml" Target="../customXml/item2.xml"/><Relationship Id="rId13" Type="http://schemas.openxmlformats.org/officeDocument/2006/relationships/customXml" Target="../customXml/item3.xml"/><Relationship Id="rId14" Type="http://schemas.openxmlformats.org/officeDocument/2006/relationships/customXml" Target="../customXml/item4.xml"/>
</Relationships>
</file>

<file path=word/_rels/footer1.xml.rels><?xml version="1.0" encoding="UTF-8"?>
<Relationships xmlns="http://schemas.openxmlformats.org/package/2006/relationships"><Relationship Id="rId1" Type="http://schemas.openxmlformats.org/officeDocument/2006/relationships/image" Target="media/image4.png"/>
</Relationships>
</file>

<file path=word/_rels/footer2.xml.rels><?xml version="1.0" encoding="UTF-8"?>
<Relationships xmlns="http://schemas.openxmlformats.org/package/2006/relationships"><Relationship Id="rId1" Type="http://schemas.openxmlformats.org/officeDocument/2006/relationships/image" Target="media/image4.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B5F57171CF124DA305F5F2F2C90404" ma:contentTypeVersion="10" ma:contentTypeDescription="Create a new document." ma:contentTypeScope="" ma:versionID="5fc2ae173fd82ea9f4710d62b9055a3a">
  <xsd:schema xmlns:xsd="http://www.w3.org/2001/XMLSchema" xmlns:xs="http://www.w3.org/2001/XMLSchema" xmlns:p="http://schemas.microsoft.com/office/2006/metadata/properties" xmlns:ns3="fcd4fbc6-d149-41e6-b5a3-0f2dc7078962" targetNamespace="http://schemas.microsoft.com/office/2006/metadata/properties" ma:root="true" ma:fieldsID="47065ddf53e9fb8c6afaae7654624852" ns3:_="">
    <xsd:import namespace="fcd4fbc6-d149-41e6-b5a3-0f2dc70789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4fbc6-d149-41e6-b5a3-0f2dc70789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fcd4fbc6-d149-41e6-b5a3-0f2dc7078962" xsi:nil="true"/>
  </documentManagement>
</p:properties>
</file>

<file path=customXml/itemProps1.xml><?xml version="1.0" encoding="utf-8"?>
<ds:datastoreItem xmlns:ds="http://schemas.openxmlformats.org/officeDocument/2006/customXml" ds:itemID="{C0CA43DA-C851-4C9F-AA9A-3B73EDF75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4fbc6-d149-41e6-b5a3-0f2dc7078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CE9AF4-17E0-496B-86F7-DDAE56028FB6}">
  <ds:schemaRefs>
    <ds:schemaRef ds:uri="http://schemas.microsoft.com/sharepoint/v3/contenttype/forms"/>
  </ds:schemaRefs>
</ds:datastoreItem>
</file>

<file path=customXml/itemProps3.xml><?xml version="1.0" encoding="utf-8"?>
<ds:datastoreItem xmlns:ds="http://schemas.openxmlformats.org/officeDocument/2006/customXml" ds:itemID="{F85506AB-341E-4DB7-9E6C-94E21EE12267}">
  <ds:schemaRefs>
    <ds:schemaRef ds:uri="http://schemas.openxmlformats.org/officeDocument/2006/bibliography"/>
  </ds:schemaRefs>
</ds:datastoreItem>
</file>

<file path=customXml/itemProps4.xml><?xml version="1.0" encoding="utf-8"?>
<ds:datastoreItem xmlns:ds="http://schemas.openxmlformats.org/officeDocument/2006/customXml" ds:itemID="{FCAF19BD-2A20-432E-A6D3-31F36EF57940}">
  <ds:schemaRefs>
    <ds:schemaRef ds:uri="http://schemas.microsoft.com/office/2006/metadata/properties"/>
    <ds:schemaRef ds:uri="http://schemas.microsoft.com/office/infopath/2007/PartnerControls"/>
    <ds:schemaRef ds:uri="fcd4fbc6-d149-41e6-b5a3-0f2dc7078962"/>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LibreOffice/24.2.7.2$Linux_X86_64 LibreOffice_project/420$Build-2</Application>
  <AppVersion>15.0000</AppVersion>
  <Pages>8</Pages>
  <Words>812</Words>
  <Characters>4634</Characters>
  <CharactersWithSpaces>5436</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2026-06-24T05:58:00Z</dcterms:created>
  <dc:creator>Andrew R</dc:creator>
  <dc:description/>
  <dc:language>en-US</dc:language>
  <cp:lastModifiedBy/>
  <dcterms:modified xsi:type="dcterms:W3CDTF">2026-10-04T01:52:06Z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0x01010010B5F57171CF124DA305F5F2F2C90404</vt:lpwstr>
  </property>
</Properties>
</file>