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9793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9795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9797_3199679052">
            <w:r>
              <w:rPr>
                <w:webHidden/>
                <w:rStyle w:val="IndexLink"/>
              </w:rPr>
              <w:t>3. About this template</w:t>
              <w:tab/>
              <w:t>4</w:t>
            </w:r>
          </w:hyperlink>
        </w:p>
        <w:p>
          <w:pPr>
            <w:pStyle w:val="TOC1"/>
            <w:tabs>
              <w:tab w:val="clear" w:pos="900"/>
              <w:tab w:val="clear" w:pos="9350"/>
              <w:tab w:val="right" w:pos="9025" w:leader="dot"/>
            </w:tabs>
            <w:rPr/>
          </w:pPr>
          <w:hyperlink w:anchor="__RefHeading___Toc39799_3199679052">
            <w:r>
              <w:rPr>
                <w:webHidden/>
                <w:rStyle w:val="IndexLink"/>
              </w:rPr>
              <w:t>4. Scope</w:t>
              <w:tab/>
              <w:t>5</w:t>
            </w:r>
          </w:hyperlink>
        </w:p>
        <w:p>
          <w:pPr>
            <w:pStyle w:val="TOC2"/>
            <w:tabs>
              <w:tab w:val="clear" w:pos="900"/>
              <w:tab w:val="clear" w:pos="9350"/>
              <w:tab w:val="right" w:pos="9025" w:leader="dot"/>
            </w:tabs>
            <w:rPr/>
          </w:pPr>
          <w:hyperlink w:anchor="__RefHeading___Toc39801_3199679052">
            <w:r>
              <w:rPr>
                <w:webHidden/>
                <w:rStyle w:val="IndexLink"/>
              </w:rPr>
              <w:t>4.1 Objective</w:t>
              <w:tab/>
              <w:t>5</w:t>
            </w:r>
          </w:hyperlink>
        </w:p>
        <w:p>
          <w:pPr>
            <w:pStyle w:val="TOC2"/>
            <w:tabs>
              <w:tab w:val="clear" w:pos="900"/>
              <w:tab w:val="clear" w:pos="9350"/>
              <w:tab w:val="right" w:pos="9025" w:leader="dot"/>
            </w:tabs>
            <w:rPr/>
          </w:pPr>
          <w:hyperlink w:anchor="__RefHeading___Toc39803_3199679052">
            <w:r>
              <w:rPr>
                <w:webHidden/>
                <w:rStyle w:val="IndexLink"/>
              </w:rPr>
              <w:t>4.2 In scope</w:t>
              <w:tab/>
              <w:t>5</w:t>
            </w:r>
          </w:hyperlink>
        </w:p>
        <w:p>
          <w:pPr>
            <w:pStyle w:val="TOC2"/>
            <w:tabs>
              <w:tab w:val="clear" w:pos="900"/>
              <w:tab w:val="clear" w:pos="9350"/>
              <w:tab w:val="right" w:pos="9025" w:leader="dot"/>
            </w:tabs>
            <w:rPr/>
          </w:pPr>
          <w:hyperlink w:anchor="__RefHeading___Toc39805_3199679052">
            <w:r>
              <w:rPr>
                <w:webHidden/>
                <w:rStyle w:val="IndexLink"/>
              </w:rPr>
              <w:t>4.3 Implementation size</w:t>
              <w:tab/>
              <w:t>5</w:t>
            </w:r>
          </w:hyperlink>
        </w:p>
        <w:p>
          <w:pPr>
            <w:pStyle w:val="TOC1"/>
            <w:tabs>
              <w:tab w:val="clear" w:pos="900"/>
              <w:tab w:val="clear" w:pos="9350"/>
              <w:tab w:val="right" w:pos="9025" w:leader="dot"/>
            </w:tabs>
            <w:rPr/>
          </w:pPr>
          <w:hyperlink w:anchor="__RefHeading___Toc39807_3199679052">
            <w:r>
              <w:rPr>
                <w:webHidden/>
                <w:rStyle w:val="IndexLink"/>
              </w:rPr>
              <w:t>5. Approach and phases</w:t>
              <w:tab/>
              <w:t>7</w:t>
            </w:r>
          </w:hyperlink>
        </w:p>
        <w:p>
          <w:pPr>
            <w:pStyle w:val="TOC1"/>
            <w:tabs>
              <w:tab w:val="clear" w:pos="900"/>
              <w:tab w:val="clear" w:pos="9350"/>
              <w:tab w:val="right" w:pos="9025" w:leader="dot"/>
            </w:tabs>
            <w:rPr/>
          </w:pPr>
          <w:hyperlink w:anchor="__RefHeading___Toc39809_3199679052">
            <w:r>
              <w:rPr>
                <w:webHidden/>
                <w:rStyle w:val="IndexLink"/>
              </w:rPr>
              <w:t>6. Deliverables and acceptance</w:t>
              <w:tab/>
              <w:t>8</w:t>
            </w:r>
          </w:hyperlink>
        </w:p>
        <w:p>
          <w:pPr>
            <w:pStyle w:val="TOC2"/>
            <w:tabs>
              <w:tab w:val="clear" w:pos="900"/>
              <w:tab w:val="clear" w:pos="9350"/>
              <w:tab w:val="right" w:pos="9025" w:leader="dot"/>
            </w:tabs>
            <w:rPr/>
          </w:pPr>
          <w:hyperlink w:anchor="__RefHeading___Toc39811_3199679052">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39813_3199679052">
            <w:r>
              <w:rPr>
                <w:webHidden/>
                <w:rStyle w:val="IndexLink"/>
              </w:rPr>
              <w:t>6.2 Acceptance procedure</w:t>
              <w:tab/>
              <w:t>8</w:t>
            </w:r>
          </w:hyperlink>
        </w:p>
        <w:p>
          <w:pPr>
            <w:pStyle w:val="TOC2"/>
            <w:tabs>
              <w:tab w:val="clear" w:pos="900"/>
              <w:tab w:val="clear" w:pos="9350"/>
              <w:tab w:val="right" w:pos="9025" w:leader="dot"/>
            </w:tabs>
            <w:rPr/>
          </w:pPr>
          <w:hyperlink w:anchor="__RefHeading___Toc39815_3199679052">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39817_3199679052">
            <w:r>
              <w:rPr>
                <w:webHidden/>
                <w:rStyle w:val="IndexLink"/>
              </w:rPr>
              <w:t>7. Client responsibilities</w:t>
              <w:tab/>
              <w:t>10</w:t>
            </w:r>
          </w:hyperlink>
        </w:p>
        <w:p>
          <w:pPr>
            <w:pStyle w:val="TOC1"/>
            <w:tabs>
              <w:tab w:val="clear" w:pos="900"/>
              <w:tab w:val="clear" w:pos="9350"/>
              <w:tab w:val="right" w:pos="9025" w:leader="dot"/>
            </w:tabs>
            <w:rPr/>
          </w:pPr>
          <w:hyperlink w:anchor="__RefHeading___Toc39819_3199679052">
            <w:r>
              <w:rPr>
                <w:webHidden/>
                <w:rStyle w:val="IndexLink"/>
              </w:rPr>
              <w:t>8. Assumptions</w:t>
              <w:tab/>
              <w:t>11</w:t>
            </w:r>
          </w:hyperlink>
        </w:p>
        <w:p>
          <w:pPr>
            <w:pStyle w:val="TOC1"/>
            <w:tabs>
              <w:tab w:val="clear" w:pos="900"/>
              <w:tab w:val="clear" w:pos="9350"/>
              <w:tab w:val="right" w:pos="9025" w:leader="dot"/>
            </w:tabs>
            <w:rPr/>
          </w:pPr>
          <w:hyperlink w:anchor="__RefHeading___Toc39821_3199679052">
            <w:r>
              <w:rPr>
                <w:webHidden/>
                <w:rStyle w:val="IndexLink"/>
              </w:rPr>
              <w:t>9. Exclusions</w:t>
              <w:tab/>
              <w:t>12</w:t>
            </w:r>
          </w:hyperlink>
        </w:p>
        <w:p>
          <w:pPr>
            <w:pStyle w:val="TOC1"/>
            <w:tabs>
              <w:tab w:val="clear" w:pos="900"/>
              <w:tab w:val="clear" w:pos="9350"/>
              <w:tab w:val="right" w:pos="9025" w:leader="dot"/>
            </w:tabs>
            <w:rPr/>
          </w:pPr>
          <w:hyperlink w:anchor="__RefHeading___Toc39823_3199679052">
            <w:r>
              <w:rPr>
                <w:webHidden/>
                <w:rStyle w:val="IndexLink"/>
              </w:rPr>
              <w:t>10. Timeline by size</w:t>
              <w:tab/>
              <w:t>13</w:t>
            </w:r>
          </w:hyperlink>
        </w:p>
        <w:p>
          <w:pPr>
            <w:pStyle w:val="TOC2"/>
            <w:tabs>
              <w:tab w:val="clear" w:pos="900"/>
              <w:tab w:val="clear" w:pos="9350"/>
              <w:tab w:val="right" w:pos="9025" w:leader="dot"/>
            </w:tabs>
            <w:rPr/>
          </w:pPr>
          <w:hyperlink w:anchor="__RefHeading___Toc39825_3199679052">
            <w:r>
              <w:rPr>
                <w:webHidden/>
                <w:rStyle w:val="IndexLink"/>
              </w:rPr>
              <w:t>10.1 Durations</w:t>
              <w:tab/>
              <w:t>13</w:t>
            </w:r>
          </w:hyperlink>
        </w:p>
        <w:p>
          <w:pPr>
            <w:pStyle w:val="TOC2"/>
            <w:tabs>
              <w:tab w:val="clear" w:pos="900"/>
              <w:tab w:val="clear" w:pos="9350"/>
              <w:tab w:val="right" w:pos="9025" w:leader="dot"/>
            </w:tabs>
            <w:rPr/>
          </w:pPr>
          <w:hyperlink w:anchor="__RefHeading___Toc39827_3199679052">
            <w:r>
              <w:rPr>
                <w:webHidden/>
                <w:rStyle w:val="IndexLink"/>
              </w:rPr>
              <w:t>10.2 Key milestones</w:t>
              <w:tab/>
              <w:t>13</w:t>
            </w:r>
          </w:hyperlink>
        </w:p>
        <w:p>
          <w:pPr>
            <w:pStyle w:val="TOC1"/>
            <w:tabs>
              <w:tab w:val="clear" w:pos="900"/>
              <w:tab w:val="clear" w:pos="9350"/>
              <w:tab w:val="right" w:pos="9025" w:leader="dot"/>
            </w:tabs>
            <w:rPr/>
          </w:pPr>
          <w:hyperlink w:anchor="__RefHeading___Toc39829_3199679052">
            <w:r>
              <w:rPr>
                <w:webHidden/>
                <w:rStyle w:val="IndexLink"/>
              </w:rPr>
              <w:t>11. Governance</w:t>
              <w:tab/>
              <w:t>14</w:t>
            </w:r>
          </w:hyperlink>
        </w:p>
        <w:p>
          <w:pPr>
            <w:pStyle w:val="TOC1"/>
            <w:tabs>
              <w:tab w:val="clear" w:pos="900"/>
              <w:tab w:val="clear" w:pos="9350"/>
              <w:tab w:val="right" w:pos="9025" w:leader="dot"/>
            </w:tabs>
            <w:rPr/>
          </w:pPr>
          <w:hyperlink w:anchor="__RefHeading___Toc39831_3199679052">
            <w:r>
              <w:rPr>
                <w:webHidden/>
                <w:rStyle w:val="IndexLink"/>
              </w:rPr>
              <w:t>12. Fees and milestone payments</w:t>
              <w:tab/>
              <w:t>15</w:t>
            </w:r>
          </w:hyperlink>
        </w:p>
        <w:p>
          <w:pPr>
            <w:pStyle w:val="TOC2"/>
            <w:tabs>
              <w:tab w:val="clear" w:pos="900"/>
              <w:tab w:val="clear" w:pos="9350"/>
              <w:tab w:val="right" w:pos="9025" w:leader="dot"/>
            </w:tabs>
            <w:rPr/>
          </w:pPr>
          <w:hyperlink w:anchor="__RefHeading___Toc39833_3199679052">
            <w:r>
              <w:rPr>
                <w:webHidden/>
                <w:rStyle w:val="IndexLink"/>
              </w:rPr>
              <w:t>12.1 Fee</w:t>
              <w:tab/>
              <w:t>15</w:t>
            </w:r>
          </w:hyperlink>
        </w:p>
        <w:p>
          <w:pPr>
            <w:pStyle w:val="TOC2"/>
            <w:tabs>
              <w:tab w:val="clear" w:pos="900"/>
              <w:tab w:val="clear" w:pos="9350"/>
              <w:tab w:val="right" w:pos="9025" w:leader="dot"/>
            </w:tabs>
            <w:rPr/>
          </w:pPr>
          <w:hyperlink w:anchor="__RefHeading___Toc39835_3199679052">
            <w:r>
              <w:rPr>
                <w:webHidden/>
                <w:rStyle w:val="IndexLink"/>
              </w:rPr>
              <w:t>12.2 Milestone payments</w:t>
              <w:tab/>
              <w:t>15</w:t>
            </w:r>
          </w:hyperlink>
        </w:p>
        <w:p>
          <w:pPr>
            <w:pStyle w:val="TOC1"/>
            <w:tabs>
              <w:tab w:val="clear" w:pos="900"/>
              <w:tab w:val="clear" w:pos="9350"/>
              <w:tab w:val="right" w:pos="9025" w:leader="dot"/>
            </w:tabs>
            <w:rPr/>
          </w:pPr>
          <w:hyperlink w:anchor="__RefHeading___Toc39837_3199679052">
            <w:r>
              <w:rPr>
                <w:webHidden/>
                <w:rStyle w:val="IndexLink"/>
              </w:rPr>
              <w:t>13. Change control</w:t>
              <w:tab/>
              <w:t>16</w:t>
            </w:r>
          </w:hyperlink>
        </w:p>
        <w:p>
          <w:pPr>
            <w:pStyle w:val="TOC1"/>
            <w:tabs>
              <w:tab w:val="clear" w:pos="900"/>
              <w:tab w:val="clear" w:pos="9350"/>
              <w:tab w:val="right" w:pos="9025" w:leader="dot"/>
            </w:tabs>
            <w:rPr/>
          </w:pPr>
          <w:hyperlink w:anchor="__RefHeading___Toc39839_3199679052">
            <w:r>
              <w:rPr>
                <w:webHidden/>
                <w:rStyle w:val="IndexLink"/>
              </w:rPr>
              <w:t>14. Signatures</w:t>
              <w:tab/>
              <w:t>17</w:t>
            </w:r>
          </w:hyperlink>
        </w:p>
        <w:p>
          <w:pPr>
            <w:pStyle w:val="TOC1"/>
            <w:tabs>
              <w:tab w:val="clear" w:pos="900"/>
              <w:tab w:val="clear" w:pos="9350"/>
              <w:tab w:val="right" w:pos="9025" w:leader="dot"/>
            </w:tabs>
            <w:rPr/>
          </w:pPr>
          <w:hyperlink w:anchor="__RefHeading___Toc39841_3199679052">
            <w:r>
              <w:rPr>
                <w:webHidden/>
                <w:rStyle w:val="IndexLink"/>
              </w:rPr>
              <w:t>15. Annex A: acceptance certificate</w:t>
              <w:tab/>
              <w:t>18</w:t>
            </w:r>
          </w:hyperlink>
        </w:p>
        <w:p>
          <w:pPr>
            <w:pStyle w:val="TOC1"/>
            <w:tabs>
              <w:tab w:val="clear" w:pos="900"/>
              <w:tab w:val="clear" w:pos="9350"/>
              <w:tab w:val="right" w:pos="9025" w:leader="dot"/>
            </w:tabs>
            <w:rPr/>
          </w:pPr>
          <w:hyperlink w:anchor="__RefHeading___Toc39843_3199679052">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39845_3199679052">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9793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9795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9797_3199679052"/>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39799_3199679052"/>
      <w:bookmarkEnd w:id="7"/>
      <w:r>
        <w:rPr>
          <w:rFonts w:eastAsia="Segoe UI" w:cs="Segoe UI" w:ascii="Segoe UI" w:hAnsi="Segoe UI"/>
          <w:b/>
          <w:color w:val="0F4761"/>
          <w:sz w:val="32"/>
        </w:rPr>
        <w:t>4.  Scope</w:t>
      </w:r>
    </w:p>
    <w:p>
      <w:pPr>
        <w:pStyle w:val="Heading2"/>
        <w:rPr/>
      </w:pPr>
      <w:bookmarkStart w:id="8" w:name="__RefHeading___Toc39801_3199679052"/>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39803_3199679052"/>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39805_3199679052"/>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39807_3199679052"/>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Heading1"/>
        <w:rPr/>
      </w:pPr>
      <w:r>
        <w:br w:type="page"/>
      </w:r>
      <w:bookmarkStart w:id="12" w:name="__RefHeading___Toc39809_3199679052"/>
      <w:bookmarkEnd w:id="12"/>
      <w:r>
        <w:rPr>
          <w:rFonts w:eastAsia="Segoe UI" w:cs="Segoe UI" w:ascii="Segoe UI" w:hAnsi="Segoe UI"/>
          <w:b/>
          <w:color w:val="0F4761"/>
          <w:sz w:val="32"/>
        </w:rPr>
        <w:t>6.  Deliverables and acceptance</w:t>
      </w:r>
    </w:p>
    <w:p>
      <w:pPr>
        <w:pStyle w:val="Heading2"/>
        <w:rPr/>
      </w:pPr>
      <w:bookmarkStart w:id="13" w:name="__RefHeading___Toc39811_3199679052"/>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39813_3199679052"/>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39815_3199679052"/>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6" w:name="__RefHeading___Toc39817_3199679052"/>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Heading1"/>
        <w:rPr/>
      </w:pPr>
      <w:r>
        <w:br w:type="page"/>
      </w:r>
      <w:bookmarkStart w:id="17" w:name="__RefHeading___Toc39819_3199679052"/>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39821_3199679052"/>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39823_3199679052"/>
      <w:bookmarkEnd w:id="19"/>
      <w:r>
        <w:rPr>
          <w:rFonts w:eastAsia="Segoe UI" w:cs="Segoe UI" w:ascii="Segoe UI" w:hAnsi="Segoe UI"/>
          <w:b/>
          <w:color w:val="0F4761"/>
          <w:sz w:val="32"/>
        </w:rPr>
        <w:t>10.  Timeline by size</w:t>
      </w:r>
    </w:p>
    <w:p>
      <w:pPr>
        <w:pStyle w:val="Heading2"/>
        <w:rPr/>
      </w:pPr>
      <w:bookmarkStart w:id="20" w:name="__RefHeading___Toc39825_3199679052"/>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39827_3199679052"/>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39829_3199679052"/>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39831_3199679052"/>
      <w:bookmarkEnd w:id="23"/>
      <w:r>
        <w:rPr>
          <w:rFonts w:eastAsia="Segoe UI" w:cs="Segoe UI" w:ascii="Segoe UI" w:hAnsi="Segoe UI"/>
          <w:b/>
          <w:color w:val="0F4761"/>
          <w:sz w:val="32"/>
        </w:rPr>
        <w:t>12.  Fees and milestone payments</w:t>
      </w:r>
    </w:p>
    <w:p>
      <w:pPr>
        <w:pStyle w:val="Heading2"/>
        <w:rPr/>
      </w:pPr>
      <w:bookmarkStart w:id="24" w:name="__RefHeading___Toc39833_3199679052"/>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39835_3199679052"/>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39837_3199679052"/>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39839_3199679052"/>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28" w:name="__RefHeading___Toc39841_3199679052"/>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29" w:name="__RefHeading___Toc39843_3199679052"/>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39845_3199679052"/>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2026-10-04T01:51:49Z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