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2.xml.rels" ContentType="application/vnd.openxmlformats-package.relationships+xml"/>
  <Override PartName="/word/_rels/document.xml.rels" ContentType="application/vnd.openxmlformats-package.relationships+xml"/>
  <Override PartName="/word/_rels/footer1.xml.rels" ContentType="application/vnd.openxmlformats-package.relationships+xml"/>
  <Override PartName="/word/media/image1.jpeg" ContentType="image/jpeg"/>
  <Override PartName="/word/media/image2.png" ContentType="image/png"/>
  <Override PartName="/word/media/image3.jpeg" ContentType="image/jpeg"/>
  <Override PartName="/word/media/image4.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behindDoc="1" distT="0" distB="0" distL="0" distR="0" simplePos="0" locked="0" layoutInCell="0" allowOverlap="1" relativeHeight="19">
            <wp:simplePos x="0" y="0"/>
            <wp:positionH relativeFrom="margin">
              <wp:posOffset>-914400</wp:posOffset>
            </wp:positionH>
            <wp:positionV relativeFrom="margin">
              <wp:posOffset>-914400</wp:posOffset>
            </wp:positionV>
            <wp:extent cx="7553960" cy="10685145"/>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7553960" cy="10685145"/>
                    </a:xfrm>
                    <a:prstGeom prst="rect">
                      <a:avLst/>
                    </a:prstGeom>
                  </pic:spPr>
                </pic:pic>
              </a:graphicData>
            </a:graphic>
          </wp:anchor>
        </w:drawing>
        <w:drawing>
          <wp:anchor behindDoc="1" distT="0" distB="0" distL="0" distR="0" simplePos="0" locked="0" layoutInCell="0" allowOverlap="1" relativeHeight="30">
            <wp:simplePos x="0" y="0"/>
            <wp:positionH relativeFrom="margin">
              <wp:align>center</wp:align>
            </wp:positionH>
            <wp:positionV relativeFrom="margin">
              <wp:posOffset>244475</wp:posOffset>
            </wp:positionV>
            <wp:extent cx="2000250" cy="568325"/>
            <wp:effectExtent l="0" t="0" r="0" b="0"/>
            <wp:wrapNone/>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3"/>
                    <a:stretch>
                      <a:fillRect/>
                    </a:stretch>
                  </pic:blipFill>
                  <pic:spPr bwMode="auto">
                    <a:xfrm>
                      <a:off x="0" y="0"/>
                      <a:ext cx="2000250" cy="568325"/>
                    </a:xfrm>
                    <a:prstGeom prst="rect">
                      <a:avLst/>
                    </a:prstGeom>
                  </pic:spPr>
                </pic:pic>
              </a:graphicData>
            </a:graphic>
          </wp:anchor>
        </w:drawing>
      </w:r>
    </w:p>
    <w:p>
      <w:pPr>
        <w:pStyle w:val="Normal"/>
        <w:rPr/>
      </w:pPr>
      <w:r>
        <w:rPr/>
        <mc:AlternateContent>
          <mc:Choice Requires="wps">
            <w:drawing>
              <wp:anchor behindDoc="0" distT="45720" distB="45720" distL="114300" distR="114300" simplePos="0" locked="0" layoutInCell="0" allowOverlap="1" relativeHeight="20" wp14:anchorId="3D43415C">
                <wp:simplePos x="0" y="0"/>
                <wp:positionH relativeFrom="page">
                  <wp:posOffset>194310</wp:posOffset>
                </wp:positionH>
                <wp:positionV relativeFrom="paragraph">
                  <wp:posOffset>4124960</wp:posOffset>
                </wp:positionV>
                <wp:extent cx="2599690" cy="266700"/>
                <wp:effectExtent l="0" t="0" r="0" b="0"/>
                <wp:wrapSquare wrapText="bothSides"/>
                <wp:docPr id="3" name="Text Box 2"/>
                <a:graphic xmlns:a="http://schemas.openxmlformats.org/drawingml/2006/main">
                  <a:graphicData uri="http://schemas.microsoft.com/office/word/2010/wordprocessingShape">
                    <wps:wsp>
                      <wps:cNvSpPr/>
                      <wps:spPr>
                        <a:xfrm>
                          <a:off x="0" y="0"/>
                          <a:ext cx="259956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Prepared by – </w:t>
                            </w:r>
                            <w:r>
                              <w:rPr>
                                <w:b/>
                                <w:bCs/>
                                <w:color w:val="1D74BA"/>
                              </w:rPr>
                              <w:t>iorta TechNXT Corp.</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15.3pt;margin-top:324.8pt;width:204.65pt;height:20.95pt;mso-wrap-style:square;v-text-anchor:top;mso-position-horizontal-relative:page" wp14:anchorId="3D43415C">
                <v:fill o:detectmouseclick="t" on="false"/>
                <v:stroke color="#3465a4" weight="9360" joinstyle="miter" endcap="flat"/>
                <v:textbox>
                  <w:txbxContent>
                    <w:p>
                      <w:pPr>
                        <w:pStyle w:val="FrameContents"/>
                        <w:spacing w:before="0" w:after="160"/>
                        <w:rPr>
                          <w:b/>
                          <w:bCs/>
                          <w:color w:val="1D74BA"/>
                        </w:rPr>
                      </w:pPr>
                      <w:r>
                        <w:rPr>
                          <w:color w:val="1D74BA"/>
                        </w:rPr>
                        <w:t xml:space="preserve">Prepared by – </w:t>
                      </w:r>
                      <w:r>
                        <w:rPr>
                          <w:b/>
                          <w:bCs/>
                          <w:color w:val="1D74BA"/>
                        </w:rPr>
                        <w:t>iorta TechNXT Corp.</w:t>
                      </w:r>
                    </w:p>
                  </w:txbxContent>
                </v:textbox>
                <w10:wrap type="square"/>
              </v:rect>
            </w:pict>
          </mc:Fallback>
        </mc:AlternateContent>
        <mc:AlternateContent>
          <mc:Choice Requires="wps">
            <w:drawing>
              <wp:anchor behindDoc="0" distT="45720" distB="45720" distL="113030" distR="114935" simplePos="0" locked="0" layoutInCell="0" allowOverlap="1" relativeHeight="22" wp14:anchorId="58C23128">
                <wp:simplePos x="0" y="0"/>
                <wp:positionH relativeFrom="page">
                  <wp:posOffset>3094990</wp:posOffset>
                </wp:positionH>
                <wp:positionV relativeFrom="paragraph">
                  <wp:posOffset>4124960</wp:posOffset>
                </wp:positionV>
                <wp:extent cx="1599565" cy="266700"/>
                <wp:effectExtent l="0" t="0" r="0" b="0"/>
                <wp:wrapSquare wrapText="bothSides"/>
                <wp:docPr id="4" name="Text Box 2"/>
                <a:graphic xmlns:a="http://schemas.openxmlformats.org/drawingml/2006/main">
                  <a:graphicData uri="http://schemas.microsoft.com/office/word/2010/wordprocessingShape">
                    <wps:wsp>
                      <wps:cNvSpPr/>
                      <wps:spPr>
                        <a:xfrm>
                          <a:off x="0" y="0"/>
                          <a:ext cx="1599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Version - </w:t>
                            </w:r>
                            <w:r>
                              <w:rPr>
                                <w:b/>
                                <w:bCs/>
                                <w:color w:val="1D74BA"/>
                              </w:rPr>
                              <w:t>1.0</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243.7pt;margin-top:324.8pt;width:125.9pt;height:20.95pt;mso-wrap-style:square;v-text-anchor:top;mso-position-horizontal-relative:page" wp14:anchorId="58C23128">
                <v:fill o:detectmouseclick="t" on="false"/>
                <v:stroke color="#3465a4" weight="9360" joinstyle="miter" endcap="flat"/>
                <v:textbox>
                  <w:txbxContent>
                    <w:p>
                      <w:pPr>
                        <w:pStyle w:val="FrameContents"/>
                        <w:spacing w:before="0" w:after="160"/>
                        <w:rPr>
                          <w:b/>
                          <w:bCs/>
                          <w:color w:val="1D74BA"/>
                        </w:rPr>
                      </w:pPr>
                      <w:r>
                        <w:rPr>
                          <w:color w:val="1D74BA"/>
                        </w:rPr>
                        <w:t xml:space="preserve">Version - </w:t>
                      </w:r>
                      <w:r>
                        <w:rPr>
                          <w:b/>
                          <w:bCs/>
                          <w:color w:val="1D74BA"/>
                        </w:rPr>
                        <w:t>1.0</w:t>
                      </w:r>
                    </w:p>
                  </w:txbxContent>
                </v:textbox>
                <w10:wrap type="square"/>
              </v:rect>
            </w:pict>
          </mc:Fallback>
        </mc:AlternateContent>
        <mc:AlternateContent>
          <mc:Choice Requires="wps">
            <w:drawing>
              <wp:anchor behindDoc="0" distT="45720" distB="45720" distL="114300" distR="113665" simplePos="0" locked="0" layoutInCell="0" allowOverlap="1" relativeHeight="24" wp14:anchorId="1BF25123">
                <wp:simplePos x="0" y="0"/>
                <wp:positionH relativeFrom="page">
                  <wp:posOffset>4992370</wp:posOffset>
                </wp:positionH>
                <wp:positionV relativeFrom="paragraph">
                  <wp:posOffset>4124960</wp:posOffset>
                </wp:positionV>
                <wp:extent cx="2400300" cy="266700"/>
                <wp:effectExtent l="0" t="0" r="0" b="0"/>
                <wp:wrapSquare wrapText="bothSides"/>
                <wp:docPr id="5" name="Text Box 2"/>
                <a:graphic xmlns:a="http://schemas.openxmlformats.org/drawingml/2006/main">
                  <a:graphicData uri="http://schemas.microsoft.com/office/word/2010/wordprocessingShape">
                    <wps:wsp>
                      <wps:cNvSpPr/>
                      <wps:spPr>
                        <a:xfrm>
                          <a:off x="0" y="0"/>
                          <a:ext cx="2400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Date - </w:t>
                            </w:r>
                            <w:r>
                              <w:rPr>
                                <w:b/>
                                <w:bCs/>
                                <w:color w:val="1D74BA"/>
                              </w:rPr>
                              <w:t>03 October 2026</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393.1pt;margin-top:324.8pt;width:188.95pt;height:20.95pt;mso-wrap-style:square;v-text-anchor:top;mso-position-horizontal-relative:page" wp14:anchorId="1BF25123">
                <v:fill o:detectmouseclick="t" on="false"/>
                <v:stroke color="#3465a4" weight="9360" joinstyle="miter" endcap="flat"/>
                <v:textbox>
                  <w:txbxContent>
                    <w:p>
                      <w:pPr>
                        <w:pStyle w:val="FrameContents"/>
                        <w:spacing w:before="0" w:after="160"/>
                        <w:rPr>
                          <w:b/>
                          <w:bCs/>
                          <w:color w:val="1D74BA"/>
                        </w:rPr>
                      </w:pPr>
                      <w:r>
                        <w:rPr>
                          <w:color w:val="1D74BA"/>
                        </w:rPr>
                        <w:t xml:space="preserve">Date - </w:t>
                      </w:r>
                      <w:r>
                        <w:rPr>
                          <w:b/>
                          <w:bCs/>
                          <w:color w:val="1D74BA"/>
                        </w:rPr>
                        <w:t>03 October 2026</w:t>
                      </w:r>
                    </w:p>
                  </w:txbxContent>
                </v:textbox>
                <w10:wrap type="square"/>
              </v:rect>
            </w:pict>
          </mc:Fallback>
        </mc:AlternateContent>
        <mc:AlternateContent>
          <mc:Choice Requires="wps">
            <w:drawing>
              <wp:anchor behindDoc="0" distT="45720" distB="46355" distL="114300" distR="114300" simplePos="0" locked="0" layoutInCell="0" allowOverlap="1" relativeHeight="26" wp14:anchorId="01DE2BF4">
                <wp:simplePos x="0" y="0"/>
                <wp:positionH relativeFrom="margin">
                  <wp:align>center</wp:align>
                </wp:positionH>
                <wp:positionV relativeFrom="paragraph">
                  <wp:posOffset>1291590</wp:posOffset>
                </wp:positionV>
                <wp:extent cx="4528820" cy="1249680"/>
                <wp:effectExtent l="0" t="0" r="0" b="0"/>
                <wp:wrapSquare wrapText="bothSides"/>
                <wp:docPr id="6" name="Text Box 2"/>
                <a:graphic xmlns:a="http://schemas.openxmlformats.org/drawingml/2006/main">
                  <a:graphicData uri="http://schemas.microsoft.com/office/word/2010/wordprocessingShape">
                    <wps:wsp>
                      <wps:cNvSpPr/>
                      <wps:spPr>
                        <a:xfrm>
                          <a:off x="0" y="0"/>
                          <a:ext cx="4528800" cy="1249560"/>
                        </a:xfrm>
                        <a:prstGeom prst="rect">
                          <a:avLst/>
                        </a:prstGeom>
                        <a:noFill/>
                        <a:ln w="9525">
                          <a:noFill/>
                        </a:ln>
                      </wps:spPr>
                      <wps:style>
                        <a:lnRef idx="0"/>
                        <a:fillRef idx="0"/>
                        <a:effectRef idx="0"/>
                        <a:fontRef idx="minor"/>
                      </wps:style>
                      <wps:txbx>
                        <w:txbxContent>
                          <w:p>
                            <w:pPr>
                              <w:pStyle w:val="FrameContents"/>
                              <w:rPr>
                                <w:b/>
                                <w:bCs/>
                                <w:color w:val="1D74BA"/>
                                <w:sz w:val="36"/>
                                <w:szCs w:val="36"/>
                                <w:lang w:val="en-MY"/>
                              </w:rPr>
                            </w:pPr>
                            <w:r>
                              <w:rPr>
                                <w:b/>
                                <w:bCs/>
                                <w:color w:val="1D74BA"/>
                                <w:sz w:val="36"/>
                                <w:szCs w:val="36"/>
                                <w:lang w:val="en-MY"/>
                              </w:rPr>
                              <w:t>Subscription Agreement</w:t>
                            </w:r>
                          </w:p>
                          <w:p>
                            <w:pPr>
                              <w:pStyle w:val="FrameContents"/>
                              <w:spacing w:before="0" w:after="160"/>
                              <w:rPr>
                                <w:b/>
                                <w:bCs/>
                                <w:color w:val="1D74BA"/>
                                <w:sz w:val="56"/>
                                <w:szCs w:val="56"/>
                              </w:rPr>
                            </w:pPr>
                            <w:r>
                              <w:rPr/>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01.7pt;width:356.55pt;height:98.35pt;mso-wrap-style:square;v-text-anchor:top;mso-position-horizontal:center;mso-position-horizontal-relative:margin" wp14:anchorId="01DE2BF4">
                <v:fill o:detectmouseclick="t" on="false"/>
                <v:stroke color="#3465a4" weight="9360" joinstyle="miter" endcap="flat"/>
                <v:textbox>
                  <w:txbxContent>
                    <w:p>
                      <w:pPr>
                        <w:pStyle w:val="FrameContents"/>
                        <w:rPr>
                          <w:b/>
                          <w:bCs/>
                          <w:color w:val="1D74BA"/>
                          <w:sz w:val="36"/>
                          <w:szCs w:val="36"/>
                          <w:lang w:val="en-MY"/>
                        </w:rPr>
                      </w:pPr>
                      <w:r>
                        <w:rPr>
                          <w:b/>
                          <w:bCs/>
                          <w:color w:val="1D74BA"/>
                          <w:sz w:val="36"/>
                          <w:szCs w:val="36"/>
                          <w:lang w:val="en-MY"/>
                        </w:rPr>
                        <w:t>Subscription Agreement</w:t>
                      </w:r>
                    </w:p>
                    <w:p>
                      <w:pPr>
                        <w:pStyle w:val="FrameContents"/>
                        <w:spacing w:before="0" w:after="160"/>
                        <w:rPr>
                          <w:b/>
                          <w:bCs/>
                          <w:color w:val="1D74BA"/>
                          <w:sz w:val="56"/>
                          <w:szCs w:val="56"/>
                        </w:rPr>
                      </w:pPr>
                      <w:r>
                        <w:rPr/>
                      </w:r>
                    </w:p>
                  </w:txbxContent>
                </v:textbox>
                <w10:wrap type="square"/>
              </v:rect>
            </w:pict>
          </mc:Fallback>
        </mc:AlternateContent>
        <mc:AlternateContent>
          <mc:Choice Requires="wps">
            <w:drawing>
              <wp:anchor behindDoc="0" distT="45720" distB="50800" distL="114300" distR="114300" simplePos="0" locked="0" layoutInCell="0" allowOverlap="1" relativeHeight="28" wp14:anchorId="204C02CC">
                <wp:simplePos x="0" y="0"/>
                <wp:positionH relativeFrom="margin">
                  <wp:align>center</wp:align>
                </wp:positionH>
                <wp:positionV relativeFrom="paragraph">
                  <wp:posOffset>1979295</wp:posOffset>
                </wp:positionV>
                <wp:extent cx="4528820" cy="337820"/>
                <wp:effectExtent l="0" t="0" r="0" b="5080"/>
                <wp:wrapSquare wrapText="bothSides"/>
                <wp:docPr id="7" name="Text Box 2"/>
                <a:graphic xmlns:a="http://schemas.openxmlformats.org/drawingml/2006/main">
                  <a:graphicData uri="http://schemas.microsoft.com/office/word/2010/wordprocessingShape">
                    <wps:wsp>
                      <wps:cNvSpPr/>
                      <wps:spPr>
                        <a:xfrm>
                          <a:off x="0" y="0"/>
                          <a:ext cx="4528800" cy="337680"/>
                        </a:xfrm>
                        <a:prstGeom prst="rect">
                          <a:avLst/>
                        </a:prstGeom>
                        <a:noFill/>
                        <a:ln w="9525">
                          <a:noFill/>
                        </a:ln>
                      </wps:spPr>
                      <wps:style>
                        <a:lnRef idx="0"/>
                        <a:fillRef idx="0"/>
                        <a:effectRef idx="0"/>
                        <a:fontRef idx="minor"/>
                      </wps:style>
                      <wps:txbx>
                        <w:txbxContent>
                          <w:p>
                            <w:pPr>
                              <w:pStyle w:val="FrameContents"/>
                              <w:spacing w:before="0" w:after="160"/>
                              <w:rPr>
                                <w:b/>
                                <w:bCs/>
                                <w:color w:val="071B2C"/>
                                <w:sz w:val="36"/>
                                <w:szCs w:val="36"/>
                              </w:rPr>
                            </w:pPr>
                            <w:r>
                              <w:rPr>
                                <w:b/>
                                <w:bCs/>
                                <w:color w:val="071B2C"/>
                                <w:sz w:val="36"/>
                                <w:szCs w:val="36"/>
                              </w:rPr>
                              <w:t>iNXT BrokerVerse OOTB (SaaS)</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55.85pt;width:356.55pt;height:26.55pt;mso-wrap-style:square;v-text-anchor:top;mso-position-horizontal:center;mso-position-horizontal-relative:margin" wp14:anchorId="204C02CC">
                <v:fill o:detectmouseclick="t" on="false"/>
                <v:stroke color="#3465a4" weight="9360" joinstyle="miter" endcap="flat"/>
                <v:textbox>
                  <w:txbxContent>
                    <w:p>
                      <w:pPr>
                        <w:pStyle w:val="FrameContents"/>
                        <w:spacing w:before="0" w:after="160"/>
                        <w:rPr>
                          <w:b/>
                          <w:bCs/>
                          <w:color w:val="071B2C"/>
                          <w:sz w:val="36"/>
                          <w:szCs w:val="36"/>
                        </w:rPr>
                      </w:pPr>
                      <w:r>
                        <w:rPr>
                          <w:b/>
                          <w:bCs/>
                          <w:color w:val="071B2C"/>
                          <w:sz w:val="36"/>
                          <w:szCs w:val="36"/>
                        </w:rPr>
                        <w:t>iNXT BrokerVerse OOTB (SaaS)</w:t>
                      </w:r>
                    </w:p>
                  </w:txbxContent>
                </v:textbox>
                <w10:wrap type="square"/>
              </v:rect>
            </w:pict>
          </mc:Fallback>
        </mc:AlternateContent>
      </w:r>
      <w:r>
        <w:br w:type="page"/>
      </w:r>
    </w:p>
    <w:p>
      <w:pPr>
        <w:pStyle w:val="TOCHeading"/>
        <w:tabs>
          <w:tab w:val="clear" w:pos="720"/>
          <w:tab w:val="left" w:pos="1991" w:leader="none"/>
          <w:tab w:val="center" w:pos="4725" w:leader="none"/>
          <w:tab w:val="right" w:pos="9450" w:leader="none"/>
        </w:tabs>
        <w:spacing w:before="0" w:after="0"/>
        <w:rPr>
          <w:rFonts w:ascii="Segoe UI" w:hAnsi="Segoe UI" w:cs="Segoe UI"/>
          <w:b/>
          <w:color w:val="003399"/>
        </w:rPr>
      </w:pPr>
      <w:r>
        <w:rPr>
          <w:rFonts w:eastAsia="Arial" w:cs="Segoe UI" w:ascii="Segoe UI" w:hAnsi="Segoe UI"/>
          <w:b/>
          <w:color w:val="003399"/>
        </w:rPr>
        <w:t>TABLE OF CONTENTS</w:t>
      </w:r>
    </w:p>
    <w:p>
      <w:pPr>
        <w:pStyle w:val="Normal"/>
        <w:rPr>
          <w:rFonts w:ascii="Segoe UI" w:hAnsi="Segoe UI" w:cs="Segoe UI"/>
          <w:color w:val="101820"/>
        </w:rPr>
      </w:pPr>
      <w:r>
        <w:rPr>
          <w:rFonts w:cs="Segoe UI" w:ascii="Segoe UI" w:hAnsi="Segoe UI"/>
          <w:color w:val="101820"/>
        </w:rPr>
      </w:r>
    </w:p>
    <w:sdt>
      <w:sdtPr>
        <w:docPartObj>
          <w:docPartGallery w:val="Table of Contents"/>
          <w:docPartUnique w:val="true"/>
        </w:docPartObj>
      </w:sdtPr>
      <w:sdtContent>
        <w:p>
          <w:pPr>
            <w:pStyle w:val="TOC1"/>
            <w:tabs>
              <w:tab w:val="clear" w:pos="900"/>
              <w:tab w:val="clear" w:pos="9350"/>
              <w:tab w:val="right" w:pos="9025" w:leader="dot"/>
            </w:tabs>
            <w:rPr/>
          </w:pPr>
          <w:r>
            <w:fldChar w:fldCharType="begin"/>
          </w:r>
          <w:r>
            <w:rPr>
              <w:webHidden/>
              <w:rStyle w:val="IndexLink"/>
            </w:rPr>
            <w:instrText xml:space="preserve"> TOC \z \o "1-2" \u \h</w:instrText>
          </w:r>
          <w:r>
            <w:rPr>
              <w:webHidden/>
              <w:rStyle w:val="IndexLink"/>
            </w:rPr>
            <w:fldChar w:fldCharType="separate"/>
          </w:r>
          <w:hyperlink w:anchor="__RefHeading___Toc37098_3199679052">
            <w:r>
              <w:rPr>
                <w:webHidden/>
                <w:rStyle w:val="IndexLink"/>
              </w:rPr>
              <w:t xml:space="preserve"> </w:t>
            </w:r>
            <w:r>
              <w:rPr>
                <w:rStyle w:val="IndexLink"/>
                <w:i w:val="false"/>
                <w:iCs w:val="false"/>
              </w:rPr>
              <w:t>1. Document Control</w:t>
            </w:r>
            <w:r>
              <w:rPr>
                <w:rStyle w:val="IndexLink"/>
              </w:rPr>
              <w:tab/>
              <w:t>3</w:t>
            </w:r>
          </w:hyperlink>
        </w:p>
        <w:p>
          <w:pPr>
            <w:pStyle w:val="TOC1"/>
            <w:tabs>
              <w:tab w:val="clear" w:pos="900"/>
              <w:tab w:val="clear" w:pos="9350"/>
              <w:tab w:val="right" w:pos="9025" w:leader="dot"/>
            </w:tabs>
            <w:rPr/>
          </w:pPr>
          <w:hyperlink w:anchor="__RefHeading___Toc37100_3199679052">
            <w:r>
              <w:rPr>
                <w:webHidden/>
                <w:rStyle w:val="IndexLink"/>
                <w:i w:val="false"/>
                <w:iCs w:val="false"/>
              </w:rPr>
              <w:t>2. Acronyms</w:t>
            </w:r>
            <w:r>
              <w:rPr>
                <w:rStyle w:val="IndexLink"/>
              </w:rPr>
              <w:tab/>
              <w:t>3</w:t>
            </w:r>
          </w:hyperlink>
        </w:p>
        <w:p>
          <w:pPr>
            <w:pStyle w:val="TOC1"/>
            <w:tabs>
              <w:tab w:val="clear" w:pos="900"/>
              <w:tab w:val="clear" w:pos="9350"/>
              <w:tab w:val="right" w:pos="9025" w:leader="dot"/>
            </w:tabs>
            <w:rPr/>
          </w:pPr>
          <w:hyperlink w:anchor="__RefHeading___Toc37102_3199679052">
            <w:r>
              <w:rPr>
                <w:webHidden/>
                <w:rStyle w:val="IndexLink"/>
              </w:rPr>
              <w:t>3. About this template</w:t>
              <w:tab/>
              <w:t>4</w:t>
            </w:r>
          </w:hyperlink>
        </w:p>
        <w:p>
          <w:pPr>
            <w:pStyle w:val="TOC1"/>
            <w:tabs>
              <w:tab w:val="clear" w:pos="900"/>
              <w:tab w:val="clear" w:pos="9350"/>
              <w:tab w:val="right" w:pos="9025" w:leader="dot"/>
            </w:tabs>
            <w:rPr/>
          </w:pPr>
          <w:hyperlink w:anchor="__RefHeading___Toc37104_3199679052">
            <w:r>
              <w:rPr>
                <w:webHidden/>
                <w:rStyle w:val="IndexLink"/>
              </w:rPr>
              <w:t>4. Agreement and definitions</w:t>
              <w:tab/>
              <w:t>5</w:t>
            </w:r>
          </w:hyperlink>
        </w:p>
        <w:p>
          <w:pPr>
            <w:pStyle w:val="TOC2"/>
            <w:tabs>
              <w:tab w:val="clear" w:pos="900"/>
              <w:tab w:val="clear" w:pos="9350"/>
              <w:tab w:val="right" w:pos="9025" w:leader="dot"/>
            </w:tabs>
            <w:rPr/>
          </w:pPr>
          <w:hyperlink w:anchor="__RefHeading___Toc37106_3199679052">
            <w:r>
              <w:rPr>
                <w:webHidden/>
                <w:rStyle w:val="IndexLink"/>
              </w:rPr>
              <w:t>4.1 Parties</w:t>
              <w:tab/>
              <w:t>5</w:t>
            </w:r>
          </w:hyperlink>
        </w:p>
        <w:p>
          <w:pPr>
            <w:pStyle w:val="TOC2"/>
            <w:tabs>
              <w:tab w:val="clear" w:pos="900"/>
              <w:tab w:val="clear" w:pos="9350"/>
              <w:tab w:val="right" w:pos="9025" w:leader="dot"/>
            </w:tabs>
            <w:rPr/>
          </w:pPr>
          <w:hyperlink w:anchor="__RefHeading___Toc37108_3199679052">
            <w:r>
              <w:rPr>
                <w:webHidden/>
                <w:rStyle w:val="IndexLink"/>
              </w:rPr>
              <w:t>4.2 Definitions</w:t>
              <w:tab/>
              <w:t>5</w:t>
            </w:r>
          </w:hyperlink>
        </w:p>
        <w:p>
          <w:pPr>
            <w:pStyle w:val="TOC1"/>
            <w:tabs>
              <w:tab w:val="clear" w:pos="900"/>
              <w:tab w:val="clear" w:pos="9350"/>
              <w:tab w:val="right" w:pos="9025" w:leader="dot"/>
            </w:tabs>
            <w:rPr/>
          </w:pPr>
          <w:hyperlink w:anchor="__RefHeading___Toc37110_3199679052">
            <w:r>
              <w:rPr>
                <w:webHidden/>
                <w:rStyle w:val="IndexLink"/>
              </w:rPr>
              <w:t>5. Subscription</w:t>
              <w:tab/>
              <w:t>6</w:t>
            </w:r>
          </w:hyperlink>
        </w:p>
        <w:p>
          <w:pPr>
            <w:pStyle w:val="TOC2"/>
            <w:tabs>
              <w:tab w:val="clear" w:pos="900"/>
              <w:tab w:val="clear" w:pos="9350"/>
              <w:tab w:val="right" w:pos="9025" w:leader="dot"/>
            </w:tabs>
            <w:rPr/>
          </w:pPr>
          <w:hyperlink w:anchor="__RefHeading___Toc37112_3199679052">
            <w:r>
              <w:rPr>
                <w:webHidden/>
                <w:rStyle w:val="IndexLink"/>
              </w:rPr>
              <w:t>5.1 Right of use</w:t>
              <w:tab/>
              <w:t>6</w:t>
            </w:r>
          </w:hyperlink>
        </w:p>
        <w:p>
          <w:pPr>
            <w:pStyle w:val="TOC2"/>
            <w:tabs>
              <w:tab w:val="clear" w:pos="900"/>
              <w:tab w:val="clear" w:pos="9350"/>
              <w:tab w:val="right" w:pos="9025" w:leader="dot"/>
            </w:tabs>
            <w:rPr/>
          </w:pPr>
          <w:hyperlink w:anchor="__RefHeading___Toc37114_3199679052">
            <w:r>
              <w:rPr>
                <w:webHidden/>
                <w:rStyle w:val="IndexLink"/>
              </w:rPr>
              <w:t>5.2 Users and slabs</w:t>
              <w:tab/>
              <w:t>6</w:t>
            </w:r>
          </w:hyperlink>
        </w:p>
        <w:p>
          <w:pPr>
            <w:pStyle w:val="TOC2"/>
            <w:tabs>
              <w:tab w:val="clear" w:pos="900"/>
              <w:tab w:val="clear" w:pos="9350"/>
              <w:tab w:val="right" w:pos="9025" w:leader="dot"/>
            </w:tabs>
            <w:rPr/>
          </w:pPr>
          <w:hyperlink w:anchor="__RefHeading___Toc37116_3199679052">
            <w:r>
              <w:rPr>
                <w:webHidden/>
                <w:rStyle w:val="IndexLink"/>
              </w:rPr>
              <w:t>5.3 Adding and reducing users</w:t>
              <w:tab/>
              <w:t>6</w:t>
            </w:r>
          </w:hyperlink>
        </w:p>
        <w:p>
          <w:pPr>
            <w:pStyle w:val="TOC1"/>
            <w:tabs>
              <w:tab w:val="clear" w:pos="900"/>
              <w:tab w:val="clear" w:pos="9350"/>
              <w:tab w:val="right" w:pos="9025" w:leader="dot"/>
            </w:tabs>
            <w:rPr/>
          </w:pPr>
          <w:hyperlink w:anchor="__RefHeading___Toc37118_3199679052">
            <w:r>
              <w:rPr>
                <w:webHidden/>
                <w:rStyle w:val="IndexLink"/>
              </w:rPr>
              <w:t>6. Term and renewal</w:t>
              <w:tab/>
              <w:t>7</w:t>
            </w:r>
          </w:hyperlink>
        </w:p>
        <w:p>
          <w:pPr>
            <w:pStyle w:val="TOC2"/>
            <w:tabs>
              <w:tab w:val="clear" w:pos="900"/>
              <w:tab w:val="clear" w:pos="9350"/>
              <w:tab w:val="right" w:pos="9025" w:leader="dot"/>
            </w:tabs>
            <w:rPr/>
          </w:pPr>
          <w:hyperlink w:anchor="__RefHeading___Toc37120_3199679052">
            <w:r>
              <w:rPr>
                <w:webHidden/>
                <w:rStyle w:val="IndexLink"/>
              </w:rPr>
              <w:t>6.1 Initial Term</w:t>
              <w:tab/>
              <w:t>7</w:t>
            </w:r>
          </w:hyperlink>
        </w:p>
        <w:p>
          <w:pPr>
            <w:pStyle w:val="TOC2"/>
            <w:tabs>
              <w:tab w:val="clear" w:pos="900"/>
              <w:tab w:val="clear" w:pos="9350"/>
              <w:tab w:val="right" w:pos="9025" w:leader="dot"/>
            </w:tabs>
            <w:rPr/>
          </w:pPr>
          <w:hyperlink w:anchor="__RefHeading___Toc37122_3199679052">
            <w:r>
              <w:rPr>
                <w:webHidden/>
                <w:rStyle w:val="IndexLink"/>
              </w:rPr>
              <w:t>6.2 Auto-renewal</w:t>
              <w:tab/>
              <w:t>7</w:t>
            </w:r>
          </w:hyperlink>
        </w:p>
        <w:p>
          <w:pPr>
            <w:pStyle w:val="TOC2"/>
            <w:tabs>
              <w:tab w:val="clear" w:pos="900"/>
              <w:tab w:val="clear" w:pos="9350"/>
              <w:tab w:val="right" w:pos="9025" w:leader="dot"/>
            </w:tabs>
            <w:rPr/>
          </w:pPr>
          <w:hyperlink w:anchor="__RefHeading___Toc37124_3199679052">
            <w:r>
              <w:rPr>
                <w:webHidden/>
                <w:rStyle w:val="IndexLink"/>
              </w:rPr>
              <w:t>6.3 Committed term</w:t>
              <w:tab/>
              <w:t>7</w:t>
            </w:r>
          </w:hyperlink>
        </w:p>
        <w:p>
          <w:pPr>
            <w:pStyle w:val="TOC1"/>
            <w:tabs>
              <w:tab w:val="clear" w:pos="900"/>
              <w:tab w:val="clear" w:pos="9350"/>
              <w:tab w:val="right" w:pos="9025" w:leader="dot"/>
            </w:tabs>
            <w:rPr/>
          </w:pPr>
          <w:hyperlink w:anchor="__RefHeading___Toc37126_3199679052">
            <w:r>
              <w:rPr>
                <w:webHidden/>
                <w:rStyle w:val="IndexLink"/>
              </w:rPr>
              <w:t>7. Fees and billing</w:t>
              <w:tab/>
              <w:t>8</w:t>
            </w:r>
          </w:hyperlink>
        </w:p>
        <w:p>
          <w:pPr>
            <w:pStyle w:val="TOC2"/>
            <w:tabs>
              <w:tab w:val="clear" w:pos="900"/>
              <w:tab w:val="clear" w:pos="9350"/>
              <w:tab w:val="right" w:pos="9025" w:leader="dot"/>
            </w:tabs>
            <w:rPr/>
          </w:pPr>
          <w:hyperlink w:anchor="__RefHeading___Toc37128_3199679052">
            <w:r>
              <w:rPr>
                <w:webHidden/>
                <w:rStyle w:val="IndexLink"/>
              </w:rPr>
              <w:t>7.1 Onboarding Fee</w:t>
              <w:tab/>
              <w:t>8</w:t>
            </w:r>
          </w:hyperlink>
        </w:p>
        <w:p>
          <w:pPr>
            <w:pStyle w:val="TOC2"/>
            <w:tabs>
              <w:tab w:val="clear" w:pos="900"/>
              <w:tab w:val="clear" w:pos="9350"/>
              <w:tab w:val="right" w:pos="9025" w:leader="dot"/>
            </w:tabs>
            <w:rPr/>
          </w:pPr>
          <w:hyperlink w:anchor="__RefHeading___Toc37130_3199679052">
            <w:r>
              <w:rPr>
                <w:webHidden/>
                <w:rStyle w:val="IndexLink"/>
              </w:rPr>
              <w:t>7.2 Monthly Fee</w:t>
              <w:tab/>
              <w:t>8</w:t>
            </w:r>
          </w:hyperlink>
        </w:p>
        <w:p>
          <w:pPr>
            <w:pStyle w:val="TOC2"/>
            <w:tabs>
              <w:tab w:val="clear" w:pos="900"/>
              <w:tab w:val="clear" w:pos="9350"/>
              <w:tab w:val="right" w:pos="9025" w:leader="dot"/>
            </w:tabs>
            <w:rPr/>
          </w:pPr>
          <w:hyperlink w:anchor="__RefHeading___Toc37132_3199679052">
            <w:r>
              <w:rPr>
                <w:webHidden/>
                <w:rStyle w:val="IndexLink"/>
              </w:rPr>
              <w:t>7.3 Suspension for non-payment</w:t>
              <w:tab/>
              <w:t>8</w:t>
            </w:r>
          </w:hyperlink>
        </w:p>
        <w:p>
          <w:pPr>
            <w:pStyle w:val="TOC1"/>
            <w:tabs>
              <w:tab w:val="clear" w:pos="900"/>
              <w:tab w:val="clear" w:pos="9350"/>
              <w:tab w:val="right" w:pos="9025" w:leader="dot"/>
            </w:tabs>
            <w:rPr/>
          </w:pPr>
          <w:hyperlink w:anchor="__RefHeading___Toc37134_3199679052">
            <w:r>
              <w:rPr>
                <w:webHidden/>
                <w:rStyle w:val="IndexLink"/>
              </w:rPr>
              <w:t>8. Acceptable use</w:t>
              <w:tab/>
              <w:t>9</w:t>
            </w:r>
          </w:hyperlink>
        </w:p>
        <w:p>
          <w:pPr>
            <w:pStyle w:val="TOC1"/>
            <w:tabs>
              <w:tab w:val="clear" w:pos="900"/>
              <w:tab w:val="clear" w:pos="9350"/>
              <w:tab w:val="right" w:pos="9025" w:leader="dot"/>
            </w:tabs>
            <w:rPr/>
          </w:pPr>
          <w:hyperlink w:anchor="__RefHeading___Toc37136_3199679052">
            <w:r>
              <w:rPr>
                <w:webHidden/>
                <w:rStyle w:val="IndexLink"/>
              </w:rPr>
              <w:t>9. Service levels</w:t>
              <w:tab/>
              <w:t>10</w:t>
            </w:r>
          </w:hyperlink>
        </w:p>
        <w:p>
          <w:pPr>
            <w:pStyle w:val="TOC1"/>
            <w:tabs>
              <w:tab w:val="clear" w:pos="900"/>
              <w:tab w:val="clear" w:pos="9350"/>
              <w:tab w:val="right" w:pos="9025" w:leader="dot"/>
            </w:tabs>
            <w:rPr/>
          </w:pPr>
          <w:hyperlink w:anchor="__RefHeading___Toc37138_3199679052">
            <w:r>
              <w:rPr>
                <w:webHidden/>
                <w:rStyle w:val="IndexLink"/>
              </w:rPr>
              <w:t>10. Client Data on exit</w:t>
              <w:tab/>
              <w:t>11</w:t>
            </w:r>
          </w:hyperlink>
        </w:p>
        <w:p>
          <w:pPr>
            <w:pStyle w:val="TOC2"/>
            <w:tabs>
              <w:tab w:val="clear" w:pos="900"/>
              <w:tab w:val="clear" w:pos="9350"/>
              <w:tab w:val="right" w:pos="9025" w:leader="dot"/>
            </w:tabs>
            <w:rPr/>
          </w:pPr>
          <w:hyperlink w:anchor="__RefHeading___Toc37140_3199679052">
            <w:r>
              <w:rPr>
                <w:webHidden/>
                <w:rStyle w:val="IndexLink"/>
              </w:rPr>
              <w:t>10.1 Data during the term</w:t>
              <w:tab/>
              <w:t>11</w:t>
            </w:r>
          </w:hyperlink>
        </w:p>
        <w:p>
          <w:pPr>
            <w:pStyle w:val="TOC2"/>
            <w:tabs>
              <w:tab w:val="clear" w:pos="900"/>
              <w:tab w:val="clear" w:pos="9350"/>
              <w:tab w:val="right" w:pos="9025" w:leader="dot"/>
            </w:tabs>
            <w:rPr/>
          </w:pPr>
          <w:hyperlink w:anchor="__RefHeading___Toc37142_3199679052">
            <w:r>
              <w:rPr>
                <w:webHidden/>
                <w:rStyle w:val="IndexLink"/>
              </w:rPr>
              <w:t>10.2 Data return</w:t>
              <w:tab/>
              <w:t>11</w:t>
            </w:r>
          </w:hyperlink>
        </w:p>
        <w:p>
          <w:pPr>
            <w:pStyle w:val="TOC2"/>
            <w:tabs>
              <w:tab w:val="clear" w:pos="900"/>
              <w:tab w:val="clear" w:pos="9350"/>
              <w:tab w:val="right" w:pos="9025" w:leader="dot"/>
            </w:tabs>
            <w:rPr/>
          </w:pPr>
          <w:hyperlink w:anchor="__RefHeading___Toc37144_3199679052">
            <w:r>
              <w:rPr>
                <w:webHidden/>
                <w:rStyle w:val="IndexLink"/>
              </w:rPr>
              <w:t>10.3 Data deletion</w:t>
              <w:tab/>
              <w:t>11</w:t>
            </w:r>
          </w:hyperlink>
        </w:p>
        <w:p>
          <w:pPr>
            <w:pStyle w:val="TOC1"/>
            <w:tabs>
              <w:tab w:val="clear" w:pos="900"/>
              <w:tab w:val="clear" w:pos="9350"/>
              <w:tab w:val="right" w:pos="9025" w:leader="dot"/>
            </w:tabs>
            <w:rPr/>
          </w:pPr>
          <w:hyperlink w:anchor="__RefHeading___Toc37146_3199679052">
            <w:r>
              <w:rPr>
                <w:webHidden/>
                <w:rStyle w:val="IndexLink"/>
              </w:rPr>
              <w:t>11. Term and termination</w:t>
              <w:tab/>
              <w:t>12</w:t>
            </w:r>
          </w:hyperlink>
        </w:p>
        <w:p>
          <w:pPr>
            <w:pStyle w:val="TOC1"/>
            <w:tabs>
              <w:tab w:val="clear" w:pos="900"/>
              <w:tab w:val="clear" w:pos="9350"/>
              <w:tab w:val="right" w:pos="9025" w:leader="dot"/>
            </w:tabs>
            <w:rPr/>
          </w:pPr>
          <w:hyperlink w:anchor="__RefHeading___Toc37148_3199679052">
            <w:r>
              <w:rPr>
                <w:webHidden/>
                <w:rStyle w:val="IndexLink"/>
              </w:rPr>
              <w:t>12. Signatures</w:t>
              <w:tab/>
              <w:t>13</w:t>
            </w:r>
          </w:hyperlink>
        </w:p>
        <w:p>
          <w:pPr>
            <w:pStyle w:val="TOC1"/>
            <w:tabs>
              <w:tab w:val="clear" w:pos="900"/>
              <w:tab w:val="clear" w:pos="9350"/>
              <w:tab w:val="right" w:pos="9025" w:leader="dot"/>
            </w:tabs>
            <w:rPr/>
          </w:pPr>
          <w:hyperlink w:anchor="__RefHeading___Toc37150_3199679052">
            <w:r>
              <w:rPr>
                <w:webHidden/>
                <w:rStyle w:val="IndexLink"/>
              </w:rPr>
              <w:t>13. Schedule 1: subscription details</w:t>
              <w:tab/>
              <w:t>14</w:t>
            </w:r>
          </w:hyperlink>
        </w:p>
        <w:p>
          <w:pPr>
            <w:pStyle w:val="TOC1"/>
            <w:tabs>
              <w:tab w:val="clear" w:pos="900"/>
              <w:tab w:val="clear" w:pos="9350"/>
              <w:tab w:val="right" w:pos="9025" w:leader="dot"/>
            </w:tabs>
            <w:rPr/>
          </w:pPr>
          <w:hyperlink w:anchor="__RefHeading___Toc37152_3199679052">
            <w:r>
              <w:rPr>
                <w:webHidden/>
                <w:rStyle w:val="IndexLink"/>
                <w:i w:val="false"/>
                <w:iCs w:val="false"/>
              </w:rPr>
              <w:t>14. Document Sign-Off</w:t>
            </w:r>
            <w:r>
              <w:rPr>
                <w:rStyle w:val="IndexLink"/>
              </w:rPr>
              <w:tab/>
              <w:t>15</w:t>
            </w:r>
          </w:hyperlink>
          <w:r>
            <w:rPr>
              <w:rStyle w:val="IndexLink"/>
            </w:rPr>
            <w:fldChar w:fldCharType="end"/>
          </w:r>
        </w:p>
      </w:sdtContent>
    </w:sdt>
    <w:p>
      <w:pPr>
        <w:pStyle w:val="Heading1"/>
        <w:tabs>
          <w:tab w:val="clear" w:pos="720"/>
          <w:tab w:val="left" w:pos="360" w:leader="none"/>
        </w:tabs>
        <w:ind w:hanging="0" w:left="0"/>
        <w:rPr>
          <w:rStyle w:val="BookTitle"/>
          <w:b w:val="false"/>
          <w:bCs w:val="false"/>
          <w:i w:val="false"/>
          <w:i w:val="false"/>
          <w:iCs w:val="false"/>
          <w:spacing w:val="0"/>
        </w:rPr>
      </w:pPr>
      <w:r>
        <w:br w:type="page"/>
      </w:r>
      <w:bookmarkStart w:id="0" w:name="__RefHeading___Toc37098_3199679052"/>
      <w:bookmarkStart w:id="1" w:name="_Toc48319687"/>
      <w:bookmarkStart w:id="2" w:name="_Toc11824118"/>
      <w:bookmarkEnd w:id="0"/>
      <w:r>
        <w:rPr>
          <w:rStyle w:val="BookTitle"/>
          <w:b w:val="false"/>
        </w:rPr>
        <w:t xml:space="preserve"> </w:t>
      </w:r>
      <w:bookmarkStart w:id="3" w:name="_Toc233203387"/>
      <w:r>
        <w:rPr>
          <w:rStyle w:val="BookTitle"/>
          <w:bCs w:val="false"/>
          <w:i w:val="false"/>
          <w:iCs w:val="false"/>
          <w:spacing w:val="0"/>
        </w:rPr>
        <w:t>1.  Document Control</w:t>
      </w:r>
      <w:bookmarkEnd w:id="1"/>
      <w:bookmarkEnd w:id="2"/>
      <w:bookmarkEnd w:id="3"/>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785"/>
        <w:gridCol w:w="1608"/>
        <w:gridCol w:w="1692"/>
        <w:gridCol w:w="1696"/>
        <w:gridCol w:w="1690"/>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Date</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Version</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Author &amp; Business Unit Info</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Reviewed By &amp; Business Unit Info</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 &amp; Business Unit Info</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Change History</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03 October 2026</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1.0</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 Corp.</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Legal counsel (to be completed)</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To be completed</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Template for discussion; subject to review by the parties' legal counsel</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Normal"/>
        <w:spacing w:before="60" w:after="160"/>
        <w:rPr>
          <w:rFonts w:ascii="Segoe UI" w:hAnsi="Segoe UI" w:eastAsia="Arial" w:cs="Segoe UI"/>
          <w:b/>
          <w:color w:val="D74E0F"/>
          <w:sz w:val="28"/>
        </w:rPr>
      </w:pPr>
      <w:r>
        <w:rPr>
          <w:rFonts w:eastAsia="Arial" w:cs="Segoe UI" w:ascii="Segoe UI" w:hAnsi="Segoe UI"/>
          <w:b/>
          <w:color w:val="D74E0F"/>
          <w:sz w:val="28"/>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Heading1"/>
        <w:tabs>
          <w:tab w:val="clear" w:pos="720"/>
          <w:tab w:val="left" w:pos="360" w:leader="none"/>
        </w:tabs>
        <w:ind w:hanging="0" w:left="0"/>
        <w:rPr>
          <w:rStyle w:val="BookTitle"/>
          <w:b w:val="false"/>
          <w:bCs w:val="false"/>
          <w:i w:val="false"/>
          <w:i w:val="false"/>
          <w:iCs w:val="false"/>
          <w:spacing w:val="0"/>
        </w:rPr>
      </w:pPr>
      <w:bookmarkStart w:id="4" w:name="__RefHeading___Toc37100_3199679052"/>
      <w:bookmarkStart w:id="5" w:name="_Toc233203388"/>
      <w:bookmarkEnd w:id="4"/>
      <w:r>
        <w:rPr>
          <w:rStyle w:val="BookTitle"/>
          <w:bCs w:val="false"/>
          <w:i w:val="false"/>
          <w:iCs w:val="false"/>
          <w:spacing w:val="0"/>
        </w:rPr>
        <w:t>2.  Acronyms</w:t>
      </w:r>
      <w:bookmarkEnd w:id="5"/>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345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514"/>
        <w:gridCol w:w="3712"/>
      </w:tblGrid>
      <w:tr>
        <w:trPr>
          <w:trHeight w:val="440"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Acronym / Symbol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Definition / Meaning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CSV</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Comma-separated values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MSA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Master Services Agreement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NPC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National Privacy Commission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OOTB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Out of the box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Philippine peso</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SaaS</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Software as a service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SLA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Service level agreement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User acceptance testing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Value-added tax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XLSX</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Excel workbook</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Heading1"/>
        <w:pageBreakBefore w:val="false"/>
        <w:rPr/>
      </w:pPr>
      <w:bookmarkStart w:id="6" w:name="__RefHeading___Toc37102_3199679052"/>
      <w:bookmarkEnd w:id="6"/>
      <w:r>
        <w:rPr>
          <w:rFonts w:eastAsia="Segoe UI" w:cs="Segoe UI" w:ascii="Segoe UI" w:hAnsi="Segoe UI"/>
          <w:b/>
          <w:color w:val="0F4761"/>
          <w:sz w:val="32"/>
        </w:rPr>
        <w:t>3.  About this template</w:t>
      </w:r>
    </w:p>
    <w:p>
      <w:pPr>
        <w:pStyle w:val="Normal"/>
        <w:shd w:val="clear" w:color="auto" w:fill="EAF2FB"/>
        <w:spacing w:before="0" w:after="160"/>
        <w:ind w:left="170"/>
        <w:rPr/>
      </w:pPr>
      <w:r>
        <w:rPr>
          <w:rFonts w:eastAsia="Segoe UI" w:cs="Segoe UI" w:ascii="Segoe UI" w:hAnsi="Segoe UI"/>
          <w:color w:val="101820"/>
          <w:sz w:val="20"/>
        </w:rPr>
        <w:t>Template for discussion; subject to review by the parties' legal counsel.</w:t>
      </w:r>
    </w:p>
    <w:p>
      <w:pPr>
        <w:pStyle w:val="Normal"/>
        <w:spacing w:lineRule="auto" w:line="276" w:before="0" w:after="120"/>
        <w:rPr/>
      </w:pPr>
      <w:r>
        <w:rPr>
          <w:rFonts w:eastAsia="Segoe UI" w:cs="Segoe UI" w:ascii="Segoe UI" w:hAnsi="Segoe UI"/>
          <w:color w:val="101820"/>
          <w:sz w:val="21"/>
        </w:rPr>
        <w:t xml:space="preserve">This Software Subscription Agreement (the </w:t>
      </w:r>
      <w:r>
        <w:rPr>
          <w:rFonts w:eastAsia="Segoe UI" w:cs="Segoe UI" w:ascii="Segoe UI" w:hAnsi="Segoe UI"/>
          <w:b/>
          <w:color w:val="101820"/>
          <w:sz w:val="21"/>
        </w:rPr>
        <w:t>Subscription Agreement</w:t>
      </w:r>
      <w:r>
        <w:rPr>
          <w:rFonts w:eastAsia="Segoe UI" w:cs="Segoe UI" w:ascii="Segoe UI" w:hAnsi="Segoe UI"/>
          <w:color w:val="101820"/>
          <w:sz w:val="21"/>
        </w:rPr>
        <w:t xml:space="preserve">) sets the terms of a subscription to iNXT BrokerVerse OOTB. It forms part of the Master Services Agreement (the </w:t>
      </w:r>
      <w:r>
        <w:rPr>
          <w:rFonts w:eastAsia="Segoe UI" w:cs="Segoe UI" w:ascii="Segoe UI" w:hAnsi="Segoe UI"/>
          <w:b/>
          <w:color w:val="101820"/>
          <w:sz w:val="21"/>
        </w:rPr>
        <w:t>MSA</w:t>
      </w:r>
      <w:r>
        <w:rPr>
          <w:rFonts w:eastAsia="Segoe UI" w:cs="Segoe UI" w:ascii="Segoe UI" w:hAnsi="Segoe UI"/>
          <w:color w:val="101820"/>
          <w:sz w:val="21"/>
        </w:rPr>
        <w:t>) between iorta TechNXT Corp. and the Client when an Order Form names it. Capitalised terms not defined here have the meaning given in the MSA. Text in [square brackets] is a placeholder or an option.</w:t>
      </w:r>
      <w:r>
        <w:br w:type="page"/>
      </w:r>
    </w:p>
    <w:p>
      <w:pPr>
        <w:pStyle w:val="Heading1"/>
        <w:rPr/>
      </w:pPr>
      <w:bookmarkStart w:id="7" w:name="__RefHeading___Toc37104_3199679052"/>
      <w:bookmarkEnd w:id="7"/>
      <w:r>
        <w:rPr>
          <w:rFonts w:eastAsia="Segoe UI" w:cs="Segoe UI" w:ascii="Segoe UI" w:hAnsi="Segoe UI"/>
          <w:b/>
          <w:color w:val="0F4761"/>
          <w:sz w:val="32"/>
        </w:rPr>
        <w:t>4.  Agreement and definitions</w:t>
      </w:r>
    </w:p>
    <w:p>
      <w:pPr>
        <w:pStyle w:val="Heading2"/>
        <w:rPr/>
      </w:pPr>
      <w:bookmarkStart w:id="8" w:name="__RefHeading___Toc37106_3199679052"/>
      <w:bookmarkEnd w:id="8"/>
      <w:r>
        <w:rPr>
          <w:rFonts w:eastAsia="Segoe UI" w:cs="Segoe UI"/>
          <w:b/>
          <w:color w:val="0F4761"/>
          <w:sz w:val="26"/>
        </w:rPr>
        <w:t>4.1  Parties</w:t>
      </w:r>
    </w:p>
    <w:p>
      <w:pPr>
        <w:pStyle w:val="Normal"/>
        <w:spacing w:lineRule="auto" w:line="276" w:before="0" w:after="120"/>
        <w:rPr/>
      </w:pPr>
      <w:r>
        <w:rPr>
          <w:rFonts w:eastAsia="Segoe UI" w:cs="Segoe UI" w:ascii="Segoe UI" w:hAnsi="Segoe UI"/>
          <w:color w:val="101820"/>
          <w:sz w:val="21"/>
        </w:rPr>
        <w:t xml:space="preserve">This Subscription Agreement is made on [date] between </w:t>
      </w:r>
      <w:r>
        <w:rPr>
          <w:rFonts w:eastAsia="Segoe UI" w:cs="Segoe UI" w:ascii="Segoe UI" w:hAnsi="Segoe UI"/>
          <w:b/>
          <w:color w:val="101820"/>
          <w:sz w:val="21"/>
        </w:rPr>
        <w:t>iorta TechNXT Corp.</w:t>
      </w:r>
      <w:r>
        <w:rPr>
          <w:rFonts w:eastAsia="Segoe UI" w:cs="Segoe UI" w:ascii="Segoe UI" w:hAnsi="Segoe UI"/>
          <w:color w:val="101820"/>
          <w:sz w:val="21"/>
        </w:rPr>
        <w:t>, SEC registration no. [number], with principal office at [address] (</w:t>
      </w:r>
      <w:r>
        <w:rPr>
          <w:rFonts w:eastAsia="Segoe UI" w:cs="Segoe UI" w:ascii="Segoe UI" w:hAnsi="Segoe UI"/>
          <w:b/>
          <w:color w:val="101820"/>
          <w:sz w:val="21"/>
        </w:rPr>
        <w:t>iorta TechNXT</w:t>
      </w:r>
      <w:r>
        <w:rPr>
          <w:rFonts w:eastAsia="Segoe UI" w:cs="Segoe UI" w:ascii="Segoe UI" w:hAnsi="Segoe UI"/>
          <w:color w:val="101820"/>
          <w:sz w:val="21"/>
        </w:rPr>
        <w:t xml:space="preserve">), and </w:t>
      </w:r>
      <w:r>
        <w:rPr>
          <w:rFonts w:eastAsia="Segoe UI" w:cs="Segoe UI" w:ascii="Segoe UI" w:hAnsi="Segoe UI"/>
          <w:b/>
          <w:color w:val="101820"/>
          <w:sz w:val="21"/>
        </w:rPr>
        <w:t>[Client legal name]</w:t>
      </w:r>
      <w:r>
        <w:rPr>
          <w:rFonts w:eastAsia="Segoe UI" w:cs="Segoe UI" w:ascii="Segoe UI" w:hAnsi="Segoe UI"/>
          <w:color w:val="101820"/>
          <w:sz w:val="21"/>
        </w:rPr>
        <w:t xml:space="preserve">, SEC registration no. [number], with principal office at [address] (the </w:t>
      </w:r>
      <w:r>
        <w:rPr>
          <w:rFonts w:eastAsia="Segoe UI" w:cs="Segoe UI" w:ascii="Segoe UI" w:hAnsi="Segoe UI"/>
          <w:b/>
          <w:color w:val="101820"/>
          <w:sz w:val="21"/>
        </w:rPr>
        <w:t>Client</w:t>
      </w:r>
      <w:r>
        <w:rPr>
          <w:rFonts w:eastAsia="Segoe UI" w:cs="Segoe UI" w:ascii="Segoe UI" w:hAnsi="Segoe UI"/>
          <w:color w:val="101820"/>
          <w:sz w:val="21"/>
        </w:rPr>
        <w:t>), under the MSA dated [date] and Order Form no. [number].</w:t>
      </w:r>
    </w:p>
    <w:p>
      <w:pPr>
        <w:pStyle w:val="Heading2"/>
        <w:rPr/>
      </w:pPr>
      <w:bookmarkStart w:id="9" w:name="__RefHeading___Toc37108_3199679052"/>
      <w:bookmarkEnd w:id="9"/>
      <w:r>
        <w:rPr>
          <w:rFonts w:eastAsia="Segoe UI" w:cs="Segoe UI"/>
          <w:b/>
          <w:color w:val="0F4761"/>
          <w:sz w:val="26"/>
        </w:rPr>
        <w:t>4.2  Definitions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58"/>
        <w:gridCol w:w="6656"/>
      </w:tblGrid>
      <w:tr>
        <w:trPr>
          <w:tblHeader w:val="true"/>
        </w:trPr>
        <w:tc>
          <w:tcPr>
            <w:tcW w:w="235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Term</w:t>
            </w:r>
          </w:p>
        </w:tc>
        <w:tc>
          <w:tcPr>
            <w:tcW w:w="665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Meaning</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Subscription</w:t>
            </w:r>
          </w:p>
        </w:tc>
        <w:tc>
          <w:tcPr>
            <w:tcW w:w="66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right to use the Platform for the Subscription Term, with updates and standard support</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Subscription Term</w:t>
            </w:r>
          </w:p>
        </w:tc>
        <w:tc>
          <w:tcPr>
            <w:tcW w:w="66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Initial Term and each Renewal Term</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Initial Term</w:t>
            </w:r>
          </w:p>
        </w:tc>
        <w:tc>
          <w:tcPr>
            <w:tcW w:w="66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committed term stated in the Order Form, starting on Go-Live; at least 12 months</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 Term</w:t>
            </w:r>
          </w:p>
        </w:tc>
        <w:tc>
          <w:tcPr>
            <w:tcW w:w="66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Each period of 12 months after the Initial Term, unless the Order Form states another period</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Subscribed Users</w:t>
            </w:r>
          </w:p>
        </w:tc>
        <w:tc>
          <w:tcPr>
            <w:tcW w:w="66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number of Named Users stated in the Order Form, as changed under this Subscription Agreement</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Billable Users</w:t>
            </w:r>
          </w:p>
        </w:tc>
        <w:tc>
          <w:tcPr>
            <w:tcW w:w="66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higher of the Subscribed Users and the minimum billable users of the Client's size</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Monthly Fee</w:t>
            </w:r>
          </w:p>
        </w:tc>
        <w:tc>
          <w:tcPr>
            <w:tcW w:w="66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monthly subscription fee for the Billable Users, calculated on the graduated slabs</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Onboarding Fee</w:t>
            </w:r>
          </w:p>
        </w:tc>
        <w:tc>
          <w:tcPr>
            <w:tcW w:w="66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one-time fee for setting up the Subscription, equal to the implementation fee unless the Order Form states otherwise</w:t>
            </w:r>
          </w:p>
        </w:tc>
      </w:tr>
    </w:tbl>
    <w:p>
      <w:pPr>
        <w:pStyle w:val="Heading1"/>
        <w:rPr/>
      </w:pPr>
      <w:r>
        <w:br w:type="page"/>
      </w:r>
      <w:bookmarkStart w:id="10" w:name="__RefHeading___Toc37110_3199679052"/>
      <w:bookmarkEnd w:id="10"/>
      <w:r>
        <w:rPr>
          <w:rFonts w:eastAsia="Segoe UI" w:cs="Segoe UI" w:ascii="Segoe UI" w:hAnsi="Segoe UI"/>
          <w:b/>
          <w:color w:val="0F4761"/>
          <w:sz w:val="32"/>
        </w:rPr>
        <w:t>5.  Subscription</w:t>
      </w:r>
    </w:p>
    <w:p>
      <w:pPr>
        <w:pStyle w:val="Heading2"/>
        <w:rPr/>
      </w:pPr>
      <w:bookmarkStart w:id="11" w:name="__RefHeading___Toc37112_3199679052"/>
      <w:bookmarkEnd w:id="11"/>
      <w:r>
        <w:rPr>
          <w:rFonts w:eastAsia="Segoe UI" w:cs="Segoe UI"/>
          <w:b/>
          <w:color w:val="0F4761"/>
          <w:sz w:val="26"/>
        </w:rPr>
        <w:t>5.1  Right of use</w:t>
      </w:r>
    </w:p>
    <w:p>
      <w:pPr>
        <w:pStyle w:val="Normal"/>
        <w:numPr>
          <w:ilvl w:val="0"/>
          <w:numId w:val="11"/>
        </w:numPr>
        <w:spacing w:before="0" w:after="60"/>
        <w:rPr/>
      </w:pPr>
      <w:r>
        <w:rPr>
          <w:rFonts w:eastAsia="Segoe UI" w:cs="Segoe UI" w:ascii="Segoe UI" w:hAnsi="Segoe UI"/>
          <w:color w:val="101820"/>
          <w:sz w:val="21"/>
        </w:rPr>
        <w:t>During the Subscription Term, iorta TechNXT grants the Client a non-exclusive, non-transferable, non-sublicensable right to access and use the Platform for the internal business of the Client as a licensed insurance broker, by up to the Billable Users.</w:t>
      </w:r>
    </w:p>
    <w:p>
      <w:pPr>
        <w:pStyle w:val="Normal"/>
        <w:numPr>
          <w:ilvl w:val="0"/>
          <w:numId w:val="1"/>
        </w:numPr>
        <w:spacing w:before="0" w:after="60"/>
        <w:rPr/>
      </w:pPr>
      <w:r>
        <w:rPr>
          <w:rFonts w:eastAsia="Segoe UI" w:cs="Segoe UI" w:ascii="Segoe UI" w:hAnsi="Segoe UI"/>
          <w:color w:val="101820"/>
          <w:sz w:val="21"/>
        </w:rPr>
        <w:t>The Subscription includes: the right of use of the OOTB version; updates, releases and regulatory form updates released for all customers; and standard support under the Service Level Agreement.</w:t>
      </w:r>
    </w:p>
    <w:p>
      <w:pPr>
        <w:pStyle w:val="Normal"/>
        <w:numPr>
          <w:ilvl w:val="0"/>
          <w:numId w:val="1"/>
        </w:numPr>
        <w:spacing w:before="0" w:after="60"/>
        <w:rPr/>
      </w:pPr>
      <w:r>
        <w:rPr>
          <w:rFonts w:eastAsia="Segoe UI" w:cs="Segoe UI" w:ascii="Segoe UI" w:hAnsi="Segoe UI"/>
          <w:color w:val="101820"/>
          <w:sz w:val="21"/>
        </w:rPr>
        <w:t>Hosting is not included in the Subscription. The Platform is hosted either by iorta TechNXT under the Hosting and Infrastructure Services Agreement or by the Client, as stated in the Order Form.</w:t>
      </w:r>
    </w:p>
    <w:p>
      <w:pPr>
        <w:pStyle w:val="Normal"/>
        <w:numPr>
          <w:ilvl w:val="0"/>
          <w:numId w:val="1"/>
        </w:numPr>
        <w:spacing w:before="0" w:after="60"/>
        <w:rPr/>
      </w:pPr>
      <w:r>
        <w:rPr>
          <w:rFonts w:eastAsia="Segoe UI" w:cs="Segoe UI" w:ascii="Segoe UI" w:hAnsi="Segoe UI"/>
          <w:color w:val="101820"/>
          <w:sz w:val="21"/>
        </w:rPr>
        <w:t>The restrictions in the Perpetual Software Licence Agreement (Restrictions clause) apply to the Subscription with the necessary changes.</w:t>
      </w:r>
    </w:p>
    <w:p>
      <w:pPr>
        <w:pStyle w:val="Heading2"/>
        <w:rPr/>
      </w:pPr>
      <w:bookmarkStart w:id="12" w:name="__RefHeading___Toc37114_3199679052"/>
      <w:bookmarkEnd w:id="12"/>
      <w:r>
        <w:rPr>
          <w:rFonts w:eastAsia="Segoe UI" w:cs="Segoe UI"/>
          <w:b/>
          <w:color w:val="0F4761"/>
          <w:sz w:val="26"/>
        </w:rPr>
        <w:t>5.2  Users and slabs</w:t>
      </w:r>
    </w:p>
    <w:p>
      <w:pPr>
        <w:pStyle w:val="Normal"/>
        <w:spacing w:lineRule="auto" w:line="276" w:before="0" w:after="120"/>
        <w:rPr/>
      </w:pPr>
      <w:r>
        <w:rPr>
          <w:rFonts w:eastAsia="Segoe UI" w:cs="Segoe UI" w:ascii="Segoe UI" w:hAnsi="Segoe UI"/>
          <w:color w:val="101820"/>
          <w:sz w:val="21"/>
        </w:rPr>
        <w:t>The Monthly Fee is calculated on graduated slabs: users 1 to 25 at the Small rate, users 26 to 100 at the Medium rate, users 101 to 300 at the Large rate and users above 300 at the Enterprise rate.</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79"/>
        <w:gridCol w:w="4030"/>
        <w:gridCol w:w="3606"/>
      </w:tblGrid>
      <w:tr>
        <w:trPr>
          <w:tblHeader w:val="true"/>
        </w:trPr>
        <w:tc>
          <w:tcPr>
            <w:tcW w:w="137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Users in slab</w:t>
            </w:r>
          </w:p>
        </w:tc>
        <w:tc>
          <w:tcPr>
            <w:tcW w:w="403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Price per user per month, Year 1 (PHP)</w:t>
            </w:r>
          </w:p>
        </w:tc>
        <w:tc>
          <w:tcPr>
            <w:tcW w:w="36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Minimum billable users of the size</w:t>
            </w:r>
          </w:p>
        </w:tc>
      </w:tr>
      <w:tr>
        <w:trPr/>
        <w:tc>
          <w:tcPr>
            <w:tcW w:w="13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 to 25</w:t>
            </w:r>
          </w:p>
        </w:tc>
        <w:tc>
          <w:tcPr>
            <w:tcW w:w="40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3,200.00</w:t>
            </w:r>
          </w:p>
        </w:tc>
        <w:tc>
          <w:tcPr>
            <w:tcW w:w="36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Small: 10</w:t>
            </w:r>
          </w:p>
        </w:tc>
      </w:tr>
      <w:tr>
        <w:trPr/>
        <w:tc>
          <w:tcPr>
            <w:tcW w:w="13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26 to 100</w:t>
            </w:r>
          </w:p>
        </w:tc>
        <w:tc>
          <w:tcPr>
            <w:tcW w:w="40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2,800.00</w:t>
            </w:r>
          </w:p>
        </w:tc>
        <w:tc>
          <w:tcPr>
            <w:tcW w:w="36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Medium: 26</w:t>
            </w:r>
          </w:p>
        </w:tc>
      </w:tr>
      <w:tr>
        <w:trPr/>
        <w:tc>
          <w:tcPr>
            <w:tcW w:w="13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101 to 300</w:t>
            </w:r>
          </w:p>
        </w:tc>
        <w:tc>
          <w:tcPr>
            <w:tcW w:w="40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2,400.00</w:t>
            </w:r>
          </w:p>
        </w:tc>
        <w:tc>
          <w:tcPr>
            <w:tcW w:w="36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Large: 101</w:t>
            </w:r>
          </w:p>
        </w:tc>
      </w:tr>
      <w:tr>
        <w:trPr/>
        <w:tc>
          <w:tcPr>
            <w:tcW w:w="13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Above 300</w:t>
            </w:r>
          </w:p>
        </w:tc>
        <w:tc>
          <w:tcPr>
            <w:tcW w:w="40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2,000.00</w:t>
            </w:r>
          </w:p>
        </w:tc>
        <w:tc>
          <w:tcPr>
            <w:tcW w:w="36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Enterprise: 301</w:t>
            </w:r>
          </w:p>
        </w:tc>
      </w:tr>
    </w:tbl>
    <w:p>
      <w:pPr>
        <w:pStyle w:val="Normal"/>
        <w:spacing w:before="0" w:after="80"/>
        <w:rPr/>
      </w:pPr>
      <w:r>
        <w:rPr/>
      </w:r>
    </w:p>
    <w:p>
      <w:pPr>
        <w:pStyle w:val="Normal"/>
        <w:numPr>
          <w:ilvl w:val="0"/>
          <w:numId w:val="12"/>
        </w:numPr>
        <w:spacing w:before="0" w:after="60"/>
        <w:rPr/>
      </w:pPr>
      <w:r>
        <w:rPr>
          <w:rFonts w:eastAsia="Segoe UI" w:cs="Segoe UI" w:ascii="Segoe UI" w:hAnsi="Segoe UI"/>
          <w:color w:val="101820"/>
          <w:sz w:val="21"/>
        </w:rPr>
        <w:t>The size is set by the number of Subscribed Users. The minimum billable users of the size apply even if fewer users are active.</w:t>
      </w:r>
    </w:p>
    <w:p>
      <w:pPr>
        <w:pStyle w:val="Normal"/>
        <w:numPr>
          <w:ilvl w:val="0"/>
          <w:numId w:val="13"/>
        </w:numPr>
        <w:spacing w:before="0" w:after="60"/>
        <w:rPr/>
      </w:pPr>
      <w:r>
        <w:rPr>
          <w:rFonts w:eastAsia="Segoe UI" w:cs="Segoe UI" w:ascii="Segoe UI" w:hAnsi="Segoe UI"/>
          <w:color w:val="101820"/>
          <w:sz w:val="21"/>
        </w:rPr>
        <w:t>Example: 40 Subscribed Users are billed as 25 users at PHP 3,200.00 and 15 users at PHP 2,800.00, which is PHP 122,000.00 a month in Year 1.</w:t>
      </w:r>
    </w:p>
    <w:p>
      <w:pPr>
        <w:pStyle w:val="Normal"/>
        <w:numPr>
          <w:ilvl w:val="0"/>
          <w:numId w:val="14"/>
        </w:numPr>
        <w:spacing w:before="0" w:after="60"/>
        <w:rPr/>
      </w:pPr>
      <w:r>
        <w:rPr>
          <w:rFonts w:eastAsia="Segoe UI" w:cs="Segoe UI" w:ascii="Segoe UI" w:hAnsi="Segoe UI"/>
          <w:color w:val="101820"/>
          <w:sz w:val="21"/>
        </w:rPr>
        <w:t>The rates above are list rates of the price book dated 03 October 2026. The rates of the signed Order Form prevail.</w:t>
      </w:r>
    </w:p>
    <w:p>
      <w:pPr>
        <w:pStyle w:val="Heading2"/>
        <w:rPr/>
      </w:pPr>
      <w:bookmarkStart w:id="13" w:name="__RefHeading___Toc37116_3199679052"/>
      <w:bookmarkEnd w:id="13"/>
      <w:r>
        <w:rPr>
          <w:rFonts w:eastAsia="Segoe UI" w:cs="Segoe UI"/>
          <w:b/>
          <w:color w:val="0F4761"/>
          <w:sz w:val="26"/>
        </w:rPr>
        <w:t>5.3  Adding and reducing users</w:t>
      </w:r>
    </w:p>
    <w:p>
      <w:pPr>
        <w:pStyle w:val="Normal"/>
        <w:numPr>
          <w:ilvl w:val="0"/>
          <w:numId w:val="15"/>
        </w:numPr>
        <w:spacing w:before="0" w:after="60"/>
        <w:rPr/>
      </w:pPr>
      <w:r>
        <w:rPr>
          <w:rFonts w:eastAsia="Segoe UI" w:cs="Segoe UI" w:ascii="Segoe UI" w:hAnsi="Segoe UI"/>
          <w:color w:val="101820"/>
          <w:sz w:val="21"/>
        </w:rPr>
        <w:t>The Client may add Subscribed Users at any time by written request or Order Form. Added users are billed from the first day of the month after they are activated, at the slab rates then applicable, for the rest of the Subscription Term.</w:t>
      </w:r>
    </w:p>
    <w:p>
      <w:pPr>
        <w:pStyle w:val="Normal"/>
        <w:numPr>
          <w:ilvl w:val="0"/>
          <w:numId w:val="16"/>
        </w:numPr>
        <w:spacing w:before="0" w:after="60"/>
        <w:rPr/>
      </w:pPr>
      <w:r>
        <w:rPr>
          <w:rFonts w:eastAsia="Segoe UI" w:cs="Segoe UI" w:ascii="Segoe UI" w:hAnsi="Segoe UI"/>
          <w:color w:val="101820"/>
          <w:sz w:val="21"/>
        </w:rPr>
        <w:t>The Client may reduce Subscribed Users only with effect from the start of a Renewal Term, on at least 60 days' written notice, and not below the minimum billable users of the size.</w:t>
      </w:r>
    </w:p>
    <w:p>
      <w:pPr>
        <w:pStyle w:val="Normal"/>
        <w:numPr>
          <w:ilvl w:val="0"/>
          <w:numId w:val="17"/>
        </w:numPr>
        <w:spacing w:before="0" w:after="60"/>
        <w:rPr/>
      </w:pPr>
      <w:r>
        <w:rPr>
          <w:rFonts w:eastAsia="Segoe UI" w:cs="Segoe UI" w:ascii="Segoe UI" w:hAnsi="Segoe UI"/>
          <w:color w:val="101820"/>
          <w:sz w:val="21"/>
        </w:rPr>
        <w:t>iorta TechNXT may check the number of active Named Users from the User Management records of the Platform. Active users above the Subscribed Users are billed from the month they first exceeded it.</w:t>
      </w:r>
      <w:r>
        <w:br w:type="page"/>
      </w:r>
    </w:p>
    <w:p>
      <w:pPr>
        <w:pStyle w:val="Heading1"/>
        <w:rPr/>
      </w:pPr>
      <w:bookmarkStart w:id="14" w:name="__RefHeading___Toc37118_3199679052"/>
      <w:bookmarkEnd w:id="14"/>
      <w:r>
        <w:rPr>
          <w:rFonts w:eastAsia="Segoe UI" w:cs="Segoe UI" w:ascii="Segoe UI" w:hAnsi="Segoe UI"/>
          <w:b/>
          <w:color w:val="0F4761"/>
          <w:sz w:val="32"/>
        </w:rPr>
        <w:t>6.  Term and renewal</w:t>
      </w:r>
    </w:p>
    <w:p>
      <w:pPr>
        <w:pStyle w:val="Heading2"/>
        <w:rPr/>
      </w:pPr>
      <w:bookmarkStart w:id="15" w:name="__RefHeading___Toc37120_3199679052"/>
      <w:bookmarkEnd w:id="15"/>
      <w:r>
        <w:rPr>
          <w:rFonts w:eastAsia="Segoe UI" w:cs="Segoe UI"/>
          <w:b/>
          <w:color w:val="0F4761"/>
          <w:sz w:val="26"/>
        </w:rPr>
        <w:t>6.1  Initial Term</w:t>
      </w:r>
    </w:p>
    <w:p>
      <w:pPr>
        <w:pStyle w:val="Normal"/>
        <w:spacing w:lineRule="auto" w:line="276" w:before="0" w:after="120"/>
        <w:rPr/>
      </w:pPr>
      <w:r>
        <w:rPr>
          <w:rFonts w:eastAsia="Segoe UI" w:cs="Segoe UI" w:ascii="Segoe UI" w:hAnsi="Segoe UI"/>
          <w:color w:val="101820"/>
          <w:sz w:val="21"/>
        </w:rPr>
        <w:t>The Subscription starts on Go-Live and continues for the Initial Term stated in the Order Form ([12 / 36 / 60] months). The minimum Initial Term is 12 months. Use of the Platform before Go-Live for configuration, testing and training is covered by the Onboarding Fee.</w:t>
      </w:r>
    </w:p>
    <w:p>
      <w:pPr>
        <w:pStyle w:val="Heading2"/>
        <w:rPr/>
      </w:pPr>
      <w:bookmarkStart w:id="16" w:name="__RefHeading___Toc37122_3199679052"/>
      <w:bookmarkEnd w:id="16"/>
      <w:r>
        <w:rPr>
          <w:rFonts w:eastAsia="Segoe UI" w:cs="Segoe UI"/>
          <w:b/>
          <w:color w:val="0F4761"/>
          <w:sz w:val="26"/>
        </w:rPr>
        <w:t>6.2  Auto-renewal</w:t>
      </w:r>
    </w:p>
    <w:p>
      <w:pPr>
        <w:pStyle w:val="Normal"/>
        <w:spacing w:lineRule="auto" w:line="276" w:before="0" w:after="120"/>
        <w:rPr/>
      </w:pPr>
      <w:r>
        <w:rPr>
          <w:rFonts w:eastAsia="Segoe UI" w:cs="Segoe UI" w:ascii="Segoe UI" w:hAnsi="Segoe UI"/>
          <w:color w:val="101820"/>
          <w:sz w:val="21"/>
        </w:rPr>
        <w:t>At the end of the Initial Term and of each Renewal Term, the Subscription renews automatically for a Renewal Term, unless either Party gives written notice of non-renewal at least 90 days before the end of the current term.</w:t>
      </w:r>
    </w:p>
    <w:p>
      <w:pPr>
        <w:pStyle w:val="Heading2"/>
        <w:rPr/>
      </w:pPr>
      <w:bookmarkStart w:id="17" w:name="__RefHeading___Toc37124_3199679052"/>
      <w:bookmarkEnd w:id="17"/>
      <w:r>
        <w:rPr>
          <w:rFonts w:eastAsia="Segoe UI" w:cs="Segoe UI"/>
          <w:b/>
          <w:color w:val="0F4761"/>
          <w:sz w:val="26"/>
        </w:rPr>
        <w:t>6.3  Committed term</w:t>
      </w:r>
    </w:p>
    <w:p>
      <w:pPr>
        <w:pStyle w:val="Normal"/>
        <w:spacing w:lineRule="auto" w:line="276" w:before="0" w:after="120"/>
        <w:rPr/>
      </w:pPr>
      <w:r>
        <w:rPr>
          <w:rFonts w:eastAsia="Segoe UI" w:cs="Segoe UI" w:ascii="Segoe UI" w:hAnsi="Segoe UI"/>
          <w:color w:val="101820"/>
          <w:sz w:val="21"/>
        </w:rPr>
        <w:t>The Client may not terminate the Subscription for convenience during the Initial Term, unless the Order Form provides an early termination right. [If the Order Form provides one, the Client pays an early termination fee equal to [all / 50% of] the Monthly Fees for the remainder of the Initial Term.]</w:t>
      </w:r>
      <w:r>
        <w:br w:type="page"/>
      </w:r>
    </w:p>
    <w:p>
      <w:pPr>
        <w:pStyle w:val="Heading1"/>
        <w:rPr/>
      </w:pPr>
      <w:bookmarkStart w:id="18" w:name="__RefHeading___Toc37126_3199679052"/>
      <w:bookmarkEnd w:id="18"/>
      <w:r>
        <w:rPr>
          <w:rFonts w:eastAsia="Segoe UI" w:cs="Segoe UI" w:ascii="Segoe UI" w:hAnsi="Segoe UI"/>
          <w:b/>
          <w:color w:val="0F4761"/>
          <w:sz w:val="32"/>
        </w:rPr>
        <w:t>7.  Fees and billing</w:t>
      </w:r>
    </w:p>
    <w:p>
      <w:pPr>
        <w:pStyle w:val="Heading2"/>
        <w:rPr/>
      </w:pPr>
      <w:bookmarkStart w:id="19" w:name="__RefHeading___Toc37128_3199679052"/>
      <w:bookmarkEnd w:id="19"/>
      <w:r>
        <w:rPr>
          <w:rFonts w:eastAsia="Segoe UI" w:cs="Segoe UI"/>
          <w:b/>
          <w:color w:val="0F4761"/>
          <w:sz w:val="26"/>
        </w:rPr>
        <w:t>7.1  Onboarding Fee</w:t>
      </w:r>
    </w:p>
    <w:p>
      <w:pPr>
        <w:pStyle w:val="Normal"/>
        <w:spacing w:lineRule="auto" w:line="276" w:before="0" w:after="120"/>
        <w:rPr/>
      </w:pPr>
      <w:r>
        <w:rPr>
          <w:rFonts w:eastAsia="Segoe UI" w:cs="Segoe UI" w:ascii="Segoe UI" w:hAnsi="Segoe UI"/>
          <w:color w:val="101820"/>
          <w:sz w:val="21"/>
        </w:rPr>
        <w:t>The Onboarding Fee is invoiced 40% on signing of the Order Form, 40% on UAT sign-off and 20% on Go-Live, as stated in the Implementation SOW.</w:t>
      </w:r>
    </w:p>
    <w:p>
      <w:pPr>
        <w:pStyle w:val="Heading2"/>
        <w:rPr/>
      </w:pPr>
      <w:bookmarkStart w:id="20" w:name="__RefHeading___Toc37130_3199679052"/>
      <w:bookmarkEnd w:id="20"/>
      <w:r>
        <w:rPr>
          <w:rFonts w:eastAsia="Segoe UI" w:cs="Segoe UI"/>
          <w:b/>
          <w:color w:val="0F4761"/>
          <w:sz w:val="26"/>
        </w:rPr>
        <w:t>7.2  Monthly Fee</w:t>
      </w:r>
    </w:p>
    <w:p>
      <w:pPr>
        <w:pStyle w:val="Normal"/>
        <w:numPr>
          <w:ilvl w:val="0"/>
          <w:numId w:val="18"/>
        </w:numPr>
        <w:spacing w:before="0" w:after="60"/>
        <w:rPr/>
      </w:pPr>
      <w:r>
        <w:rPr>
          <w:rFonts w:eastAsia="Segoe UI" w:cs="Segoe UI" w:ascii="Segoe UI" w:hAnsi="Segoe UI"/>
          <w:color w:val="101820"/>
          <w:sz w:val="21"/>
        </w:rPr>
        <w:t>The Monthly Fee is invoiced monthly in advance, on the first day of each month, from Go-Live. The first and last months are prorated by day.</w:t>
      </w:r>
    </w:p>
    <w:p>
      <w:pPr>
        <w:pStyle w:val="Normal"/>
        <w:numPr>
          <w:ilvl w:val="0"/>
          <w:numId w:val="19"/>
        </w:numPr>
        <w:spacing w:before="0" w:after="60"/>
        <w:rPr/>
      </w:pPr>
      <w:r>
        <w:rPr>
          <w:rFonts w:eastAsia="Segoe UI" w:cs="Segoe UI" w:ascii="Segoe UI" w:hAnsi="Segoe UI"/>
          <w:color w:val="101820"/>
          <w:sz w:val="21"/>
        </w:rPr>
        <w:t>The Monthly Fee increases by 5% at each anniversary of Go-Live, for the Initial Term and every Renewal Term.</w:t>
      </w:r>
    </w:p>
    <w:p>
      <w:pPr>
        <w:pStyle w:val="Normal"/>
        <w:numPr>
          <w:ilvl w:val="0"/>
          <w:numId w:val="20"/>
        </w:numPr>
        <w:spacing w:before="0" w:after="60"/>
        <w:rPr/>
      </w:pPr>
      <w:r>
        <w:rPr>
          <w:rFonts w:eastAsia="Segoe UI" w:cs="Segoe UI" w:ascii="Segoe UI" w:hAnsi="Segoe UI"/>
          <w:color w:val="101820"/>
          <w:sz w:val="21"/>
        </w:rPr>
        <w:t>[Option: if the Order Form states that the Client prepays the Subscription yearly in advance, the Monthly Fee for the year is invoiced at the start of the year with the prepayment discount in the Order Form.]</w:t>
      </w:r>
    </w:p>
    <w:p>
      <w:pPr>
        <w:pStyle w:val="Normal"/>
        <w:numPr>
          <w:ilvl w:val="0"/>
          <w:numId w:val="21"/>
        </w:numPr>
        <w:spacing w:before="0" w:after="60"/>
        <w:rPr/>
      </w:pPr>
      <w:r>
        <w:rPr>
          <w:rFonts w:eastAsia="Segoe UI" w:cs="Segoe UI" w:ascii="Segoe UI" w:hAnsi="Segoe UI"/>
          <w:color w:val="101820"/>
          <w:sz w:val="21"/>
        </w:rPr>
        <w:t>Invoices are payable within 30 days of the invoice date. Fees exclude VAT, which is added at the rate in force. Withholding tax is handled as stated in the Taxes clause of the MSA.</w:t>
      </w:r>
    </w:p>
    <w:p>
      <w:pPr>
        <w:pStyle w:val="Heading2"/>
        <w:rPr/>
      </w:pPr>
      <w:bookmarkStart w:id="21" w:name="__RefHeading___Toc37132_3199679052"/>
      <w:bookmarkEnd w:id="21"/>
      <w:r>
        <w:rPr>
          <w:rFonts w:eastAsia="Segoe UI" w:cs="Segoe UI"/>
          <w:b/>
          <w:color w:val="0F4761"/>
          <w:sz w:val="26"/>
        </w:rPr>
        <w:t>7.3  Suspension for non-payment</w:t>
      </w:r>
    </w:p>
    <w:p>
      <w:pPr>
        <w:pStyle w:val="Normal"/>
        <w:numPr>
          <w:ilvl w:val="0"/>
          <w:numId w:val="22"/>
        </w:numPr>
        <w:spacing w:before="0" w:after="60"/>
        <w:rPr/>
      </w:pPr>
      <w:r>
        <w:rPr>
          <w:rFonts w:eastAsia="Segoe UI" w:cs="Segoe UI" w:ascii="Segoe UI" w:hAnsi="Segoe UI"/>
          <w:color w:val="101820"/>
          <w:sz w:val="21"/>
        </w:rPr>
        <w:t>If an undisputed invoice remains unpaid 60 days after its due date, iorta TechNXT may suspend access to the Platform after giving the Client at least 10 Business Days' written notice that states the amount due and the suspension date.</w:t>
      </w:r>
    </w:p>
    <w:p>
      <w:pPr>
        <w:pStyle w:val="Normal"/>
        <w:numPr>
          <w:ilvl w:val="0"/>
          <w:numId w:val="23"/>
        </w:numPr>
        <w:spacing w:before="0" w:after="60"/>
        <w:rPr/>
      </w:pPr>
      <w:r>
        <w:rPr>
          <w:rFonts w:eastAsia="Segoe UI" w:cs="Segoe UI" w:ascii="Segoe UI" w:hAnsi="Segoe UI"/>
          <w:color w:val="101820"/>
          <w:sz w:val="21"/>
        </w:rPr>
        <w:t>During suspension, Client Data is kept intact and the Client's System Administrator may still sign in to export reports, unless the Client has also breached the Acceptable use clause.</w:t>
      </w:r>
    </w:p>
    <w:p>
      <w:pPr>
        <w:pStyle w:val="Normal"/>
        <w:numPr>
          <w:ilvl w:val="0"/>
          <w:numId w:val="24"/>
        </w:numPr>
        <w:spacing w:before="0" w:after="60"/>
        <w:rPr/>
      </w:pPr>
      <w:r>
        <w:rPr>
          <w:rFonts w:eastAsia="Segoe UI" w:cs="Segoe UI" w:ascii="Segoe UI" w:hAnsi="Segoe UI"/>
          <w:color w:val="101820"/>
          <w:sz w:val="21"/>
        </w:rPr>
        <w:t>iorta TechNXT restores access within 1 Business Day after receiving payment of all overdue amounts. Fees continue to accrue during suspension.</w:t>
      </w:r>
    </w:p>
    <w:p>
      <w:pPr>
        <w:pStyle w:val="Normal"/>
        <w:numPr>
          <w:ilvl w:val="0"/>
          <w:numId w:val="25"/>
        </w:numPr>
        <w:spacing w:before="0" w:after="60"/>
        <w:rPr/>
      </w:pPr>
      <w:r>
        <w:rPr>
          <w:rFonts w:eastAsia="Segoe UI" w:cs="Segoe UI" w:ascii="Segoe UI" w:hAnsi="Segoe UI"/>
          <w:color w:val="101820"/>
          <w:sz w:val="21"/>
        </w:rPr>
        <w:t>If an overdue amount remains unpaid 30 days after suspension starts, iorta TechNXT may terminate the Subscription under the MSA.</w:t>
      </w:r>
      <w:r>
        <w:br w:type="page"/>
      </w:r>
    </w:p>
    <w:p>
      <w:pPr>
        <w:pStyle w:val="Heading1"/>
        <w:rPr/>
      </w:pPr>
      <w:bookmarkStart w:id="22" w:name="__RefHeading___Toc37134_3199679052"/>
      <w:bookmarkEnd w:id="22"/>
      <w:r>
        <w:rPr>
          <w:rFonts w:eastAsia="Segoe UI" w:cs="Segoe UI" w:ascii="Segoe UI" w:hAnsi="Segoe UI"/>
          <w:b/>
          <w:color w:val="0F4761"/>
          <w:sz w:val="32"/>
        </w:rPr>
        <w:t>8.  Acceptable use</w:t>
      </w:r>
    </w:p>
    <w:p>
      <w:pPr>
        <w:pStyle w:val="Normal"/>
        <w:spacing w:lineRule="auto" w:line="276" w:before="0" w:after="120"/>
        <w:rPr/>
      </w:pPr>
      <w:r>
        <w:rPr>
          <w:rFonts w:eastAsia="Segoe UI" w:cs="Segoe UI" w:ascii="Segoe UI" w:hAnsi="Segoe UI"/>
          <w:color w:val="101820"/>
          <w:sz w:val="21"/>
        </w:rPr>
        <w:t>The Client shall not, and shall ensure its Users do not:</w:t>
      </w:r>
    </w:p>
    <w:p>
      <w:pPr>
        <w:pStyle w:val="Normal"/>
        <w:numPr>
          <w:ilvl w:val="0"/>
          <w:numId w:val="26"/>
        </w:numPr>
        <w:spacing w:before="0" w:after="60"/>
        <w:rPr/>
      </w:pPr>
      <w:r>
        <w:rPr>
          <w:rFonts w:eastAsia="Segoe UI" w:cs="Segoe UI" w:ascii="Segoe UI" w:hAnsi="Segoe UI"/>
          <w:color w:val="101820"/>
          <w:sz w:val="21"/>
        </w:rPr>
        <w:t>use the Platform in breach of law, including the Data Privacy Act of 2012, the Insurance Code and the tax laws;</w:t>
      </w:r>
    </w:p>
    <w:p>
      <w:pPr>
        <w:pStyle w:val="Normal"/>
        <w:numPr>
          <w:ilvl w:val="0"/>
          <w:numId w:val="27"/>
        </w:numPr>
        <w:spacing w:before="0" w:after="60"/>
        <w:rPr/>
      </w:pPr>
      <w:r>
        <w:rPr>
          <w:rFonts w:eastAsia="Segoe UI" w:cs="Segoe UI" w:ascii="Segoe UI" w:hAnsi="Segoe UI"/>
          <w:color w:val="101820"/>
          <w:sz w:val="21"/>
        </w:rPr>
        <w:t>upload malicious code, or content that infringes the rights of others;</w:t>
      </w:r>
    </w:p>
    <w:p>
      <w:pPr>
        <w:pStyle w:val="Normal"/>
        <w:numPr>
          <w:ilvl w:val="0"/>
          <w:numId w:val="28"/>
        </w:numPr>
        <w:spacing w:before="0" w:after="60"/>
        <w:rPr/>
      </w:pPr>
      <w:r>
        <w:rPr>
          <w:rFonts w:eastAsia="Segoe UI" w:cs="Segoe UI" w:ascii="Segoe UI" w:hAnsi="Segoe UI"/>
          <w:color w:val="101820"/>
          <w:sz w:val="21"/>
        </w:rPr>
        <w:t>attempt to gain unauthorised access to the Platform or to other customers' data, test its security without written consent, or interfere with its operation;</w:t>
      </w:r>
    </w:p>
    <w:p>
      <w:pPr>
        <w:pStyle w:val="Normal"/>
        <w:numPr>
          <w:ilvl w:val="0"/>
          <w:numId w:val="29"/>
        </w:numPr>
        <w:spacing w:before="0" w:after="60"/>
        <w:rPr/>
      </w:pPr>
      <w:r>
        <w:rPr>
          <w:rFonts w:eastAsia="Segoe UI" w:cs="Segoe UI" w:ascii="Segoe UI" w:hAnsi="Segoe UI"/>
          <w:color w:val="101820"/>
          <w:sz w:val="21"/>
        </w:rPr>
        <w:t>share sign-in credentials, or let a person use the Platform under another person's account;</w:t>
      </w:r>
    </w:p>
    <w:p>
      <w:pPr>
        <w:pStyle w:val="Normal"/>
        <w:numPr>
          <w:ilvl w:val="0"/>
          <w:numId w:val="30"/>
        </w:numPr>
        <w:spacing w:before="0" w:after="60"/>
        <w:rPr/>
      </w:pPr>
      <w:r>
        <w:rPr>
          <w:rFonts w:eastAsia="Segoe UI" w:cs="Segoe UI" w:ascii="Segoe UI" w:hAnsi="Segoe UI"/>
          <w:color w:val="101820"/>
          <w:sz w:val="21"/>
        </w:rPr>
        <w:t>use automated means to extract data in volumes that degrade the service, except through the delivered exports and reports.</w:t>
      </w:r>
    </w:p>
    <w:p>
      <w:pPr>
        <w:pStyle w:val="Normal"/>
        <w:spacing w:lineRule="auto" w:line="276" w:before="0" w:after="120"/>
        <w:rPr/>
      </w:pPr>
      <w:r>
        <w:rPr>
          <w:rFonts w:eastAsia="Segoe UI" w:cs="Segoe UI" w:ascii="Segoe UI" w:hAnsi="Segoe UI"/>
          <w:color w:val="101820"/>
          <w:sz w:val="21"/>
        </w:rPr>
        <w:t>iorta TechNXT may suspend a User account that breaches this clause, informing the Client immediately.</w:t>
      </w:r>
      <w:r>
        <w:br w:type="page"/>
      </w:r>
    </w:p>
    <w:p>
      <w:pPr>
        <w:pStyle w:val="Heading1"/>
        <w:rPr/>
      </w:pPr>
      <w:bookmarkStart w:id="23" w:name="__RefHeading___Toc37136_3199679052"/>
      <w:bookmarkEnd w:id="23"/>
      <w:r>
        <w:rPr>
          <w:rFonts w:eastAsia="Segoe UI" w:cs="Segoe UI" w:ascii="Segoe UI" w:hAnsi="Segoe UI"/>
          <w:b/>
          <w:color w:val="0F4761"/>
          <w:sz w:val="32"/>
        </w:rPr>
        <w:t>9.  Service levels</w:t>
      </w:r>
    </w:p>
    <w:p>
      <w:pPr>
        <w:pStyle w:val="Normal"/>
        <w:spacing w:lineRule="auto" w:line="276" w:before="0" w:after="120"/>
        <w:rPr/>
      </w:pPr>
      <w:r>
        <w:rPr>
          <w:rFonts w:eastAsia="Segoe UI" w:cs="Segoe UI" w:ascii="Segoe UI" w:hAnsi="Segoe UI"/>
          <w:color w:val="101820"/>
          <w:sz w:val="21"/>
        </w:rPr>
        <w:t>Support, severity levels, response and restore targets, service credits, escalation and reporting are as stated in the Annual Maintenance and Support Agreement and Service Level Agreement, which applies to the Subscription without a separate AMC fee. Availability targets apply when iorta TechNXT hosts the Platform, under the Hosting and Infrastructure Services Agreement.</w:t>
      </w:r>
      <w:r>
        <w:br w:type="page"/>
      </w:r>
    </w:p>
    <w:p>
      <w:pPr>
        <w:pStyle w:val="Heading1"/>
        <w:rPr/>
      </w:pPr>
      <w:bookmarkStart w:id="24" w:name="__RefHeading___Toc37138_3199679052"/>
      <w:bookmarkEnd w:id="24"/>
      <w:r>
        <w:rPr>
          <w:rFonts w:eastAsia="Segoe UI" w:cs="Segoe UI" w:ascii="Segoe UI" w:hAnsi="Segoe UI"/>
          <w:b/>
          <w:color w:val="0F4761"/>
          <w:sz w:val="32"/>
        </w:rPr>
        <w:t>10.  Client Data on exit</w:t>
      </w:r>
    </w:p>
    <w:p>
      <w:pPr>
        <w:pStyle w:val="Heading2"/>
        <w:rPr/>
      </w:pPr>
      <w:bookmarkStart w:id="25" w:name="__RefHeading___Toc37140_3199679052"/>
      <w:bookmarkEnd w:id="25"/>
      <w:r>
        <w:rPr>
          <w:rFonts w:eastAsia="Segoe UI" w:cs="Segoe UI"/>
          <w:b/>
          <w:color w:val="0F4761"/>
          <w:sz w:val="26"/>
        </w:rPr>
        <w:t>10.1  Data during the term</w:t>
      </w:r>
    </w:p>
    <w:p>
      <w:pPr>
        <w:pStyle w:val="Normal"/>
        <w:spacing w:lineRule="auto" w:line="276" w:before="0" w:after="120"/>
        <w:rPr/>
      </w:pPr>
      <w:r>
        <w:rPr>
          <w:rFonts w:eastAsia="Segoe UI" w:cs="Segoe UI" w:ascii="Segoe UI" w:hAnsi="Segoe UI"/>
          <w:color w:val="101820"/>
          <w:sz w:val="21"/>
        </w:rPr>
        <w:t>The Client owns its Client Data. During the Subscription Term, the Client can export Client Data at any time through the delivered reports and exports (XLSX, CSV and PDF).</w:t>
      </w:r>
    </w:p>
    <w:p>
      <w:pPr>
        <w:pStyle w:val="Heading2"/>
        <w:rPr/>
      </w:pPr>
      <w:bookmarkStart w:id="26" w:name="__RefHeading___Toc37142_3199679052"/>
      <w:bookmarkEnd w:id="26"/>
      <w:r>
        <w:rPr>
          <w:rFonts w:eastAsia="Segoe UI" w:cs="Segoe UI"/>
          <w:b/>
          <w:color w:val="0F4761"/>
          <w:sz w:val="26"/>
        </w:rPr>
        <w:t>10.2  Data return</w:t>
      </w:r>
    </w:p>
    <w:p>
      <w:pPr>
        <w:pStyle w:val="Normal"/>
        <w:numPr>
          <w:ilvl w:val="0"/>
          <w:numId w:val="31"/>
        </w:numPr>
        <w:spacing w:before="0" w:after="60"/>
        <w:rPr/>
      </w:pPr>
      <w:r>
        <w:rPr>
          <w:rFonts w:eastAsia="Segoe UI" w:cs="Segoe UI" w:ascii="Segoe UI" w:hAnsi="Segoe UI"/>
          <w:color w:val="101820"/>
          <w:sz w:val="21"/>
        </w:rPr>
        <w:t>On expiry or termination, the Client may request, within 60 days, a full export of the Client Data. iorta TechNXT delivers it within 30 days of the request as: (a) a PostgreSQL database dump of the Client's database; (b) an archive of the uploaded documents in their original formats; and (c) CSV extracts of the main registers listed in the Documentation, with the data dictionary.</w:t>
      </w:r>
    </w:p>
    <w:p>
      <w:pPr>
        <w:pStyle w:val="Normal"/>
        <w:numPr>
          <w:ilvl w:val="0"/>
          <w:numId w:val="32"/>
        </w:numPr>
        <w:spacing w:before="0" w:after="60"/>
        <w:rPr/>
      </w:pPr>
      <w:r>
        <w:rPr>
          <w:rFonts w:eastAsia="Segoe UI" w:cs="Segoe UI" w:ascii="Segoe UI" w:hAnsi="Segoe UI"/>
          <w:color w:val="101820"/>
          <w:sz w:val="21"/>
        </w:rPr>
        <w:t>One full export is included. Further exports, data mapping to a new system and transition assistance are provided at the day rates of the Order Form. The steps, formats, timelines and the certificate of deletion are set out in the Exit and Transition Plan.</w:t>
      </w:r>
    </w:p>
    <w:p>
      <w:pPr>
        <w:pStyle w:val="Normal"/>
        <w:numPr>
          <w:ilvl w:val="0"/>
          <w:numId w:val="33"/>
        </w:numPr>
        <w:spacing w:before="0" w:after="60"/>
        <w:rPr/>
      </w:pPr>
      <w:r>
        <w:rPr>
          <w:rFonts w:eastAsia="Segoe UI" w:cs="Segoe UI" w:ascii="Segoe UI" w:hAnsi="Segoe UI"/>
          <w:color w:val="101820"/>
          <w:sz w:val="21"/>
        </w:rPr>
        <w:t>During the 60-day period, iorta TechNXT keeps the Client Data and may keep read-only access open for the System Administrator at [no charge / the Monthly Fee prorated].</w:t>
      </w:r>
    </w:p>
    <w:p>
      <w:pPr>
        <w:pStyle w:val="Heading2"/>
        <w:rPr/>
      </w:pPr>
      <w:bookmarkStart w:id="27" w:name="__RefHeading___Toc37144_3199679052"/>
      <w:bookmarkEnd w:id="27"/>
      <w:r>
        <w:rPr>
          <w:rFonts w:eastAsia="Segoe UI" w:cs="Segoe UI"/>
          <w:b/>
          <w:color w:val="0F4761"/>
          <w:sz w:val="26"/>
        </w:rPr>
        <w:t>10.3  Data deletion</w:t>
      </w:r>
    </w:p>
    <w:p>
      <w:pPr>
        <w:pStyle w:val="Normal"/>
        <w:numPr>
          <w:ilvl w:val="0"/>
          <w:numId w:val="34"/>
        </w:numPr>
        <w:spacing w:before="0" w:after="60"/>
        <w:rPr/>
      </w:pPr>
      <w:r>
        <w:rPr>
          <w:rFonts w:eastAsia="Segoe UI" w:cs="Segoe UI" w:ascii="Segoe UI" w:hAnsi="Segoe UI"/>
          <w:color w:val="101820"/>
          <w:sz w:val="21"/>
        </w:rPr>
        <w:t>After the export is delivered and confirmed by the Client, or 60 days after expiry or termination if the Client makes no request, iorta TechNXT deletes the Client Data from the production and non-production environments within 30 days.</w:t>
      </w:r>
    </w:p>
    <w:p>
      <w:pPr>
        <w:pStyle w:val="Normal"/>
        <w:numPr>
          <w:ilvl w:val="0"/>
          <w:numId w:val="35"/>
        </w:numPr>
        <w:spacing w:before="0" w:after="60"/>
        <w:rPr/>
      </w:pPr>
      <w:r>
        <w:rPr>
          <w:rFonts w:eastAsia="Segoe UI" w:cs="Segoe UI" w:ascii="Segoe UI" w:hAnsi="Segoe UI"/>
          <w:color w:val="101820"/>
          <w:sz w:val="21"/>
        </w:rPr>
        <w:t>Backups that contain Client Data expire under the backup retention in the Hosting and Infrastructure Services Agreement (at most 35 days for daily backups, 12 months for monthly copies, and 10 years for year-end copies only if the Client has instructed that retention), and are not restored except to comply with law.</w:t>
      </w:r>
    </w:p>
    <w:p>
      <w:pPr>
        <w:pStyle w:val="Normal"/>
        <w:numPr>
          <w:ilvl w:val="0"/>
          <w:numId w:val="36"/>
        </w:numPr>
        <w:spacing w:before="0" w:after="60"/>
        <w:rPr/>
      </w:pPr>
      <w:r>
        <w:rPr>
          <w:rFonts w:eastAsia="Segoe UI" w:cs="Segoe UI" w:ascii="Segoe UI" w:hAnsi="Segoe UI"/>
          <w:color w:val="101820"/>
          <w:sz w:val="21"/>
        </w:rPr>
        <w:t>iorta TechNXT gives the Client a written certificate of deletion within 10 Business Days of completing deletion, signed by its data protection officer.</w:t>
      </w:r>
    </w:p>
    <w:p>
      <w:pPr>
        <w:pStyle w:val="Normal"/>
        <w:numPr>
          <w:ilvl w:val="0"/>
          <w:numId w:val="37"/>
        </w:numPr>
        <w:spacing w:before="0" w:after="60"/>
        <w:rPr/>
      </w:pPr>
      <w:r>
        <w:rPr>
          <w:rFonts w:eastAsia="Segoe UI" w:cs="Segoe UI" w:ascii="Segoe UI" w:hAnsi="Segoe UI"/>
          <w:color w:val="101820"/>
          <w:sz w:val="21"/>
        </w:rPr>
        <w:t>iorta TechNXT may keep Client Data longer only where law requires, under the Data Processing Agreement, and keeps it confidential and protected.</w:t>
      </w:r>
      <w:r>
        <w:br w:type="page"/>
      </w:r>
    </w:p>
    <w:p>
      <w:pPr>
        <w:pStyle w:val="Heading1"/>
        <w:rPr/>
      </w:pPr>
      <w:bookmarkStart w:id="28" w:name="__RefHeading___Toc37146_3199679052"/>
      <w:bookmarkEnd w:id="28"/>
      <w:r>
        <w:rPr>
          <w:rFonts w:eastAsia="Segoe UI" w:cs="Segoe UI" w:ascii="Segoe UI" w:hAnsi="Segoe UI"/>
          <w:b/>
          <w:color w:val="0F4761"/>
          <w:sz w:val="32"/>
        </w:rPr>
        <w:t>11.  Term and termination</w:t>
      </w:r>
    </w:p>
    <w:p>
      <w:pPr>
        <w:pStyle w:val="Normal"/>
        <w:numPr>
          <w:ilvl w:val="0"/>
          <w:numId w:val="38"/>
        </w:numPr>
        <w:spacing w:before="0" w:after="60"/>
        <w:rPr/>
      </w:pPr>
      <w:r>
        <w:rPr>
          <w:rFonts w:eastAsia="Segoe UI" w:cs="Segoe UI" w:ascii="Segoe UI" w:hAnsi="Segoe UI"/>
          <w:color w:val="101820"/>
          <w:sz w:val="21"/>
        </w:rPr>
        <w:t>This Subscription Agreement lasts for the Subscription Term.</w:t>
      </w:r>
    </w:p>
    <w:p>
      <w:pPr>
        <w:pStyle w:val="Normal"/>
        <w:numPr>
          <w:ilvl w:val="0"/>
          <w:numId w:val="39"/>
        </w:numPr>
        <w:spacing w:before="0" w:after="60"/>
        <w:rPr/>
      </w:pPr>
      <w:r>
        <w:rPr>
          <w:rFonts w:eastAsia="Segoe UI" w:cs="Segoe UI" w:ascii="Segoe UI" w:hAnsi="Segoe UI"/>
          <w:color w:val="101820"/>
          <w:sz w:val="21"/>
        </w:rPr>
        <w:t>Either Party may terminate it for cause under the MSA.</w:t>
      </w:r>
    </w:p>
    <w:p>
      <w:pPr>
        <w:pStyle w:val="Normal"/>
        <w:numPr>
          <w:ilvl w:val="0"/>
          <w:numId w:val="40"/>
        </w:numPr>
        <w:spacing w:before="0" w:after="60"/>
        <w:rPr/>
      </w:pPr>
      <w:r>
        <w:rPr>
          <w:rFonts w:eastAsia="Segoe UI" w:cs="Segoe UI" w:ascii="Segoe UI" w:hAnsi="Segoe UI"/>
          <w:color w:val="101820"/>
          <w:sz w:val="21"/>
        </w:rPr>
        <w:t>On expiry or termination: the right of use ends; the Client pays all Fees due up to the end date; the Client Data on exit clause applies.</w:t>
      </w:r>
      <w:r>
        <w:br w:type="page"/>
      </w:r>
    </w:p>
    <w:p>
      <w:pPr>
        <w:pStyle w:val="Heading1"/>
        <w:rPr/>
      </w:pPr>
      <w:bookmarkStart w:id="29" w:name="__RefHeading___Toc37148_3199679052"/>
      <w:bookmarkEnd w:id="29"/>
      <w:r>
        <w:rPr>
          <w:rFonts w:eastAsia="Segoe UI" w:cs="Segoe UI" w:ascii="Segoe UI" w:hAnsi="Segoe UI"/>
          <w:b/>
          <w:color w:val="0F4761"/>
          <w:sz w:val="32"/>
        </w:rPr>
        <w:t>12.  Signatures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For iorta TechNXT Corp.</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For [Client legal name]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Signature: ____________________</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Signature: ____________________</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 [name]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 [name]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Title: [title]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Title: [title]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 [date]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 [date]</w:t>
            </w:r>
          </w:p>
        </w:tc>
      </w:tr>
    </w:tbl>
    <w:p>
      <w:pPr>
        <w:pStyle w:val="Heading1"/>
        <w:rPr/>
      </w:pPr>
      <w:r>
        <w:br w:type="page"/>
      </w:r>
      <w:bookmarkStart w:id="30" w:name="__RefHeading___Toc37150_3199679052"/>
      <w:bookmarkEnd w:id="30"/>
      <w:r>
        <w:rPr>
          <w:rFonts w:eastAsia="Segoe UI" w:cs="Segoe UI" w:ascii="Segoe UI" w:hAnsi="Segoe UI"/>
          <w:b/>
          <w:color w:val="0F4761"/>
          <w:sz w:val="32"/>
        </w:rPr>
        <w:t>13.  Schedule 1: subscription details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801"/>
        <w:gridCol w:w="5212"/>
      </w:tblGrid>
      <w:tr>
        <w:trPr>
          <w:tblHeader w:val="true"/>
        </w:trPr>
        <w:tc>
          <w:tcPr>
            <w:tcW w:w="380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52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Value</w:t>
            </w:r>
          </w:p>
        </w:tc>
      </w:tr>
      <w:tr>
        <w:trPr/>
        <w:tc>
          <w:tcPr>
            <w:tcW w:w="38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Order Form no.</w:t>
            </w:r>
          </w:p>
        </w:tc>
        <w:tc>
          <w:tcPr>
            <w:tcW w:w="52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[number]</w:t>
            </w:r>
          </w:p>
        </w:tc>
      </w:tr>
      <w:tr>
        <w:trPr/>
        <w:tc>
          <w:tcPr>
            <w:tcW w:w="38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Subscribed Users</w:t>
            </w:r>
          </w:p>
        </w:tc>
        <w:tc>
          <w:tcPr>
            <w:tcW w:w="52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[number]</w:t>
            </w:r>
          </w:p>
        </w:tc>
      </w:tr>
      <w:tr>
        <w:trPr/>
        <w:tc>
          <w:tcPr>
            <w:tcW w:w="38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Size and minimum billable users</w:t>
            </w:r>
          </w:p>
        </w:tc>
        <w:tc>
          <w:tcPr>
            <w:tcW w:w="52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[Small 10 / Medium 26 / Large 101 / Enterprise 301]</w:t>
            </w:r>
          </w:p>
        </w:tc>
      </w:tr>
      <w:tr>
        <w:trPr/>
        <w:tc>
          <w:tcPr>
            <w:tcW w:w="38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Billable Users</w:t>
            </w:r>
          </w:p>
        </w:tc>
        <w:tc>
          <w:tcPr>
            <w:tcW w:w="52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[number]</w:t>
            </w:r>
          </w:p>
        </w:tc>
      </w:tr>
      <w:tr>
        <w:trPr/>
        <w:tc>
          <w:tcPr>
            <w:tcW w:w="38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Monthly Fee, Year 1 (excluding VAT)</w:t>
            </w:r>
          </w:p>
        </w:tc>
        <w:tc>
          <w:tcPr>
            <w:tcW w:w="52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[amount]</w:t>
            </w:r>
          </w:p>
        </w:tc>
      </w:tr>
      <w:tr>
        <w:trPr/>
        <w:tc>
          <w:tcPr>
            <w:tcW w:w="38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Discount, if any ([lever])</w:t>
            </w:r>
          </w:p>
        </w:tc>
        <w:tc>
          <w:tcPr>
            <w:tcW w:w="52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[amount] a month, for [the Initial Term]</w:t>
            </w:r>
          </w:p>
        </w:tc>
      </w:tr>
      <w:tr>
        <w:trPr/>
        <w:tc>
          <w:tcPr>
            <w:tcW w:w="38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Onboarding Fee (excluding VAT)</w:t>
            </w:r>
          </w:p>
        </w:tc>
        <w:tc>
          <w:tcPr>
            <w:tcW w:w="52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[amount]</w:t>
            </w:r>
          </w:p>
        </w:tc>
      </w:tr>
      <w:tr>
        <w:trPr/>
        <w:tc>
          <w:tcPr>
            <w:tcW w:w="38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Initial Term</w:t>
            </w:r>
          </w:p>
        </w:tc>
        <w:tc>
          <w:tcPr>
            <w:tcW w:w="52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 / 36 / 60] months from Go-Live</w:t>
            </w:r>
          </w:p>
        </w:tc>
      </w:tr>
      <w:tr>
        <w:trPr/>
        <w:tc>
          <w:tcPr>
            <w:tcW w:w="38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 Term</w:t>
            </w:r>
          </w:p>
        </w:tc>
        <w:tc>
          <w:tcPr>
            <w:tcW w:w="52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 months</w:t>
            </w:r>
          </w:p>
        </w:tc>
      </w:tr>
      <w:tr>
        <w:trPr/>
        <w:tc>
          <w:tcPr>
            <w:tcW w:w="38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Notice of non-renewal</w:t>
            </w:r>
          </w:p>
        </w:tc>
        <w:tc>
          <w:tcPr>
            <w:tcW w:w="52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90 days before the end of the term</w:t>
            </w:r>
          </w:p>
        </w:tc>
      </w:tr>
      <w:tr>
        <w:trPr/>
        <w:tc>
          <w:tcPr>
            <w:tcW w:w="38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Yearly increase</w:t>
            </w:r>
          </w:p>
        </w:tc>
        <w:tc>
          <w:tcPr>
            <w:tcW w:w="52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 at each anniversary of Go-Live</w:t>
            </w:r>
          </w:p>
        </w:tc>
      </w:tr>
      <w:tr>
        <w:trPr/>
        <w:tc>
          <w:tcPr>
            <w:tcW w:w="38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Hosting</w:t>
            </w:r>
          </w:p>
        </w:tc>
        <w:tc>
          <w:tcPr>
            <w:tcW w:w="52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on AWS Singapore / Azure Southeast Asia / local partner / Client hosted]</w:t>
            </w:r>
          </w:p>
        </w:tc>
      </w:tr>
      <w:tr>
        <w:trPr/>
        <w:tc>
          <w:tcPr>
            <w:tcW w:w="38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Prepayment</w:t>
            </w:r>
          </w:p>
        </w:tc>
        <w:tc>
          <w:tcPr>
            <w:tcW w:w="52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[Monthly in advance / yearly in advance]</w:t>
            </w:r>
          </w:p>
        </w:tc>
      </w:tr>
    </w:tbl>
    <w:p>
      <w:pPr>
        <w:pStyle w:val="Heading1"/>
        <w:tabs>
          <w:tab w:val="clear" w:pos="720"/>
          <w:tab w:val="left" w:pos="360" w:leader="none"/>
        </w:tabs>
        <w:spacing w:lineRule="auto" w:line="360"/>
        <w:ind w:hanging="0" w:left="0"/>
        <w:rPr>
          <w:rStyle w:val="BookTitle"/>
          <w:b w:val="false"/>
          <w:bCs w:val="false"/>
          <w:i w:val="false"/>
          <w:i w:val="false"/>
          <w:iCs w:val="false"/>
          <w:spacing w:val="0"/>
        </w:rPr>
      </w:pPr>
      <w:r>
        <w:br w:type="page"/>
      </w:r>
      <w:bookmarkStart w:id="31" w:name="__RefHeading___Toc37152_3199679052"/>
      <w:bookmarkStart w:id="32" w:name="_Toc233203395"/>
      <w:bookmarkEnd w:id="31"/>
      <w:r>
        <w:rPr>
          <w:rStyle w:val="BookTitle"/>
          <w:bCs w:val="false"/>
          <w:i w:val="false"/>
          <w:iCs w:val="false"/>
          <w:spacing w:val="0"/>
        </w:rPr>
        <w:t>14.  Document Sign-Off</w:t>
      </w:r>
      <w:bookmarkEnd w:id="32"/>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457"/>
        <w:gridCol w:w="3859"/>
        <w:gridCol w:w="1727"/>
        <w:gridCol w:w="1982"/>
      </w:tblGrid>
      <w:tr>
        <w:trPr>
          <w:trHeight w:val="440"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Serial Number</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Description</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Owner</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Status</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Review and completion by the parties' legal counsel before signature</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Open</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3294"/>
        <w:gridCol w:w="1828"/>
        <w:gridCol w:w="2349"/>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 Off Date</w:t>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Signature</w:t>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w:t>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Department &amp; Project Role</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rPr/>
      </w:pPr>
      <w:r>
        <w:rPr/>
      </w:r>
      <w:r>
        <w:br w:type="page"/>
      </w:r>
    </w:p>
    <w:p>
      <w:pPr>
        <w:pStyle w:val="Normal"/>
        <w:spacing w:before="0" w:after="160"/>
        <w:rPr/>
      </w:pPr>
      <w:r>
        <w:rPr/>
      </w:r>
    </w:p>
    <w:p>
      <w:pPr>
        <w:pStyle w:val="Normal"/>
        <w:widowControl/>
        <w:bidi w:val="0"/>
        <w:spacing w:lineRule="auto" w:line="278" w:before="0" w:after="160"/>
        <w:jc w:val="left"/>
        <w:rPr/>
      </w:pPr>
      <w:r>
        <w:rPr/>
        <w:drawing>
          <wp:anchor behindDoc="1" distT="0" distB="0" distL="0" distR="0" simplePos="0" locked="0" layoutInCell="0" allowOverlap="1" relativeHeight="18">
            <wp:simplePos x="0" y="0"/>
            <wp:positionH relativeFrom="margin">
              <wp:align>center</wp:align>
            </wp:positionH>
            <wp:positionV relativeFrom="margin">
              <wp:align>center</wp:align>
            </wp:positionV>
            <wp:extent cx="7548245" cy="10677525"/>
            <wp:effectExtent l="0" t="0" r="0" b="0"/>
            <wp:wrapNone/>
            <wp:docPr id="8"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
                    <pic:cNvPicPr>
                      <a:picLocks noChangeAspect="1" noChangeArrowheads="1"/>
                    </pic:cNvPicPr>
                  </pic:nvPicPr>
                  <pic:blipFill>
                    <a:blip r:embed="rId4"/>
                    <a:stretch>
                      <a:fillRect/>
                    </a:stretch>
                  </pic:blipFill>
                  <pic:spPr bwMode="auto">
                    <a:xfrm>
                      <a:off x="0" y="0"/>
                      <a:ext cx="7548245" cy="10677525"/>
                    </a:xfrm>
                    <a:prstGeom prst="rect">
                      <a:avLst/>
                    </a:prstGeom>
                  </pic:spPr>
                </pic:pic>
              </a:graphicData>
            </a:graphic>
          </wp:anchor>
        </w:drawing>
      </w:r>
    </w:p>
    <w:sectPr>
      <w:footerReference w:type="default" r:id="rId5"/>
      <w:footerReference w:type="first" r:id="rId6"/>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Segoe UI">
    <w:charset w:val="01"/>
    <w:family w:val="roman"/>
    <w:pitch w:val="variable"/>
  </w:font>
  <w:font w:name="Liberation Sans">
    <w:altName w:val="Arial"/>
    <w:charset w:val="01"/>
    <w:family w:val="swiss"/>
    <w:pitch w:val="variable"/>
  </w:font>
  <w:font w:name="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17">
          <wp:simplePos x="0" y="0"/>
          <wp:positionH relativeFrom="page">
            <wp:align>left</wp:align>
          </wp:positionH>
          <wp:positionV relativeFrom="paragraph">
            <wp:posOffset>-708025</wp:posOffset>
          </wp:positionV>
          <wp:extent cx="8778240" cy="885190"/>
          <wp:effectExtent l="0" t="0" r="0" b="0"/>
          <wp:wrapNone/>
          <wp:docPr id="9"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17">
          <wp:simplePos x="0" y="0"/>
          <wp:positionH relativeFrom="page">
            <wp:align>left</wp:align>
          </wp:positionH>
          <wp:positionV relativeFrom="paragraph">
            <wp:posOffset>-708025</wp:posOffset>
          </wp:positionV>
          <wp:extent cx="8778240" cy="885190"/>
          <wp:effectExtent l="0" t="0" r="0" b="0"/>
          <wp:wrapNone/>
          <wp:docPr id="10"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
    <w:lvlOverride w:ilvl="0">
      <w:startOverride w:val="1"/>
    </w:lvlOverride>
  </w:num>
  <w:num w:numId="12">
    <w:abstractNumId w:val="1"/>
    <w:lvlOverride w:ilvl="0">
      <w:startOverride w:val="1"/>
    </w:lvlOverride>
  </w:num>
  <w:num w:numId="13">
    <w:abstractNumId w:val="1"/>
  </w:num>
  <w:num w:numId="14">
    <w:abstractNumId w:val="1"/>
  </w:num>
  <w:num w:numId="15">
    <w:abstractNumId w:val="1"/>
    <w:lvlOverride w:ilvl="0">
      <w:startOverride w:val="1"/>
    </w:lvlOverride>
  </w:num>
  <w:num w:numId="16">
    <w:abstractNumId w:val="1"/>
  </w:num>
  <w:num w:numId="17">
    <w:abstractNumId w:val="1"/>
  </w:num>
  <w:num w:numId="18">
    <w:abstractNumId w:val="1"/>
    <w:lvlOverride w:ilvl="0">
      <w:startOverride w:val="1"/>
    </w:lvlOverride>
  </w:num>
  <w:num w:numId="19">
    <w:abstractNumId w:val="1"/>
  </w:num>
  <w:num w:numId="20">
    <w:abstractNumId w:val="1"/>
  </w:num>
  <w:num w:numId="21">
    <w:abstractNumId w:val="1"/>
  </w:num>
  <w:num w:numId="22">
    <w:abstractNumId w:val="1"/>
    <w:lvlOverride w:ilvl="0">
      <w:startOverride w:val="1"/>
    </w:lvlOverride>
  </w:num>
  <w:num w:numId="23">
    <w:abstractNumId w:val="1"/>
  </w:num>
  <w:num w:numId="24">
    <w:abstractNumId w:val="1"/>
  </w:num>
  <w:num w:numId="25">
    <w:abstractNumId w:val="1"/>
  </w:num>
  <w:num w:numId="26">
    <w:abstractNumId w:val="1"/>
    <w:lvlOverride w:ilvl="0">
      <w:startOverride w:val="1"/>
    </w:lvlOverride>
  </w:num>
  <w:num w:numId="27">
    <w:abstractNumId w:val="1"/>
  </w:num>
  <w:num w:numId="28">
    <w:abstractNumId w:val="1"/>
  </w:num>
  <w:num w:numId="29">
    <w:abstractNumId w:val="1"/>
  </w:num>
  <w:num w:numId="30">
    <w:abstractNumId w:val="1"/>
  </w:num>
  <w:num w:numId="31">
    <w:abstractNumId w:val="1"/>
    <w:lvlOverride w:ilvl="0">
      <w:startOverride w:val="1"/>
    </w:lvlOverride>
  </w:num>
  <w:num w:numId="32">
    <w:abstractNumId w:val="1"/>
  </w:num>
  <w:num w:numId="33">
    <w:abstractNumId w:val="1"/>
  </w:num>
  <w:num w:numId="34">
    <w:abstractNumId w:val="1"/>
    <w:lvlOverride w:ilvl="0">
      <w:startOverride w:val="1"/>
    </w:lvlOverride>
  </w:num>
  <w:num w:numId="35">
    <w:abstractNumId w:val="1"/>
  </w:num>
  <w:num w:numId="36">
    <w:abstractNumId w:val="1"/>
  </w:num>
  <w:num w:numId="37">
    <w:abstractNumId w:val="1"/>
  </w:num>
  <w:num w:numId="38">
    <w:abstractNumId w:val="1"/>
    <w:lvlOverride w:ilvl="0">
      <w:startOverride w:val="1"/>
    </w:lvlOverride>
  </w:num>
  <w:num w:numId="39">
    <w:abstractNumId w:val="1"/>
  </w:num>
  <w:num w:numId="40">
    <w:abstractNumId w:val="1"/>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ＭＳ 明朝" w:cs="Arial"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ＭＳ 明朝" w:cs="Arial"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rsid w:val="002b183a"/>
    <w:pPr>
      <w:keepNext w:val="true"/>
      <w:keepLines/>
      <w:spacing w:before="240" w:after="0"/>
      <w:outlineLvl w:val="0"/>
    </w:pPr>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paragraph" w:styleId="Heading2" w:customStyle="1">
    <w:name w:val="Heading 2"/>
    <w:basedOn w:val="Normal"/>
    <w:qFormat/>
    <w:pPr>
      <w:keepNext w:val="true"/>
      <w:spacing w:before="240" w:after="80"/>
      <w:outlineLvl w:val="1"/>
    </w:pPr>
    <w:rPr>
      <w:rFonts w:ascii="Segoe UI" w:hAnsi="Segoe UI"/>
      <w:b/>
      <w:color w:val="0F4761"/>
      <w:sz w:val="26"/>
    </w:rPr>
  </w:style>
  <w:style w:type="paragraph" w:styleId="Heading3" w:customStyle="1">
    <w:name w:val="Heading 3"/>
    <w:basedOn w:val="Normal"/>
    <w:qFormat/>
    <w:pPr>
      <w:keepNext w:val="true"/>
      <w:spacing w:before="240" w:after="80"/>
      <w:outlineLvl w:val="2"/>
    </w:pPr>
    <w:rPr>
      <w:rFonts w:ascii="Segoe UI" w:hAnsi="Segoe UI"/>
      <w:b/>
      <w:color w:val="0F4761"/>
      <w:sz w:val="23"/>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526c4"/>
    <w:rPr/>
  </w:style>
  <w:style w:type="character" w:styleId="FooterChar" w:customStyle="1">
    <w:name w:val="Footer Char"/>
    <w:basedOn w:val="DefaultParagraphFont"/>
    <w:link w:val="Footer"/>
    <w:uiPriority w:val="99"/>
    <w:qFormat/>
    <w:rsid w:val="007a4a03"/>
    <w:rPr/>
  </w:style>
  <w:style w:type="character" w:styleId="Heading1Char" w:customStyle="1">
    <w:name w:val="Heading 1 Char"/>
    <w:basedOn w:val="DefaultParagraphFont"/>
    <w:link w:val="Heading1"/>
    <w:uiPriority w:val="9"/>
    <w:qFormat/>
    <w:rsid w:val="002b183a"/>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character" w:styleId="Hyperlink">
    <w:name w:val="Hyperlink"/>
    <w:uiPriority w:val="99"/>
    <w:unhideWhenUsed/>
    <w:rsid w:val="002b183a"/>
    <w:rPr>
      <w:color w:val="0000FF"/>
      <w:u w:val="single"/>
    </w:rPr>
  </w:style>
  <w:style w:type="character" w:styleId="BookTitle">
    <w:name w:val="Book Title"/>
    <w:uiPriority w:val="33"/>
    <w:qFormat/>
    <w:rsid w:val="002b183a"/>
    <w:rPr>
      <w:b/>
      <w:bCs/>
      <w:i/>
      <w:iCs/>
      <w:spacing w:val="5"/>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1b9ac10c"/>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1b9ac10c"/>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b183a"/>
    <w:pPr>
      <w:spacing w:lineRule="auto" w:line="276" w:before="480" w:after="0"/>
      <w:outlineLvl w:val="9"/>
    </w:pPr>
    <w:rPr>
      <w:rFonts w:ascii="Arial" w:hAnsi="Arial" w:eastAsia="Times New Roman" w:cs="Arial"/>
      <w:bCs/>
      <w:color w:themeColor="accent1" w:themeShade="bf" w:val="365F91"/>
      <w:sz w:val="28"/>
      <w:szCs w:val="28"/>
      <w:lang w:eastAsia="en-US"/>
    </w:rPr>
  </w:style>
  <w:style w:type="paragraph" w:styleId="TOC1">
    <w:name w:val="TOC 1"/>
    <w:basedOn w:val="Normal"/>
    <w:next w:val="Normal"/>
    <w:autoRedefine/>
    <w:uiPriority w:val="39"/>
    <w:unhideWhenUsed/>
    <w:qFormat/>
    <w:rsid w:val="002b183a"/>
    <w:pPr>
      <w:tabs>
        <w:tab w:val="clear" w:pos="720"/>
        <w:tab w:val="left" w:pos="900" w:leader="none"/>
        <w:tab w:val="right" w:pos="9350" w:leader="dot"/>
      </w:tabs>
      <w:spacing w:lineRule="auto" w:line="276" w:before="0" w:after="100"/>
      <w:jc w:val="both"/>
    </w:pPr>
    <w:rPr>
      <w:rFonts w:ascii="Segoe UI" w:hAnsi="Segoe UI" w:eastAsia="Times New Roman" w:cs="Times New Roman"/>
      <w:b/>
      <w:color w:val="101820"/>
      <w:sz w:val="20"/>
      <w:szCs w:val="22"/>
      <w:lang w:eastAsia="en-US"/>
    </w:rPr>
  </w:style>
  <w:style w:type="paragraph" w:styleId="TOC2" w:customStyle="1">
    <w:name w:val="TOC 2"/>
    <w:basedOn w:val="TOC1"/>
    <w:pPr>
      <w:ind w:left="340"/>
    </w:pPr>
    <w:rPr/>
  </w:style>
  <w:style w:type="paragraph" w:styleId="TOC3" w:customStyle="1">
    <w:name w:val="TOC 3"/>
    <w:basedOn w:val="TOC1"/>
    <w:pPr>
      <w:ind w:left="68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Relationship Id="rId14" Type="http://schemas.openxmlformats.org/officeDocument/2006/relationships/customXml" Target="../customXml/item4.xml"/>
</Relationships>
</file>

<file path=word/_rels/footer1.xml.rels><?xml version="1.0" encoding="UTF-8"?>
<Relationships xmlns="http://schemas.openxmlformats.org/package/2006/relationships"><Relationship Id="rId1" Type="http://schemas.openxmlformats.org/officeDocument/2006/relationships/image" Target="media/image4.png"/>
</Relationships>
</file>

<file path=word/_rels/footer2.xml.rels><?xml version="1.0" encoding="UTF-8"?>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8</Pages>
  <Words>812</Words>
  <Characters>4634</Characters>
  <CharactersWithSpaces>5436</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2026-06-24T05:58:00Z</dcterms:created>
  <dc:creator>Andrew R</dc:creator>
  <dc:description/>
  <dc:language>en-US</dc:language>
  <cp:lastModifiedBy/>
  <dcterms:modified xsi:type="dcterms:W3CDTF">2026-10-04T01:51:48Z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