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Security and Outsourcing Due Diligence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Security and Outsourcing Due Diligence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Pre-filled vendor questionnaire for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Pre-filled vendor questionnaire for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9929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79931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79933_3199679052">
            <w:r>
              <w:rPr>
                <w:webHidden/>
                <w:rStyle w:val="IndexLink"/>
              </w:rPr>
              <w:t>3. About this questionnaire</w:t>
              <w:tab/>
              <w:t>4</w:t>
            </w:r>
          </w:hyperlink>
        </w:p>
        <w:p>
          <w:pPr>
            <w:pStyle w:val="TOC2"/>
            <w:tabs>
              <w:tab w:val="clear" w:pos="900"/>
              <w:tab w:val="clear" w:pos="9350"/>
              <w:tab w:val="right" w:pos="9025" w:leader="dot"/>
            </w:tabs>
            <w:rPr/>
          </w:pPr>
          <w:hyperlink w:anchor="__RefHeading___Toc79935_3199679052">
            <w:r>
              <w:rPr>
                <w:webHidden/>
                <w:rStyle w:val="IndexLink"/>
              </w:rPr>
              <w:t>3.1 Purpose</w:t>
              <w:tab/>
              <w:t>4</w:t>
            </w:r>
          </w:hyperlink>
        </w:p>
        <w:p>
          <w:pPr>
            <w:pStyle w:val="TOC2"/>
            <w:tabs>
              <w:tab w:val="clear" w:pos="900"/>
              <w:tab w:val="clear" w:pos="9350"/>
              <w:tab w:val="right" w:pos="9025" w:leader="dot"/>
            </w:tabs>
            <w:rPr/>
          </w:pPr>
          <w:hyperlink w:anchor="__RefHeading___Toc79937_3199679052">
            <w:r>
              <w:rPr>
                <w:webHidden/>
                <w:rStyle w:val="IndexLink"/>
              </w:rPr>
              <w:t>3.2 How the answers are written</w:t>
              <w:tab/>
              <w:t>4</w:t>
            </w:r>
          </w:hyperlink>
        </w:p>
        <w:p>
          <w:pPr>
            <w:pStyle w:val="TOC2"/>
            <w:tabs>
              <w:tab w:val="clear" w:pos="900"/>
              <w:tab w:val="clear" w:pos="9350"/>
              <w:tab w:val="right" w:pos="9025" w:leader="dot"/>
            </w:tabs>
            <w:rPr/>
          </w:pPr>
          <w:hyperlink w:anchor="__RefHeading___Toc79939_3199679052">
            <w:r>
              <w:rPr>
                <w:webHidden/>
                <w:rStyle w:val="IndexLink"/>
              </w:rPr>
              <w:t>3.3 Evidence documents</w:t>
              <w:tab/>
              <w:t>5</w:t>
            </w:r>
          </w:hyperlink>
        </w:p>
        <w:p>
          <w:pPr>
            <w:pStyle w:val="TOC1"/>
            <w:tabs>
              <w:tab w:val="clear" w:pos="900"/>
              <w:tab w:val="clear" w:pos="9350"/>
              <w:tab w:val="right" w:pos="9025" w:leader="dot"/>
            </w:tabs>
            <w:rPr/>
          </w:pPr>
          <w:hyperlink w:anchor="__RefHeading___Toc79941_3199679052">
            <w:r>
              <w:rPr>
                <w:webHidden/>
                <w:rStyle w:val="IndexLink"/>
              </w:rPr>
              <w:t>4. Company and governance</w:t>
              <w:tab/>
              <w:t>6</w:t>
            </w:r>
          </w:hyperlink>
        </w:p>
        <w:p>
          <w:pPr>
            <w:pStyle w:val="TOC1"/>
            <w:tabs>
              <w:tab w:val="clear" w:pos="900"/>
              <w:tab w:val="clear" w:pos="9350"/>
              <w:tab w:val="right" w:pos="9025" w:leader="dot"/>
            </w:tabs>
            <w:rPr/>
          </w:pPr>
          <w:hyperlink w:anchor="__RefHeading___Toc79943_3199679052">
            <w:r>
              <w:rPr>
                <w:webHidden/>
                <w:rStyle w:val="IndexLink"/>
              </w:rPr>
              <w:t>5. Regulatory: Insurance Commission and outsourcing</w:t>
              <w:tab/>
              <w:t>8</w:t>
            </w:r>
          </w:hyperlink>
        </w:p>
        <w:p>
          <w:pPr>
            <w:pStyle w:val="TOC1"/>
            <w:tabs>
              <w:tab w:val="clear" w:pos="900"/>
              <w:tab w:val="clear" w:pos="9350"/>
              <w:tab w:val="right" w:pos="9025" w:leader="dot"/>
            </w:tabs>
            <w:rPr/>
          </w:pPr>
          <w:hyperlink w:anchor="__RefHeading___Toc79945_3199679052">
            <w:r>
              <w:rPr>
                <w:webHidden/>
                <w:rStyle w:val="IndexLink"/>
              </w:rPr>
              <w:t>6. Regulatory: Data Privacy Act</w:t>
              <w:tab/>
              <w:t>10</w:t>
            </w:r>
          </w:hyperlink>
        </w:p>
        <w:p>
          <w:pPr>
            <w:pStyle w:val="TOC1"/>
            <w:tabs>
              <w:tab w:val="clear" w:pos="900"/>
              <w:tab w:val="clear" w:pos="9350"/>
              <w:tab w:val="right" w:pos="9025" w:leader="dot"/>
            </w:tabs>
            <w:rPr/>
          </w:pPr>
          <w:hyperlink w:anchor="__RefHeading___Toc79947_3199679052">
            <w:r>
              <w:rPr>
                <w:webHidden/>
                <w:rStyle w:val="IndexLink"/>
              </w:rPr>
              <w:t>7. Access control</w:t>
              <w:tab/>
              <w:t>12</w:t>
            </w:r>
          </w:hyperlink>
        </w:p>
        <w:p>
          <w:pPr>
            <w:pStyle w:val="TOC1"/>
            <w:tabs>
              <w:tab w:val="clear" w:pos="900"/>
              <w:tab w:val="clear" w:pos="9350"/>
              <w:tab w:val="right" w:pos="9025" w:leader="dot"/>
            </w:tabs>
            <w:rPr/>
          </w:pPr>
          <w:hyperlink w:anchor="__RefHeading___Toc79949_3199679052">
            <w:r>
              <w:rPr>
                <w:webHidden/>
                <w:rStyle w:val="IndexLink"/>
              </w:rPr>
              <w:t>8. Cryptography and key management</w:t>
              <w:tab/>
              <w:t>14</w:t>
            </w:r>
          </w:hyperlink>
        </w:p>
        <w:p>
          <w:pPr>
            <w:pStyle w:val="TOC1"/>
            <w:tabs>
              <w:tab w:val="clear" w:pos="900"/>
              <w:tab w:val="clear" w:pos="9350"/>
              <w:tab w:val="right" w:pos="9025" w:leader="dot"/>
            </w:tabs>
            <w:rPr/>
          </w:pPr>
          <w:hyperlink w:anchor="__RefHeading___Toc79951_3199679052">
            <w:r>
              <w:rPr>
                <w:webHidden/>
                <w:rStyle w:val="IndexLink"/>
              </w:rPr>
              <w:t>9. Application and infrastructure security</w:t>
              <w:tab/>
              <w:t>15</w:t>
            </w:r>
          </w:hyperlink>
        </w:p>
        <w:p>
          <w:pPr>
            <w:pStyle w:val="TOC1"/>
            <w:tabs>
              <w:tab w:val="clear" w:pos="900"/>
              <w:tab w:val="clear" w:pos="9350"/>
              <w:tab w:val="right" w:pos="9025" w:leader="dot"/>
            </w:tabs>
            <w:rPr/>
          </w:pPr>
          <w:hyperlink w:anchor="__RefHeading___Toc79953_3199679052">
            <w:r>
              <w:rPr>
                <w:webHidden/>
                <w:rStyle w:val="IndexLink"/>
              </w:rPr>
              <w:t>10. Logging and monitoring</w:t>
              <w:tab/>
              <w:t>17</w:t>
            </w:r>
          </w:hyperlink>
        </w:p>
        <w:p>
          <w:pPr>
            <w:pStyle w:val="TOC1"/>
            <w:tabs>
              <w:tab w:val="clear" w:pos="900"/>
              <w:tab w:val="clear" w:pos="9350"/>
              <w:tab w:val="right" w:pos="9025" w:leader="dot"/>
            </w:tabs>
            <w:rPr/>
          </w:pPr>
          <w:hyperlink w:anchor="__RefHeading___Toc79955_3199679052">
            <w:r>
              <w:rPr>
                <w:webHidden/>
                <w:rStyle w:val="IndexLink"/>
              </w:rPr>
              <w:t>11. Vulnerability and patch management</w:t>
              <w:tab/>
              <w:t>18</w:t>
            </w:r>
          </w:hyperlink>
        </w:p>
        <w:p>
          <w:pPr>
            <w:pStyle w:val="TOC1"/>
            <w:tabs>
              <w:tab w:val="clear" w:pos="900"/>
              <w:tab w:val="clear" w:pos="9350"/>
              <w:tab w:val="right" w:pos="9025" w:leader="dot"/>
            </w:tabs>
            <w:rPr/>
          </w:pPr>
          <w:hyperlink w:anchor="__RefHeading___Toc79957_3199679052">
            <w:r>
              <w:rPr>
                <w:webHidden/>
                <w:rStyle w:val="IndexLink"/>
              </w:rPr>
              <w:t>12. Secure development and change management</w:t>
              <w:tab/>
              <w:t>19</w:t>
            </w:r>
          </w:hyperlink>
        </w:p>
        <w:p>
          <w:pPr>
            <w:pStyle w:val="TOC1"/>
            <w:tabs>
              <w:tab w:val="clear" w:pos="900"/>
              <w:tab w:val="clear" w:pos="9350"/>
              <w:tab w:val="right" w:pos="9025" w:leader="dot"/>
            </w:tabs>
            <w:rPr/>
          </w:pPr>
          <w:hyperlink w:anchor="__RefHeading___Toc79959_3199679052">
            <w:r>
              <w:rPr>
                <w:webHidden/>
                <w:rStyle w:val="IndexLink"/>
              </w:rPr>
              <w:t>13. Backup, continuity and disaster recovery</w:t>
              <w:tab/>
              <w:t>20</w:t>
            </w:r>
          </w:hyperlink>
        </w:p>
        <w:p>
          <w:pPr>
            <w:pStyle w:val="TOC1"/>
            <w:tabs>
              <w:tab w:val="clear" w:pos="900"/>
              <w:tab w:val="clear" w:pos="9350"/>
              <w:tab w:val="right" w:pos="9025" w:leader="dot"/>
            </w:tabs>
            <w:rPr/>
          </w:pPr>
          <w:hyperlink w:anchor="__RefHeading___Toc79961_3199679052">
            <w:r>
              <w:rPr>
                <w:webHidden/>
                <w:rStyle w:val="IndexLink"/>
              </w:rPr>
              <w:t>14. Incident management</w:t>
              <w:tab/>
              <w:t>21</w:t>
            </w:r>
          </w:hyperlink>
        </w:p>
        <w:p>
          <w:pPr>
            <w:pStyle w:val="TOC1"/>
            <w:tabs>
              <w:tab w:val="clear" w:pos="900"/>
              <w:tab w:val="clear" w:pos="9350"/>
              <w:tab w:val="right" w:pos="9025" w:leader="dot"/>
            </w:tabs>
            <w:rPr/>
          </w:pPr>
          <w:hyperlink w:anchor="__RefHeading___Toc79963_3199679052">
            <w:r>
              <w:rPr>
                <w:webHidden/>
                <w:rStyle w:val="IndexLink"/>
              </w:rPr>
              <w:t>15. Subcontractors, hosting and data residency</w:t>
              <w:tab/>
              <w:t>22</w:t>
            </w:r>
          </w:hyperlink>
        </w:p>
        <w:p>
          <w:pPr>
            <w:pStyle w:val="TOC1"/>
            <w:tabs>
              <w:tab w:val="clear" w:pos="900"/>
              <w:tab w:val="clear" w:pos="9350"/>
              <w:tab w:val="right" w:pos="9025" w:leader="dot"/>
            </w:tabs>
            <w:rPr/>
          </w:pPr>
          <w:hyperlink w:anchor="__RefHeading___Toc79965_3199679052">
            <w:r>
              <w:rPr>
                <w:webHidden/>
                <w:rStyle w:val="IndexLink"/>
              </w:rPr>
              <w:t>16. Audit and assurance</w:t>
              <w:tab/>
              <w:t>23</w:t>
            </w:r>
          </w:hyperlink>
        </w:p>
        <w:p>
          <w:pPr>
            <w:pStyle w:val="TOC1"/>
            <w:tabs>
              <w:tab w:val="clear" w:pos="900"/>
              <w:tab w:val="clear" w:pos="9350"/>
              <w:tab w:val="right" w:pos="9025" w:leader="dot"/>
            </w:tabs>
            <w:rPr/>
          </w:pPr>
          <w:hyperlink w:anchor="__RefHeading___Toc79967_3199679052">
            <w:r>
              <w:rPr>
                <w:webHidden/>
                <w:rStyle w:val="IndexLink"/>
              </w:rPr>
              <w:t>17. Open items before release to a broker</w:t>
              <w:tab/>
              <w:t>24</w:t>
            </w:r>
          </w:hyperlink>
        </w:p>
        <w:p>
          <w:pPr>
            <w:pStyle w:val="TOC1"/>
            <w:tabs>
              <w:tab w:val="clear" w:pos="900"/>
              <w:tab w:val="clear" w:pos="9350"/>
              <w:tab w:val="right" w:pos="9025" w:leader="dot"/>
            </w:tabs>
            <w:rPr/>
          </w:pPr>
          <w:hyperlink w:anchor="__RefHeading___Toc79969_3199679052">
            <w:r>
              <w:rPr>
                <w:webHidden/>
                <w:rStyle w:val="IndexLink"/>
                <w:i w:val="false"/>
                <w:iCs w:val="false"/>
              </w:rPr>
              <w:t>18. Document Sign-Off</w:t>
            </w:r>
            <w:r>
              <w:rPr>
                <w:rStyle w:val="IndexLink"/>
              </w:rPr>
              <w:tab/>
              <w:t>25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9929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9931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Implementing Rules and Regulations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controller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processor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ISMS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Information security management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ISO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International Organization for Standardization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and Organization Controls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MFA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Multi-factor authentication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TLS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Transport Layer Security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KMS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Key management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WAF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Web application firewall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SDLC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Secure development lifecycle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OWASP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 Worldwide Application Security Project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PCI DSS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Card Industry Data Security Standard</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9933_3199679052"/>
      <w:bookmarkEnd w:id="6"/>
      <w:r>
        <w:rPr>
          <w:rFonts w:eastAsia="Segoe UI" w:cs="Segoe UI" w:ascii="Segoe UI" w:hAnsi="Segoe UI"/>
          <w:b/>
          <w:color w:val="0F4761"/>
          <w:sz w:val="32"/>
        </w:rPr>
        <w:t>3.  About this questionnaire</w:t>
      </w:r>
    </w:p>
    <w:p>
      <w:pPr>
        <w:pStyle w:val="Heading2"/>
        <w:rPr/>
      </w:pPr>
      <w:bookmarkStart w:id="7" w:name="__RefHeading___Toc79935_3199679052"/>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 xml:space="preserve">Philippine insurance brokers, their internal auditors and their external auditors send a security and outsourcing questionnaire before they sign with a software or hosting provider. This document gives iorta TechNXT's pre-filled answers for BrokerVerse OOTB so the broker's review can start from facts instead of a blank form. The same answers are in the companion workbook </w:t>
      </w:r>
      <w:r>
        <w:rPr>
          <w:rFonts w:eastAsia="Segoe UI" w:cs="Segoe UI" w:ascii="Segoe UI" w:hAnsi="Segoe UI"/>
          <w:b/>
          <w:color w:val="101820"/>
          <w:sz w:val="21"/>
        </w:rPr>
        <w:t>BrokerVerse_Security_Due_Diligence_Questionnaire.xlsx</w:t>
      </w:r>
      <w:r>
        <w:rPr>
          <w:rFonts w:eastAsia="Segoe UI" w:cs="Segoe UI" w:ascii="Segoe UI" w:hAnsi="Segoe UI"/>
          <w:color w:val="101820"/>
          <w:sz w:val="21"/>
        </w:rPr>
        <w:t xml:space="preserve"> (one row per question, with the answer and the evidence document), which the broker can copy into its own template.</w:t>
      </w:r>
    </w:p>
    <w:p>
      <w:pPr>
        <w:pStyle w:val="Normal"/>
        <w:spacing w:lineRule="auto" w:line="276" w:before="0" w:after="120"/>
        <w:rPr/>
      </w:pPr>
      <w:r>
        <w:rPr>
          <w:rFonts w:eastAsia="Segoe UI" w:cs="Segoe UI" w:ascii="Segoe UI" w:hAnsi="Segoe UI"/>
          <w:color w:val="101820"/>
          <w:sz w:val="21"/>
        </w:rPr>
        <w:t>The questions follow the areas the reviewers usually cover: the Insurance Commission's expectations on IT risk and outsourcing, the Data Privacy Act of 2012 with its IRR and NPC circulars, and ISO/IEC 27001-style control areas.</w:t>
      </w:r>
    </w:p>
    <w:p>
      <w:pPr>
        <w:pStyle w:val="Heading2"/>
        <w:rPr/>
      </w:pPr>
      <w:bookmarkStart w:id="8" w:name="__RefHeading___Toc79937_3199679052"/>
      <w:bookmarkEnd w:id="8"/>
      <w:r>
        <w:rPr>
          <w:rFonts w:eastAsia="Segoe UI" w:cs="Segoe UI"/>
          <w:b/>
          <w:color w:val="0F4761"/>
          <w:sz w:val="26"/>
        </w:rPr>
        <w:t>3.2  How the answers are written</w:t>
      </w:r>
    </w:p>
    <w:p>
      <w:pPr>
        <w:pStyle w:val="Normal"/>
        <w:numPr>
          <w:ilvl w:val="0"/>
          <w:numId w:val="1"/>
        </w:numPr>
        <w:spacing w:before="0" w:after="60"/>
        <w:rPr/>
      </w:pPr>
      <w:r>
        <w:rPr>
          <w:rFonts w:eastAsia="Segoe UI" w:cs="Segoe UI" w:ascii="Segoe UI" w:hAnsi="Segoe UI"/>
          <w:color w:val="101820"/>
          <w:sz w:val="21"/>
        </w:rPr>
        <w:t xml:space="preserve">Answers describe the product as delivered on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on 03 October 2026, the deployment package and the contract templates of the OOTB package.</w:t>
      </w:r>
    </w:p>
    <w:p>
      <w:pPr>
        <w:pStyle w:val="Normal"/>
        <w:numPr>
          <w:ilvl w:val="0"/>
          <w:numId w:val="1"/>
        </w:numPr>
        <w:spacing w:before="0" w:after="60"/>
        <w:rPr/>
      </w:pPr>
      <w:r>
        <w:rPr>
          <w:rFonts w:eastAsia="Segoe UI" w:cs="Segoe UI" w:ascii="Segoe UI" w:hAnsi="Segoe UI"/>
          <w:b/>
          <w:color w:val="101820"/>
          <w:sz w:val="21"/>
        </w:rPr>
        <w:t>Response</w:t>
      </w:r>
      <w:r>
        <w:rPr>
          <w:rFonts w:eastAsia="Segoe UI" w:cs="Segoe UI" w:ascii="Segoe UI" w:hAnsi="Segoe UI"/>
          <w:color w:val="101820"/>
          <w:sz w:val="21"/>
        </w:rPr>
        <w:t xml:space="preserve"> is one of: </w:t>
      </w:r>
      <w:r>
        <w:rPr>
          <w:rFonts w:eastAsia="Segoe UI" w:cs="Segoe UI" w:ascii="Segoe UI" w:hAnsi="Segoe UI"/>
          <w:b/>
          <w:color w:val="101820"/>
          <w:sz w:val="21"/>
        </w:rPr>
        <w:t>Yes</w:t>
      </w:r>
      <w:r>
        <w:rPr>
          <w:rFonts w:eastAsia="Segoe UI" w:cs="Segoe UI" w:ascii="Segoe UI" w:hAnsi="Segoe UI"/>
          <w:color w:val="101820"/>
          <w:sz w:val="21"/>
        </w:rPr>
        <w:t xml:space="preserve"> (in place today), </w:t>
      </w:r>
      <w:r>
        <w:rPr>
          <w:rFonts w:eastAsia="Segoe UI" w:cs="Segoe UI" w:ascii="Segoe UI" w:hAnsi="Segoe UI"/>
          <w:b/>
          <w:color w:val="101820"/>
          <w:sz w:val="21"/>
        </w:rPr>
        <w:t>Partial</w:t>
      </w:r>
      <w:r>
        <w:rPr>
          <w:rFonts w:eastAsia="Segoe UI" w:cs="Segoe UI" w:ascii="Segoe UI" w:hAnsi="Segoe UI"/>
          <w:color w:val="101820"/>
          <w:sz w:val="21"/>
        </w:rPr>
        <w:t xml:space="preserve"> (in place with a stated limit), </w:t>
      </w:r>
      <w:r>
        <w:rPr>
          <w:rFonts w:eastAsia="Segoe UI" w:cs="Segoe UI" w:ascii="Segoe UI" w:hAnsi="Segoe UI"/>
          <w:b/>
          <w:color w:val="101820"/>
          <w:sz w:val="21"/>
        </w:rPr>
        <w:t>No</w:t>
      </w:r>
      <w:r>
        <w:rPr>
          <w:rFonts w:eastAsia="Segoe UI" w:cs="Segoe UI" w:ascii="Segoe UI" w:hAnsi="Segoe UI"/>
          <w:color w:val="101820"/>
          <w:sz w:val="21"/>
        </w:rPr>
        <w:t xml:space="preserve"> (not in place), </w:t>
      </w:r>
      <w:r>
        <w:rPr>
          <w:rFonts w:eastAsia="Segoe UI" w:cs="Segoe UI" w:ascii="Segoe UI" w:hAnsi="Segoe UI"/>
          <w:b/>
          <w:color w:val="101820"/>
          <w:sz w:val="21"/>
        </w:rPr>
        <w:t>Planned</w:t>
      </w:r>
      <w:r>
        <w:rPr>
          <w:rFonts w:eastAsia="Segoe UI" w:cs="Segoe UI" w:ascii="Segoe UI" w:hAnsi="Segoe UI"/>
          <w:color w:val="101820"/>
          <w:sz w:val="21"/>
        </w:rPr>
        <w:t xml:space="preserve"> (on the product backlog), </w:t>
      </w:r>
      <w:r>
        <w:rPr>
          <w:rFonts w:eastAsia="Segoe UI" w:cs="Segoe UI" w:ascii="Segoe UI" w:hAnsi="Segoe UI"/>
          <w:b/>
          <w:color w:val="101820"/>
          <w:sz w:val="21"/>
        </w:rPr>
        <w:t>Broker</w:t>
      </w:r>
      <w:r>
        <w:rPr>
          <w:rFonts w:eastAsia="Segoe UI" w:cs="Segoe UI" w:ascii="Segoe UI" w:hAnsi="Segoe UI"/>
          <w:color w:val="101820"/>
          <w:sz w:val="21"/>
        </w:rPr>
        <w:t xml:space="preserve"> (the broker's own control, outside iorta TechNXT's scope) or </w:t>
      </w:r>
      <w:r>
        <w:rPr>
          <w:rFonts w:eastAsia="Segoe UI" w:cs="Segoe UI" w:ascii="Segoe UI" w:hAnsi="Segoe UI"/>
          <w:b/>
          <w:color w:val="101820"/>
          <w:sz w:val="21"/>
        </w:rPr>
        <w:t>N/A</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Where iorta TechNXT hosts the system, hosting controls are those of the Hosting and Infrastructure Services Agreement. Where the broker hosts, the same controls are the broker's, and the Architecture document gives the recommended set-up.</w:t>
      </w:r>
    </w:p>
    <w:p>
      <w:pPr>
        <w:pStyle w:val="Normal"/>
        <w:numPr>
          <w:ilvl w:val="0"/>
          <w:numId w:val="1"/>
        </w:numPr>
        <w:spacing w:before="0" w:after="60"/>
        <w:rPr/>
      </w:pPr>
      <w:r>
        <w:rPr>
          <w:rFonts w:eastAsia="Segoe UI" w:cs="Segoe UI" w:ascii="Segoe UI" w:hAnsi="Segoe UI"/>
          <w:color w:val="101820"/>
          <w:sz w:val="21"/>
        </w:rPr>
        <w:t xml:space="preserve">Items marked </w:t>
      </w:r>
      <w:r>
        <w:rPr>
          <w:rFonts w:eastAsia="Segoe UI" w:cs="Segoe UI" w:ascii="Segoe UI" w:hAnsi="Segoe UI"/>
          <w:b/>
          <w:color w:val="101820"/>
          <w:sz w:val="21"/>
        </w:rPr>
        <w:t>[to confirm]</w:t>
      </w:r>
      <w:r>
        <w:rPr>
          <w:rFonts w:eastAsia="Segoe UI" w:cs="Segoe UI" w:ascii="Segoe UI" w:hAnsi="Segoe UI"/>
          <w:color w:val="101820"/>
          <w:sz w:val="21"/>
        </w:rPr>
        <w:t xml:space="preserve"> are organisational facts about iorta TechNXT that are not recorded in the package. They must be answered by iorta TechNXT management before the questionnaire is given to a broker. Nothing has been assumed for them.</w:t>
      </w:r>
    </w:p>
    <w:p>
      <w:pPr>
        <w:pStyle w:val="Normal"/>
        <w:spacing w:lineRule="auto" w:line="276" w:before="0" w:after="120"/>
        <w:rPr/>
      </w:pPr>
      <w:r>
        <w:rPr>
          <w:rFonts w:eastAsia="Segoe UI" w:cs="Segoe UI" w:ascii="Segoe UI" w:hAnsi="Segoe UI"/>
          <w:color w:val="101820"/>
          <w:sz w:val="21"/>
        </w:rPr>
        <w:t>This document is not legal advice. The broker's compliance officer and DPO decide how the IC circulars and NPC rules apply to the broker.</w:t>
      </w:r>
    </w:p>
    <w:p>
      <w:pPr>
        <w:pStyle w:val="Heading2"/>
        <w:rPr/>
      </w:pPr>
      <w:bookmarkStart w:id="9" w:name="__RefHeading___Toc79939_3199679052"/>
      <w:bookmarkEnd w:id="9"/>
      <w:r>
        <w:rPr>
          <w:rFonts w:eastAsia="Segoe UI" w:cs="Segoe UI"/>
          <w:b/>
          <w:color w:val="0F4761"/>
          <w:sz w:val="26"/>
        </w:rPr>
        <w:t>3.3  Evidence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AIS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Architecture, Infrastructure, Security and Data Privacy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Reference (code structure, standards, APIs and security controls in code)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TSR</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 and the Test Cases workbook</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Approach and Standards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BCDR</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Continuity and Disaster Recovery Plan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PRCM</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Regulatory Compliance Matrix</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PF</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Functionality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IAP</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 and Plan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Services Agreement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HSA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Infrastructure Services Agreement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Support and SLA</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 (optional annex to the perpetual licence)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 08, 09, 11</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Solution Architecture documents RTO and RPO, Backup and Recovery, Monitoring</w:t>
            </w:r>
          </w:p>
        </w:tc>
      </w:tr>
    </w:tbl>
    <w:p>
      <w:pPr>
        <w:pStyle w:val="Heading1"/>
        <w:rPr/>
      </w:pPr>
      <w:r>
        <w:br w:type="page"/>
      </w:r>
      <w:bookmarkStart w:id="10" w:name="__RefHeading___Toc79941_3199679052"/>
      <w:bookmarkEnd w:id="10"/>
      <w:r>
        <w:rPr>
          <w:rFonts w:eastAsia="Segoe UI" w:cs="Segoe UI" w:ascii="Segoe UI" w:hAnsi="Segoe UI"/>
          <w:b/>
          <w:color w:val="0F4761"/>
          <w:sz w:val="32"/>
        </w:rPr>
        <w:t>4.  Company and governance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78"/>
        <w:gridCol w:w="1123"/>
        <w:gridCol w:w="2413"/>
        <w:gridCol w:w="219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3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4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21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GOV-01</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Legal name, registration and address of the provider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Corp., a Philippine corporation. SEC registration number, TIN and principal office address: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Parties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GOV-02</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Who owns the software and who develops and supports it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owns iNXT BrokerVerse and provides implementation (L2) and engineering support (L3). Location of the development and support teams: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PSS, Support model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GOV-03</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provider have a documented information security policy approved by management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Security controls of the product and the hosting are documented in AIS and HSA. A company-wide information security policy and its approval date: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Security architecture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GOV-04</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named person responsible for information security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Named security officer of iorta TechNXT: [to confirm]. Security incidents are handled by iorta TechNXT engineering (L3) as P1</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Security incidents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GOV-05</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Has the provider appointed a DPO and registered with the NPC</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acts as PIP for the broker. DPO name and NPC registration of iorta TechNXT: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Roles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GOV-06</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provider hold ISO/IEC 27001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held by iorta TechNXT at the date of this document. Certification plan and target date: [to confirm]. The cloud providers of hosting options A and B publish their own ISO/IEC 27001 certificates</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AIS, Option A and B</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GOV-07</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provider have a SOC 2 Type II report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held. Roadmap: [to confirm]. AWS and Microsoft Azure make their SOC reports available to their customers through their compliance portals</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GOV-08</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 provider PCI DSS certified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BrokerVerse never receives card numbers. Card details are entered on the payment gateway's own page (PayMongo or Dragonpay); the broker uses gateways that hold PCI DSS certification</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Personal data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GOV-09</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security risks assessed and recorded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risks are recorded as Gap items in AIS and as defects in TSR (open: Medium 3, Low 5, no Critical or High). A company risk register: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TSR, Defects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GOV-10</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staff screened before hiring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Background check practice for staff with production access: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Personnel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GOV-11</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staff bound by confidentiality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person who processes the broker's personal data is bound by confidentiality, trained in data privacy, and the duty continues after the person leaves</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Confidentiality; MSA, Confidentiality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GOV-12</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 staff receive security and privacy awareness training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by the DPA template for personnel handling personal data. Training programme and frequency: [to confirm]</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Confidentiality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GOV-13</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provider carry professional indemnity or cyber insurance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 confirm: insurer, cover and limit]</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GOV-14</w:t>
            </w:r>
          </w:p>
        </w:tc>
        <w:tc>
          <w:tcPr>
            <w:tcW w:w="23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 provider financially stable; what protects the broker if it fails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Financial statements: [to confirm]. Protection for the broker: the broker may host the system itself; data return on exit; optional source code escrow with the perpetual licence</w:t>
            </w:r>
          </w:p>
        </w:tc>
        <w:tc>
          <w:tcPr>
            <w:tcW w:w="21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 MSA; Exit and Transition Plan</w:t>
            </w:r>
          </w:p>
        </w:tc>
      </w:tr>
    </w:tbl>
    <w:p>
      <w:pPr>
        <w:pStyle w:val="Heading1"/>
        <w:rPr/>
      </w:pPr>
      <w:r>
        <w:br w:type="page"/>
      </w:r>
      <w:bookmarkStart w:id="11" w:name="__RefHeading___Toc79943_3199679052"/>
      <w:bookmarkEnd w:id="11"/>
      <w:r>
        <w:rPr>
          <w:rFonts w:eastAsia="Segoe UI" w:cs="Segoe UI" w:ascii="Segoe UI" w:hAnsi="Segoe UI"/>
          <w:b/>
          <w:color w:val="0F4761"/>
          <w:sz w:val="32"/>
        </w:rPr>
        <w:t>5.  Regulatory: Insurance Commission and outsourcing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89"/>
        <w:gridCol w:w="1124"/>
        <w:gridCol w:w="2317"/>
        <w:gridCol w:w="227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3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3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22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REG-01</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Which IC circulars on IT risk and outsourcing have been considered</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package maps the system to the Insurance Code (RA 10607) record-keeping and premium handling rules. The specific IC circulars on IT risk management and outsourcing that apply to the broker are identified by the broker's compliance officer [to confirm circular numbers with the broker]</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PRCM; AIS, Insurance Commission and records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REG-02</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outsourcing keep the broker in control of its books and records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All policy, premium, commission, remittance and ledger records are in the broker's database; reports export to Excel, CSV and PDF; the broker can obtain a full export at any time and on exit</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IC and records; Exit and Transition Plan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REG-03</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the IC examine the broker's records held in the system</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Registers, reports and the audit trail are available to the broker for IC examination. The MSA allows disclosure to the IC when required. An explicit right of access for the IC to iorta TechNXT premises: [to confirm in the MSA]</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Confidentiality; AIS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REG-04</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system keep premiums due to insurers apart</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trust bank account in the masters; amounts due to each insurer in the ledger; remittance with approval; remittance ageing on the insurer's terms</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PRCM; PF, Remittance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REG-05</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written outsourcing agreement covering services, SLAs, confidentiality, data, audit and exit</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with the Statement of Work, Support and SLA, Hosting Agreement, DPA and Exit and Transition Plan</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SLA; HSA; DPA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REG-06</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service levels defined and reported</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Severity P1 to P4 with response and restore targets; availability target 99.5% for hosted production; monthly service report and review</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SLA; PSS, Severity levels; HSA, Availability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REG-07</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the broker terminate and get its data back</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returned in an agreed format and deleted within 30 days after the broker confirms the export, with a certificate of deletion</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Exit; DPA; Exit and Transition Plan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REG-08</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provider support the broker's BIR obligations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working papers (Form 2307, VAT Summary, SAWT, QAP, SLSP) from the ledger. Registration of the system as a Computerized Accounting System and filing remain with the broker</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PRCM, BIR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REG-09</w:t>
            </w:r>
          </w:p>
        </w:tc>
        <w:tc>
          <w:tcPr>
            <w:tcW w:w="2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system support anti-money laundering checks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data (government ID type, number and image) required before motor issue. No transaction monitoring, sanctions or PEP screening, or AMLC reporting</w:t>
            </w:r>
          </w:p>
        </w:tc>
        <w:tc>
          <w:tcPr>
            <w:tcW w:w="2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PRCM, AMLA; PF</w:t>
            </w:r>
          </w:p>
        </w:tc>
      </w:tr>
    </w:tbl>
    <w:p>
      <w:pPr>
        <w:pStyle w:val="Heading1"/>
        <w:rPr/>
      </w:pPr>
      <w:r>
        <w:br w:type="page"/>
      </w:r>
      <w:bookmarkStart w:id="12" w:name="__RefHeading___Toc79945_3199679052"/>
      <w:bookmarkEnd w:id="12"/>
      <w:r>
        <w:rPr>
          <w:rFonts w:eastAsia="Segoe UI" w:cs="Segoe UI" w:ascii="Segoe UI" w:hAnsi="Segoe UI"/>
          <w:b/>
          <w:color w:val="0F4761"/>
          <w:sz w:val="32"/>
        </w:rPr>
        <w:t>6.  Regulatory: Data Privacy Act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31"/>
        <w:gridCol w:w="1122"/>
        <w:gridCol w:w="2400"/>
        <w:gridCol w:w="225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3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4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DPA-01</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is the role of iorta TechNXT under the DPA</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broker is the PIC. iorta TechNXT is a PIP when it hosts, supports or accesses production data, and acts only on the broker's documented instructions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AIS, Roles under the DPA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DPA-02</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a data processing agreement signed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Template DPA covering subject matter, instructions, confidentiality, security measures, sub-processors, assistance, breach notice, return and deletion, and audits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DPA-03</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personal data does the system hold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Leads, clients, insured risks, KYC IDs and images, claimants and payees, payment references (no card numbers), referrers and their bank accounts, staff users and sign-in history</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Personal data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DPA-04</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it hold sensitive personal information</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Government-issued ID numbers and images; some claim details (for example injury in a personal accident claim)</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Personal data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DPA-05</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consent be recorded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Data Privacy &gt; Consent Register and consent per purpose on the client and prospect (processing, marketing, sharing with insurers), with channel, notice version and evidence. Delivered after the release test and re-tested on 03 October 2026 (BV-SEC-034 passed)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PF, Data privacy; TSR, BV-DEF-002</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DPA-06</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data subject requests be logged and answered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Data Privacy &gt; Data Subject Requests (DSR- numbers), due date 15 calendar days (</w:t>
            </w:r>
            <w:r>
              <w:rPr>
                <w:rFonts w:eastAsia="Consolas" w:cs="Consolas" w:ascii="Consolas" w:hAnsi="Consolas"/>
                <w:color w:val="101820"/>
                <w:kern w:val="0"/>
                <w:sz w:val="14"/>
                <w:szCs w:val="24"/>
                <w:lang w:val="en-US" w:eastAsia="ja-JP" w:bidi="ar-SA"/>
              </w:rPr>
              <w:t>privacy.request_due_days</w:t>
            </w:r>
            <w:r>
              <w:rPr>
                <w:rFonts w:eastAsia="Segoe UI" w:cs="Segoe UI" w:ascii="Segoe UI" w:hAnsi="Segoe UI"/>
                <w:color w:val="101820"/>
                <w:kern w:val="0"/>
                <w:sz w:val="16"/>
                <w:szCs w:val="24"/>
                <w:lang w:val="en-US" w:eastAsia="ja-JP" w:bidi="ar-SA"/>
              </w:rPr>
              <w:t>), personal data export as JSON or Excel. Re-tested on 03 October 2026 (BV-SEC-035 passed)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PF, Data privacy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DPA-07</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personal data be erased or anonymised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Anonymisation of a client or prospect with a dry run, refused while policies are in force, items are open, or within 10 years of the last expiry (</w:t>
            </w:r>
            <w:r>
              <w:rPr>
                <w:rFonts w:eastAsia="Consolas" w:cs="Consolas" w:ascii="Consolas" w:hAnsi="Consolas"/>
                <w:color w:val="101820"/>
                <w:kern w:val="0"/>
                <w:sz w:val="14"/>
                <w:szCs w:val="24"/>
                <w:lang w:val="en-US" w:eastAsia="ja-JP" w:bidi="ar-SA"/>
              </w:rPr>
              <w:t>privacy.retention_years</w:t>
            </w:r>
            <w:r>
              <w:rPr>
                <w:rFonts w:eastAsia="Segoe UI" w:cs="Segoe UI" w:ascii="Segoe UI" w:hAnsi="Segoe UI"/>
                <w:color w:val="101820"/>
                <w:kern w:val="0"/>
                <w:sz w:val="16"/>
                <w:szCs w:val="24"/>
                <w:lang w:val="en-US" w:eastAsia="ja-JP" w:bidi="ar-SA"/>
              </w:rPr>
              <w:t>); every action in the audit trail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PF, Data privacy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DPA-08</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personal data encrypted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transit: TLS. At rest: storage encryption of the database, file store and backups (included in hosted options; recommended when the broker hosts). Inside the application only two-step verification secrets are encrypted (AES-256-GCM); field-level encryption of personal identifiers is on the backlog (BV-DEF-003)</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Encryption; TSR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DPA-09</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Where is the data stored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Chosen per broker: AWS or Azure in Singapore, a Philippine hosting partner, or the broker's own data centre. Stated in the Order Form; not moved without the broker's written consent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Data location; AIS, Cross-border transfer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DPA-10</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cross-border transfers handled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in Singapore is a transfer the DPA allows; the broker remains accountable (DPA section 21), documents it in its privacy notice, processing records and privacy impact assessment; iorta TechNXT provides comparable protection by contract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Location; AIS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DPA-11</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is the breach notification commitment</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notifies the broker's DPO and System Administrator without undue delay and within [24] hours of discovery, never later than 72 hours; written incident report within [5] business days of containment. The broker notifies the NPC and data subjects within 72 hours where NPC Circular 16-03 requires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Personal data breach; PSS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DPA-12</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retention schedule</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Housekeeping job removes temporary data on configured periods; audit trail kept by default and never purged below 7 years; business records kept; personal data of a client or prospect anonymised on request once </w:t>
            </w:r>
            <w:r>
              <w:rPr>
                <w:rFonts w:eastAsia="Consolas" w:cs="Consolas" w:ascii="Consolas" w:hAnsi="Consolas"/>
                <w:color w:val="101820"/>
                <w:kern w:val="0"/>
                <w:sz w:val="14"/>
                <w:szCs w:val="24"/>
                <w:lang w:val="en-US" w:eastAsia="ja-JP" w:bidi="ar-SA"/>
              </w:rPr>
              <w:t>privacy.retention_years</w:t>
            </w:r>
            <w:r>
              <w:rPr>
                <w:rFonts w:eastAsia="Segoe UI" w:cs="Segoe UI" w:ascii="Segoe UI" w:hAnsi="Segoe UI"/>
                <w:color w:val="101820"/>
                <w:kern w:val="0"/>
                <w:sz w:val="16"/>
                <w:szCs w:val="24"/>
                <w:lang w:val="en-US" w:eastAsia="ja-JP" w:bidi="ar-SA"/>
              </w:rPr>
              <w:t xml:space="preserve"> (10) has passed; recommended retention of 10 years for financial and policy records, confirmed by the broker</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Retention and disposal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DPA-13</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Who are the sub-processors</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hosting provider of the chosen option, and the e-mail provider or support tooling only where they apply. Listed in DPA Annex 3; 30 days' notice before a change, with a right to object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Sub-processors and Annex 3</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DPA-14</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Has a privacy impact assessment been done</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PIA is the broker's as PIC. iorta TechNXT supplies the system description, data inventory and security measures (AIS) as input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Data privacy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DPA-15</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NPC registration and the privacy notice handled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4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Registration of the processing system and DPO (NPC Circular 2022-04) and the privacy notice are the broker's. The notice version is recorded with each consent (</w:t>
            </w:r>
            <w:r>
              <w:rPr>
                <w:rFonts w:eastAsia="Consolas" w:cs="Consolas" w:ascii="Consolas" w:hAnsi="Consolas"/>
                <w:color w:val="101820"/>
                <w:kern w:val="0"/>
                <w:sz w:val="14"/>
                <w:szCs w:val="24"/>
                <w:lang w:val="en-US" w:eastAsia="ja-JP" w:bidi="ar-SA"/>
              </w:rPr>
              <w:t>privacy.notice_version</w:t>
            </w:r>
            <w:r>
              <w:rPr>
                <w:rFonts w:eastAsia="Segoe UI" w:cs="Segoe UI" w:ascii="Segoe UI" w:hAnsi="Segoe UI"/>
                <w:color w:val="101820"/>
                <w:kern w:val="0"/>
                <w:sz w:val="16"/>
                <w:szCs w:val="24"/>
                <w:lang w:val="en-US" w:eastAsia="ja-JP" w:bidi="ar-SA"/>
              </w:rPr>
              <w: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Legal framework; PF</w:t>
            </w:r>
          </w:p>
        </w:tc>
      </w:tr>
    </w:tbl>
    <w:p>
      <w:pPr>
        <w:pStyle w:val="Heading1"/>
        <w:rPr/>
      </w:pPr>
      <w:r>
        <w:br w:type="page"/>
      </w:r>
      <w:bookmarkStart w:id="13" w:name="__RefHeading___Toc79947_3199679052"/>
      <w:bookmarkEnd w:id="13"/>
      <w:r>
        <w:rPr>
          <w:rFonts w:eastAsia="Segoe UI" w:cs="Segoe UI" w:ascii="Segoe UI" w:hAnsi="Segoe UI"/>
          <w:b/>
          <w:color w:val="0F4761"/>
          <w:sz w:val="32"/>
        </w:rPr>
        <w:t>7.  Access control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32"/>
        <w:gridCol w:w="1122"/>
        <w:gridCol w:w="2597"/>
        <w:gridCol w:w="185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5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5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8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ACC-01</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all users uniquely identified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Named users only; no shared or agent sign-in. The initial password must be changed at first sign-in</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Identity and authentication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ACC-02</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is the password policy</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Minimum 8 characters with upper case, lower case, digit and symbol; last 5 passwords refused; maximum age 90 days. All values are settings (</w:t>
            </w:r>
            <w:r>
              <w:rPr>
                <w:rFonts w:eastAsia="Consolas" w:cs="Consolas" w:ascii="Consolas" w:hAnsi="Consolas"/>
                <w:color w:val="101820"/>
                <w:kern w:val="0"/>
                <w:sz w:val="14"/>
                <w:szCs w:val="24"/>
                <w:lang w:val="en-US" w:eastAsia="ja-JP" w:bidi="ar-SA"/>
              </w:rPr>
              <w:t>security.password_*</w:t>
            </w:r>
            <w:r>
              <w:rPr>
                <w:rFonts w:eastAsia="Segoe UI" w:cs="Segoe UI" w:ascii="Segoe UI" w:hAnsi="Segoe UI"/>
                <w:color w:val="101820"/>
                <w:kern w:val="0"/>
                <w:sz w:val="16"/>
                <w:szCs w:val="24"/>
                <w:lang w:val="en-US" w:eastAsia="ja-JP" w:bidi="ar-SA"/>
              </w:rPr>
              <w:t>)</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Password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ACC-03</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passwords stored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bcrypt hash (cost 10). An unknown user name costs the same comparison time, so names cannot be discovered by timing</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Authentication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ACC-04</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an account lockout</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Locked after 5 wrong passwords (</w:t>
            </w:r>
            <w:r>
              <w:rPr>
                <w:rFonts w:eastAsia="Consolas" w:cs="Consolas" w:ascii="Consolas" w:hAnsi="Consolas"/>
                <w:color w:val="101820"/>
                <w:kern w:val="0"/>
                <w:sz w:val="14"/>
                <w:szCs w:val="24"/>
                <w:lang w:val="en-US" w:eastAsia="ja-JP" w:bidi="ar-SA"/>
              </w:rPr>
              <w:t>limits.max_login_attempts</w:t>
            </w:r>
            <w:r>
              <w:rPr>
                <w:rFonts w:eastAsia="Segoe UI" w:cs="Segoe UI" w:ascii="Segoe UI" w:hAnsi="Segoe UI"/>
                <w:color w:val="101820"/>
                <w:kern w:val="0"/>
                <w:sz w:val="16"/>
                <w:szCs w:val="24"/>
                <w:lang w:val="en-US" w:eastAsia="ja-JP" w:bidi="ar-SA"/>
              </w:rPr>
              <w:t>); sign-in and forgot-password limited to 10 attempts per 5 minutes per IP and per user name; reopening a locked account is audited</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TSR, Security testing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ACC-05</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multi-factor authentication available</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TOTP to RFC 6238 with any authenticator app; a code cannot be reused; compulsory for the roles in </w:t>
            </w:r>
            <w:r>
              <w:rPr>
                <w:rFonts w:eastAsia="Consolas" w:cs="Consolas" w:ascii="Consolas" w:hAnsi="Consolas"/>
                <w:color w:val="101820"/>
                <w:kern w:val="0"/>
                <w:sz w:val="14"/>
                <w:szCs w:val="24"/>
                <w:lang w:val="en-US" w:eastAsia="ja-JP" w:bidi="ar-SA"/>
              </w:rPr>
              <w:t>security.require_2fa_roles</w:t>
            </w:r>
            <w:r>
              <w:rPr>
                <w:rFonts w:eastAsia="Segoe UI" w:cs="Segoe UI" w:ascii="Segoe UI" w:hAnsi="Segoe UI"/>
                <w:color w:val="101820"/>
                <w:kern w:val="0"/>
                <w:sz w:val="16"/>
                <w:szCs w:val="24"/>
                <w:lang w:val="en-US" w:eastAsia="ja-JP" w:bidi="ar-SA"/>
              </w:rPr>
              <w:t xml:space="preserve"> (empty when delivered; set at go-live for at least System Administrator, Accounting and Accounting Manager)</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AIS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ACC-06</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sessions controlled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Access token 30 minutes; refresh token 30 days, rotated on each use, reuse revokes the token family; idle sign-out after 30 minutes with a warning</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Authentication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ACC-07</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sessions be ended centrally</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Password change or reset, deactivation, role change and Sign out everywhere end every session of the user at once (token version)</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Authentication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ACC-08</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Where are session tokens stored in the browser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browser local storage, accepted for go-live; a move to an httpOnly cookie is planned</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Known limitation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ACC-09</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access role-based and least privilege</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Seven delivered roles; permissions checked by the server on every route (807 of 868 routes need a permission or role, 42 need sign-in only, 19 are public by design); menus deny by default</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Authorisation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ACC-10</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users be restricted to their own records</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Roles in </w:t>
            </w:r>
            <w:r>
              <w:rPr>
                <w:rFonts w:eastAsia="Consolas" w:cs="Consolas" w:ascii="Consolas" w:hAnsi="Consolas"/>
                <w:color w:val="101820"/>
                <w:kern w:val="0"/>
                <w:sz w:val="14"/>
                <w:szCs w:val="24"/>
                <w:lang w:val="en-US" w:eastAsia="ja-JP" w:bidi="ar-SA"/>
              </w:rPr>
              <w:t>security.scoped_roles</w:t>
            </w:r>
            <w:r>
              <w:rPr>
                <w:rFonts w:eastAsia="Segoe UI" w:cs="Segoe UI" w:ascii="Segoe UI" w:hAnsi="Segoe UI"/>
                <w:color w:val="101820"/>
                <w:kern w:val="0"/>
                <w:sz w:val="16"/>
                <w:szCs w:val="24"/>
                <w:lang w:val="en-US" w:eastAsia="ja-JP" w:bidi="ar-SA"/>
              </w:rPr>
              <w:t xml:space="preserve"> see only their own book; another user's record answers 404</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Authorisation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ACC-11</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segregation of duties</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SoD rules on role pairs checked at assignment (block or warn); maker-checker on approvals; authority matrix limits in PHP per transaction type and role</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Authorisation; PF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ACC-12</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privileged accounts controlled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Only a System Administrator can grant that role or change an administrator; nobody can change their own roles or status; all changes audited</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Authorisation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ACC-13</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access rights reviewed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Access Reviews campaigns in Master &gt; Generals &gt; User Management; revoke deactivates and signs out; User Access Matrix and Role Permissions exports</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PF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ACC-14</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dormant accounts disabled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job deactivates accounts without a sign-in for 90 days (</w:t>
            </w:r>
            <w:r>
              <w:rPr>
                <w:rFonts w:eastAsia="Consolas" w:cs="Consolas" w:ascii="Consolas" w:hAnsi="Consolas"/>
                <w:color w:val="101820"/>
                <w:kern w:val="0"/>
                <w:sz w:val="14"/>
                <w:szCs w:val="24"/>
                <w:lang w:val="en-US" w:eastAsia="ja-JP" w:bidi="ar-SA"/>
              </w:rPr>
              <w:t>access.dormant_days</w:t>
            </w:r>
            <w:r>
              <w:rPr>
                <w:rFonts w:eastAsia="Segoe UI" w:cs="Segoe UI" w:ascii="Segoe UI" w:hAnsi="Segoe UI"/>
                <w:color w:val="101820"/>
                <w:kern w:val="0"/>
                <w:sz w:val="16"/>
                <w:szCs w:val="24"/>
                <w:lang w:val="en-US" w:eastAsia="ja-JP" w:bidi="ar-SA"/>
              </w:rPr>
              <w:t>), the built-in administrator excepted</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Archival and housekeeping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ACC-15</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Who approves joiners, movers and leavers</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broker requests, approves and removes access; the System Administrator executes in User Management</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Compliance checklist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ACC-16</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is iorta TechNXT staff access to production controlled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Recommended design: management zone with bastion or session manager, multi-factor sign-in, logged. Named list of iorta TechNXT staff with production access and the approval process: [to confirm]</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Network zones; 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ACC-17</w:t>
            </w:r>
          </w:p>
        </w:tc>
        <w:tc>
          <w:tcPr>
            <w:tcW w:w="2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infrastructure administrator actions logged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Cloud provider audit logs (for example AWS CloudTrail) on hosted options [to confirm that the hosting runbook enables them]; partner or broker logs under option C</w:t>
            </w:r>
          </w:p>
        </w:tc>
        <w:tc>
          <w:tcPr>
            <w:tcW w:w="1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w:t>
            </w:r>
          </w:p>
        </w:tc>
      </w:tr>
    </w:tbl>
    <w:p>
      <w:pPr>
        <w:pStyle w:val="Heading1"/>
        <w:rPr/>
      </w:pPr>
      <w:r>
        <w:br w:type="page"/>
      </w:r>
      <w:bookmarkStart w:id="14" w:name="__RefHeading___Toc79949_3199679052"/>
      <w:bookmarkEnd w:id="14"/>
      <w:r>
        <w:rPr>
          <w:rFonts w:eastAsia="Segoe UI" w:cs="Segoe UI" w:ascii="Segoe UI" w:hAnsi="Segoe UI"/>
          <w:b/>
          <w:color w:val="0F4761"/>
          <w:sz w:val="32"/>
        </w:rPr>
        <w:t>8.  Cryptography and key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920"/>
        <w:gridCol w:w="1123"/>
        <w:gridCol w:w="2885"/>
        <w:gridCol w:w="218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19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8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2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CRY-01</w:t>
            </w:r>
          </w:p>
        </w:tc>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data encrypted in transit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8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HTTPS at the CDN, load balancer or reverse proxy; TLS from API to database (</w:t>
            </w:r>
            <w:r>
              <w:rPr>
                <w:rFonts w:eastAsia="Consolas" w:cs="Consolas" w:ascii="Consolas" w:hAnsi="Consolas"/>
                <w:color w:val="101820"/>
                <w:kern w:val="0"/>
                <w:sz w:val="14"/>
                <w:szCs w:val="24"/>
                <w:lang w:val="en-US" w:eastAsia="ja-JP" w:bidi="ar-SA"/>
              </w:rPr>
              <w:t>sslmode=require</w:t>
            </w:r>
            <w:r>
              <w:rPr>
                <w:rFonts w:eastAsia="Segoe UI" w:cs="Segoe UI" w:ascii="Segoe UI" w:hAnsi="Segoe UI"/>
                <w:color w:val="101820"/>
                <w:kern w:val="0"/>
                <w:sz w:val="16"/>
                <w:szCs w:val="24"/>
                <w:lang w:val="en-US" w:eastAsia="ja-JP" w:bidi="ar-SA"/>
              </w:rPr>
              <w:t>); STARTTLS to SMTP. Minimum TLS version at the edge: TLS 1.2 recommended [to confirm in the hosting runbook]</w:t>
            </w:r>
          </w:p>
        </w:tc>
        <w:tc>
          <w:tcPr>
            <w:tcW w:w="2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Encryption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CRY-02</w:t>
            </w:r>
          </w:p>
        </w:tc>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data encrypted at rest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8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Storage encryption of database, file store and backups with the provider's key service in hosted options; recommended in every option. Application-level encryption only for two-step secrets</w:t>
            </w:r>
          </w:p>
        </w:tc>
        <w:tc>
          <w:tcPr>
            <w:tcW w:w="2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Security; AIS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CRY-03</w:t>
            </w:r>
          </w:p>
        </w:tc>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Which algorithms are used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8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bcrypt for passwords; AES-256-GCM for TOTP secrets; HMAC-SHA256 for file links, reset codes and webhooks; JWT limited to HS256</w:t>
            </w:r>
          </w:p>
        </w:tc>
        <w:tc>
          <w:tcPr>
            <w:tcW w:w="2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OWASP table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CRY-04</w:t>
            </w:r>
          </w:p>
        </w:tc>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keys and secrets managed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8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Secrets only in the environment or a secret store, never in the repository; separate per environment; production start refuses missing, short or placeholder secrets; sealed escrow copy of </w:t>
            </w:r>
            <w:r>
              <w:rPr>
                <w:rFonts w:eastAsia="Consolas" w:cs="Consolas" w:ascii="Consolas" w:hAnsi="Consolas"/>
                <w:color w:val="101820"/>
                <w:kern w:val="0"/>
                <w:sz w:val="14"/>
                <w:szCs w:val="24"/>
                <w:lang w:val="en-US" w:eastAsia="ja-JP" w:bidi="ar-SA"/>
              </w:rPr>
              <w:t>DATA_ENCRYPTION_KEY</w:t>
            </w:r>
            <w:r>
              <w:rPr>
                <w:rFonts w:eastAsia="Segoe UI" w:cs="Segoe UI" w:ascii="Segoe UI" w:hAnsi="Segoe UI"/>
                <w:color w:val="101820"/>
                <w:kern w:val="0"/>
                <w:sz w:val="16"/>
                <w:szCs w:val="24"/>
                <w:lang w:val="en-US" w:eastAsia="ja-JP" w:bidi="ar-SA"/>
              </w:rPr>
              <w:t xml:space="preserve"> under dual control</w:t>
            </w:r>
          </w:p>
        </w:tc>
        <w:tc>
          <w:tcPr>
            <w:tcW w:w="2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Environment configuration; 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CRY-05</w:t>
            </w:r>
          </w:p>
        </w:tc>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Who holds the encryption keys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8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the provider's key service under the hosting account [to confirm whether the account is the broker's or iorta TechNXT's for each option]. Broker-hosted: the broker</w:t>
            </w:r>
          </w:p>
        </w:tc>
        <w:tc>
          <w:tcPr>
            <w:tcW w:w="2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AIS, Cross-border transfer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CRY-06</w:t>
            </w:r>
          </w:p>
        </w:tc>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keys be rotated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8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JWT_SECRET</w:t>
            </w:r>
            <w:r>
              <w:rPr>
                <w:rFonts w:eastAsia="Segoe UI" w:cs="Segoe UI" w:ascii="Segoe UI" w:hAnsi="Segoe UI"/>
                <w:color w:val="101820"/>
                <w:kern w:val="0"/>
                <w:sz w:val="16"/>
                <w:szCs w:val="24"/>
                <w:lang w:val="en-US" w:eastAsia="ja-JP" w:bidi="ar-SA"/>
              </w:rPr>
              <w:t xml:space="preserve"> rotation signs everyone out and voids file links. </w:t>
            </w:r>
            <w:r>
              <w:rPr>
                <w:rFonts w:eastAsia="Consolas" w:cs="Consolas" w:ascii="Consolas" w:hAnsi="Consolas"/>
                <w:color w:val="101820"/>
                <w:kern w:val="0"/>
                <w:sz w:val="14"/>
                <w:szCs w:val="24"/>
                <w:lang w:val="en-US" w:eastAsia="ja-JP" w:bidi="ar-SA"/>
              </w:rPr>
              <w:t>DATA_ENCRYPTION_KEY</w:t>
            </w:r>
            <w:r>
              <w:rPr>
                <w:rFonts w:eastAsia="Segoe UI" w:cs="Segoe UI" w:ascii="Segoe UI" w:hAnsi="Segoe UI"/>
                <w:color w:val="101820"/>
                <w:kern w:val="0"/>
                <w:sz w:val="16"/>
                <w:szCs w:val="24"/>
                <w:lang w:val="en-US" w:eastAsia="ja-JP" w:bidi="ar-SA"/>
              </w:rPr>
              <w:t xml:space="preserve"> rotation requires users with two-step verification to enrol again; planned with the restore impact in mind</w:t>
            </w:r>
          </w:p>
        </w:tc>
        <w:tc>
          <w:tcPr>
            <w:tcW w:w="2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Security incidents; TR</w:t>
            </w:r>
          </w:p>
        </w:tc>
      </w:tr>
    </w:tbl>
    <w:p>
      <w:pPr>
        <w:pStyle w:val="Heading1"/>
        <w:rPr/>
      </w:pPr>
      <w:r>
        <w:br w:type="page"/>
      </w:r>
      <w:bookmarkStart w:id="15" w:name="__RefHeading___Toc79951_3199679052"/>
      <w:bookmarkEnd w:id="15"/>
      <w:r>
        <w:rPr>
          <w:rFonts w:eastAsia="Segoe UI" w:cs="Segoe UI" w:ascii="Segoe UI" w:hAnsi="Segoe UI"/>
          <w:b/>
          <w:color w:val="0F4761"/>
          <w:sz w:val="32"/>
        </w:rPr>
        <w:t>9.  Application and infrastructure security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06"/>
        <w:gridCol w:w="1123"/>
        <w:gridCol w:w="2619"/>
        <w:gridCol w:w="186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APP-01</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 application tested against the OWASP Top 10</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Controls mapped to each OWASP Top 10 (2021) risk with the code location</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OWASP mapping; AIS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APP-02</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is SQL injection prevented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Parameterised SQL only; 953 SQL statements reviewed on 03 October 2026; dynamic identifiers only from allow-lists in code</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SQL injection prevention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APP-03</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input validated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zod schemas on bodies and queries; JSON body limit 2 MB; list pages capped at 500 rows</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Input validation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APP-04</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Which HTTP security headers are set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helmet 8 defaults on every response (including Strict-Transport-Security, Content-Security-Policy, X-Content-Type-Options, X-Frame-Options), </w:t>
            </w:r>
            <w:r>
              <w:rPr>
                <w:rFonts w:eastAsia="Consolas" w:cs="Consolas" w:ascii="Consolas" w:hAnsi="Consolas"/>
                <w:color w:val="101820"/>
                <w:kern w:val="0"/>
                <w:sz w:val="14"/>
                <w:szCs w:val="24"/>
                <w:lang w:val="en-US" w:eastAsia="ja-JP" w:bidi="ar-SA"/>
              </w:rPr>
              <w:t>x-powered-by</w:t>
            </w:r>
            <w:r>
              <w:rPr>
                <w:rFonts w:eastAsia="Segoe UI" w:cs="Segoe UI" w:ascii="Segoe UI" w:hAnsi="Segoe UI"/>
                <w:color w:val="101820"/>
                <w:kern w:val="0"/>
                <w:sz w:val="16"/>
                <w:szCs w:val="24"/>
                <w:lang w:val="en-US" w:eastAsia="ja-JP" w:bidi="ar-SA"/>
              </w:rPr>
              <w:t xml:space="preserve"> off, CORS limited to </w:t>
            </w:r>
            <w:r>
              <w:rPr>
                <w:rFonts w:eastAsia="Consolas" w:cs="Consolas" w:ascii="Consolas" w:hAnsi="Consolas"/>
                <w:color w:val="101820"/>
                <w:kern w:val="0"/>
                <w:sz w:val="14"/>
                <w:szCs w:val="24"/>
                <w:lang w:val="en-US" w:eastAsia="ja-JP" w:bidi="ar-SA"/>
              </w:rPr>
              <w:t>CORS_ORIGINS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w:t>
            </w:r>
            <w:r>
              <w:rPr>
                <w:rFonts w:eastAsia="Segoe UI" w:cs="Segoe UI" w:ascii="Segoe UI" w:hAnsi="Segoe UI"/>
                <w:color w:val="101820"/>
                <w:kern w:val="0"/>
                <w:sz w:val="16"/>
                <w:szCs w:val="24"/>
                <w:lang w:val="en-US" w:eastAsia="ja-JP" w:bidi="ar-SA"/>
              </w:rPr>
              <w:t xml:space="preserve"> refused in production)</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HTTP headers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APP-05</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API rate limiting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600 requests per 60 seconds per user or IP; 429 with Retry-After. Counted per API instance, so the WAF should also enforce limits</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AIS, Known limitation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APP-06</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file uploads protected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Type decided from the file signature; allowed types only; 10 MB per file, 10 files, 50 MB decompressed; random 128-bit keys; nosniff and sandbox CSP on download. No antivirus scan of uploads in the application [to confirm whether the hosting adds one]</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File uploads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APP-07</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error messages safe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5xx answers a generic message with a request id; no stack traces to clients</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TR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APP-08</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public endpoints limited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 public routes by design: health and version, quotation approval, payment checkout and gateway webhooks; webhooks verified by signature on the raw body, idempotent, with an amount check</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Public endpoints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APP-09</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web application firewall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Included in the hosted design (AWS WAF, Azure Front Door WAF, ModSecurity or appliance for option C); recommended when the broker hosts</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Deployment options; 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APP-10</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 network segmented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Public edge, private application zone, private data zone and management zone, with only the listed traffic allowed</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Network zones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APP-11</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environments separated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UAT, PROD and DR with their own secrets; production starts with reference data only; no production personal data in DEV or UAT without masking</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Environment layout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APP-12</w:t>
            </w:r>
          </w:p>
        </w:tc>
        <w:tc>
          <w:tcPr>
            <w:tcW w:w="2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points for the security review disclosed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Settings readable by every signed-in user (no secrets in settings); file key gives read access to signed-in users; tokens in local storage; per-instance rate limits; two-step roles empty by default</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Points for the security review</w:t>
            </w:r>
          </w:p>
        </w:tc>
      </w:tr>
    </w:tbl>
    <w:p>
      <w:pPr>
        <w:pStyle w:val="Heading1"/>
        <w:rPr/>
      </w:pPr>
      <w:r>
        <w:br w:type="page"/>
      </w:r>
      <w:bookmarkStart w:id="16" w:name="__RefHeading___Toc79953_3199679052"/>
      <w:bookmarkEnd w:id="16"/>
      <w:r>
        <w:rPr>
          <w:rFonts w:eastAsia="Segoe UI" w:cs="Segoe UI" w:ascii="Segoe UI" w:hAnsi="Segoe UI"/>
          <w:b/>
          <w:color w:val="0F4761"/>
          <w:sz w:val="32"/>
        </w:rPr>
        <w:t>10.  Logging and monitoring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473"/>
        <w:gridCol w:w="1122"/>
        <w:gridCol w:w="2795"/>
        <w:gridCol w:w="171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4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7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7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LOG-01</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an audit trail of business changes</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audit_log</w:t>
            </w:r>
            <w:r>
              <w:rPr>
                <w:rFonts w:eastAsia="Segoe UI" w:cs="Segoe UI" w:ascii="Segoe UI" w:hAnsi="Segoe UI"/>
                <w:color w:val="101820"/>
                <w:kern w:val="0"/>
                <w:sz w:val="16"/>
                <w:szCs w:val="24"/>
                <w:lang w:val="en-US" w:eastAsia="ja-JP" w:bidi="ar-SA"/>
              </w:rPr>
              <w:t xml:space="preserve"> with user, entity, record, action, before and after values, IP and time, written by every change; Master &gt; Audit Trail filters by entity, record, user and date</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Audit trail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LOG-02</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long is the audit trail kept</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Kept by default (setting 0); if a period is set it can never be shorter than 2,557 days (seven years)</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Archival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LOG-03</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sign-in events logged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Every attempt in </w:t>
            </w:r>
            <w:r>
              <w:rPr>
                <w:rFonts w:eastAsia="Consolas" w:cs="Consolas" w:ascii="Consolas" w:hAnsi="Consolas"/>
                <w:color w:val="101820"/>
                <w:kern w:val="0"/>
                <w:sz w:val="14"/>
                <w:szCs w:val="24"/>
                <w:lang w:val="en-US" w:eastAsia="ja-JP" w:bidi="ar-SA"/>
              </w:rPr>
              <w:t>login_history</w:t>
            </w:r>
            <w:r>
              <w:rPr>
                <w:rFonts w:eastAsia="Segoe UI" w:cs="Segoe UI" w:ascii="Segoe UI" w:hAnsi="Segoe UI"/>
                <w:color w:val="101820"/>
                <w:kern w:val="0"/>
                <w:sz w:val="16"/>
                <w:szCs w:val="24"/>
                <w:lang w:val="en-US" w:eastAsia="ja-JP" w:bidi="ar-SA"/>
              </w:rPr>
              <w:t xml:space="preserve"> with result, reason, IP and user agent; kept 365 days by default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Audit and sign-in logging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LOG-04</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payment notifications logged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Every gateway notification in </w:t>
            </w:r>
            <w:r>
              <w:rPr>
                <w:rFonts w:eastAsia="Consolas" w:cs="Consolas" w:ascii="Consolas" w:hAnsi="Consolas"/>
                <w:color w:val="101820"/>
                <w:kern w:val="0"/>
                <w:sz w:val="14"/>
                <w:szCs w:val="24"/>
                <w:lang w:val="en-US" w:eastAsia="ja-JP" w:bidi="ar-SA"/>
              </w:rPr>
              <w:t>payment_events</w:t>
            </w:r>
            <w:r>
              <w:rPr>
                <w:rFonts w:eastAsia="Segoe UI" w:cs="Segoe UI" w:ascii="Segoe UI" w:hAnsi="Segoe UI"/>
                <w:color w:val="101820"/>
                <w:kern w:val="0"/>
                <w:sz w:val="16"/>
                <w:szCs w:val="24"/>
                <w:lang w:val="en-US" w:eastAsia="ja-JP" w:bidi="ar-SA"/>
              </w:rPr>
              <w:t xml:space="preserve"> with its signature result</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Audit trail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LOG-05</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secrets kept out of logs</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JSON logs with request id; authorization headers, passwords, tokens and signatures redacted; tested (BV-SEC-030)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TSR; AIS, Monitoring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LOG-06</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the audit trail be altered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Written by the application only; no screen edits or deletes it. Database administrators could alter it; recommended: ship logs to write-once central storage for at least one year [to confirm in the hosting runbook]</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Audit trail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LOG-07</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security monitoring and alerting</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health checks every 5 minutes and alarms on errors, response time, capacity, jobs, failed sign-ins, token reuse, backups and certificate expiry. The deployment package itself holds no monitoring configuration</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ARCH 11; PSS, Monitoring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LOG-08</w:t>
            </w:r>
          </w:p>
        </w:tc>
        <w:tc>
          <w:tcPr>
            <w:tcW w:w="24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clocks synchronised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Application and database in Asia/Manila; cloud and managed services use provider time sync; option C uses NTP [to confirm for the partner]</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Common building blocks</w:t>
            </w:r>
          </w:p>
        </w:tc>
      </w:tr>
    </w:tbl>
    <w:p>
      <w:pPr>
        <w:pStyle w:val="Heading1"/>
        <w:rPr/>
      </w:pPr>
      <w:r>
        <w:br w:type="page"/>
      </w:r>
      <w:bookmarkStart w:id="17" w:name="__RefHeading___Toc79955_3199679052"/>
      <w:bookmarkEnd w:id="17"/>
      <w:r>
        <w:rPr>
          <w:rFonts w:eastAsia="Segoe UI" w:cs="Segoe UI" w:ascii="Segoe UI" w:hAnsi="Segoe UI"/>
          <w:b/>
          <w:color w:val="0F4761"/>
          <w:sz w:val="32"/>
        </w:rPr>
        <w:t>11.  Vulnerability and patch management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64"/>
        <w:gridCol w:w="1123"/>
        <w:gridCol w:w="2399"/>
        <w:gridCol w:w="22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3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3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22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VUL-01</w:t>
            </w:r>
          </w:p>
        </w:tc>
        <w:tc>
          <w:tcPr>
            <w:tcW w:w="23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third-party components checked for vulnerabilities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audit of runtime dependencies: backend 0 vulnerabilities; front end 2 moderate findings in react-router (BV-DEF-001), upgrade in the next minor release. Automated scanning in CI not yet in place</w:t>
            </w:r>
          </w:p>
        </w:tc>
        <w:tc>
          <w:tcPr>
            <w:tcW w:w="22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TSR, BV-DEF-001; AIS, Vulnerability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VUL-02</w:t>
            </w:r>
          </w:p>
        </w:tc>
        <w:tc>
          <w:tcPr>
            <w:tcW w:w="23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are the patching timelines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Critical security patches within 14 days and high within 30 days; operating system, PostgreSQL and nginx monthly</w:t>
            </w:r>
          </w:p>
        </w:tc>
        <w:tc>
          <w:tcPr>
            <w:tcW w:w="22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Annex 2; HSA; AIS; PSS, Patching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VUL-03</w:t>
            </w:r>
          </w:p>
        </w:tc>
        <w:tc>
          <w:tcPr>
            <w:tcW w:w="23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Has a penetration test been performed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2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external penetration test yet. An independent test is recommended before go-live and committed yearly in the DPA; the summary is shared with the broker</w:t>
            </w:r>
          </w:p>
        </w:tc>
        <w:tc>
          <w:tcPr>
            <w:tcW w:w="22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TSR, Security testing; DPA, Audits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VUL-04</w:t>
            </w:r>
          </w:p>
        </w:tc>
        <w:tc>
          <w:tcPr>
            <w:tcW w:w="23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internal security testing was done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Authentication on every endpoint, tokens, password policy, lockout, two-step verification, role probes, injection probes, document links, headers, secrets in logs, dependency audit</w:t>
            </w:r>
          </w:p>
        </w:tc>
        <w:tc>
          <w:tcPr>
            <w:tcW w:w="22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TSR, Security testing performed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VUL-05</w:t>
            </w:r>
          </w:p>
        </w:tc>
        <w:tc>
          <w:tcPr>
            <w:tcW w:w="23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base images and the runtime current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node:22-alpine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nginx:1.27-alpine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postgres:16-alpine</w:t>
            </w:r>
            <w:r>
              <w:rPr>
                <w:rFonts w:eastAsia="Segoe UI" w:cs="Segoe UI" w:ascii="Segoe UI" w:hAnsi="Segoe UI"/>
                <w:color w:val="101820"/>
                <w:kern w:val="0"/>
                <w:sz w:val="16"/>
                <w:szCs w:val="24"/>
                <w:lang w:val="en-US" w:eastAsia="ja-JP" w:bidi="ar-SA"/>
              </w:rPr>
              <w:t>; rebuilt with each release and at least quarterly</w:t>
            </w:r>
          </w:p>
        </w:tc>
        <w:tc>
          <w:tcPr>
            <w:tcW w:w="22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PSS, Patching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VUL-06</w:t>
            </w:r>
          </w:p>
        </w:tc>
        <w:tc>
          <w:tcPr>
            <w:tcW w:w="23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unsupported components in use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Create React App (react-scripts 5.0.1) is no longer maintained; most front-end advisories are build-time only; move to Vite planned</w:t>
            </w:r>
          </w:p>
        </w:tc>
        <w:tc>
          <w:tcPr>
            <w:tcW w:w="22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Vulnerability management</w:t>
            </w:r>
          </w:p>
        </w:tc>
      </w:tr>
    </w:tbl>
    <w:p>
      <w:pPr>
        <w:pStyle w:val="Heading1"/>
        <w:rPr/>
      </w:pPr>
      <w:r>
        <w:br w:type="page"/>
      </w:r>
      <w:bookmarkStart w:id="18" w:name="__RefHeading___Toc79957_3199679052"/>
      <w:bookmarkEnd w:id="18"/>
      <w:r>
        <w:rPr>
          <w:rFonts w:eastAsia="Segoe UI" w:cs="Segoe UI" w:ascii="Segoe UI" w:hAnsi="Segoe UI"/>
          <w:b/>
          <w:color w:val="0F4761"/>
          <w:sz w:val="32"/>
        </w:rPr>
        <w:t>12.  Secure development and change management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270"/>
        <w:gridCol w:w="1124"/>
        <w:gridCol w:w="2736"/>
        <w:gridCol w:w="197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2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7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9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SDL-01</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defined SDLC with code review</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Pull requests run CI (lint, backend tests against PostgreSQL 16, front-end tests). Branch protection with required reviews is recommended and not yet enforced</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Secure development lifecycle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SDL-02</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automated tests exist</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634 backend business-rule tests (03 October 2026), 43 front-end tests, a 371-step end-to-end UAT cycle with one user per role</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TSR, Approach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SDL-03</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 deployments run the tests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Gap: the deploy workflow does not run lint and tests on push; tests run on pull requests only. Remedy: restore test jobs as a dependency of deployment</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CI/CD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SDL-04</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coding standards documented</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Naming, route registry, zod validation, error envelope, parameterised SQL, audit, settings, logging, lint rules (</w:t>
            </w:r>
            <w:r>
              <w:rPr>
                <w:rFonts w:eastAsia="Consolas" w:cs="Consolas" w:ascii="Consolas" w:hAnsi="Consolas"/>
                <w:color w:val="101820"/>
                <w:kern w:val="0"/>
                <w:sz w:val="14"/>
                <w:szCs w:val="24"/>
                <w:lang w:val="en-US" w:eastAsia="ja-JP" w:bidi="ar-SA"/>
              </w:rPr>
              <w:t>no-console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eqeqeq</w:t>
            </w:r>
            <w:r>
              <w:rPr>
                <w:rFonts w:eastAsia="Segoe UI" w:cs="Segoe UI" w:ascii="Segoe UI" w:hAnsi="Segoe UI"/>
                <w:color w:val="101820"/>
                <w:kern w:val="0"/>
                <w:sz w:val="16"/>
                <w:szCs w:val="24"/>
                <w:lang w:val="en-US" w:eastAsia="ja-JP" w:bidi="ar-SA"/>
              </w:rPr>
              <w:t>)</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Coding standards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SDL-05</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secrets kept out of source code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No secret in the repository; </w:t>
            </w:r>
            <w:r>
              <w:rPr>
                <w:rFonts w:eastAsia="Consolas" w:cs="Consolas" w:ascii="Consolas" w:hAnsi="Consolas"/>
                <w:color w:val="101820"/>
                <w:kern w:val="0"/>
                <w:sz w:val="14"/>
                <w:szCs w:val="24"/>
                <w:lang w:val="en-US" w:eastAsia="ja-JP" w:bidi="ar-SA"/>
              </w:rPr>
              <w:t>.env.example</w:t>
            </w:r>
            <w:r>
              <w:rPr>
                <w:rFonts w:eastAsia="Segoe UI" w:cs="Segoe UI" w:ascii="Segoe UI" w:hAnsi="Segoe UI"/>
                <w:color w:val="101820"/>
                <w:kern w:val="0"/>
                <w:sz w:val="16"/>
                <w:szCs w:val="24"/>
                <w:lang w:val="en-US" w:eastAsia="ja-JP" w:bidi="ar-SA"/>
              </w:rPr>
              <w:t xml:space="preserve"> files carry placeholders that production refuses</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 Encryption and secrets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SDL-06</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database changes controlled</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Numbered migrations that only add, applied in transactions under an advisory lock and recorded; snapshot before each release with migrations</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Database migrations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SDL-07</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are production changes approved</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CAB approval with test evidence; UAT scripts by the broker; maintenance window announced 5 business days ahead; rollback plan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Change and release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SDL-08</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an inventory of APIs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export:api</w:t>
            </w:r>
            <w:r>
              <w:rPr>
                <w:rFonts w:eastAsia="Segoe UI" w:cs="Segoe UI" w:ascii="Segoe UI" w:hAnsi="Segoe UI"/>
                <w:color w:val="101820"/>
                <w:kern w:val="0"/>
                <w:sz w:val="16"/>
                <w:szCs w:val="24"/>
                <w:lang w:val="en-US" w:eastAsia="ja-JP" w:bidi="ar-SA"/>
              </w:rPr>
              <w:t xml:space="preserve"> writes OpenAPI, Postman and Excel lists of every route with its permission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TR, API catalogue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SDL-09</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developers trained in secure coding</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7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 confirm: training programme]</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ing1"/>
        <w:rPr/>
      </w:pPr>
      <w:r>
        <w:br w:type="page"/>
      </w:r>
      <w:bookmarkStart w:id="19" w:name="__RefHeading___Toc79959_3199679052"/>
      <w:bookmarkEnd w:id="19"/>
      <w:r>
        <w:rPr>
          <w:rFonts w:eastAsia="Segoe UI" w:cs="Segoe UI" w:ascii="Segoe UI" w:hAnsi="Segoe UI"/>
          <w:b/>
          <w:color w:val="0F4761"/>
          <w:sz w:val="32"/>
        </w:rPr>
        <w:t>13.  Backup, continuity and disaster recovery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83"/>
        <w:gridCol w:w="1123"/>
        <w:gridCol w:w="2609"/>
        <w:gridCol w:w="179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5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6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7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BCP-01</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is data backed up</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automated database backups with PITR (35 days), daily snapshots, monthly copies to a second region or site, monthly logical dump to write-once storage, daily file store backup, snapshot before releases and year-end</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Backups; BCDR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BCP-02</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backups encrypted and kept off-site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Encrypted snapshots; cross-region or second-site copies; write-once storage for monthly dumps</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Backup; BCDR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BCP-03</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are the RTO and RPO</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Proposed: database restore RPO 15 minutes, RTO 4 hours; in-region failure RPO 0, RTO 15 minutes; region or site loss RPO and RTO 24 hours (8 hours with warm standby). Binding once accepted in the Order Form and provisioned</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BCDR; HSA, Recovery objectives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BCP-04</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restores tested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backup check; PITR restore quarterly and before go-live; dump restore twice a year; secret escrow yearly; results in the monthly service report</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Backup verification; 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BCP-05</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DR plan and is it exercised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Business Continuity and Disaster Recovery Plan; tabletop yearly, full recovery every two years</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BCDR; 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BCP-06</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a DR environment included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Included for the Enterprise size; optional for other sizes (Order Form). Without it, recovery after a region loss is from cross-region backups</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Recovery objectives; BCDR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BCP-07</w:t>
            </w:r>
          </w:p>
        </w:tc>
        <w:tc>
          <w:tcPr>
            <w:tcW w:w="2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provider have its own business continuity plan for the support team</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Support continuity measures are in BCDR (key person, knowledge base, escrow). iorta TechNXT corporate BCP: [to confirm]</w:t>
            </w:r>
          </w:p>
        </w:tc>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BCDR, Scenarios</w:t>
            </w:r>
          </w:p>
        </w:tc>
      </w:tr>
    </w:tbl>
    <w:p>
      <w:pPr>
        <w:pStyle w:val="Heading1"/>
        <w:rPr/>
      </w:pPr>
      <w:r>
        <w:br w:type="page"/>
      </w:r>
      <w:bookmarkStart w:id="20" w:name="__RefHeading___Toc79961_3199679052"/>
      <w:bookmarkEnd w:id="20"/>
      <w:r>
        <w:rPr>
          <w:rFonts w:eastAsia="Segoe UI" w:cs="Segoe UI" w:ascii="Segoe UI" w:hAnsi="Segoe UI"/>
          <w:b/>
          <w:color w:val="0F4761"/>
          <w:sz w:val="32"/>
        </w:rPr>
        <w:t>14.  Incident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33"/>
        <w:gridCol w:w="1123"/>
        <w:gridCol w:w="2742"/>
        <w:gridCol w:w="171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5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7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7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INC-01</w:t>
            </w:r>
          </w:p>
        </w:tc>
        <w:tc>
          <w:tcPr>
            <w:tcW w:w="2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a documented incident response process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Suspected security incidents are P1: contain, preserve evidence, assess, recover, report and learn</w:t>
            </w:r>
          </w:p>
        </w:tc>
        <w:tc>
          <w:tcPr>
            <w:tcW w:w="17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Security incidents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INC-02</w:t>
            </w:r>
          </w:p>
        </w:tc>
        <w:tc>
          <w:tcPr>
            <w:tcW w:w="2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 fast is the broker informed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 first response in 30 minutes; personal data breach notice within [24] hours of discovery</w:t>
            </w:r>
          </w:p>
        </w:tc>
        <w:tc>
          <w:tcPr>
            <w:tcW w:w="17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SLA; DPA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INC-03</w:t>
            </w:r>
          </w:p>
        </w:tc>
        <w:tc>
          <w:tcPr>
            <w:tcW w:w="2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evidence is kept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Logs, </w:t>
            </w:r>
            <w:r>
              <w:rPr>
                <w:rFonts w:eastAsia="Consolas" w:cs="Consolas" w:ascii="Consolas" w:hAnsi="Consolas"/>
                <w:color w:val="101820"/>
                <w:kern w:val="0"/>
                <w:sz w:val="14"/>
                <w:szCs w:val="24"/>
                <w:lang w:val="en-US" w:eastAsia="ja-JP" w:bidi="ar-SA"/>
              </w:rPr>
              <w:t>login_history</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audit_log</w:t>
            </w:r>
            <w:r>
              <w:rPr>
                <w:rFonts w:eastAsia="Segoe UI" w:cs="Segoe UI" w:ascii="Segoe UI" w:hAnsi="Segoe UI"/>
                <w:color w:val="101820"/>
                <w:kern w:val="0"/>
                <w:sz w:val="16"/>
                <w:szCs w:val="24"/>
                <w:lang w:val="en-US" w:eastAsia="ja-JP" w:bidi="ar-SA"/>
              </w:rPr>
              <w:t>, monitoring data and a database snapshot</w:t>
            </w:r>
          </w:p>
        </w:tc>
        <w:tc>
          <w:tcPr>
            <w:tcW w:w="17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Containment and 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INC-04</w:t>
            </w:r>
          </w:p>
        </w:tc>
        <w:tc>
          <w:tcPr>
            <w:tcW w:w="2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there root-cause analysis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Written RCA for every P1 and every problem record, draft to the broker within 5 business days of restore; known-error records in the knowledge base</w:t>
            </w:r>
          </w:p>
        </w:tc>
        <w:tc>
          <w:tcPr>
            <w:tcW w:w="17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Root-cause analysis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INC-05</w:t>
            </w:r>
          </w:p>
        </w:tc>
        <w:tc>
          <w:tcPr>
            <w:tcW w:w="2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Who notifies the NPC</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w:t>
            </w:r>
          </w:p>
        </w:tc>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broker's DPO decides and notifies within 72 hours where required; iorta TechNXT supplies the facts</w:t>
            </w:r>
          </w:p>
        </w:tc>
        <w:tc>
          <w:tcPr>
            <w:tcW w:w="17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PSS</w:t>
            </w:r>
          </w:p>
        </w:tc>
      </w:tr>
    </w:tbl>
    <w:p>
      <w:pPr>
        <w:pStyle w:val="Heading1"/>
        <w:rPr/>
      </w:pPr>
      <w:r>
        <w:br w:type="page"/>
      </w:r>
      <w:bookmarkStart w:id="21" w:name="__RefHeading___Toc79963_3199679052"/>
      <w:bookmarkEnd w:id="21"/>
      <w:r>
        <w:rPr>
          <w:rFonts w:eastAsia="Segoe UI" w:cs="Segoe UI" w:ascii="Segoe UI" w:hAnsi="Segoe UI"/>
          <w:b/>
          <w:color w:val="0F4761"/>
          <w:sz w:val="32"/>
        </w:rPr>
        <w:t>15.  Subcontractors, hosting and data residency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612"/>
        <w:gridCol w:w="1123"/>
        <w:gridCol w:w="2644"/>
        <w:gridCol w:w="173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6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SUB-01</w:t>
            </w:r>
          </w:p>
        </w:tc>
        <w:tc>
          <w:tcPr>
            <w:tcW w:w="2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Which hosting options are offered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AWS ap-southeast-1 (Singapore); B: Azure Southeast Asia (Singapore); C: Philippine hosting partner; or hosting by the broker</w:t>
            </w:r>
          </w:p>
        </w:tc>
        <w:tc>
          <w:tcPr>
            <w:tcW w:w="1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Deployment options; HSA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SUB-02</w:t>
            </w:r>
          </w:p>
        </w:tc>
        <w:tc>
          <w:tcPr>
            <w:tcW w:w="2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the data stay in the Philippines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 C or broker hosting keeps data, backups and the off-site copy in the Philippines</w:t>
            </w:r>
          </w:p>
        </w:tc>
        <w:tc>
          <w:tcPr>
            <w:tcW w:w="1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Data location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SUB-03</w:t>
            </w:r>
          </w:p>
        </w:tc>
        <w:tc>
          <w:tcPr>
            <w:tcW w:w="2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Who is the Philippine hosting partner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 confirm: partner name, data centre city, certifications]</w:t>
            </w:r>
          </w:p>
        </w:tc>
        <w:tc>
          <w:tcPr>
            <w:tcW w:w="1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HSA; DPA, Annex 3</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SUB-04</w:t>
            </w:r>
          </w:p>
        </w:tc>
        <w:tc>
          <w:tcPr>
            <w:tcW w:w="2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subcontractors bound to equivalent obligations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By written contract with obligations no less protective than the DPA; iorta TechNXT remains responsible</w:t>
            </w:r>
          </w:p>
        </w:tc>
        <w:tc>
          <w:tcPr>
            <w:tcW w:w="1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Sub-processors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SUB-05</w:t>
            </w:r>
          </w:p>
        </w:tc>
        <w:tc>
          <w:tcPr>
            <w:tcW w:w="2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 support provided from outside the Philippines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 confirm: location of L2 and L3 teams and whether they access production data from abroad]. If yes, this is a further transfer the broker documents</w:t>
            </w:r>
          </w:p>
        </w:tc>
        <w:tc>
          <w:tcPr>
            <w:tcW w:w="1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PSS; DPA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SUB-06</w:t>
            </w:r>
          </w:p>
        </w:tc>
        <w:tc>
          <w:tcPr>
            <w:tcW w:w="2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the broker host the system itself</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 with the deployment guide; no hosting fee; set-up support at day rates</w:t>
            </w:r>
          </w:p>
        </w:tc>
        <w:tc>
          <w:tcPr>
            <w:tcW w:w="1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Rate Card</w:t>
            </w:r>
          </w:p>
        </w:tc>
      </w:tr>
    </w:tbl>
    <w:p>
      <w:pPr>
        <w:pStyle w:val="Heading1"/>
        <w:rPr/>
      </w:pPr>
      <w:r>
        <w:br w:type="page"/>
      </w:r>
      <w:bookmarkStart w:id="22" w:name="__RefHeading___Toc79965_3199679052"/>
      <w:bookmarkEnd w:id="22"/>
      <w:r>
        <w:rPr>
          <w:rFonts w:eastAsia="Segoe UI" w:cs="Segoe UI" w:ascii="Segoe UI" w:hAnsi="Segoe UI"/>
          <w:b/>
          <w:color w:val="0F4761"/>
          <w:sz w:val="32"/>
        </w:rPr>
        <w:t>16.  Audit and assurance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850"/>
        <w:gridCol w:w="1123"/>
        <w:gridCol w:w="2995"/>
        <w:gridCol w:w="114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Ref</w:t>
            </w:r>
          </w:p>
        </w:tc>
        <w:tc>
          <w:tcPr>
            <w:tcW w:w="2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Question</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Response</w:t>
            </w:r>
          </w:p>
        </w:tc>
        <w:tc>
          <w:tcPr>
            <w:tcW w:w="29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Answer</w:t>
            </w:r>
          </w:p>
        </w:tc>
        <w:tc>
          <w:tcPr>
            <w:tcW w:w="11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AUD-01</w:t>
            </w:r>
          </w:p>
        </w:tc>
        <w:tc>
          <w:tcPr>
            <w:tcW w:w="2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Does the broker have a right to audit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Once a year on 30 days' notice, by the broker or an approved independent auditor under confidentiality; extra audits after a breach or when the NPC requires</w:t>
            </w:r>
          </w:p>
        </w:tc>
        <w:tc>
          <w:tcPr>
            <w:tcW w:w="11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Audits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AUD-02</w:t>
            </w:r>
          </w:p>
        </w:tc>
        <w:tc>
          <w:tcPr>
            <w:tcW w:w="2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What evidence is provided without an on-site audit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Policies, the penetration test summary, sub-processor certifications, monthly service reports, restore test records</w:t>
            </w:r>
          </w:p>
        </w:tc>
        <w:tc>
          <w:tcPr>
            <w:tcW w:w="11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 Audits; PSS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AUD-03</w:t>
            </w:r>
          </w:p>
        </w:tc>
        <w:tc>
          <w:tcPr>
            <w:tcW w:w="2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regulators audit the provider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2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 under the DPA audit clause. IC: disclosure to the IC is allowed; a direct examination right for the IC: [to confirm in the MSA]</w:t>
            </w:r>
          </w:p>
        </w:tc>
        <w:tc>
          <w:tcPr>
            <w:tcW w:w="11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MSA; DPA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AUD-04</w:t>
            </w:r>
          </w:p>
        </w:tc>
        <w:tc>
          <w:tcPr>
            <w:tcW w:w="2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Are the product's controls documented for the broker's auditors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2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compliance checklist; PRCM; TSR with 497 test cases and traceability to automated tests</w:t>
            </w:r>
          </w:p>
        </w:tc>
        <w:tc>
          <w:tcPr>
            <w:tcW w:w="11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AIS; PRCM; TSR</w:t>
            </w:r>
          </w:p>
        </w:tc>
      </w:tr>
    </w:tbl>
    <w:p>
      <w:pPr>
        <w:pStyle w:val="Heading1"/>
        <w:rPr/>
      </w:pPr>
      <w:r>
        <w:br w:type="page"/>
      </w:r>
      <w:bookmarkStart w:id="23" w:name="__RefHeading___Toc79967_3199679052"/>
      <w:bookmarkEnd w:id="23"/>
      <w:r>
        <w:rPr>
          <w:rFonts w:eastAsia="Segoe UI" w:cs="Segoe UI" w:ascii="Segoe UI" w:hAnsi="Segoe UI"/>
          <w:b/>
          <w:color w:val="0F4761"/>
          <w:sz w:val="32"/>
        </w:rPr>
        <w:t>17.  Open items before release to a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3"/>
        <w:gridCol w:w="404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0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registration details, financial statements, insurance cover (GOV-01, GOV-13, GOV-14)</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Information security policy, security officer, DPO and NPC registration (GOV-03 to GOV-05)</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ISO/IEC 27001 and SOC 2 plan with dates (GOV-06, GOV-07)</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screening and training (GOV-10, GOV-12, SDL-09)</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HR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access list and approval, cloud audit logging, log shipping (ACC-16, ACC-17, LOG-06)</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ownership per hosting option, TLS minimum, antivirus on uploads (CRY-01, CRY-05, APP-06)</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hosting partner and support team location (SUB-03, SUB-05)</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circular numbers and IC examination right (REG-01, REG-03, AUD-03)</w:t>
            </w:r>
          </w:p>
        </w:tc>
        <w:tc>
          <w:tcPr>
            <w:tcW w:w="4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compliance officer with iorta TechNXT legal</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24" w:name="__RefHeading___Toc79969_3199679052"/>
      <w:bookmarkStart w:id="25" w:name="_Toc233203395"/>
      <w:bookmarkEnd w:id="24"/>
      <w:r>
        <w:rPr>
          <w:rStyle w:val="BookTitle"/>
          <w:bCs w:val="false"/>
          <w:i w:val="false"/>
          <w:iCs w:val="false"/>
          <w:spacing w:val="0"/>
        </w:rPr>
        <w:t>18.  Document Sign-Off</w:t>
      </w:r>
      <w:bookmarkEnd w:id="2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Answers marked [to confirm] need a signed-off answer from iorta TechNXT management before the questionnaire is released to a broker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