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4822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4824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4826_3199679052">
            <w:r>
              <w:rPr>
                <w:webHidden/>
                <w:rStyle w:val="IndexLink"/>
              </w:rPr>
              <w:t>3. Introduction</w:t>
              <w:tab/>
              <w:t>5</w:t>
            </w:r>
          </w:hyperlink>
        </w:p>
        <w:p>
          <w:pPr>
            <w:pStyle w:val="TOC2"/>
            <w:tabs>
              <w:tab w:val="clear" w:pos="900"/>
              <w:tab w:val="clear" w:pos="9350"/>
              <w:tab w:val="right" w:pos="9025" w:leader="dot"/>
            </w:tabs>
            <w:rPr/>
          </w:pPr>
          <w:hyperlink w:anchor="__RefHeading___Toc84828_3199679052">
            <w:r>
              <w:rPr>
                <w:webHidden/>
                <w:rStyle w:val="IndexLink"/>
              </w:rPr>
              <w:t>3.1 Purpose</w:t>
              <w:tab/>
              <w:t>5</w:t>
            </w:r>
          </w:hyperlink>
        </w:p>
        <w:p>
          <w:pPr>
            <w:pStyle w:val="TOC2"/>
            <w:tabs>
              <w:tab w:val="clear" w:pos="900"/>
              <w:tab w:val="clear" w:pos="9350"/>
              <w:tab w:val="right" w:pos="9025" w:leader="dot"/>
            </w:tabs>
            <w:rPr/>
          </w:pPr>
          <w:hyperlink w:anchor="__RefHeading___Toc84830_3199679052">
            <w:r>
              <w:rPr>
                <w:webHidden/>
                <w:rStyle w:val="IndexLink"/>
              </w:rPr>
              <w:t>3.2 Audience</w:t>
              <w:tab/>
              <w:t>5</w:t>
            </w:r>
          </w:hyperlink>
        </w:p>
        <w:p>
          <w:pPr>
            <w:pStyle w:val="TOC2"/>
            <w:tabs>
              <w:tab w:val="clear" w:pos="900"/>
              <w:tab w:val="clear" w:pos="9350"/>
              <w:tab w:val="right" w:pos="9025" w:leader="dot"/>
            </w:tabs>
            <w:rPr/>
          </w:pPr>
          <w:hyperlink w:anchor="__RefHeading___Toc84832_3199679052">
            <w:r>
              <w:rPr>
                <w:webHidden/>
                <w:rStyle w:val="IndexLink"/>
              </w:rPr>
              <w:t>3.3 Related documents</w:t>
              <w:tab/>
              <w:t>5</w:t>
            </w:r>
          </w:hyperlink>
        </w:p>
        <w:p>
          <w:pPr>
            <w:pStyle w:val="TOC1"/>
            <w:tabs>
              <w:tab w:val="clear" w:pos="900"/>
              <w:tab w:val="clear" w:pos="9350"/>
              <w:tab w:val="right" w:pos="9025" w:leader="dot"/>
            </w:tabs>
            <w:rPr/>
          </w:pPr>
          <w:hyperlink w:anchor="__RefHeading___Toc84834_3199679052">
            <w:r>
              <w:rPr>
                <w:webHidden/>
                <w:rStyle w:val="IndexLink"/>
              </w:rPr>
              <w:t>4. Implementation approach</w:t>
              <w:tab/>
              <w:t>6</w:t>
            </w:r>
          </w:hyperlink>
        </w:p>
        <w:p>
          <w:pPr>
            <w:pStyle w:val="TOC2"/>
            <w:tabs>
              <w:tab w:val="clear" w:pos="900"/>
              <w:tab w:val="clear" w:pos="9350"/>
              <w:tab w:val="right" w:pos="9025" w:leader="dot"/>
            </w:tabs>
            <w:rPr/>
          </w:pPr>
          <w:hyperlink w:anchor="__RefHeading___Toc84836_3199679052">
            <w:r>
              <w:rPr>
                <w:webHidden/>
                <w:rStyle w:val="IndexLink"/>
              </w:rPr>
              <w:t>4.1 Configure, do not customise</w:t>
              <w:tab/>
              <w:t>6</w:t>
            </w:r>
          </w:hyperlink>
        </w:p>
        <w:p>
          <w:pPr>
            <w:pStyle w:val="TOC2"/>
            <w:tabs>
              <w:tab w:val="clear" w:pos="900"/>
              <w:tab w:val="clear" w:pos="9350"/>
              <w:tab w:val="right" w:pos="9025" w:leader="dot"/>
            </w:tabs>
            <w:rPr/>
          </w:pPr>
          <w:hyperlink w:anchor="__RefHeading___Toc84838_3199679052">
            <w:r>
              <w:rPr>
                <w:webHidden/>
                <w:rStyle w:val="IndexLink"/>
              </w:rPr>
              <w:t>4.2 Principles</w:t>
              <w:tab/>
              <w:t>6</w:t>
            </w:r>
          </w:hyperlink>
        </w:p>
        <w:p>
          <w:pPr>
            <w:pStyle w:val="TOC2"/>
            <w:tabs>
              <w:tab w:val="clear" w:pos="900"/>
              <w:tab w:val="clear" w:pos="9350"/>
              <w:tab w:val="right" w:pos="9025" w:leader="dot"/>
            </w:tabs>
            <w:rPr/>
          </w:pPr>
          <w:hyperlink w:anchor="__RefHeading___Toc84840_3199679052">
            <w:r>
              <w:rPr>
                <w:webHidden/>
                <w:rStyle w:val="IndexLink"/>
              </w:rPr>
              <w:t>4.3 Implementation sizes</w:t>
              <w:tab/>
              <w:t>7</w:t>
            </w:r>
          </w:hyperlink>
        </w:p>
        <w:p>
          <w:pPr>
            <w:pStyle w:val="TOC1"/>
            <w:tabs>
              <w:tab w:val="clear" w:pos="900"/>
              <w:tab w:val="clear" w:pos="9350"/>
              <w:tab w:val="right" w:pos="9025" w:leader="dot"/>
            </w:tabs>
            <w:rPr/>
          </w:pPr>
          <w:hyperlink w:anchor="__RefHeading___Toc84842_3199679052">
            <w:r>
              <w:rPr>
                <w:webHidden/>
                <w:rStyle w:val="IndexLink"/>
              </w:rPr>
              <w:t>5. Phases</w:t>
              <w:tab/>
              <w:t>8</w:t>
            </w:r>
          </w:hyperlink>
        </w:p>
        <w:p>
          <w:pPr>
            <w:pStyle w:val="TOC2"/>
            <w:tabs>
              <w:tab w:val="clear" w:pos="900"/>
              <w:tab w:val="clear" w:pos="9350"/>
              <w:tab w:val="right" w:pos="9025" w:leader="dot"/>
            </w:tabs>
            <w:rPr/>
          </w:pPr>
          <w:hyperlink w:anchor="__RefHeading___Toc84844_3199679052">
            <w:r>
              <w:rPr>
                <w:webHidden/>
                <w:rStyle w:val="IndexLink"/>
              </w:rPr>
              <w:t>5.1 Overview</w:t>
              <w:tab/>
              <w:t>8</w:t>
            </w:r>
          </w:hyperlink>
        </w:p>
        <w:p>
          <w:pPr>
            <w:pStyle w:val="TOC2"/>
            <w:tabs>
              <w:tab w:val="clear" w:pos="900"/>
              <w:tab w:val="clear" w:pos="9350"/>
              <w:tab w:val="right" w:pos="9025" w:leader="dot"/>
            </w:tabs>
            <w:rPr/>
          </w:pPr>
          <w:hyperlink w:anchor="__RefHeading___Toc84846_3199679052">
            <w:r>
              <w:rPr>
                <w:webHidden/>
                <w:rStyle w:val="IndexLink"/>
              </w:rPr>
              <w:t>5.2 Mobilisation</w:t>
              <w:tab/>
              <w:t>8</w:t>
            </w:r>
          </w:hyperlink>
        </w:p>
        <w:p>
          <w:pPr>
            <w:pStyle w:val="TOC2"/>
            <w:tabs>
              <w:tab w:val="clear" w:pos="900"/>
              <w:tab w:val="clear" w:pos="9350"/>
              <w:tab w:val="right" w:pos="9025" w:leader="dot"/>
            </w:tabs>
            <w:rPr/>
          </w:pPr>
          <w:hyperlink w:anchor="__RefHeading___Toc84848_3199679052">
            <w:r>
              <w:rPr>
                <w:webHidden/>
                <w:rStyle w:val="IndexLink"/>
              </w:rPr>
              <w:t>5.3 Discovery and fit-gap</w:t>
              <w:tab/>
              <w:t>8</w:t>
            </w:r>
          </w:hyperlink>
        </w:p>
        <w:p>
          <w:pPr>
            <w:pStyle w:val="TOC2"/>
            <w:tabs>
              <w:tab w:val="clear" w:pos="900"/>
              <w:tab w:val="clear" w:pos="9350"/>
              <w:tab w:val="right" w:pos="9025" w:leader="dot"/>
            </w:tabs>
            <w:rPr/>
          </w:pPr>
          <w:hyperlink w:anchor="__RefHeading___Toc84850_3199679052">
            <w:r>
              <w:rPr>
                <w:webHidden/>
                <w:rStyle w:val="IndexLink"/>
              </w:rPr>
              <w:t>5.4 Environment set-up</w:t>
              <w:tab/>
              <w:t>9</w:t>
            </w:r>
          </w:hyperlink>
        </w:p>
        <w:p>
          <w:pPr>
            <w:pStyle w:val="TOC2"/>
            <w:tabs>
              <w:tab w:val="clear" w:pos="900"/>
              <w:tab w:val="clear" w:pos="9350"/>
              <w:tab w:val="right" w:pos="9025" w:leader="dot"/>
            </w:tabs>
            <w:rPr/>
          </w:pPr>
          <w:hyperlink w:anchor="__RefHeading___Toc84852_3199679052">
            <w:r>
              <w:rPr>
                <w:webHidden/>
                <w:rStyle w:val="IndexLink"/>
              </w:rPr>
              <w:t>5.5 Configuration</w:t>
              <w:tab/>
              <w:t>9</w:t>
            </w:r>
          </w:hyperlink>
        </w:p>
        <w:p>
          <w:pPr>
            <w:pStyle w:val="TOC2"/>
            <w:tabs>
              <w:tab w:val="clear" w:pos="900"/>
              <w:tab w:val="clear" w:pos="9350"/>
              <w:tab w:val="right" w:pos="9025" w:leader="dot"/>
            </w:tabs>
            <w:rPr/>
          </w:pPr>
          <w:hyperlink w:anchor="__RefHeading___Toc84854_3199679052">
            <w:r>
              <w:rPr>
                <w:webHidden/>
                <w:rStyle w:val="IndexLink"/>
              </w:rPr>
              <w:t>5.6 Data migration</w:t>
              <w:tab/>
              <w:t>10</w:t>
            </w:r>
          </w:hyperlink>
        </w:p>
        <w:p>
          <w:pPr>
            <w:pStyle w:val="TOC2"/>
            <w:tabs>
              <w:tab w:val="clear" w:pos="900"/>
              <w:tab w:val="clear" w:pos="9350"/>
              <w:tab w:val="right" w:pos="9025" w:leader="dot"/>
            </w:tabs>
            <w:rPr/>
          </w:pPr>
          <w:hyperlink w:anchor="__RefHeading___Toc84856_3199679052">
            <w:r>
              <w:rPr>
                <w:webHidden/>
                <w:rStyle w:val="IndexLink"/>
              </w:rPr>
              <w:t>5.7 Integrations</w:t>
              <w:tab/>
              <w:t>11</w:t>
            </w:r>
          </w:hyperlink>
        </w:p>
        <w:p>
          <w:pPr>
            <w:pStyle w:val="TOC2"/>
            <w:tabs>
              <w:tab w:val="clear" w:pos="900"/>
              <w:tab w:val="clear" w:pos="9350"/>
              <w:tab w:val="right" w:pos="9025" w:leader="dot"/>
            </w:tabs>
            <w:rPr/>
          </w:pPr>
          <w:hyperlink w:anchor="__RefHeading___Toc84858_3199679052">
            <w:r>
              <w:rPr>
                <w:webHidden/>
                <w:rStyle w:val="IndexLink"/>
              </w:rPr>
              <w:t>5.8 Training</w:t>
              <w:tab/>
              <w:t>11</w:t>
            </w:r>
          </w:hyperlink>
        </w:p>
        <w:p>
          <w:pPr>
            <w:pStyle w:val="TOC2"/>
            <w:tabs>
              <w:tab w:val="clear" w:pos="900"/>
              <w:tab w:val="clear" w:pos="9350"/>
              <w:tab w:val="right" w:pos="9025" w:leader="dot"/>
            </w:tabs>
            <w:rPr/>
          </w:pPr>
          <w:hyperlink w:anchor="__RefHeading___Toc84860_3199679052">
            <w:r>
              <w:rPr>
                <w:webHidden/>
                <w:rStyle w:val="IndexLink"/>
              </w:rPr>
              <w:t>5.9 System integration test</w:t>
              <w:tab/>
              <w:t>11</w:t>
            </w:r>
          </w:hyperlink>
        </w:p>
        <w:p>
          <w:pPr>
            <w:pStyle w:val="TOC2"/>
            <w:tabs>
              <w:tab w:val="clear" w:pos="900"/>
              <w:tab w:val="clear" w:pos="9350"/>
              <w:tab w:val="right" w:pos="9025" w:leader="dot"/>
            </w:tabs>
            <w:rPr/>
          </w:pPr>
          <w:hyperlink w:anchor="__RefHeading___Toc84862_3199679052">
            <w:r>
              <w:rPr>
                <w:webHidden/>
                <w:rStyle w:val="IndexLink"/>
              </w:rPr>
              <w:t>5.10 User acceptance test</w:t>
              <w:tab/>
              <w:t>11</w:t>
            </w:r>
          </w:hyperlink>
        </w:p>
        <w:p>
          <w:pPr>
            <w:pStyle w:val="TOC2"/>
            <w:tabs>
              <w:tab w:val="clear" w:pos="900"/>
              <w:tab w:val="clear" w:pos="9350"/>
              <w:tab w:val="right" w:pos="9025" w:leader="dot"/>
            </w:tabs>
            <w:rPr/>
          </w:pPr>
          <w:hyperlink w:anchor="__RefHeading___Toc84864_3199679052">
            <w:r>
              <w:rPr>
                <w:webHidden/>
                <w:rStyle w:val="IndexLink"/>
              </w:rPr>
              <w:t>5.11 Cutover and go-live</w:t>
              <w:tab/>
              <w:t>12</w:t>
            </w:r>
          </w:hyperlink>
        </w:p>
        <w:p>
          <w:pPr>
            <w:pStyle w:val="TOC2"/>
            <w:tabs>
              <w:tab w:val="clear" w:pos="900"/>
              <w:tab w:val="clear" w:pos="9350"/>
              <w:tab w:val="right" w:pos="9025" w:leader="dot"/>
            </w:tabs>
            <w:rPr/>
          </w:pPr>
          <w:hyperlink w:anchor="__RefHeading___Toc84866_3199679052">
            <w:r>
              <w:rPr>
                <w:webHidden/>
                <w:rStyle w:val="IndexLink"/>
              </w:rPr>
              <w:t>5.12 Hypercare</w:t>
              <w:tab/>
              <w:t>12</w:t>
            </w:r>
          </w:hyperlink>
        </w:p>
        <w:p>
          <w:pPr>
            <w:pStyle w:val="TOC1"/>
            <w:tabs>
              <w:tab w:val="clear" w:pos="900"/>
              <w:tab w:val="clear" w:pos="9350"/>
              <w:tab w:val="right" w:pos="9025" w:leader="dot"/>
            </w:tabs>
            <w:rPr/>
          </w:pPr>
          <w:hyperlink w:anchor="__RefHeading___Toc84868_3199679052">
            <w:r>
              <w:rPr>
                <w:webHidden/>
                <w:rStyle w:val="IndexLink"/>
              </w:rPr>
              <w:t>6. Timeline: small broker (8 weeks)</w:t>
              <w:tab/>
              <w:t>13</w:t>
            </w:r>
          </w:hyperlink>
        </w:p>
        <w:p>
          <w:pPr>
            <w:pStyle w:val="TOC1"/>
            <w:tabs>
              <w:tab w:val="clear" w:pos="900"/>
              <w:tab w:val="clear" w:pos="9350"/>
              <w:tab w:val="right" w:pos="9025" w:leader="dot"/>
            </w:tabs>
            <w:rPr/>
          </w:pPr>
          <w:hyperlink w:anchor="__RefHeading___Toc84870_3199679052">
            <w:r>
              <w:rPr>
                <w:webHidden/>
                <w:rStyle w:val="IndexLink"/>
              </w:rPr>
              <w:t>7. Timeline: medium broker (12 weeks)</w:t>
              <w:tab/>
              <w:t>14</w:t>
            </w:r>
          </w:hyperlink>
        </w:p>
        <w:p>
          <w:pPr>
            <w:pStyle w:val="TOC1"/>
            <w:tabs>
              <w:tab w:val="clear" w:pos="900"/>
              <w:tab w:val="clear" w:pos="9350"/>
              <w:tab w:val="right" w:pos="9025" w:leader="dot"/>
            </w:tabs>
            <w:rPr/>
          </w:pPr>
          <w:hyperlink w:anchor="__RefHeading___Toc84872_3199679052">
            <w:r>
              <w:rPr>
                <w:webHidden/>
                <w:rStyle w:val="IndexLink"/>
              </w:rPr>
              <w:t>8. Timeline: large broker (16 to 20 weeks)</w:t>
              <w:tab/>
              <w:t>15</w:t>
            </w:r>
          </w:hyperlink>
        </w:p>
        <w:p>
          <w:pPr>
            <w:pStyle w:val="TOC1"/>
            <w:tabs>
              <w:tab w:val="clear" w:pos="900"/>
              <w:tab w:val="clear" w:pos="9350"/>
              <w:tab w:val="right" w:pos="9025" w:leader="dot"/>
            </w:tabs>
            <w:rPr/>
          </w:pPr>
          <w:hyperlink w:anchor="__RefHeading___Toc84874_3199679052">
            <w:r>
              <w:rPr>
                <w:webHidden/>
                <w:rStyle w:val="IndexLink"/>
              </w:rPr>
              <w:t>9. Roles and responsibilities</w:t>
              <w:tab/>
              <w:t>17</w:t>
            </w:r>
          </w:hyperlink>
        </w:p>
        <w:p>
          <w:pPr>
            <w:pStyle w:val="TOC2"/>
            <w:tabs>
              <w:tab w:val="clear" w:pos="900"/>
              <w:tab w:val="clear" w:pos="9350"/>
              <w:tab w:val="right" w:pos="9025" w:leader="dot"/>
            </w:tabs>
            <w:rPr/>
          </w:pPr>
          <w:hyperlink w:anchor="__RefHeading___Toc84876_3199679052">
            <w:r>
              <w:rPr>
                <w:webHidden/>
                <w:rStyle w:val="IndexLink"/>
              </w:rPr>
              <w:t>9.1 Project roles</w:t>
              <w:tab/>
              <w:t>17</w:t>
            </w:r>
          </w:hyperlink>
        </w:p>
        <w:p>
          <w:pPr>
            <w:pStyle w:val="TOC2"/>
            <w:tabs>
              <w:tab w:val="clear" w:pos="900"/>
              <w:tab w:val="clear" w:pos="9350"/>
              <w:tab w:val="right" w:pos="9025" w:leader="dot"/>
            </w:tabs>
            <w:rPr/>
          </w:pPr>
          <w:hyperlink w:anchor="__RefHeading___Toc84878_3199679052">
            <w:r>
              <w:rPr>
                <w:webHidden/>
                <w:rStyle w:val="IndexLink"/>
              </w:rPr>
              <w:t>9.2 RACI</w:t>
              <w:tab/>
              <w:t>17</w:t>
            </w:r>
          </w:hyperlink>
        </w:p>
        <w:p>
          <w:pPr>
            <w:pStyle w:val="TOC1"/>
            <w:tabs>
              <w:tab w:val="clear" w:pos="900"/>
              <w:tab w:val="clear" w:pos="9350"/>
              <w:tab w:val="right" w:pos="9025" w:leader="dot"/>
            </w:tabs>
            <w:rPr/>
          </w:pPr>
          <w:hyperlink w:anchor="__RefHeading___Toc84880_3199679052">
            <w:r>
              <w:rPr>
                <w:webHidden/>
                <w:rStyle w:val="IndexLink"/>
              </w:rPr>
              <w:t>10. Governance</w:t>
              <w:tab/>
              <w:t>19</w:t>
            </w:r>
          </w:hyperlink>
        </w:p>
        <w:p>
          <w:pPr>
            <w:pStyle w:val="TOC2"/>
            <w:tabs>
              <w:tab w:val="clear" w:pos="900"/>
              <w:tab w:val="clear" w:pos="9350"/>
              <w:tab w:val="right" w:pos="9025" w:leader="dot"/>
            </w:tabs>
            <w:rPr/>
          </w:pPr>
          <w:hyperlink w:anchor="__RefHeading___Toc84882_3199679052">
            <w:r>
              <w:rPr>
                <w:webHidden/>
                <w:rStyle w:val="IndexLink"/>
              </w:rPr>
              <w:t>10.1 Steering committee</w:t>
              <w:tab/>
              <w:t>19</w:t>
            </w:r>
          </w:hyperlink>
        </w:p>
        <w:p>
          <w:pPr>
            <w:pStyle w:val="TOC2"/>
            <w:tabs>
              <w:tab w:val="clear" w:pos="900"/>
              <w:tab w:val="clear" w:pos="9350"/>
              <w:tab w:val="right" w:pos="9025" w:leader="dot"/>
            </w:tabs>
            <w:rPr/>
          </w:pPr>
          <w:hyperlink w:anchor="__RefHeading___Toc84884_3199679052">
            <w:r>
              <w:rPr>
                <w:webHidden/>
                <w:rStyle w:val="IndexLink"/>
              </w:rPr>
              <w:t>10.2 Weekly status</w:t>
              <w:tab/>
              <w:t>19</w:t>
            </w:r>
          </w:hyperlink>
        </w:p>
        <w:p>
          <w:pPr>
            <w:pStyle w:val="TOC2"/>
            <w:tabs>
              <w:tab w:val="clear" w:pos="900"/>
              <w:tab w:val="clear" w:pos="9350"/>
              <w:tab w:val="right" w:pos="9025" w:leader="dot"/>
            </w:tabs>
            <w:rPr/>
          </w:pPr>
          <w:hyperlink w:anchor="__RefHeading___Toc84886_3199679052">
            <w:r>
              <w:rPr>
                <w:webHidden/>
                <w:rStyle w:val="IndexLink"/>
              </w:rPr>
              <w:t>10.3 RAID log</w:t>
              <w:tab/>
              <w:t>19</w:t>
            </w:r>
          </w:hyperlink>
        </w:p>
        <w:p>
          <w:pPr>
            <w:pStyle w:val="TOC1"/>
            <w:tabs>
              <w:tab w:val="clear" w:pos="900"/>
              <w:tab w:val="clear" w:pos="9350"/>
              <w:tab w:val="right" w:pos="9025" w:leader="dot"/>
            </w:tabs>
            <w:rPr/>
          </w:pPr>
          <w:hyperlink w:anchor="__RefHeading___Toc84888_3199679052">
            <w:r>
              <w:rPr>
                <w:webHidden/>
                <w:rStyle w:val="IndexLink"/>
              </w:rPr>
              <w:t>11. Deliverables and acceptance criteria</w:t>
              <w:tab/>
              <w:t>20</w:t>
            </w:r>
          </w:hyperlink>
        </w:p>
        <w:p>
          <w:pPr>
            <w:pStyle w:val="TOC1"/>
            <w:tabs>
              <w:tab w:val="clear" w:pos="900"/>
              <w:tab w:val="clear" w:pos="9350"/>
              <w:tab w:val="right" w:pos="9025" w:leader="dot"/>
            </w:tabs>
            <w:rPr/>
          </w:pPr>
          <w:hyperlink w:anchor="__RefHeading___Toc84890_3199679052">
            <w:r>
              <w:rPr>
                <w:webHidden/>
                <w:rStyle w:val="IndexLink"/>
              </w:rPr>
              <w:t>12. Assumptions</w:t>
              <w:tab/>
              <w:t>21</w:t>
            </w:r>
          </w:hyperlink>
        </w:p>
        <w:p>
          <w:pPr>
            <w:pStyle w:val="TOC1"/>
            <w:tabs>
              <w:tab w:val="clear" w:pos="900"/>
              <w:tab w:val="clear" w:pos="9350"/>
              <w:tab w:val="right" w:pos="9025" w:leader="dot"/>
            </w:tabs>
            <w:rPr/>
          </w:pPr>
          <w:hyperlink w:anchor="__RefHeading___Toc84892_3199679052">
            <w:r>
              <w:rPr>
                <w:webHidden/>
                <w:rStyle w:val="IndexLink"/>
              </w:rPr>
              <w:t>13. Exclusions</w:t>
              <w:tab/>
              <w:t>22</w:t>
            </w:r>
          </w:hyperlink>
        </w:p>
        <w:p>
          <w:pPr>
            <w:pStyle w:val="TOC1"/>
            <w:tabs>
              <w:tab w:val="clear" w:pos="900"/>
              <w:tab w:val="clear" w:pos="9350"/>
              <w:tab w:val="right" w:pos="9025" w:leader="dot"/>
            </w:tabs>
            <w:rPr/>
          </w:pPr>
          <w:hyperlink w:anchor="__RefHeading___Toc84894_3199679052">
            <w:r>
              <w:rPr>
                <w:webHidden/>
                <w:rStyle w:val="IndexLink"/>
              </w:rPr>
              <w:t>14. Dependencies on the broker</w:t>
              <w:tab/>
              <w:t>23</w:t>
            </w:r>
          </w:hyperlink>
        </w:p>
        <w:p>
          <w:pPr>
            <w:pStyle w:val="TOC1"/>
            <w:tabs>
              <w:tab w:val="clear" w:pos="900"/>
              <w:tab w:val="clear" w:pos="9350"/>
              <w:tab w:val="right" w:pos="9025" w:leader="dot"/>
            </w:tabs>
            <w:rPr/>
          </w:pPr>
          <w:hyperlink w:anchor="__RefHeading___Toc84896_3199679052">
            <w:r>
              <w:rPr>
                <w:webHidden/>
                <w:rStyle w:val="IndexLink"/>
              </w:rPr>
              <w:t>15. Risks and mitigations</w:t>
              <w:tab/>
              <w:t>24</w:t>
            </w:r>
          </w:hyperlink>
        </w:p>
        <w:p>
          <w:pPr>
            <w:pStyle w:val="TOC1"/>
            <w:tabs>
              <w:tab w:val="clear" w:pos="900"/>
              <w:tab w:val="clear" w:pos="9350"/>
              <w:tab w:val="right" w:pos="9025" w:leader="dot"/>
            </w:tabs>
            <w:rPr/>
          </w:pPr>
          <w:hyperlink w:anchor="__RefHeading___Toc84898_3199679052">
            <w:r>
              <w:rPr>
                <w:webHidden/>
                <w:rStyle w:val="IndexLink"/>
              </w:rPr>
              <w:t>16. Change request process</w:t>
              <w:tab/>
              <w:t>25</w:t>
            </w:r>
          </w:hyperlink>
        </w:p>
        <w:p>
          <w:pPr>
            <w:pStyle w:val="TOC1"/>
            <w:tabs>
              <w:tab w:val="clear" w:pos="900"/>
              <w:tab w:val="clear" w:pos="9350"/>
              <w:tab w:val="right" w:pos="9025" w:leader="dot"/>
            </w:tabs>
            <w:rPr/>
          </w:pPr>
          <w:hyperlink w:anchor="__RefHeading___Toc84900_3199679052">
            <w:r>
              <w:rPr>
                <w:webHidden/>
                <w:rStyle w:val="IndexLink"/>
                <w:i w:val="false"/>
                <w:iCs w:val="false"/>
              </w:rPr>
              <w:t>17.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4822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4824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4826_3199679052"/>
      <w:bookmarkEnd w:id="6"/>
      <w:r>
        <w:rPr>
          <w:rFonts w:eastAsia="Segoe UI" w:cs="Segoe UI" w:ascii="Segoe UI" w:hAnsi="Segoe UI"/>
          <w:b/>
          <w:color w:val="0F4761"/>
          <w:sz w:val="32"/>
        </w:rPr>
        <w:t>3.  Introduction</w:t>
      </w:r>
    </w:p>
    <w:p>
      <w:pPr>
        <w:pStyle w:val="Heading2"/>
        <w:rPr/>
      </w:pPr>
      <w:bookmarkStart w:id="7" w:name="__RefHeading___Toc84828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holds the three timelines as Gantt charts and the full RACI matrix.</w:t>
      </w:r>
    </w:p>
    <w:p>
      <w:pPr>
        <w:pStyle w:val="Heading2"/>
        <w:rPr/>
      </w:pPr>
      <w:bookmarkStart w:id="8" w:name="__RefHeading___Toc84830_3199679052"/>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rPr/>
      </w:pPr>
      <w:bookmarkStart w:id="9" w:name="__RefHeading___Toc84832_3199679052"/>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curriculum, train-the-trainer,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after hypercare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obligations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docs/package/05_Delivery</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from company to first month-end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8 scenarios per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 database, secrets, e-mail, health checks, rollback</w:t>
            </w:r>
          </w:p>
        </w:tc>
      </w:tr>
    </w:tbl>
    <w:p>
      <w:pPr>
        <w:pStyle w:val="Heading1"/>
        <w:rPr/>
      </w:pPr>
      <w:r>
        <w:br w:type="page"/>
      </w:r>
      <w:bookmarkStart w:id="10" w:name="__RefHeading___Toc84834_3199679052"/>
      <w:bookmarkEnd w:id="10"/>
      <w:r>
        <w:rPr>
          <w:rFonts w:eastAsia="Segoe UI" w:cs="Segoe UI" w:ascii="Segoe UI" w:hAnsi="Segoe UI"/>
          <w:b/>
          <w:color w:val="0F4761"/>
          <w:sz w:val="32"/>
        </w:rPr>
        <w:t>4.  Implementation approach</w:t>
      </w:r>
    </w:p>
    <w:p>
      <w:pPr>
        <w:pStyle w:val="Heading2"/>
        <w:rPr/>
      </w:pPr>
      <w:bookmarkStart w:id="11" w:name="__RefHeading___Toc84836_3199679052"/>
      <w:bookmarkEnd w:id="11"/>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can set without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Master &gt; System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the seven delivered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Role, User Access Matrix, Authority Matrix, Delegations, Segregation of Duties, Access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 billing mode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covers, 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(CTPL and Auto Passenger PA), rating, acceptance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and referrer sharing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LGU rates, tax codes with BIR ATC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Premium Taxes &amp; LGU Rates; Master &gt; Finance &gt; Taxation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 Account Determination, Posting Rules, 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(61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limits, maker-checker switches, security policy, e-mail texts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Statement Formats, Bank Transaction Types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rPr/>
      </w:pPr>
      <w:bookmarkStart w:id="12" w:name="__RefHeading___Toc84838_3199679052"/>
      <w:bookmarkEnd w:id="12"/>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of the effort sits with the broker's data: insurer agreements, commission rates, the chart of accounts, in-force policies, open receivables and the trial balance. Requests for data go out in week 1.</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the UAT scripts and trains the team.</w:t>
      </w:r>
    </w:p>
    <w:p>
      <w:pPr>
        <w:pStyle w:val="Normal"/>
        <w:numPr>
          <w:ilvl w:val="0"/>
          <w:numId w:val="1"/>
        </w:numPr>
        <w:spacing w:before="0" w:after="60"/>
        <w:rPr/>
      </w:pPr>
      <w:r>
        <w:rPr>
          <w:rFonts w:eastAsia="Segoe UI" w:cs="Segoe UI" w:ascii="Segoe UI" w:hAnsi="Segoe UI"/>
          <w:b/>
          <w:color w:val="101820"/>
          <w:sz w:val="21"/>
        </w:rPr>
        <w:t>Repeatable loads.</w:t>
      </w:r>
      <w:r>
        <w:rPr>
          <w:rFonts w:eastAsia="Segoe UI" w:cs="Segoe UI" w:ascii="Segoe UI" w:hAnsi="Segoe UI"/>
          <w:color w:val="101820"/>
          <w:sz w:val="21"/>
        </w:rPr>
        <w:t xml:space="preserve"> Every data load uses the delivered upload templates (</w:t>
      </w:r>
      <w:r>
        <w:rPr>
          <w:rFonts w:eastAsia="Consolas" w:cs="Consolas" w:ascii="Consolas" w:hAnsi="Consolas"/>
          <w:color w:val="101820"/>
          <w:sz w:val="19"/>
        </w:rPr>
        <w:t>docs/templates</w:t>
      </w:r>
      <w:r>
        <w:rPr>
          <w:rFonts w:eastAsia="Segoe UI" w:cs="Segoe UI" w:ascii="Segoe UI" w:hAnsi="Segoe UI"/>
          <w:color w:val="101820"/>
          <w:sz w:val="21"/>
        </w:rPr>
        <w:t>) and is rehearsed at least twice before cutover.</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(chapter 11). Sign-off is written.</w:t>
      </w:r>
    </w:p>
    <w:p>
      <w:pPr>
        <w:pStyle w:val="Heading2"/>
        <w:rPr/>
      </w:pPr>
      <w:bookmarkStart w:id="13" w:name="__RefHeading___Toc84840_3199679052"/>
      <w:bookmarkEnd w:id="13"/>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248"/>
        <w:gridCol w:w="28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52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(assumption)</w:t>
            </w:r>
          </w:p>
        </w:tc>
        <w:tc>
          <w:tcPr>
            <w:tcW w:w="28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 one or two bank accounts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 co-insurance in use</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many insurers, more than 25,000 in-force policies, several bank accounts and referrer networks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plan allows for.</w:t>
      </w:r>
      <w:r>
        <w:br w:type="page"/>
      </w:r>
    </w:p>
    <w:p>
      <w:pPr>
        <w:pStyle w:val="Heading1"/>
        <w:rPr/>
      </w:pPr>
      <w:bookmarkStart w:id="14" w:name="__RefHeading___Toc84842_3199679052"/>
      <w:bookmarkEnd w:id="14"/>
      <w:r>
        <w:rPr>
          <w:rFonts w:eastAsia="Segoe UI" w:cs="Segoe UI" w:ascii="Segoe UI" w:hAnsi="Segoe UI"/>
          <w:b/>
          <w:color w:val="0F4761"/>
          <w:sz w:val="32"/>
        </w:rPr>
        <w:t>5.  Phases</w:t>
      </w:r>
    </w:p>
    <w:p>
      <w:pPr>
        <w:pStyle w:val="Heading2"/>
        <w:rPr/>
      </w:pPr>
      <w:bookmarkStart w:id="15" w:name="__RefHeading___Toc84844_3199679052"/>
      <w:bookmarkEnd w:id="15"/>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p>
    <w:p>
      <w:pPr>
        <w:pStyle w:val="Heading2"/>
        <w:rPr/>
      </w:pPr>
      <w:bookmarkStart w:id="16" w:name="__RefHeading___Toc84846_3199679052"/>
      <w:bookmarkEnd w:id="16"/>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and the iorta TechNXT team.</w:t>
      </w:r>
    </w:p>
    <w:p>
      <w:pPr>
        <w:pStyle w:val="Normal"/>
        <w:numPr>
          <w:ilvl w:val="0"/>
          <w:numId w:val="1"/>
        </w:numPr>
        <w:spacing w:before="0" w:after="60"/>
        <w:rPr/>
      </w:pPr>
      <w:r>
        <w:rPr>
          <w:rFonts w:eastAsia="Segoe UI" w:cs="Segoe UI" w:ascii="Segoe UI" w:hAnsi="Segoe UI"/>
          <w:color w:val="101820"/>
          <w:sz w:val="21"/>
        </w:rPr>
        <w:t>Confirm the implementation size, the plan, the go-live date and the hypercare window.</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(chapter 10).</w:t>
      </w:r>
    </w:p>
    <w:p>
      <w:pPr>
        <w:pStyle w:val="Normal"/>
        <w:numPr>
          <w:ilvl w:val="0"/>
          <w:numId w:val="1"/>
        </w:numPr>
        <w:spacing w:before="0" w:after="60"/>
        <w:rPr/>
      </w:pPr>
      <w:r>
        <w:rPr>
          <w:rFonts w:eastAsia="Segoe UI" w:cs="Segoe UI" w:ascii="Segoe UI" w:hAnsi="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pStyle w:val="Normal"/>
        <w:numPr>
          <w:ilvl w:val="0"/>
          <w:numId w:val="1"/>
        </w:numPr>
        <w:spacing w:before="0" w:after="60"/>
        <w:rPr/>
      </w:pPr>
      <w:r>
        <w:rPr>
          <w:rFonts w:eastAsia="Segoe UI" w:cs="Segoe UI" w:ascii="Segoe UI" w:hAnsi="Segoe UI"/>
          <w:color w:val="101820"/>
          <w:sz w:val="21"/>
        </w:rPr>
        <w:t>Order the environments (phase 3).</w:t>
      </w:r>
    </w:p>
    <w:p>
      <w:pPr>
        <w:pStyle w:val="Heading2"/>
        <w:rPr/>
      </w:pPr>
      <w:bookmarkStart w:id="17" w:name="__RefHeading___Toc84848_3199679052"/>
      <w:bookmarkEnd w:id="17"/>
      <w:r>
        <w:rPr>
          <w:rFonts w:eastAsia="Segoe UI" w:cs="Segoe UI"/>
          <w:b/>
          <w:color w:val="0F4761"/>
          <w:sz w:val="26"/>
        </w:rPr>
        <w:t>5.3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42"/>
        <w:gridCol w:w="2642"/>
        <w:gridCol w:w="3730"/>
      </w:tblGrid>
      <w:tr>
        <w:trPr>
          <w:tblHeader w:val="true"/>
        </w:trPr>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branches, departments, users per role, two-step verification roles, security policy</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placement</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 (</w:t>
            </w: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quotation validity, maker-checker on quotations, product templates in use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handling, renewal timetable (pipeline 90 days, notices at 60, 30 and 15 days), renewal maker-checker</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SLA days), claim letters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premium payment warranty days, remittance terms, remittance approval levels, direct bill settings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rates, payout conditions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and close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fiscal year, close checklist, period control, bank reconciliation</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premium taxes and LGU rates, BIR settings for the forms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18" w:name="__RefHeading___Toc84850_3199679052"/>
      <w:bookmarkEnd w:id="18"/>
      <w:r>
        <w:rPr>
          <w:rFonts w:eastAsia="Segoe UI" w:cs="Segoe UI"/>
          <w:b/>
          <w:color w:val="0F4761"/>
          <w:sz w:val="26"/>
        </w:rPr>
        <w:t>5.4  Environment set-up</w:t>
      </w:r>
    </w:p>
    <w:p>
      <w:pPr>
        <w:pStyle w:val="Normal"/>
        <w:numPr>
          <w:ilvl w:val="0"/>
          <w:numId w:val="1"/>
        </w:numPr>
        <w:spacing w:before="0" w:after="60"/>
        <w:rPr/>
      </w:pPr>
      <w:r>
        <w:rPr>
          <w:rFonts w:eastAsia="Segoe UI" w:cs="Segoe UI" w:ascii="Segoe UI" w:hAnsi="Segoe UI"/>
          <w:color w:val="101820"/>
          <w:sz w:val="21"/>
        </w:rPr>
        <w:t xml:space="preserve">iorta TechNXT provisions a test environment (used for configuration, SIT, mock loads, training and UAT) and the production environment following </w:t>
      </w:r>
      <w:r>
        <w:rPr>
          <w:rFonts w:eastAsia="Consolas" w:cs="Consolas" w:ascii="Consolas" w:hAnsi="Consolas"/>
          <w:color w:val="101820"/>
          <w:sz w:val="19"/>
        </w:rPr>
        <w:t>deploy/README.md</w:t>
      </w:r>
      <w:r>
        <w:rPr>
          <w:rFonts w:eastAsia="Segoe UI" w:cs="Segoe UI" w:ascii="Segoe UI" w:hAnsi="Segoe UI"/>
          <w:color w:val="101820"/>
          <w:sz w:val="21"/>
        </w:rPr>
        <w:t>. Assumption: iorta TechNXT hosts both on AWS in region ap-southeast-1; a broker-hosted installation is a separate option.</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The test environment may carry the delivered sample data for training.</w:t>
      </w:r>
    </w:p>
    <w:p>
      <w:pPr>
        <w:pStyle w:val="Normal"/>
        <w:numPr>
          <w:ilvl w:val="0"/>
          <w:numId w:val="1"/>
        </w:numPr>
        <w:spacing w:before="0" w:after="60"/>
        <w:rPr/>
      </w:pPr>
      <w:r>
        <w:rPr>
          <w:rFonts w:eastAsia="Segoe UI" w:cs="Segoe UI" w:ascii="Segoe UI" w:hAnsi="Segoe UI"/>
          <w:color w:val="101820"/>
          <w:sz w:val="21"/>
        </w:rPr>
        <w:t>Database time zone Asia/Manila, daily database snapshots with at least 30 days' retention, backup of the upload volume and the encryption key, a restore test before go-live.</w:t>
      </w:r>
    </w:p>
    <w:p>
      <w:pPr>
        <w:pStyle w:val="Normal"/>
        <w:numPr>
          <w:ilvl w:val="0"/>
          <w:numId w:val="1"/>
        </w:numPr>
        <w:spacing w:before="0" w:after="60"/>
        <w:rPr/>
      </w:pPr>
      <w:r>
        <w:rPr>
          <w:rFonts w:eastAsia="Segoe UI" w:cs="Segoe UI" w:ascii="Segoe UI" w:hAnsi="Segoe UI"/>
          <w:color w:val="101820"/>
          <w:sz w:val="21"/>
        </w:rPr>
        <w:t>Health checks (</w:t>
      </w:r>
      <w:r>
        <w:rPr>
          <w:rFonts w:eastAsia="Consolas" w:cs="Consolas" w:ascii="Consolas" w:hAnsi="Consolas"/>
          <w:color w:val="101820"/>
          <w:sz w:val="19"/>
        </w:rPr>
        <w:t>/api/health</w:t>
      </w:r>
      <w:r>
        <w:rPr>
          <w:rFonts w:eastAsia="Segoe UI" w:cs="Segoe UI" w:ascii="Segoe UI" w:hAnsi="Segoe UI"/>
          <w:color w:val="101820"/>
          <w:sz w:val="21"/>
        </w:rPr>
        <w:t xml:space="preserve">, </w:t>
      </w:r>
      <w:r>
        <w:rPr>
          <w:rFonts w:eastAsia="Consolas" w:cs="Consolas" w:ascii="Consolas" w:hAnsi="Consolas"/>
          <w:color w:val="101820"/>
          <w:sz w:val="19"/>
        </w:rPr>
        <w:t>/api/health/live</w:t>
      </w:r>
      <w:r>
        <w:rPr>
          <w:rFonts w:eastAsia="Segoe UI" w:cs="Segoe UI" w:ascii="Segoe UI" w:hAnsi="Segoe UI"/>
          <w:color w:val="101820"/>
          <w:sz w:val="21"/>
        </w:rPr>
        <w:t>) wired to the load balancer and monitoring.</w:t>
      </w:r>
    </w:p>
    <w:p>
      <w:pPr>
        <w:pStyle w:val="Normal"/>
        <w:numPr>
          <w:ilvl w:val="0"/>
          <w:numId w:val="1"/>
        </w:numPr>
        <w:spacing w:before="0" w:after="60"/>
        <w:rPr/>
      </w:pPr>
      <w:r>
        <w:rPr>
          <w:rFonts w:eastAsia="Segoe UI" w:cs="Segoe UI" w:ascii="Segoe UI" w:hAnsi="Segoe UI"/>
          <w:color w:val="101820"/>
          <w:sz w:val="21"/>
        </w:rPr>
        <w:t>SMTP mailbox for outgoing e-mail.</w:t>
      </w:r>
    </w:p>
    <w:p>
      <w:pPr>
        <w:pStyle w:val="Normal"/>
        <w:numPr>
          <w:ilvl w:val="0"/>
          <w:numId w:val="1"/>
        </w:numPr>
        <w:spacing w:before="0" w:after="60"/>
        <w:rPr/>
      </w:pPr>
      <w:r>
        <w:rPr>
          <w:rFonts w:eastAsia="Segoe UI" w:cs="Segoe UI" w:ascii="Segoe UI" w:hAnsi="Segoe UI"/>
          <w:color w:val="101820"/>
          <w:sz w:val="21"/>
        </w:rPr>
        <w:t>Smoke test of section 4 of the deployment checklist on each environment.</w:t>
      </w:r>
    </w:p>
    <w:p>
      <w:pPr>
        <w:pStyle w:val="Heading2"/>
        <w:rPr/>
      </w:pPr>
      <w:bookmarkStart w:id="19" w:name="__RefHeading___Toc84852_3199679052"/>
      <w:bookmarkEnd w:id="19"/>
      <w:r>
        <w:rPr>
          <w:rFonts w:eastAsia="Segoe UI" w:cs="Segoe UI"/>
          <w:b/>
          <w:color w:val="0F4761"/>
          <w:sz w:val="26"/>
        </w:rPr>
        <w:t>5.5  Configuration</w:t>
      </w:r>
    </w:p>
    <w:p>
      <w:pPr>
        <w:pStyle w:val="Normal"/>
        <w:spacing w:lineRule="auto" w:line="276" w:before="0" w:after="120"/>
        <w:rPr/>
      </w:pPr>
      <w:r>
        <w:rPr>
          <w:rFonts w:eastAsia="Segoe UI" w:cs="Segoe UI" w:ascii="Segoe UI" w:hAnsi="Segoe UI"/>
          <w:color w:val="101820"/>
          <w:sz w:val="21"/>
        </w:rPr>
        <w:t xml:space="preserve">Configuration follows the order of </w:t>
      </w:r>
      <w:r>
        <w:rPr>
          <w:rFonts w:eastAsia="Consolas" w:cs="Consolas" w:ascii="Consolas" w:hAnsi="Consolas"/>
          <w:color w:val="101820"/>
          <w:sz w:val="19"/>
        </w:rPr>
        <w:t>GO_LIVE_DATA_SETUP.md</w:t>
      </w:r>
      <w:r>
        <w:rPr>
          <w:rFonts w:eastAsia="Segoe UI" w:cs="Segoe UI" w:ascii="Segoe UI" w:hAnsi="Segoe UI"/>
          <w:color w:val="101820"/>
          <w:sz w:val="21"/>
        </w:rPr>
        <w:t>, steps 1 to 10, first in the test environment. Once accepted in UAT, the same values are applied to production, by upload where a template exists and on the screen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name and logo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Department_Upload_Template.xlsx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Master &gt; Configuration &gt; Security &amp; Access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w:t>
            </w:r>
            <w:r>
              <w:rPr>
                <w:rFonts w:eastAsia="Segoe UI" w:cs="Segoe UI" w:ascii="Segoe UI" w:hAnsi="Segoe UI"/>
                <w:color w:val="101820"/>
                <w:kern w:val="0"/>
                <w:sz w:val="18"/>
                <w:szCs w:val="24"/>
                <w:lang w:val="en-US" w:eastAsia="ja-JP" w:bidi="ar-SA"/>
              </w:rPr>
              <w:t xml:space="preserve"> templates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rating, acceptance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(approval limits: 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Premium Taxes &amp;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Posting Rules (Simulate),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Insurance Management &gt;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Bank_Account_…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(switches and remittance approval levels);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texts, notification recipients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rPr/>
      </w:pPr>
      <w:bookmarkStart w:id="20" w:name="__RefHeading___Toc84854_3199679052"/>
      <w:bookmarkEnd w:id="20"/>
      <w:r>
        <w:rPr>
          <w:rFonts w:eastAsia="Segoe UI" w:cs="Segoe UI"/>
          <w:b/>
          <w:color w:val="0F4761"/>
          <w:sz w:val="26"/>
        </w:rPr>
        <w:t>5.6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Masters, in-force policies and clients, open premium receivables, GL opening balances (which carry the amounts due to insurers), and optionally leads and quotations in progress.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advises on mapping, runs the loads with the broker and checks the results.</w:t>
      </w:r>
    </w:p>
    <w:p>
      <w:pPr>
        <w:pStyle w:val="Normal"/>
        <w:numPr>
          <w:ilvl w:val="0"/>
          <w:numId w:val="1"/>
        </w:numPr>
        <w:spacing w:before="0" w:after="60"/>
        <w:rPr/>
      </w:pPr>
      <w:r>
        <w:rPr>
          <w:rFonts w:eastAsia="Segoe UI" w:cs="Segoe UI" w:ascii="Segoe UI" w:hAnsi="Segoe UI"/>
          <w:color w:val="101820"/>
          <w:sz w:val="21"/>
        </w:rPr>
        <w:t>Three mock loads for medium and large brokers, two for small brokers, each reconciled on counts and totals. The last mock load is the cutover rehearsal.</w:t>
      </w:r>
    </w:p>
    <w:p>
      <w:pPr>
        <w:pStyle w:val="Heading2"/>
        <w:rPr/>
      </w:pPr>
      <w:bookmarkStart w:id="21" w:name="__RefHeading___Toc84856_3199679052"/>
      <w:bookmarkEnd w:id="21"/>
      <w:r>
        <w:rPr>
          <w:rFonts w:eastAsia="Segoe UI" w:cs="Segoe UI"/>
          <w:b/>
          <w:color w:val="0F4761"/>
          <w:sz w:val="26"/>
        </w:rPr>
        <w:t>5.7  Integrations</w:t>
      </w:r>
    </w:p>
    <w:p>
      <w:pPr>
        <w:pStyle w:val="Normal"/>
        <w:spacing w:lineRule="auto" w:line="276" w:before="0" w:after="120"/>
        <w:rPr/>
      </w:pPr>
      <w:r>
        <w:rPr>
          <w:rFonts w:eastAsia="Segoe UI" w:cs="Segoe UI" w:ascii="Segoe UI" w:hAnsi="Segoe UI"/>
          <w:color w:val="101820"/>
          <w:sz w:val="21"/>
        </w:rPr>
        <w:t>The OOTB integrations are configured, not built.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delivered</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an SMTP mailbox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queued in the E-mail Outbox and sent every 5 minutes; texts and recipients in Master &gt; 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from the broker, sender name, texts, test of password reset and quotation approval link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in Accounts &gt; Bank Reconciliation with the delivered formats BDO-SAMPLE, BPI-SAMPLE, MBT-SAMPLE and GENERIC; remittance bank transactions import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sample statement per bank account; adjust the format columns in Master &gt; Finance &gt; Bank Statement Formats if a bank's export differs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with the providers PayMongo and Dragonpay, plus a sandbox provider; a confirmed payment posts the official receipt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merchant account and credentials (kept in the secret store), notification address registered with the provider, sandbox test then a live test payment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rPr/>
      </w:pPr>
      <w:bookmarkStart w:id="22" w:name="__RefHeading___Toc84858_3199679052"/>
      <w:bookmarkEnd w:id="22"/>
      <w:r>
        <w:rPr>
          <w:rFonts w:eastAsia="Segoe UI" w:cs="Segoe UI"/>
          <w:b/>
          <w:color w:val="0F4761"/>
          <w:sz w:val="26"/>
        </w:rPr>
        <w:t>5.8  Training</w:t>
      </w:r>
    </w:p>
    <w:p>
      <w:pPr>
        <w:pStyle w:val="Normal"/>
        <w:spacing w:lineRule="auto" w:line="276" w:before="0" w:after="120"/>
        <w:rPr/>
      </w:pPr>
      <w:r>
        <w:rPr>
          <w:rFonts w:eastAsia="Segoe UI" w:cs="Segoe UI" w:ascii="Segoe UI" w:hAnsi="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eastAsia="Consolas" w:cs="Consolas" w:ascii="Consolas" w:hAnsi="Consolas"/>
          <w:color w:val="101820"/>
          <w:sz w:val="19"/>
        </w:rPr>
        <w:t>docs/decks</w:t>
      </w:r>
      <w:r>
        <w:rPr>
          <w:rFonts w:eastAsia="Segoe UI" w:cs="Segoe UI" w:ascii="Segoe UI" w:hAnsi="Segoe UI"/>
          <w:color w:val="101820"/>
          <w:sz w:val="21"/>
        </w:rPr>
        <w:t>.</w:t>
      </w:r>
    </w:p>
    <w:p>
      <w:pPr>
        <w:pStyle w:val="Heading2"/>
        <w:rPr/>
      </w:pPr>
      <w:bookmarkStart w:id="23" w:name="__RefHeading___Toc84860_3199679052"/>
      <w:bookmarkEnd w:id="23"/>
      <w:r>
        <w:rPr>
          <w:rFonts w:eastAsia="Segoe UI" w:cs="Segoe UI"/>
          <w:b/>
          <w:color w:val="0F4761"/>
          <w:sz w:val="26"/>
        </w:rPr>
        <w:t>5.9  System integration test</w:t>
      </w:r>
    </w:p>
    <w:p>
      <w:pPr>
        <w:pStyle w:val="Normal"/>
        <w:spacing w:lineRule="auto" w:line="276" w:before="0" w:after="120"/>
        <w:rPr/>
      </w:pPr>
      <w:r>
        <w:rPr>
          <w:rFonts w:eastAsia="Segoe UI" w:cs="Segoe UI" w:ascii="Segoe UI" w:hAnsi="Segoe UI"/>
          <w:color w:val="101820"/>
          <w:sz w:val="21"/>
        </w:rPr>
        <w:t xml:space="preserve">iorta TechNXT runs the end-to-end flows across all roles in the test environment with the configured masters and the migrated data of the latest mock load. The test follows the end-to-end plan in </w:t>
      </w:r>
      <w:r>
        <w:rPr>
          <w:rFonts w:eastAsia="Consolas" w:cs="Consolas" w:ascii="Consolas" w:hAnsi="Consolas"/>
          <w:color w:val="101820"/>
          <w:sz w:val="19"/>
        </w:rPr>
        <w:t>docs/e2e/E2E_TEST_PLAN.md</w:t>
      </w:r>
      <w:r>
        <w:rPr>
          <w:rFonts w:eastAsia="Segoe UI" w:cs="Segoe UI" w:ascii="Segoe UI" w:hAnsi="Segoe UI"/>
          <w:color w:val="101820"/>
          <w:sz w:val="21"/>
        </w:rPr>
        <w:t xml:space="preserve"> (one motor policy through its whole life, plus a co-insured placement and the month-end close) and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which drives the full broking cycle through the API with one user per role. Defects are logged with the request ID shown in error messages.</w:t>
      </w:r>
    </w:p>
    <w:p>
      <w:pPr>
        <w:pStyle w:val="Heading2"/>
        <w:rPr/>
      </w:pPr>
      <w:bookmarkStart w:id="24" w:name="__RefHeading___Toc84862_3199679052"/>
      <w:bookmarkEnd w:id="24"/>
      <w:r>
        <w:rPr>
          <w:rFonts w:eastAsia="Segoe UI" w:cs="Segoe UI"/>
          <w:b/>
          <w:color w:val="0F4761"/>
          <w:sz w:val="26"/>
        </w:rPr>
        <w:t>5.10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rPr/>
      </w:pPr>
      <w:bookmarkStart w:id="25" w:name="__RefHeading___Toc84864_3199679052"/>
      <w:bookmarkEnd w:id="25"/>
      <w:r>
        <w:rPr>
          <w:rFonts w:eastAsia="Segoe UI" w:cs="Segoe UI"/>
          <w:b/>
          <w:color w:val="0F4761"/>
          <w:sz w:val="26"/>
        </w:rPr>
        <w:t>5.11  Cutover and go-live</w:t>
      </w:r>
    </w:p>
    <w:p>
      <w:pPr>
        <w:pStyle w:val="Normal"/>
        <w:spacing w:lineRule="auto" w:line="276" w:before="0" w:after="120"/>
        <w:rPr/>
      </w:pPr>
      <w:r>
        <w:rPr>
          <w:rFonts w:eastAsia="Segoe UI" w:cs="Segoe UI" w:ascii="Segoe UI" w:hAnsi="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rPr/>
      </w:pPr>
      <w:bookmarkStart w:id="26" w:name="__RefHeading___Toc84866_3199679052"/>
      <w:bookmarkEnd w:id="26"/>
      <w:r>
        <w:rPr>
          <w:rFonts w:eastAsia="Segoe UI" w:cs="Segoe UI"/>
          <w:b/>
          <w:color w:val="0F4761"/>
          <w:sz w:val="26"/>
        </w:rPr>
        <w:t>5.12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r>
        <w:br w:type="page"/>
      </w:r>
    </w:p>
    <w:p>
      <w:pPr>
        <w:pStyle w:val="Heading1"/>
        <w:rPr/>
      </w:pPr>
      <w:bookmarkStart w:id="27" w:name="__RefHeading___Toc84868_3199679052"/>
      <w:bookmarkEnd w:id="27"/>
      <w:r>
        <w:rPr>
          <w:rFonts w:eastAsia="Segoe UI" w:cs="Segoe UI" w:ascii="Segoe UI" w:hAnsi="Segoe UI"/>
          <w:b/>
          <w:color w:val="0F4761"/>
          <w:sz w:val="32"/>
        </w:rPr>
        <w:t>6.  Timeline: small broker (8 weeks)</w:t>
      </w:r>
    </w:p>
    <w:p>
      <w:pPr>
        <w:pStyle w:val="Normal"/>
        <w:spacing w:lineRule="auto" w:line="276" w:before="0" w:after="120"/>
        <w:rPr/>
      </w:pPr>
      <w:r>
        <w:rPr>
          <w:rFonts w:eastAsia="Segoe UI" w:cs="Segoe UI" w:ascii="Segoe UI" w:hAnsi="Segoe UI"/>
          <w:color w:val="101820"/>
          <w:sz w:val="21"/>
        </w:rPr>
        <w:t>Go-live is at the start of week 7. Hypercare runs in weeks 7 and 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set up; data requests issued; test environment provisioned; discovery workshops start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 plan and go-live date confirmed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 completed; production environment provisioned; configuration of company, branches, users, insurers, commission</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motor tariff, taxes, chart of accounts, account determination, posting rules, numbering, approvals; e-mail set-up; bank statement formats;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payment gateway sandbox test; SIT;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configuration frozen for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with the UAT scripts; end-user training; configuration fixes; mock load 2 (cutover rehearsal)</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 trained users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configuration copied to production; production smoke test; go/no-go; cutover at the close of the last day of week 6</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first official receipts, remittances and bank imports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weekly review; knowledge transfer to support;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(or extension to the first month-end)</w:t>
            </w:r>
          </w:p>
        </w:tc>
      </w:tr>
    </w:tbl>
    <w:p>
      <w:pPr>
        <w:pStyle w:val="Heading1"/>
        <w:rPr/>
      </w:pPr>
      <w:r>
        <w:br w:type="page"/>
      </w:r>
      <w:bookmarkStart w:id="28" w:name="__RefHeading___Toc84870_3199679052"/>
      <w:bookmarkEnd w:id="28"/>
      <w:r>
        <w:rPr>
          <w:rFonts w:eastAsia="Segoe UI" w:cs="Segoe UI" w:ascii="Segoe UI" w:hAnsi="Segoe UI"/>
          <w:b/>
          <w:color w:val="0F4761"/>
          <w:sz w:val="32"/>
        </w:rPr>
        <w:t>7.  Timeline: medium broker (12 weeks)</w:t>
      </w:r>
    </w:p>
    <w:p>
      <w:pPr>
        <w:pStyle w:val="Normal"/>
        <w:spacing w:lineRule="auto" w:line="276" w:before="0" w:after="120"/>
        <w:rPr/>
      </w:pPr>
      <w:r>
        <w:rPr>
          <w:rFonts w:eastAsia="Segoe UI" w:cs="Segoe UI" w:ascii="Segoe UI" w:hAnsi="Segoe UI"/>
          <w:color w:val="101820"/>
          <w:sz w:val="21"/>
        </w:rPr>
        <w:t>Go-live is at the start of week 10. Hypercare runs in weeks 10 to 12.</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(organisation, sales and placement, servicing, claims);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(billing, remittance, commission, ledger, tax); fit-gap register; configuration of organisation, users, insurers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product templates, motor tariff, commission, taxes; data mapping to templates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approvals, schedules; e-mail;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bank statement formats; payment gateway sandbox;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 end-user training completed; mock load 3 (cutover rehearsal); configuration copied to production; go/no-go; cutover at the close of week 9</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where it falls; knowledge transfer;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Heading1"/>
        <w:rPr/>
      </w:pPr>
      <w:r>
        <w:br w:type="page"/>
      </w:r>
      <w:bookmarkStart w:id="29" w:name="__RefHeading___Toc84872_3199679052"/>
      <w:bookmarkEnd w:id="29"/>
      <w:r>
        <w:rPr>
          <w:rFonts w:eastAsia="Segoe UI" w:cs="Segoe UI" w:ascii="Segoe UI" w:hAnsi="Segoe UI"/>
          <w:b/>
          <w:color w:val="0F4761"/>
          <w:sz w:val="32"/>
        </w:rPr>
        <w:t>8.  Timeline: large broker (16 to 20 weeks)</w:t>
      </w:r>
    </w:p>
    <w:p>
      <w:pPr>
        <w:pStyle w:val="Normal"/>
        <w:spacing w:lineRule="auto" w:line="276" w:before="0" w:after="120"/>
        <w:rPr/>
      </w:pPr>
      <w:r>
        <w:rPr>
          <w:rFonts w:eastAsia="Segoe UI" w:cs="Segoe UI" w:ascii="Segoe UI" w:hAnsi="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ordered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completed; test environment provisioned; discovery starts (organisation and access)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baselined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sales, placement, co-insurance, servicing, claims, renewals;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billing, remittance, direct bill, commission and incentives, ledger, close, tax; configuration of organisation and users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completed; configuration of insurers, commission, products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 templates, motor tariff, rating, acceptance rules; data mapping; e-mail set-up</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approvals, authority matrix, schedules, bank accounts and statement formats; payment gateway sandbox</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train-the-trainer completed; UAT preparation with broker-specific scenarios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(head office)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mock load 3; end-user training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4 (cutover rehearsal); configuration copied to production; production smoke test; go/no-go; cutover at the close of week 14</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at head office; floor walkers in the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and bank reconciliations across all bank accounts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collection, commission payout and renewal cycles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(timing depends on the go-live date)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BIR working papers of the first month; settings review after the first close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review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to production support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one office cluster and a simple product mix can follow a 16-week variant: discovery ends in week 4, configuration in week 8, three mock loads, go-live at the start of week 13 and hypercare in weeks 13 to 16 (extended to the first month-end close if needed).</w:t>
      </w:r>
      <w:r>
        <w:br w:type="page"/>
      </w:r>
    </w:p>
    <w:p>
      <w:pPr>
        <w:pStyle w:val="Heading1"/>
        <w:rPr/>
      </w:pPr>
      <w:bookmarkStart w:id="30" w:name="__RefHeading___Toc84874_3199679052"/>
      <w:bookmarkEnd w:id="30"/>
      <w:r>
        <w:rPr>
          <w:rFonts w:eastAsia="Segoe UI" w:cs="Segoe UI" w:ascii="Segoe UI" w:hAnsi="Segoe UI"/>
          <w:b/>
          <w:color w:val="0F4761"/>
          <w:sz w:val="32"/>
        </w:rPr>
        <w:t>9.  Roles and responsibilities</w:t>
      </w:r>
    </w:p>
    <w:p>
      <w:pPr>
        <w:pStyle w:val="Heading2"/>
        <w:rPr/>
      </w:pPr>
      <w:bookmarkStart w:id="31" w:name="__RefHeading___Toc84876_3199679052"/>
      <w:bookmarkEnd w:id="31"/>
      <w:r>
        <w:rPr>
          <w:rFonts w:eastAsia="Segoe UI" w:cs="Segoe UI"/>
          <w:b/>
          <w:color w:val="0F4761"/>
          <w:sz w:val="26"/>
        </w:rPr>
        <w:t>9.1  Project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6"/>
        <w:gridCol w:w="1317"/>
        <w:gridCol w:w="4862"/>
      </w:tblGrid>
      <w:tr>
        <w:trPr>
          <w:tblHeader w:val="true"/>
        </w:trPr>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and decisions, runs UAT and training logistics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of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 coordination of the iorta TechNXT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bl>
    <w:p>
      <w:pPr>
        <w:pStyle w:val="Normal"/>
        <w:spacing w:before="0" w:after="80"/>
        <w:rPr/>
      </w:pPr>
      <w:r>
        <w:rPr/>
      </w:r>
    </w:p>
    <w:p>
      <w:pPr>
        <w:pStyle w:val="Heading2"/>
        <w:rPr/>
      </w:pPr>
      <w:bookmarkStart w:id="32" w:name="__RefHeading___Toc84878_3199679052"/>
      <w:bookmarkEnd w:id="32"/>
      <w:r>
        <w:rPr>
          <w:rFonts w:eastAsia="Segoe UI" w:cs="Segoe UI"/>
          <w:b/>
          <w:color w:val="0F4761"/>
          <w:sz w:val="26"/>
        </w:rPr>
        <w:t>9.2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each activity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9"/>
        <w:gridCol w:w="1254"/>
        <w:gridCol w:w="1412"/>
        <w:gridCol w:w="1646"/>
        <w:gridCol w:w="1803"/>
      </w:tblGrid>
      <w:tr>
        <w:trPr>
          <w:tblHeader w:val="true"/>
        </w:trPr>
        <w:tc>
          <w:tcPr>
            <w:tcW w:w="2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and IT</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Heading1"/>
        <w:rPr/>
      </w:pPr>
      <w:r>
        <w:br w:type="page"/>
      </w:r>
      <w:bookmarkStart w:id="33" w:name="__RefHeading___Toc84880_3199679052"/>
      <w:bookmarkEnd w:id="33"/>
      <w:r>
        <w:rPr>
          <w:rFonts w:eastAsia="Segoe UI" w:cs="Segoe UI" w:ascii="Segoe UI" w:hAnsi="Segoe UI"/>
          <w:b/>
          <w:color w:val="0F4761"/>
          <w:sz w:val="32"/>
        </w:rPr>
        <w:t>10.  Governance</w:t>
      </w:r>
    </w:p>
    <w:p>
      <w:pPr>
        <w:pStyle w:val="Heading2"/>
        <w:rPr/>
      </w:pPr>
      <w:bookmarkStart w:id="34" w:name="__RefHeading___Toc84882_3199679052"/>
      <w:bookmarkEnd w:id="34"/>
      <w:r>
        <w:rPr>
          <w:rFonts w:eastAsia="Segoe UI" w:cs="Segoe UI"/>
          <w:b/>
          <w:color w:val="0F4761"/>
          <w:sz w:val="26"/>
        </w:rPr>
        <w:t>10.1  Steering committee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a business head; iorta TechNXT account manager and project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change requests for decision</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35" w:name="__RefHeading___Toc84884_3199679052"/>
      <w:bookmarkEnd w:id="35"/>
      <w:r>
        <w:rPr>
          <w:rFonts w:eastAsia="Segoe UI" w:cs="Segoe UI"/>
          <w:b/>
          <w:color w:val="0F4761"/>
          <w:sz w:val="26"/>
        </w:rPr>
        <w:t>10.2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rPr/>
      </w:pPr>
      <w:bookmarkStart w:id="36" w:name="__RefHeading___Toc84886_3199679052"/>
      <w:bookmarkEnd w:id="36"/>
      <w:r>
        <w:rPr>
          <w:rFonts w:eastAsia="Segoe UI" w:cs="Segoe UI"/>
          <w:b/>
          <w:color w:val="0F4761"/>
          <w:sz w:val="26"/>
        </w:rPr>
        <w:t>10.3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medium or low (probability and impact for risks)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Items rated high go to the steering committee.</w:t>
      </w:r>
      <w:r>
        <w:br w:type="page"/>
      </w:r>
    </w:p>
    <w:p>
      <w:pPr>
        <w:pStyle w:val="Heading1"/>
        <w:rPr/>
      </w:pPr>
      <w:bookmarkStart w:id="37" w:name="__RefHeading___Toc84888_3199679052"/>
      <w:bookmarkEnd w:id="37"/>
      <w:r>
        <w:rPr>
          <w:rFonts w:eastAsia="Segoe UI" w:cs="Segoe UI" w:ascii="Segoe UI" w:hAnsi="Segoe UI"/>
          <w:b/>
          <w:color w:val="0F4761"/>
          <w:sz w:val="32"/>
        </w:rPr>
        <w:t>11.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 (addresses, backups, monitoring)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 on each; restore test done once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 with the values set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workbook item set and checked as in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steps 1 to 10;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with a balancing preview;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test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with times and owners,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met (Data Migration and Cutover Plan)</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(assumption, to be agreed in the contract).</w:t>
      </w:r>
      <w:r>
        <w:br w:type="page"/>
      </w:r>
    </w:p>
    <w:p>
      <w:pPr>
        <w:pStyle w:val="Heading1"/>
        <w:rPr/>
      </w:pPr>
      <w:bookmarkStart w:id="38" w:name="__RefHeading___Toc84890_3199679052"/>
      <w:bookmarkEnd w:id="38"/>
      <w:r>
        <w:rPr>
          <w:rFonts w:eastAsia="Segoe UI" w:cs="Segoe UI" w:ascii="Segoe UI" w:hAnsi="Segoe UI"/>
          <w:b/>
          <w:color w:val="0F4761"/>
          <w:sz w:val="32"/>
        </w:rPr>
        <w:t>12.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and an Accounting Manager available for the ledger, tax and opening balance decisions.</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templates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iorta TechNXT hosts the test and production environments on AWS (region ap-southeast-1). Other hosting is priced separately.</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and Accounting Manager.</w:t>
      </w:r>
    </w:p>
    <w:p>
      <w:pPr>
        <w:pStyle w:val="Normal"/>
        <w:numPr>
          <w:ilvl w:val="0"/>
          <w:numId w:val="1"/>
        </w:numPr>
        <w:spacing w:before="0" w:after="60"/>
        <w:rPr/>
      </w:pPr>
      <w:r>
        <w:rPr>
          <w:rFonts w:eastAsia="Segoe UI" w:cs="Segoe UI" w:ascii="Segoe UI" w:hAnsi="Segoe UI"/>
          <w:color w:val="101820"/>
          <w:sz w:val="21"/>
        </w:rPr>
        <w:t>The delivered tax codes, rates and BIR working papers are confirmed by the broker's tax adviser before go-live.</w:t>
      </w:r>
    </w:p>
    <w:p>
      <w:pPr>
        <w:pStyle w:val="Normal"/>
        <w:numPr>
          <w:ilvl w:val="0"/>
          <w:numId w:val="1"/>
        </w:numPr>
        <w:spacing w:before="0" w:after="60"/>
        <w:rPr/>
      </w:pPr>
      <w:r>
        <w:rPr>
          <w:rFonts w:eastAsia="Segoe UI" w:cs="Segoe UI" w:ascii="Segoe UI" w:hAnsi="Segoe UI"/>
          <w:color w:val="101820"/>
          <w:sz w:val="21"/>
        </w:rPr>
        <w:t>Testing uses the test environment; production is used only after the go decision.</w:t>
      </w:r>
      <w:r>
        <w:br w:type="page"/>
      </w:r>
    </w:p>
    <w:p>
      <w:pPr>
        <w:pStyle w:val="Heading1"/>
        <w:rPr/>
      </w:pPr>
      <w:bookmarkStart w:id="39" w:name="__RefHeading___Toc84892_3199679052"/>
      <w:bookmarkEnd w:id="39"/>
      <w:r>
        <w:rPr>
          <w:rFonts w:eastAsia="Segoe UI" w:cs="Segoe UI" w:ascii="Segoe UI" w:hAnsi="Segoe UI"/>
          <w:b/>
          <w:color w:val="0F4761"/>
          <w:sz w:val="32"/>
        </w:rPr>
        <w:t>13.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Third-party licences and fees: cloud subscriptions beyond the agreed hosting, Microsoft 365 or other mailbox, payment gateway merchant fees, SSL certificates for broker-owned domains.</w:t>
      </w:r>
    </w:p>
    <w:p>
      <w:pPr>
        <w:pStyle w:val="Normal"/>
        <w:numPr>
          <w:ilvl w:val="0"/>
          <w:numId w:val="1"/>
        </w:numPr>
        <w:spacing w:before="0" w:after="60"/>
        <w:rPr/>
      </w:pPr>
      <w:r>
        <w:rPr>
          <w:rFonts w:eastAsia="Segoe UI" w:cs="Segoe UI" w:ascii="Segoe UI" w:hAnsi="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pStyle w:val="Normal"/>
        <w:numPr>
          <w:ilvl w:val="0"/>
          <w:numId w:val="1"/>
        </w:numPr>
        <w:spacing w:before="0" w:after="60"/>
        <w:rPr/>
      </w:pPr>
      <w:r>
        <w:rPr>
          <w:rFonts w:eastAsia="Segoe UI" w:cs="Segoe UI" w:ascii="Segoe UI" w:hAnsi="Segoe UI"/>
          <w:color w:val="101820"/>
          <w:sz w:val="21"/>
        </w:rPr>
        <w:t>Tax, legal, actuarial or audit advice.</w:t>
      </w:r>
    </w:p>
    <w:p>
      <w:pPr>
        <w:pStyle w:val="Normal"/>
        <w:numPr>
          <w:ilvl w:val="0"/>
          <w:numId w:val="1"/>
        </w:numPr>
        <w:spacing w:before="0" w:after="60"/>
        <w:rPr/>
      </w:pPr>
      <w:r>
        <w:rPr>
          <w:rFonts w:eastAsia="Segoe UI" w:cs="Segoe UI" w:ascii="Segoe UI" w:hAnsi="Segoe UI"/>
          <w:color w:val="101820"/>
          <w:sz w:val="21"/>
        </w:rPr>
        <w:t>Translation of the screens (Filipino has no translation file in this release).</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40" w:name="__RefHeading___Toc84894_3199679052"/>
      <w:bookmarkEnd w:id="40"/>
      <w:r>
        <w:rPr>
          <w:rFonts w:eastAsia="Segoe UI" w:cs="Segoe UI" w:ascii="Segoe UI" w:hAnsi="Segoe UI"/>
          <w:b/>
          <w:color w:val="0F4761"/>
          <w:sz w:val="32"/>
        </w:rPr>
        <w:t>14.  Dependencies on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50"/>
        <w:gridCol w:w="3863"/>
      </w:tblGrid>
      <w:tr>
        <w:trPr>
          <w:tblHeader w:val="true"/>
        </w:trPr>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and Accounting Manager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configuration of the ledger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the agreed time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Heading1"/>
        <w:rPr/>
      </w:pPr>
      <w:r>
        <w:br w:type="page"/>
      </w:r>
      <w:bookmarkStart w:id="41" w:name="__RefHeading___Toc84896_3199679052"/>
      <w:bookmarkEnd w:id="41"/>
      <w:r>
        <w:rPr>
          <w:rFonts w:eastAsia="Segoe UI" w:cs="Segoe UI" w:ascii="Segoe UI" w:hAnsi="Segoe UI"/>
          <w:b/>
          <w:color w:val="0F4761"/>
          <w:sz w:val="32"/>
        </w:rPr>
        <w:t>15.  Risks and mitigations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arrives late or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slip; go-live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templates handed out at kick-off; data readiness tracked weekly; steering committee escalation after one week of delay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receivables or balances do not reconcile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to four mock loads with reconciliation; the broker cleanses at source; rejected-row reports from each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principle; fit-gap classes; change request process with steering committee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 workshops scheduled at kick-off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 balance must equal open item total; Due to Insurers reconciled to insurer statements; Accounting Manager signs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or ATC not confirmed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Wrong VAT or withholding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review in the configuration phase; VAT Summary checked in UAT (F8)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numbering out of line with the Authority to Print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set from the last number used; checked in UAT (A6, F1)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payment gateway credentials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links, password resets and online payments not working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in mobilisation; the system works without the gateway; sandbox first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not ready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and slow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training, assessment, floor walkers in the first week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Heading1"/>
        <w:rPr/>
      </w:pPr>
      <w:r>
        <w:br w:type="page"/>
      </w:r>
      <w:bookmarkStart w:id="42" w:name="__RefHeading___Toc84898_3199679052"/>
      <w:bookmarkEnd w:id="42"/>
      <w:r>
        <w:rPr>
          <w:rFonts w:eastAsia="Segoe UI" w:cs="Segoe UI" w:ascii="Segoe UI" w:hAnsi="Segoe UI"/>
          <w:b/>
          <w:color w:val="0F4761"/>
          <w:sz w:val="32"/>
        </w:rPr>
        <w:t>16.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84900_3199679052"/>
      <w:bookmarkStart w:id="44" w:name="_Toc233203395"/>
      <w:bookmarkEnd w:id="43"/>
      <w:r>
        <w:rPr>
          <w:rStyle w:val="BookTitle"/>
          <w:bCs w:val="false"/>
          <w:i w:val="false"/>
          <w:iCs w:val="false"/>
          <w:spacing w:val="0"/>
        </w:rPr>
        <w:t>17.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