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5">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6">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6"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8"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0"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2"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Business Continuity and Disaster Recovery Plan</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Business Continuity and Disaster Recovery Plan</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4"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51569_3199679052">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151571_3199679052">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151573_3199679052">
            <w:r>
              <w:rPr>
                <w:webHidden/>
                <w:rStyle w:val="IndexLink"/>
              </w:rPr>
              <w:t>3. Introduction</w:t>
              <w:tab/>
              <w:t>5</w:t>
            </w:r>
          </w:hyperlink>
        </w:p>
        <w:p>
          <w:pPr>
            <w:pStyle w:val="TOC2"/>
            <w:tabs>
              <w:tab w:val="clear" w:pos="900"/>
              <w:tab w:val="clear" w:pos="9350"/>
              <w:tab w:val="right" w:pos="9025" w:leader="dot"/>
            </w:tabs>
            <w:rPr/>
          </w:pPr>
          <w:hyperlink w:anchor="__RefHeading___Toc151575_3199679052">
            <w:r>
              <w:rPr>
                <w:webHidden/>
                <w:rStyle w:val="IndexLink"/>
              </w:rPr>
              <w:t>3.1 Purpose</w:t>
              <w:tab/>
              <w:t>5</w:t>
            </w:r>
          </w:hyperlink>
        </w:p>
        <w:p>
          <w:pPr>
            <w:pStyle w:val="TOC2"/>
            <w:tabs>
              <w:tab w:val="clear" w:pos="900"/>
              <w:tab w:val="clear" w:pos="9350"/>
              <w:tab w:val="right" w:pos="9025" w:leader="dot"/>
            </w:tabs>
            <w:rPr/>
          </w:pPr>
          <w:hyperlink w:anchor="__RefHeading___Toc151577_3199679052">
            <w:r>
              <w:rPr>
                <w:webHidden/>
                <w:rStyle w:val="IndexLink"/>
              </w:rPr>
              <w:t>3.2 Sources and labels</w:t>
              <w:tab/>
              <w:t>5</w:t>
            </w:r>
          </w:hyperlink>
        </w:p>
        <w:p>
          <w:pPr>
            <w:pStyle w:val="TOC2"/>
            <w:tabs>
              <w:tab w:val="clear" w:pos="900"/>
              <w:tab w:val="clear" w:pos="9350"/>
              <w:tab w:val="right" w:pos="9025" w:leader="dot"/>
            </w:tabs>
            <w:rPr/>
          </w:pPr>
          <w:hyperlink w:anchor="__RefHeading___Toc151579_3199679052">
            <w:r>
              <w:rPr>
                <w:webHidden/>
                <w:rStyle w:val="IndexLink"/>
              </w:rPr>
              <w:t>3.3 Scope</w:t>
              <w:tab/>
              <w:t>5</w:t>
            </w:r>
          </w:hyperlink>
        </w:p>
        <w:p>
          <w:pPr>
            <w:pStyle w:val="TOC1"/>
            <w:tabs>
              <w:tab w:val="clear" w:pos="900"/>
              <w:tab w:val="clear" w:pos="9350"/>
              <w:tab w:val="right" w:pos="9025" w:leader="dot"/>
            </w:tabs>
            <w:rPr/>
          </w:pPr>
          <w:hyperlink w:anchor="__RefHeading___Toc151581_3199679052">
            <w:r>
              <w:rPr>
                <w:webHidden/>
                <w:rStyle w:val="IndexLink"/>
              </w:rPr>
              <w:t>4. What must be recovered</w:t>
              <w:tab/>
              <w:t>7</w:t>
            </w:r>
          </w:hyperlink>
        </w:p>
        <w:p>
          <w:pPr>
            <w:pStyle w:val="TOC2"/>
            <w:tabs>
              <w:tab w:val="clear" w:pos="900"/>
              <w:tab w:val="clear" w:pos="9350"/>
              <w:tab w:val="right" w:pos="9025" w:leader="dot"/>
            </w:tabs>
            <w:rPr/>
          </w:pPr>
          <w:hyperlink w:anchor="__RefHeading___Toc151583_3199679052">
            <w:r>
              <w:rPr>
                <w:webHidden/>
                <w:rStyle w:val="IndexLink"/>
              </w:rPr>
              <w:t>4.1 Critical business processes</w:t>
              <w:tab/>
              <w:t>7</w:t>
            </w:r>
          </w:hyperlink>
        </w:p>
        <w:p>
          <w:pPr>
            <w:pStyle w:val="TOC2"/>
            <w:tabs>
              <w:tab w:val="clear" w:pos="900"/>
              <w:tab w:val="clear" w:pos="9350"/>
              <w:tab w:val="right" w:pos="9025" w:leader="dot"/>
            </w:tabs>
            <w:rPr/>
          </w:pPr>
          <w:hyperlink w:anchor="__RefHeading___Toc151585_3199679052">
            <w:r>
              <w:rPr>
                <w:webHidden/>
                <w:rStyle w:val="IndexLink"/>
              </w:rPr>
              <w:t>4.2 Service tiers</w:t>
              <w:tab/>
              <w:t>7</w:t>
            </w:r>
          </w:hyperlink>
        </w:p>
        <w:p>
          <w:pPr>
            <w:pStyle w:val="TOC1"/>
            <w:tabs>
              <w:tab w:val="clear" w:pos="900"/>
              <w:tab w:val="clear" w:pos="9350"/>
              <w:tab w:val="right" w:pos="9025" w:leader="dot"/>
            </w:tabs>
            <w:rPr/>
          </w:pPr>
          <w:hyperlink w:anchor="__RefHeading___Toc151587_3199679052">
            <w:r>
              <w:rPr>
                <w:webHidden/>
                <w:rStyle w:val="IndexLink"/>
              </w:rPr>
              <w:t>5. Recovery objectives</w:t>
              <w:tab/>
              <w:t>8</w:t>
            </w:r>
          </w:hyperlink>
        </w:p>
        <w:p>
          <w:pPr>
            <w:pStyle w:val="TOC2"/>
            <w:tabs>
              <w:tab w:val="clear" w:pos="900"/>
              <w:tab w:val="clear" w:pos="9350"/>
              <w:tab w:val="right" w:pos="9025" w:leader="dot"/>
            </w:tabs>
            <w:rPr/>
          </w:pPr>
          <w:hyperlink w:anchor="__RefHeading___Toc151589_3199679052">
            <w:r>
              <w:rPr>
                <w:webHidden/>
                <w:rStyle w:val="IndexLink"/>
              </w:rPr>
              <w:t>5.1 Objectives by scenario</w:t>
              <w:tab/>
              <w:t>8</w:t>
            </w:r>
          </w:hyperlink>
        </w:p>
        <w:p>
          <w:pPr>
            <w:pStyle w:val="TOC2"/>
            <w:tabs>
              <w:tab w:val="clear" w:pos="900"/>
              <w:tab w:val="clear" w:pos="9350"/>
              <w:tab w:val="right" w:pos="9025" w:leader="dot"/>
            </w:tabs>
            <w:rPr/>
          </w:pPr>
          <w:hyperlink w:anchor="__RefHeading___Toc151591_3199679052">
            <w:r>
              <w:rPr>
                <w:webHidden/>
                <w:rStyle w:val="IndexLink"/>
              </w:rPr>
              <w:t>5.2 Objectives by hosting option</w:t>
              <w:tab/>
              <w:t>8</w:t>
            </w:r>
          </w:hyperlink>
        </w:p>
        <w:p>
          <w:pPr>
            <w:pStyle w:val="TOC2"/>
            <w:tabs>
              <w:tab w:val="clear" w:pos="900"/>
              <w:tab w:val="clear" w:pos="9350"/>
              <w:tab w:val="right" w:pos="9025" w:leader="dot"/>
            </w:tabs>
            <w:rPr/>
          </w:pPr>
          <w:hyperlink w:anchor="__RefHeading___Toc151593_3199679052">
            <w:r>
              <w:rPr>
                <w:webHidden/>
                <w:rStyle w:val="IndexLink"/>
              </w:rPr>
              <w:t>5.3 Availability target</w:t>
              <w:tab/>
              <w:t>9</w:t>
            </w:r>
          </w:hyperlink>
        </w:p>
        <w:p>
          <w:pPr>
            <w:pStyle w:val="TOC1"/>
            <w:tabs>
              <w:tab w:val="clear" w:pos="900"/>
              <w:tab w:val="clear" w:pos="9350"/>
              <w:tab w:val="right" w:pos="9025" w:leader="dot"/>
            </w:tabs>
            <w:rPr/>
          </w:pPr>
          <w:hyperlink w:anchor="__RefHeading___Toc151595_3199679052">
            <w:r>
              <w:rPr>
                <w:webHidden/>
                <w:rStyle w:val="IndexLink"/>
              </w:rPr>
              <w:t>6. Backup scheme</w:t>
              <w:tab/>
              <w:t>10</w:t>
            </w:r>
          </w:hyperlink>
        </w:p>
        <w:p>
          <w:pPr>
            <w:pStyle w:val="TOC2"/>
            <w:tabs>
              <w:tab w:val="clear" w:pos="900"/>
              <w:tab w:val="clear" w:pos="9350"/>
              <w:tab w:val="right" w:pos="9025" w:leader="dot"/>
            </w:tabs>
            <w:rPr/>
          </w:pPr>
          <w:hyperlink w:anchor="__RefHeading___Toc151597_3199679052">
            <w:r>
              <w:rPr>
                <w:webHidden/>
                <w:rStyle w:val="IndexLink"/>
              </w:rPr>
              <w:t>6.1 Backups</w:t>
              <w:tab/>
              <w:t>10</w:t>
            </w:r>
          </w:hyperlink>
        </w:p>
        <w:p>
          <w:pPr>
            <w:pStyle w:val="TOC2"/>
            <w:tabs>
              <w:tab w:val="clear" w:pos="900"/>
              <w:tab w:val="clear" w:pos="9350"/>
              <w:tab w:val="right" w:pos="9025" w:leader="dot"/>
            </w:tabs>
            <w:rPr/>
          </w:pPr>
          <w:hyperlink w:anchor="__RefHeading___Toc151599_3199679052">
            <w:r>
              <w:rPr>
                <w:webHidden/>
                <w:rStyle w:val="IndexLink"/>
              </w:rPr>
              <w:t>6.2 Why the encryption key matters</w:t>
              <w:tab/>
              <w:t>10</w:t>
            </w:r>
          </w:hyperlink>
        </w:p>
        <w:p>
          <w:pPr>
            <w:pStyle w:val="TOC1"/>
            <w:tabs>
              <w:tab w:val="clear" w:pos="900"/>
              <w:tab w:val="clear" w:pos="9350"/>
              <w:tab w:val="right" w:pos="9025" w:leader="dot"/>
            </w:tabs>
            <w:rPr/>
          </w:pPr>
          <w:hyperlink w:anchor="__RefHeading___Toc151601_3199679052">
            <w:r>
              <w:rPr>
                <w:webHidden/>
                <w:rStyle w:val="IndexLink"/>
              </w:rPr>
              <w:t>7. Restore procedures</w:t>
              <w:tab/>
              <w:t>11</w:t>
            </w:r>
          </w:hyperlink>
        </w:p>
        <w:p>
          <w:pPr>
            <w:pStyle w:val="TOC2"/>
            <w:tabs>
              <w:tab w:val="clear" w:pos="900"/>
              <w:tab w:val="clear" w:pos="9350"/>
              <w:tab w:val="right" w:pos="9025" w:leader="dot"/>
            </w:tabs>
            <w:rPr/>
          </w:pPr>
          <w:hyperlink w:anchor="__RefHeading___Toc151603_3199679052">
            <w:r>
              <w:rPr>
                <w:webHidden/>
                <w:rStyle w:val="IndexLink"/>
              </w:rPr>
              <w:t>7.1 Common steps for every restore</w:t>
              <w:tab/>
              <w:t>11</w:t>
            </w:r>
          </w:hyperlink>
        </w:p>
        <w:p>
          <w:pPr>
            <w:pStyle w:val="TOC2"/>
            <w:tabs>
              <w:tab w:val="clear" w:pos="900"/>
              <w:tab w:val="clear" w:pos="9350"/>
              <w:tab w:val="right" w:pos="9025" w:leader="dot"/>
            </w:tabs>
            <w:rPr/>
          </w:pPr>
          <w:hyperlink w:anchor="__RefHeading___Toc151605_3199679052">
            <w:r>
              <w:rPr>
                <w:webHidden/>
                <w:rStyle w:val="IndexLink"/>
              </w:rPr>
              <w:t>7.2 Business checks after a restore</w:t>
              <w:tab/>
              <w:t>11</w:t>
            </w:r>
          </w:hyperlink>
        </w:p>
        <w:p>
          <w:pPr>
            <w:pStyle w:val="TOC2"/>
            <w:tabs>
              <w:tab w:val="clear" w:pos="900"/>
              <w:tab w:val="clear" w:pos="9350"/>
              <w:tab w:val="right" w:pos="9025" w:leader="dot"/>
            </w:tabs>
            <w:rPr/>
          </w:pPr>
          <w:hyperlink w:anchor="__RefHeading___Toc151607_3199679052">
            <w:r>
              <w:rPr>
                <w:webHidden/>
                <w:rStyle w:val="IndexLink"/>
              </w:rPr>
              <w:t>7.3 Database: point-in-time recovery</w:t>
              <w:tab/>
              <w:t>11</w:t>
            </w:r>
          </w:hyperlink>
        </w:p>
        <w:p>
          <w:pPr>
            <w:pStyle w:val="TOC2"/>
            <w:tabs>
              <w:tab w:val="clear" w:pos="900"/>
              <w:tab w:val="clear" w:pos="9350"/>
              <w:tab w:val="right" w:pos="9025" w:leader="dot"/>
            </w:tabs>
            <w:rPr/>
          </w:pPr>
          <w:hyperlink w:anchor="__RefHeading___Toc151609_3199679052">
            <w:r>
              <w:rPr>
                <w:webHidden/>
                <w:rStyle w:val="IndexLink"/>
              </w:rPr>
              <w:t>7.4 Database: snapshot or logical dump</w:t>
              <w:tab/>
              <w:t>12</w:t>
            </w:r>
          </w:hyperlink>
        </w:p>
        <w:p>
          <w:pPr>
            <w:pStyle w:val="TOC2"/>
            <w:tabs>
              <w:tab w:val="clear" w:pos="900"/>
              <w:tab w:val="clear" w:pos="9350"/>
              <w:tab w:val="right" w:pos="9025" w:leader="dot"/>
            </w:tabs>
            <w:rPr/>
          </w:pPr>
          <w:hyperlink w:anchor="__RefHeading___Toc151611_3199679052">
            <w:r>
              <w:rPr>
                <w:webHidden/>
                <w:rStyle w:val="IndexLink"/>
              </w:rPr>
              <w:t>7.5 File store</w:t>
              <w:tab/>
              <w:t>12</w:t>
            </w:r>
          </w:hyperlink>
        </w:p>
        <w:p>
          <w:pPr>
            <w:pStyle w:val="TOC2"/>
            <w:tabs>
              <w:tab w:val="clear" w:pos="900"/>
              <w:tab w:val="clear" w:pos="9350"/>
              <w:tab w:val="right" w:pos="9025" w:leader="dot"/>
            </w:tabs>
            <w:rPr/>
          </w:pPr>
          <w:hyperlink w:anchor="__RefHeading___Toc151613_3199679052">
            <w:r>
              <w:rPr>
                <w:webHidden/>
                <w:rStyle w:val="IndexLink"/>
              </w:rPr>
              <w:t>7.6 Region or site loss</w:t>
              <w:tab/>
              <w:t>12</w:t>
            </w:r>
          </w:hyperlink>
        </w:p>
        <w:p>
          <w:pPr>
            <w:pStyle w:val="TOC2"/>
            <w:tabs>
              <w:tab w:val="clear" w:pos="900"/>
              <w:tab w:val="clear" w:pos="9350"/>
              <w:tab w:val="right" w:pos="9025" w:leader="dot"/>
            </w:tabs>
            <w:rPr/>
          </w:pPr>
          <w:hyperlink w:anchor="__RefHeading___Toc151615_3199679052">
            <w:r>
              <w:rPr>
                <w:webHidden/>
                <w:rStyle w:val="IndexLink"/>
              </w:rPr>
              <w:t>7.7 Front end and secrets</w:t>
              <w:tab/>
              <w:t>12</w:t>
            </w:r>
          </w:hyperlink>
        </w:p>
        <w:p>
          <w:pPr>
            <w:pStyle w:val="TOC2"/>
            <w:tabs>
              <w:tab w:val="clear" w:pos="900"/>
              <w:tab w:val="clear" w:pos="9350"/>
              <w:tab w:val="right" w:pos="9025" w:leader="dot"/>
            </w:tabs>
            <w:rPr/>
          </w:pPr>
          <w:hyperlink w:anchor="__RefHeading___Toc151617_3199679052">
            <w:r>
              <w:rPr>
                <w:webHidden/>
                <w:rStyle w:val="IndexLink"/>
              </w:rPr>
              <w:t>7.8 Release rollback</w:t>
              <w:tab/>
              <w:t>13</w:t>
            </w:r>
          </w:hyperlink>
        </w:p>
        <w:p>
          <w:pPr>
            <w:pStyle w:val="TOC1"/>
            <w:tabs>
              <w:tab w:val="clear" w:pos="900"/>
              <w:tab w:val="clear" w:pos="9350"/>
              <w:tab w:val="right" w:pos="9025" w:leader="dot"/>
            </w:tabs>
            <w:rPr/>
          </w:pPr>
          <w:hyperlink w:anchor="__RefHeading___Toc151619_3199679052">
            <w:r>
              <w:rPr>
                <w:webHidden/>
                <w:rStyle w:val="IndexLink"/>
              </w:rPr>
              <w:t>8. Scenarios</w:t>
              <w:tab/>
              <w:t>14</w:t>
            </w:r>
          </w:hyperlink>
        </w:p>
        <w:p>
          <w:pPr>
            <w:pStyle w:val="TOC2"/>
            <w:tabs>
              <w:tab w:val="clear" w:pos="900"/>
              <w:tab w:val="clear" w:pos="9350"/>
              <w:tab w:val="right" w:pos="9025" w:leader="dot"/>
            </w:tabs>
            <w:rPr/>
          </w:pPr>
          <w:hyperlink w:anchor="__RefHeading___Toc151621_3199679052">
            <w:r>
              <w:rPr>
                <w:webHidden/>
                <w:rStyle w:val="IndexLink"/>
              </w:rPr>
              <w:t>8.1 Region or data centre outage</w:t>
              <w:tab/>
              <w:t>14</w:t>
            </w:r>
          </w:hyperlink>
        </w:p>
        <w:p>
          <w:pPr>
            <w:pStyle w:val="TOC2"/>
            <w:tabs>
              <w:tab w:val="clear" w:pos="900"/>
              <w:tab w:val="clear" w:pos="9350"/>
              <w:tab w:val="right" w:pos="9025" w:leader="dot"/>
            </w:tabs>
            <w:rPr/>
          </w:pPr>
          <w:hyperlink w:anchor="__RefHeading___Toc151623_3199679052">
            <w:r>
              <w:rPr>
                <w:webHidden/>
                <w:rStyle w:val="IndexLink"/>
              </w:rPr>
              <w:t>8.2 Database corruption or wrong mass change</w:t>
              <w:tab/>
              <w:t>14</w:t>
            </w:r>
          </w:hyperlink>
        </w:p>
        <w:p>
          <w:pPr>
            <w:pStyle w:val="TOC2"/>
            <w:tabs>
              <w:tab w:val="clear" w:pos="900"/>
              <w:tab w:val="clear" w:pos="9350"/>
              <w:tab w:val="right" w:pos="9025" w:leader="dot"/>
            </w:tabs>
            <w:rPr/>
          </w:pPr>
          <w:hyperlink w:anchor="__RefHeading___Toc151625_3199679052">
            <w:r>
              <w:rPr>
                <w:webHidden/>
                <w:rStyle w:val="IndexLink"/>
              </w:rPr>
              <w:t>8.3 Ransomware or destructive attack</w:t>
              <w:tab/>
              <w:t>14</w:t>
            </w:r>
          </w:hyperlink>
        </w:p>
        <w:p>
          <w:pPr>
            <w:pStyle w:val="TOC2"/>
            <w:tabs>
              <w:tab w:val="clear" w:pos="900"/>
              <w:tab w:val="clear" w:pos="9350"/>
              <w:tab w:val="right" w:pos="9025" w:leader="dot"/>
            </w:tabs>
            <w:rPr/>
          </w:pPr>
          <w:hyperlink w:anchor="__RefHeading___Toc151627_3199679052">
            <w:r>
              <w:rPr>
                <w:webHidden/>
                <w:rStyle w:val="IndexLink"/>
              </w:rPr>
              <w:t>8.4 Key person loss</w:t>
              <w:tab/>
              <w:t>15</w:t>
            </w:r>
          </w:hyperlink>
        </w:p>
        <w:p>
          <w:pPr>
            <w:pStyle w:val="TOC2"/>
            <w:tabs>
              <w:tab w:val="clear" w:pos="900"/>
              <w:tab w:val="clear" w:pos="9350"/>
              <w:tab w:val="right" w:pos="9025" w:leader="dot"/>
            </w:tabs>
            <w:rPr/>
          </w:pPr>
          <w:hyperlink w:anchor="__RefHeading___Toc151629_3199679052">
            <w:r>
              <w:rPr>
                <w:webHidden/>
                <w:rStyle w:val="IndexLink"/>
              </w:rPr>
              <w:t>8.5 Vendor exit or failure</w:t>
              <w:tab/>
              <w:t>15</w:t>
            </w:r>
          </w:hyperlink>
        </w:p>
        <w:p>
          <w:pPr>
            <w:pStyle w:val="TOC2"/>
            <w:tabs>
              <w:tab w:val="clear" w:pos="900"/>
              <w:tab w:val="clear" w:pos="9350"/>
              <w:tab w:val="right" w:pos="9025" w:leader="dot"/>
            </w:tabs>
            <w:rPr/>
          </w:pPr>
          <w:hyperlink w:anchor="__RefHeading___Toc151631_3199679052">
            <w:r>
              <w:rPr>
                <w:webHidden/>
                <w:rStyle w:val="IndexLink"/>
              </w:rPr>
              <w:t>8.6 Third-party outages</w:t>
              <w:tab/>
              <w:t>15</w:t>
            </w:r>
          </w:hyperlink>
        </w:p>
        <w:p>
          <w:pPr>
            <w:pStyle w:val="TOC1"/>
            <w:tabs>
              <w:tab w:val="clear" w:pos="900"/>
              <w:tab w:val="clear" w:pos="9350"/>
              <w:tab w:val="right" w:pos="9025" w:leader="dot"/>
            </w:tabs>
            <w:rPr/>
          </w:pPr>
          <w:hyperlink w:anchor="__RefHeading___Toc151633_3199679052">
            <w:r>
              <w:rPr>
                <w:webHidden/>
                <w:rStyle w:val="IndexLink"/>
              </w:rPr>
              <w:t>9. Manual workarounds while the system is down</w:t>
              <w:tab/>
              <w:t>16</w:t>
            </w:r>
          </w:hyperlink>
        </w:p>
        <w:p>
          <w:pPr>
            <w:pStyle w:val="TOC1"/>
            <w:tabs>
              <w:tab w:val="clear" w:pos="900"/>
              <w:tab w:val="clear" w:pos="9350"/>
              <w:tab w:val="right" w:pos="9025" w:leader="dot"/>
            </w:tabs>
            <w:rPr/>
          </w:pPr>
          <w:hyperlink w:anchor="__RefHeading___Toc151635_3199679052">
            <w:r>
              <w:rPr>
                <w:webHidden/>
                <w:rStyle w:val="IndexLink"/>
              </w:rPr>
              <w:t>10. Roles and responsibilities</w:t>
              <w:tab/>
              <w:t>17</w:t>
            </w:r>
          </w:hyperlink>
        </w:p>
        <w:p>
          <w:pPr>
            <w:pStyle w:val="TOC1"/>
            <w:tabs>
              <w:tab w:val="clear" w:pos="900"/>
              <w:tab w:val="clear" w:pos="9350"/>
              <w:tab w:val="right" w:pos="9025" w:leader="dot"/>
            </w:tabs>
            <w:rPr/>
          </w:pPr>
          <w:hyperlink w:anchor="__RefHeading___Toc151637_3199679052">
            <w:r>
              <w:rPr>
                <w:webHidden/>
                <w:rStyle w:val="IndexLink"/>
              </w:rPr>
              <w:t>11. Communication</w:t>
              <w:tab/>
              <w:t>18</w:t>
            </w:r>
          </w:hyperlink>
        </w:p>
        <w:p>
          <w:pPr>
            <w:pStyle w:val="TOC1"/>
            <w:tabs>
              <w:tab w:val="clear" w:pos="900"/>
              <w:tab w:val="clear" w:pos="9350"/>
              <w:tab w:val="right" w:pos="9025" w:leader="dot"/>
            </w:tabs>
            <w:rPr/>
          </w:pPr>
          <w:hyperlink w:anchor="__RefHeading___Toc151639_3199679052">
            <w:r>
              <w:rPr>
                <w:webHidden/>
                <w:rStyle w:val="IndexLink"/>
              </w:rPr>
              <w:t>12. DR drills and evidence</w:t>
              <w:tab/>
              <w:t>19</w:t>
            </w:r>
          </w:hyperlink>
        </w:p>
        <w:p>
          <w:pPr>
            <w:pStyle w:val="TOC2"/>
            <w:tabs>
              <w:tab w:val="clear" w:pos="900"/>
              <w:tab w:val="clear" w:pos="9350"/>
              <w:tab w:val="right" w:pos="9025" w:leader="dot"/>
            </w:tabs>
            <w:rPr/>
          </w:pPr>
          <w:hyperlink w:anchor="__RefHeading___Toc151641_3199679052">
            <w:r>
              <w:rPr>
                <w:webHidden/>
                <w:rStyle w:val="IndexLink"/>
              </w:rPr>
              <w:t>12.1 Drill calendar</w:t>
              <w:tab/>
              <w:t>19</w:t>
            </w:r>
          </w:hyperlink>
        </w:p>
        <w:p>
          <w:pPr>
            <w:pStyle w:val="TOC2"/>
            <w:tabs>
              <w:tab w:val="clear" w:pos="900"/>
              <w:tab w:val="clear" w:pos="9350"/>
              <w:tab w:val="right" w:pos="9025" w:leader="dot"/>
            </w:tabs>
            <w:rPr/>
          </w:pPr>
          <w:hyperlink w:anchor="__RefHeading___Toc151643_3199679052">
            <w:r>
              <w:rPr>
                <w:webHidden/>
                <w:rStyle w:val="IndexLink"/>
              </w:rPr>
              <w:t>12.2 Evidence kept</w:t>
              <w:tab/>
              <w:t>19</w:t>
            </w:r>
          </w:hyperlink>
        </w:p>
        <w:p>
          <w:pPr>
            <w:pStyle w:val="TOC1"/>
            <w:tabs>
              <w:tab w:val="clear" w:pos="900"/>
              <w:tab w:val="clear" w:pos="9350"/>
              <w:tab w:val="right" w:pos="9025" w:leader="dot"/>
            </w:tabs>
            <w:rPr/>
          </w:pPr>
          <w:hyperlink w:anchor="__RefHeading___Toc151645_3199679052">
            <w:r>
              <w:rPr>
                <w:webHidden/>
                <w:rStyle w:val="IndexLink"/>
              </w:rPr>
              <w:t>13. Maintaining this plan</w:t>
              <w:tab/>
              <w:t>20</w:t>
            </w:r>
          </w:hyperlink>
        </w:p>
        <w:p>
          <w:pPr>
            <w:pStyle w:val="TOC1"/>
            <w:tabs>
              <w:tab w:val="clear" w:pos="900"/>
              <w:tab w:val="clear" w:pos="9350"/>
              <w:tab w:val="right" w:pos="9025" w:leader="dot"/>
            </w:tabs>
            <w:rPr/>
          </w:pPr>
          <w:hyperlink w:anchor="__RefHeading___Toc151647_3199679052">
            <w:r>
              <w:rPr>
                <w:webHidden/>
                <w:rStyle w:val="IndexLink"/>
                <w:i w:val="false"/>
                <w:iCs w:val="false"/>
              </w:rPr>
              <w:t>14. Document Sign-Off</w:t>
            </w:r>
            <w:r>
              <w:rPr>
                <w:rStyle w:val="IndexLink"/>
              </w:rPr>
              <w:tab/>
              <w:t>21</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51569_3199679052"/>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51571_3199679052"/>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BCP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Business continuity plan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Disaster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time objective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point objective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PITR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Point-in-time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WAL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Write-ahead log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AZ</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Availability zone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DNS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Domain Name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CDN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Content delivery network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time (UTC+8)</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advisory board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L1, L2, L3</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Support levels 1, 2 and 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P1</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Severity 1 (critical)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51573_3199679052"/>
      <w:bookmarkEnd w:id="6"/>
      <w:r>
        <w:rPr>
          <w:rFonts w:eastAsia="Segoe UI" w:cs="Segoe UI" w:ascii="Segoe UI" w:hAnsi="Segoe UI"/>
          <w:b/>
          <w:color w:val="0F4761"/>
          <w:sz w:val="32"/>
        </w:rPr>
        <w:t>3.  Introduction</w:t>
      </w:r>
    </w:p>
    <w:p>
      <w:pPr>
        <w:pStyle w:val="Heading2"/>
        <w:rPr/>
      </w:pPr>
      <w:bookmarkStart w:id="7" w:name="__RefHeading___Toc151575_3199679052"/>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plan sets out how BrokerVerse OOTB and the broking work that depends on it continue, or are restored, after a disruption: the failure of a server, a database or a whole hosting region, a corrupted database, a ransomware attack, the loss of a key person, or the end of the relationship with iorta TechNXT. It gives the recovery objectives per hosting option, the backup scheme, the restore procedures, the drill plan and the evidence kept, the roles and the communication.</w:t>
      </w:r>
    </w:p>
    <w:p>
      <w:pPr>
        <w:pStyle w:val="Normal"/>
        <w:spacing w:lineRule="auto" w:line="276" w:before="0" w:after="120"/>
        <w:rPr/>
      </w:pPr>
      <w:r>
        <w:rPr>
          <w:rFonts w:eastAsia="Segoe UI" w:cs="Segoe UI" w:ascii="Segoe UI" w:hAnsi="Segoe UI"/>
          <w:color w:val="101820"/>
          <w:sz w:val="21"/>
        </w:rPr>
        <w:t>It is written for the broker's management, IT head, Accounting Manager and DPO, and for the iorta TechNXT support and DevOps teams.</w:t>
      </w:r>
    </w:p>
    <w:p>
      <w:pPr>
        <w:pStyle w:val="Heading2"/>
        <w:rPr/>
      </w:pPr>
      <w:bookmarkStart w:id="8" w:name="__RefHeading___Toc151577_3199679052"/>
      <w:bookmarkEnd w:id="8"/>
      <w:r>
        <w:rPr>
          <w:rFonts w:eastAsia="Segoe UI" w:cs="Segoe UI"/>
          <w:b/>
          <w:color w:val="0F4761"/>
          <w:sz w:val="26"/>
        </w:rPr>
        <w:t>3.2  Sources and labels</w:t>
      </w:r>
    </w:p>
    <w:p>
      <w:pPr>
        <w:pStyle w:val="Normal"/>
        <w:spacing w:lineRule="auto" w:line="276" w:before="0" w:after="120"/>
        <w:rPr/>
      </w:pPr>
      <w:r>
        <w:rPr>
          <w:rFonts w:eastAsia="Segoe UI" w:cs="Segoe UI" w:ascii="Segoe UI" w:hAnsi="Segoe UI"/>
          <w:color w:val="101820"/>
          <w:sz w:val="21"/>
        </w:rPr>
        <w:t>The recovery objectives and the backup scheme come from the Architecture, Infrastructure, Security and Data Privacy document (chapter on high availability, backup and recovery), the Solution Architecture documents 07 (high availability), 08 (RTO and RPO) and 09 (backup and recovery), the Hosting and Infrastructure Services Agreement and the Production Support Approach and Standards.</w:t>
      </w:r>
    </w:p>
    <w:p>
      <w:pPr>
        <w:pStyle w:val="Normal"/>
        <w:numPr>
          <w:ilvl w:val="0"/>
          <w:numId w:val="1"/>
        </w:numPr>
        <w:spacing w:before="0" w:after="60"/>
        <w:rPr/>
      </w:pPr>
      <w:r>
        <w:rPr>
          <w:rFonts w:eastAsia="Segoe UI" w:cs="Segoe UI" w:ascii="Segoe UI" w:hAnsi="Segoe UI"/>
          <w:b/>
          <w:color w:val="101820"/>
          <w:sz w:val="21"/>
        </w:rPr>
        <w:t>Recommended</w:t>
      </w:r>
      <w:r>
        <w:rPr>
          <w:rFonts w:eastAsia="Segoe UI" w:cs="Segoe UI" w:ascii="Segoe UI" w:hAnsi="Segoe UI"/>
          <w:color w:val="101820"/>
          <w:sz w:val="21"/>
        </w:rPr>
        <w:t xml:space="preserve"> marks a procedure or a value that iorta TechNXT advises and that is not built into the code or the deployment package.</w:t>
      </w:r>
    </w:p>
    <w:p>
      <w:pPr>
        <w:pStyle w:val="Normal"/>
        <w:numPr>
          <w:ilvl w:val="0"/>
          <w:numId w:val="1"/>
        </w:numPr>
        <w:spacing w:before="0" w:after="60"/>
        <w:rPr/>
      </w:pPr>
      <w:r>
        <w:rPr>
          <w:rFonts w:eastAsia="Segoe UI" w:cs="Segoe UI" w:ascii="Segoe UI" w:hAnsi="Segoe UI"/>
          <w:b/>
          <w:color w:val="101820"/>
          <w:sz w:val="21"/>
        </w:rPr>
        <w:t>[to confirm]</w:t>
      </w:r>
      <w:r>
        <w:rPr>
          <w:rFonts w:eastAsia="Segoe UI" w:cs="Segoe UI" w:ascii="Segoe UI" w:hAnsi="Segoe UI"/>
          <w:color w:val="101820"/>
          <w:sz w:val="21"/>
        </w:rPr>
        <w:t xml:space="preserve"> marks a fact that must be completed for each broker (names, telephone numbers, partner details) or decided by iorta TechNXT management.</w:t>
      </w:r>
    </w:p>
    <w:p>
      <w:pPr>
        <w:pStyle w:val="Normal"/>
        <w:spacing w:lineRule="auto" w:line="276" w:before="0" w:after="120"/>
        <w:rPr/>
      </w:pPr>
      <w:r>
        <w:rPr>
          <w:rFonts w:eastAsia="Segoe UI" w:cs="Segoe UI" w:ascii="Segoe UI" w:hAnsi="Segoe UI"/>
          <w:color w:val="101820"/>
          <w:sz w:val="21"/>
        </w:rPr>
        <w:t>Nothing in the code sets an RTO or RPO. The objectives in this plan become binding only when the broker accepts them in the Order Form and the environment is provisioned to meet them.</w:t>
      </w:r>
    </w:p>
    <w:p>
      <w:pPr>
        <w:pStyle w:val="Heading2"/>
        <w:rPr/>
      </w:pPr>
      <w:bookmarkStart w:id="9" w:name="__RefHeading___Toc151579_3199679052"/>
      <w:bookmarkEnd w:id="9"/>
      <w:r>
        <w:rPr>
          <w:rFonts w:eastAsia="Segoe UI" w:cs="Segoe UI"/>
          <w:b/>
          <w:color w:val="0F4761"/>
          <w:sz w:val="26"/>
        </w:rPr>
        <w:t>3.3  Scope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 scope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Out of scope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BrokerVerse production environment: web front end, API instances, PostgreSQL database, file store, secrets, scheduled jobs and outgoing e-mail</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own office network, devices, telephony and premises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DR environment or cross-region backups, where the Order Form includes them</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insurers', banks' and payment gateways' own systems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iorta TechNXT support and engineering service for BrokerVerse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corporate business continuity plan, which this plan feeds into</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Manual workarounds for the broker's critical business processes while the system is down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Recovery of data deleted by users beyond what the backups hold</w:t>
            </w:r>
          </w:p>
        </w:tc>
      </w:tr>
    </w:tbl>
    <w:p>
      <w:pPr>
        <w:pStyle w:val="Heading1"/>
        <w:rPr/>
      </w:pPr>
      <w:r>
        <w:br w:type="page"/>
      </w:r>
      <w:bookmarkStart w:id="10" w:name="__RefHeading___Toc151581_3199679052"/>
      <w:bookmarkEnd w:id="10"/>
      <w:r>
        <w:rPr>
          <w:rFonts w:eastAsia="Segoe UI" w:cs="Segoe UI" w:ascii="Segoe UI" w:hAnsi="Segoe UI"/>
          <w:b/>
          <w:color w:val="0F4761"/>
          <w:sz w:val="32"/>
        </w:rPr>
        <w:t>4.  What must be recovered</w:t>
      </w:r>
    </w:p>
    <w:p>
      <w:pPr>
        <w:pStyle w:val="Heading2"/>
        <w:rPr/>
      </w:pPr>
      <w:bookmarkStart w:id="11" w:name="__RefHeading___Toc151583_3199679052"/>
      <w:bookmarkEnd w:id="11"/>
      <w:r>
        <w:rPr>
          <w:rFonts w:eastAsia="Segoe UI" w:cs="Segoe UI"/>
          <w:b/>
          <w:color w:val="0F4761"/>
          <w:sz w:val="26"/>
        </w:rPr>
        <w:t>4.1  Critical business processes</w:t>
      </w:r>
    </w:p>
    <w:p>
      <w:pPr>
        <w:pStyle w:val="Normal"/>
        <w:spacing w:lineRule="auto" w:line="276" w:before="0" w:after="120"/>
        <w:rPr/>
      </w:pPr>
      <w:r>
        <w:rPr>
          <w:rFonts w:eastAsia="Segoe UI" w:cs="Segoe UI" w:ascii="Segoe UI" w:hAnsi="Segoe UI"/>
          <w:color w:val="101820"/>
          <w:sz w:val="21"/>
        </w:rPr>
        <w:t>The broker ranks its processes at the start of the engagement. The ranking below is the default proposal.</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747"/>
        <w:gridCol w:w="2658"/>
        <w:gridCol w:w="270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Rank</w:t>
            </w:r>
          </w:p>
        </w:tc>
        <w:tc>
          <w:tcPr>
            <w:tcW w:w="27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Process</w:t>
            </w:r>
          </w:p>
        </w:tc>
        <w:tc>
          <w:tcPr>
            <w:tcW w:w="26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Maximum tolerable outage (proposal)</w:t>
            </w:r>
          </w:p>
        </w:tc>
        <w:tc>
          <w:tcPr>
            <w:tcW w:w="27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2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receipts and payment capture</w:t>
            </w:r>
          </w:p>
        </w:tc>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business day</w:t>
            </w:r>
          </w:p>
        </w:tc>
        <w:tc>
          <w:tcPr>
            <w:tcW w:w="27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pay daily; receipts must follow the BIR rules on the day of payment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2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issuance, including motor and CTPL</w:t>
            </w:r>
          </w:p>
        </w:tc>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business day</w:t>
            </w:r>
          </w:p>
        </w:tc>
        <w:tc>
          <w:tcPr>
            <w:tcW w:w="27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need cover and the certificate of cover to register vehicles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2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notification and status</w:t>
            </w:r>
          </w:p>
        </w:tc>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business day</w:t>
            </w:r>
          </w:p>
        </w:tc>
        <w:tc>
          <w:tcPr>
            <w:tcW w:w="27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advice to insurers is time-bound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2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to insurers</w:t>
            </w:r>
          </w:p>
        </w:tc>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business days</w:t>
            </w:r>
          </w:p>
        </w:tc>
        <w:tc>
          <w:tcPr>
            <w:tcW w:w="27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is due on the insurer's terms; a short delay is usually acceptable if insurers are told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2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Endorsements, renewals and quotations</w:t>
            </w:r>
          </w:p>
        </w:tc>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business days</w:t>
            </w:r>
          </w:p>
        </w:tc>
        <w:tc>
          <w:tcPr>
            <w:tcW w:w="27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notices run 60, 30 and 15 days before expiry, so a short outage does not cause a lapse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2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 bank and insurer reconciliation, BIR working papers</w:t>
            </w:r>
          </w:p>
        </w:tc>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business days, except around filing deadlines</w:t>
            </w:r>
          </w:p>
        </w:tc>
        <w:tc>
          <w:tcPr>
            <w:tcW w:w="27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and filing dates are known in advance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2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dashboards, incentives, reinsurance</w:t>
            </w:r>
          </w:p>
        </w:tc>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business days</w:t>
            </w:r>
          </w:p>
        </w:tc>
        <w:tc>
          <w:tcPr>
            <w:tcW w:w="27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needed for the day's transactions</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Avoid releases and DR drills in the last three business days of the month and in the week before a BIR filing deadline.</w:t>
      </w:r>
    </w:p>
    <w:p>
      <w:pPr>
        <w:pStyle w:val="Heading2"/>
        <w:rPr/>
      </w:pPr>
      <w:bookmarkStart w:id="12" w:name="__RefHeading___Toc151585_3199679052"/>
      <w:bookmarkEnd w:id="12"/>
      <w:r>
        <w:rPr>
          <w:rFonts w:eastAsia="Segoe UI" w:cs="Segoe UI"/>
          <w:b/>
          <w:color w:val="0F4761"/>
          <w:sz w:val="26"/>
        </w:rPr>
        <w:t>4.2  Service tiers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745"/>
        <w:gridCol w:w="2689"/>
        <w:gridCol w:w="2674"/>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Tier</w:t>
            </w:r>
          </w:p>
        </w:tc>
        <w:tc>
          <w:tcPr>
            <w:tcW w:w="27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c>
          <w:tcPr>
            <w:tcW w:w="26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 it lives</w:t>
            </w:r>
          </w:p>
        </w:tc>
        <w:tc>
          <w:tcPr>
            <w:tcW w:w="26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Recovered from</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27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Core transactions: clients, policies, bills, receipts, journals, remittances, claims, the audit trail</w:t>
            </w:r>
          </w:p>
        </w:tc>
        <w:tc>
          <w:tcPr>
            <w:tcW w:w="26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w:t>
            </w:r>
          </w:p>
        </w:tc>
        <w:tc>
          <w:tcPr>
            <w:tcW w:w="26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Standby, PITR, snapshots, logical dumps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27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 KYC images, claim photos, uploaded statements, generated PDFs</w:t>
            </w:r>
          </w:p>
        </w:tc>
        <w:tc>
          <w:tcPr>
            <w:tcW w:w="26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File store at </w:t>
            </w:r>
            <w:r>
              <w:rPr>
                <w:rFonts w:eastAsia="Consolas" w:cs="Consolas" w:ascii="Consolas" w:hAnsi="Consolas"/>
                <w:color w:val="101820"/>
                <w:kern w:val="0"/>
                <w:sz w:val="16"/>
                <w:szCs w:val="24"/>
                <w:lang w:val="en-US" w:eastAsia="ja-JP" w:bidi="ar-SA"/>
              </w:rPr>
              <w:t>UPLOAD_DIR</w:t>
            </w:r>
          </w:p>
        </w:tc>
        <w:tc>
          <w:tcPr>
            <w:tcW w:w="26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 backups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27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Derived data: notifications, e-mail outbox, generated reports</w:t>
            </w:r>
          </w:p>
        </w:tc>
        <w:tc>
          <w:tcPr>
            <w:tcW w:w="26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and file store</w:t>
            </w:r>
          </w:p>
        </w:tc>
        <w:tc>
          <w:tcPr>
            <w:tcW w:w="26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Recreated by the jobs; not restored on their own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27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 and configuration as code: front-end build, API image, deployment scripts</w:t>
            </w:r>
          </w:p>
        </w:tc>
        <w:tc>
          <w:tcPr>
            <w:tcW w:w="26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Git repository, image registry, front-end bucket</w:t>
            </w:r>
          </w:p>
        </w:tc>
        <w:tc>
          <w:tcPr>
            <w:tcW w:w="26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Rebuilt from the release tag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Keys</w:t>
            </w:r>
          </w:p>
        </w:tc>
        <w:tc>
          <w:tcPr>
            <w:tcW w:w="27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JWT_SECRET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DATA_ENCRYPTION_KEY</w:t>
            </w:r>
            <w:r>
              <w:rPr>
                <w:rFonts w:eastAsia="Segoe UI" w:cs="Segoe UI" w:ascii="Segoe UI" w:hAnsi="Segoe UI"/>
                <w:color w:val="101820"/>
                <w:kern w:val="0"/>
                <w:sz w:val="18"/>
                <w:szCs w:val="24"/>
                <w:lang w:val="en-US" w:eastAsia="ja-JP" w:bidi="ar-SA"/>
              </w:rPr>
              <w:t>, database and SMTP credentials, payment gateway keys</w:t>
            </w:r>
          </w:p>
        </w:tc>
        <w:tc>
          <w:tcPr>
            <w:tcW w:w="26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 store</w:t>
            </w:r>
          </w:p>
        </w:tc>
        <w:tc>
          <w:tcPr>
            <w:tcW w:w="26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Versioned secret store and the sealed escrow copy</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Settings, number series, posting rules and master data live in the database (Tier 1), so a database restore brings the configuration back with the data.</w:t>
      </w:r>
      <w:r>
        <w:br w:type="page"/>
      </w:r>
    </w:p>
    <w:p>
      <w:pPr>
        <w:pStyle w:val="Heading1"/>
        <w:rPr/>
      </w:pPr>
      <w:bookmarkStart w:id="13" w:name="__RefHeading___Toc151587_3199679052"/>
      <w:bookmarkEnd w:id="13"/>
      <w:r>
        <w:rPr>
          <w:rFonts w:eastAsia="Segoe UI" w:cs="Segoe UI" w:ascii="Segoe UI" w:hAnsi="Segoe UI"/>
          <w:b/>
          <w:color w:val="0F4761"/>
          <w:sz w:val="32"/>
        </w:rPr>
        <w:t>5.  Recovery objectives</w:t>
      </w:r>
    </w:p>
    <w:p>
      <w:pPr>
        <w:pStyle w:val="Heading2"/>
        <w:rPr/>
      </w:pPr>
      <w:bookmarkStart w:id="14" w:name="__RefHeading___Toc151589_3199679052"/>
      <w:bookmarkEnd w:id="14"/>
      <w:r>
        <w:rPr>
          <w:rFonts w:eastAsia="Segoe UI" w:cs="Segoe UI"/>
          <w:b/>
          <w:color w:val="0F4761"/>
          <w:sz w:val="26"/>
        </w:rPr>
        <w:t>5.1  Objectives by scenario</w:t>
      </w:r>
    </w:p>
    <w:p>
      <w:pPr>
        <w:pStyle w:val="Normal"/>
        <w:spacing w:lineRule="auto" w:line="276" w:before="0" w:after="120"/>
        <w:rPr/>
      </w:pPr>
      <w:r>
        <w:rPr>
          <w:rFonts w:eastAsia="Segoe UI" w:cs="Segoe UI" w:ascii="Segoe UI" w:hAnsi="Segoe UI"/>
          <w:color w:val="101820"/>
          <w:sz w:val="21"/>
        </w:rPr>
        <w:t>These are the objectives proposed in architecture document 08 and written into the Hosting and Infrastructure Services Agreement. They assume the recommended production topology: at least two API instances in two availability zones, a managed PostgreSQL database with a standby, and a shared file store.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78"/>
        <w:gridCol w:w="1657"/>
        <w:gridCol w:w="3679"/>
      </w:tblGrid>
      <w:tr>
        <w:trPr>
          <w:tblHeader w:val="true"/>
        </w:trPr>
        <w:tc>
          <w:tcPr>
            <w:tcW w:w="36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Scenario</w:t>
            </w:r>
          </w:p>
        </w:tc>
        <w:tc>
          <w:tcPr>
            <w:tcW w:w="16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RPO</w:t>
            </w:r>
          </w:p>
        </w:tc>
        <w:tc>
          <w:tcPr>
            <w:tcW w:w="36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RTO</w:t>
            </w:r>
          </w:p>
        </w:tc>
      </w:tr>
      <w:tr>
        <w:trPr/>
        <w:tc>
          <w:tcPr>
            <w:tcW w:w="36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instance failure</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c>
          <w:tcPr>
            <w:tcW w:w="3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5 minutes</w:t>
            </w:r>
          </w:p>
        </w:tc>
      </w:tr>
      <w:tr>
        <w:trPr/>
        <w:tc>
          <w:tcPr>
            <w:tcW w:w="36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Availability zone failure</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c>
          <w:tcPr>
            <w:tcW w:w="3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15 minutes</w:t>
            </w:r>
          </w:p>
        </w:tc>
      </w:tr>
      <w:tr>
        <w:trPr/>
        <w:tc>
          <w:tcPr>
            <w:tcW w:w="36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instance failure (with standby)</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c>
          <w:tcPr>
            <w:tcW w:w="3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15 minutes</w:t>
            </w:r>
          </w:p>
        </w:tc>
      </w:tr>
      <w:tr>
        <w:trPr/>
        <w:tc>
          <w:tcPr>
            <w:tcW w:w="36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Logical corruption or wrong mass change</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 minutes or less</w:t>
            </w:r>
          </w:p>
        </w:tc>
        <w:tc>
          <w:tcPr>
            <w:tcW w:w="3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hours or less</w:t>
            </w:r>
          </w:p>
        </w:tc>
      </w:tr>
      <w:tr>
        <w:trPr/>
        <w:tc>
          <w:tcPr>
            <w:tcW w:w="36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of uploaded files</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 hours or less</w:t>
            </w:r>
          </w:p>
        </w:tc>
        <w:tc>
          <w:tcPr>
            <w:tcW w:w="3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hours or less</w:t>
            </w:r>
          </w:p>
        </w:tc>
      </w:tr>
      <w:tr>
        <w:trPr/>
        <w:tc>
          <w:tcPr>
            <w:tcW w:w="36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Regional or site outage</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 hours or less</w:t>
            </w:r>
          </w:p>
        </w:tc>
        <w:tc>
          <w:tcPr>
            <w:tcW w:w="3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 hours or less (warm standby: 8 hours)</w:t>
            </w:r>
          </w:p>
        </w:tc>
      </w:tr>
      <w:tr>
        <w:trPr/>
        <w:tc>
          <w:tcPr>
            <w:tcW w:w="36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 end deleted</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c>
          <w:tcPr>
            <w:tcW w:w="3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1 hour</w:t>
            </w:r>
          </w:p>
        </w:tc>
      </w:tr>
      <w:tr>
        <w:trPr/>
        <w:tc>
          <w:tcPr>
            <w:tcW w:w="36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of secrets</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w:t>
            </w:r>
          </w:p>
        </w:tc>
        <w:tc>
          <w:tcPr>
            <w:tcW w:w="3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1 hour</w:t>
            </w:r>
          </w:p>
        </w:tc>
      </w:tr>
    </w:tbl>
    <w:p>
      <w:pPr>
        <w:pStyle w:val="Normal"/>
        <w:spacing w:before="0" w:after="80"/>
        <w:rPr/>
      </w:pPr>
      <w:r>
        <w:rPr/>
      </w:r>
    </w:p>
    <w:p>
      <w:pPr>
        <w:pStyle w:val="Heading2"/>
        <w:rPr/>
      </w:pPr>
      <w:bookmarkStart w:id="15" w:name="__RefHeading___Toc151591_3199679052"/>
      <w:bookmarkEnd w:id="15"/>
      <w:r>
        <w:rPr>
          <w:rFonts w:eastAsia="Segoe UI" w:cs="Segoe UI"/>
          <w:b/>
          <w:color w:val="0F4761"/>
          <w:sz w:val="26"/>
        </w:rPr>
        <w:t>5.2  Objectives by hosting option</w:t>
      </w:r>
    </w:p>
    <w:p>
      <w:pPr>
        <w:pStyle w:val="Normal"/>
        <w:spacing w:lineRule="auto" w:line="276" w:before="0" w:after="120"/>
        <w:rPr/>
      </w:pPr>
      <w:r>
        <w:rPr>
          <w:rFonts w:eastAsia="Segoe UI" w:cs="Segoe UI" w:ascii="Segoe UI" w:hAnsi="Segoe UI"/>
          <w:color w:val="101820"/>
          <w:sz w:val="21"/>
        </w:rPr>
        <w:t>The same objectives apply on every option only if the option is built to the recommended topology. The table shows what each option delivers as offered.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89"/>
        <w:gridCol w:w="1907"/>
        <w:gridCol w:w="1905"/>
        <w:gridCol w:w="1907"/>
        <w:gridCol w:w="1906"/>
      </w:tblGrid>
      <w:tr>
        <w:trPr>
          <w:tblHeader w:val="true"/>
        </w:trPr>
        <w:tc>
          <w:tcPr>
            <w:tcW w:w="13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Scenario</w:t>
            </w:r>
          </w:p>
        </w:tc>
        <w:tc>
          <w:tcPr>
            <w:tcW w:w="1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 AWS Singapore</w:t>
            </w:r>
          </w:p>
        </w:tc>
        <w:tc>
          <w:tcPr>
            <w:tcW w:w="19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 Azure Singapore</w:t>
            </w:r>
          </w:p>
        </w:tc>
        <w:tc>
          <w:tcPr>
            <w:tcW w:w="1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 Philippine partner</w:t>
            </w:r>
          </w:p>
        </w:tc>
        <w:tc>
          <w:tcPr>
            <w:tcW w:w="1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Broker-hosted</w:t>
            </w:r>
          </w:p>
        </w:tc>
      </w:tr>
      <w:tr>
        <w:trPr/>
        <w:tc>
          <w:tcPr>
            <w:tcW w:w="1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API instance or AZ failure</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0, RTO under 15 minutes (two ECS tasks in two AZs)</w:t>
            </w:r>
          </w:p>
        </w:tc>
        <w:tc>
          <w:tcPr>
            <w:tcW w:w="19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0, RTO under 15 minutes (two replicas across zones)</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0, RTO under 15 minutes (two API VMs behind the proxy pair)</w:t>
            </w:r>
          </w:p>
        </w:tc>
        <w:tc>
          <w:tcPr>
            <w:tcW w:w="1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the broker builds it</w:t>
            </w:r>
          </w:p>
        </w:tc>
      </w:tr>
      <w:tr>
        <w:trPr/>
        <w:tc>
          <w:tcPr>
            <w:tcW w:w="1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Database failure</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0, RTO under 15 minutes (RDS Multi-AZ)</w:t>
            </w:r>
          </w:p>
        </w:tc>
        <w:tc>
          <w:tcPr>
            <w:tcW w:w="19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0, RTO under 15 minutes (zone-redundant Flexible Server)</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0 with synchronous replica; RTO under 15 minutes with Patroni, about 1 hour with a manual runbook [to confirm with the partner]</w:t>
            </w:r>
          </w:p>
        </w:tc>
        <w:tc>
          <w:tcPr>
            <w:tcW w:w="1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the broker builds it</w:t>
            </w:r>
          </w:p>
        </w:tc>
      </w:tr>
      <w:tr>
        <w:trPr/>
        <w:tc>
          <w:tcPr>
            <w:tcW w:w="1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Logical corruption</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15 minutes (5 achievable), RTO 4 hours, by PITR</w:t>
            </w:r>
          </w:p>
        </w:tc>
        <w:tc>
          <w:tcPr>
            <w:tcW w:w="19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Same, by Flexible Server PITR</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15 minutes with WAL archiving (pgBackRest or WAL-G); RTO 4 hours</w:t>
            </w:r>
          </w:p>
        </w:tc>
        <w:tc>
          <w:tcPr>
            <w:tcW w:w="1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Depends on the broker's WAL archiving; daily dump alone gives RPO 24 hours</w:t>
            </w:r>
          </w:p>
        </w:tc>
      </w:tr>
      <w:tr>
        <w:trPr/>
        <w:tc>
          <w:tcPr>
            <w:tcW w:w="1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Region or site outage, pilot light</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24 hours, RTO 24 hours from cross-region copies</w:t>
            </w:r>
          </w:p>
        </w:tc>
        <w:tc>
          <w:tcPr>
            <w:tcW w:w="19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Same, from geo-redundant backup storage</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Same, from the off-site copy in a second Philippine site</w:t>
            </w:r>
          </w:p>
        </w:tc>
        <w:tc>
          <w:tcPr>
            <w:tcW w:w="1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Broker's own DR site</w:t>
            </w:r>
          </w:p>
        </w:tc>
      </w:tr>
      <w:tr>
        <w:trPr/>
        <w:tc>
          <w:tcPr>
            <w:tcW w:w="1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Region or site outage, warm standby</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24 hours or better, RTO 8 hours</w:t>
            </w:r>
          </w:p>
        </w:tc>
        <w:tc>
          <w:tcPr>
            <w:tcW w:w="19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Same</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Same</w:t>
            </w:r>
          </w:p>
        </w:tc>
        <w:tc>
          <w:tcPr>
            <w:tcW w:w="1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Broker's own DR site</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b/>
          <w:color w:val="101820"/>
          <w:sz w:val="21"/>
        </w:rPr>
        <w:t>When iorta TechNXT hosts</w:t>
      </w:r>
      <w:r>
        <w:rPr>
          <w:rFonts w:eastAsia="Segoe UI" w:cs="Segoe UI" w:ascii="Segoe UI" w:hAnsi="Segoe UI"/>
          <w:color w:val="101820"/>
          <w:sz w:val="21"/>
        </w:rPr>
        <w:t>, the price includes production, one UAT environment, daily backups, monitoring and patching. A DR environment or cross-region backups are included for the Enterprise size and are an Order Form option for the other sizes. Without them, the regional objectives do not apply and a region or site loss means rebuilding production from the last backup held in the same region, if it survives.</w:t>
      </w:r>
    </w:p>
    <w:p>
      <w:pPr>
        <w:pStyle w:val="Normal"/>
        <w:numPr>
          <w:ilvl w:val="0"/>
          <w:numId w:val="1"/>
        </w:numPr>
        <w:spacing w:before="0" w:after="60"/>
        <w:rPr/>
      </w:pPr>
      <w:r>
        <w:rPr>
          <w:rFonts w:eastAsia="Segoe UI" w:cs="Segoe UI" w:ascii="Segoe UI" w:hAnsi="Segoe UI"/>
          <w:b/>
          <w:color w:val="101820"/>
          <w:sz w:val="21"/>
        </w:rPr>
        <w:t>The demo deployment</w:t>
      </w:r>
      <w:r>
        <w:rPr>
          <w:rFonts w:eastAsia="Segoe UI" w:cs="Segoe UI" w:ascii="Segoe UI" w:hAnsi="Segoe UI"/>
          <w:color w:val="101820"/>
          <w:sz w:val="21"/>
        </w:rPr>
        <w:t xml:space="preserve"> on one EC2 host with PM2 has no redundancy and does not meet these objectives. It is for demonstration and UAT only.</w:t>
      </w:r>
    </w:p>
    <w:p>
      <w:pPr>
        <w:pStyle w:val="Normal"/>
        <w:numPr>
          <w:ilvl w:val="0"/>
          <w:numId w:val="1"/>
        </w:numPr>
        <w:spacing w:before="0" w:after="60"/>
        <w:rPr/>
      </w:pPr>
      <w:r>
        <w:rPr>
          <w:rFonts w:eastAsia="Segoe UI" w:cs="Segoe UI" w:ascii="Segoe UI" w:hAnsi="Segoe UI"/>
          <w:b/>
          <w:color w:val="101820"/>
          <w:sz w:val="21"/>
        </w:rPr>
        <w:t>When the broker hosts</w:t>
      </w:r>
      <w:r>
        <w:rPr>
          <w:rFonts w:eastAsia="Segoe UI" w:cs="Segoe UI" w:ascii="Segoe UI" w:hAnsi="Segoe UI"/>
          <w:color w:val="101820"/>
          <w:sz w:val="21"/>
        </w:rPr>
        <w:t>, the broker owns the objectives. iorta TechNXT supplies this plan, the deployment guide and support at day rates.</w:t>
      </w:r>
    </w:p>
    <w:p>
      <w:pPr>
        <w:pStyle w:val="Heading2"/>
        <w:rPr/>
      </w:pPr>
      <w:bookmarkStart w:id="16" w:name="__RefHeading___Toc151593_3199679052"/>
      <w:bookmarkEnd w:id="16"/>
      <w:r>
        <w:rPr>
          <w:rFonts w:eastAsia="Segoe UI" w:cs="Segoe UI"/>
          <w:b/>
          <w:color w:val="0F4761"/>
          <w:sz w:val="26"/>
        </w:rPr>
        <w:t>5.3  Availability target</w:t>
      </w:r>
    </w:p>
    <w:p>
      <w:pPr>
        <w:pStyle w:val="Normal"/>
        <w:spacing w:lineRule="auto" w:line="276" w:before="0" w:after="120"/>
        <w:rPr/>
      </w:pPr>
      <w:r>
        <w:rPr>
          <w:rFonts w:eastAsia="Segoe UI" w:cs="Segoe UI" w:ascii="Segoe UI" w:hAnsi="Segoe UI"/>
          <w:color w:val="101820"/>
          <w:sz w:val="21"/>
        </w:rPr>
        <w:t>Hosted production has an availability target of 99.5% a month, measured in service hours (08:00 to 18:00 PHT, Monday to Friday, except Philippine regular holidays) by an external health check every 5 minutes, excluding planned maintenance. A DR invocation counts as unavailability unless the outage is excluded under the Hosting Agreement.</w:t>
      </w:r>
      <w:r>
        <w:br w:type="page"/>
      </w:r>
    </w:p>
    <w:p>
      <w:pPr>
        <w:pStyle w:val="Heading1"/>
        <w:rPr/>
      </w:pPr>
      <w:bookmarkStart w:id="17" w:name="__RefHeading___Toc151595_3199679052"/>
      <w:bookmarkEnd w:id="17"/>
      <w:r>
        <w:rPr>
          <w:rFonts w:eastAsia="Segoe UI" w:cs="Segoe UI" w:ascii="Segoe UI" w:hAnsi="Segoe UI"/>
          <w:b/>
          <w:color w:val="0F4761"/>
          <w:sz w:val="32"/>
        </w:rPr>
        <w:t>6.  Backup scheme</w:t>
      </w:r>
    </w:p>
    <w:p>
      <w:pPr>
        <w:pStyle w:val="Heading2"/>
        <w:rPr/>
      </w:pPr>
      <w:bookmarkStart w:id="18" w:name="__RefHeading___Toc151597_3199679052"/>
      <w:bookmarkEnd w:id="18"/>
      <w:r>
        <w:rPr>
          <w:rFonts w:eastAsia="Segoe UI" w:cs="Segoe UI"/>
          <w:b/>
          <w:color w:val="0F4761"/>
          <w:sz w:val="26"/>
        </w:rPr>
        <w:t>6.1  Backups</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4"/>
        <w:gridCol w:w="2219"/>
        <w:gridCol w:w="2265"/>
        <w:gridCol w:w="2264"/>
      </w:tblGrid>
      <w:tr>
        <w:trPr>
          <w:tblHeader w:val="true"/>
        </w:trPr>
        <w:tc>
          <w:tcPr>
            <w:tcW w:w="22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Backup</w:t>
            </w:r>
          </w:p>
        </w:tc>
        <w:tc>
          <w:tcPr>
            <w:tcW w:w="22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Frequency</w:t>
            </w:r>
          </w:p>
        </w:tc>
        <w:tc>
          <w:tcPr>
            <w:tcW w:w="226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Retention</w:t>
            </w:r>
          </w:p>
        </w:tc>
        <w:tc>
          <w:tcPr>
            <w:tcW w:w="22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Location</w:t>
            </w:r>
          </w:p>
        </w:tc>
      </w:tr>
      <w:tr>
        <w:trPr/>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Automated database backups with PITR</w:t>
            </w:r>
          </w:p>
        </w:tc>
        <w:tc>
          <w:tcPr>
            <w:tcW w:w="2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Continuous; backup window 02:00 to 03:00 PHT</w:t>
            </w:r>
          </w:p>
        </w:tc>
        <w:tc>
          <w:tcPr>
            <w:tcW w:w="22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35 days</w:t>
            </w:r>
          </w:p>
        </w:tc>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region, encrypted</w:t>
            </w:r>
          </w:p>
        </w:tc>
      </w:tr>
      <w:tr>
        <w:trPr/>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snapshots</w:t>
            </w:r>
          </w:p>
        </w:tc>
        <w:tc>
          <w:tcPr>
            <w:tcW w:w="2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22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35 days</w:t>
            </w:r>
          </w:p>
        </w:tc>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region</w:t>
            </w:r>
          </w:p>
        </w:tc>
      </w:tr>
      <w:tr>
        <w:trPr/>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snapshot copy</w:t>
            </w:r>
          </w:p>
        </w:tc>
        <w:tc>
          <w:tcPr>
            <w:tcW w:w="2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w:t>
            </w:r>
          </w:p>
        </w:tc>
        <w:tc>
          <w:tcPr>
            <w:tcW w:w="22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months; yearly copy of year-end records 10 years if the broker instructs</w:t>
            </w:r>
          </w:p>
        </w:tc>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Second region or second Philippine site</w:t>
            </w:r>
          </w:p>
        </w:tc>
      </w:tr>
      <w:tr>
        <w:trPr/>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Snapshot before each release with database changes, before go-live imports and before each year-end close</w:t>
            </w:r>
          </w:p>
        </w:tc>
        <w:tc>
          <w:tcPr>
            <w:tcW w:w="2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event</w:t>
            </w:r>
          </w:p>
        </w:tc>
        <w:tc>
          <w:tcPr>
            <w:tcW w:w="22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 least 30 days</w:t>
            </w:r>
          </w:p>
        </w:tc>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region</w:t>
            </w:r>
          </w:p>
        </w:tc>
      </w:tr>
      <w:tr>
        <w:trPr/>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Logical dump (</w:t>
            </w:r>
            <w:r>
              <w:rPr>
                <w:rFonts w:eastAsia="Consolas" w:cs="Consolas" w:ascii="Consolas" w:hAnsi="Consolas"/>
                <w:color w:val="101820"/>
                <w:kern w:val="0"/>
                <w:sz w:val="16"/>
                <w:szCs w:val="24"/>
                <w:lang w:val="en-US" w:eastAsia="ja-JP" w:bidi="ar-SA"/>
              </w:rPr>
              <w:t>pg_dump -Fc</w:t>
            </w:r>
            <w:r>
              <w:rPr>
                <w:rFonts w:eastAsia="Segoe UI" w:cs="Segoe UI" w:ascii="Segoe UI" w:hAnsi="Segoe UI"/>
                <w:color w:val="101820"/>
                <w:kern w:val="0"/>
                <w:sz w:val="18"/>
                <w:szCs w:val="24"/>
                <w:lang w:val="en-US" w:eastAsia="ja-JP" w:bidi="ar-SA"/>
              </w:rPr>
              <w:t>)</w:t>
            </w:r>
          </w:p>
        </w:tc>
        <w:tc>
          <w:tcPr>
            <w:tcW w:w="2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w:t>
            </w:r>
          </w:p>
        </w:tc>
        <w:tc>
          <w:tcPr>
            <w:tcW w:w="22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months</w:t>
            </w:r>
          </w:p>
        </w:tc>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Write-once storage</w:t>
            </w:r>
          </w:p>
        </w:tc>
      </w:tr>
      <w:tr>
        <w:trPr/>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w:t>
            </w:r>
          </w:p>
        </w:tc>
        <w:tc>
          <w:tcPr>
            <w:tcW w:w="2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weekly copy to the second region or site</w:t>
            </w:r>
          </w:p>
        </w:tc>
        <w:tc>
          <w:tcPr>
            <w:tcW w:w="22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35 days; monthly 12 months</w:t>
            </w:r>
          </w:p>
        </w:tc>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region and second region or site</w:t>
            </w:r>
          </w:p>
        </w:tc>
      </w:tr>
      <w:tr>
        <w:trPr/>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bucket versions</w:t>
            </w:r>
          </w:p>
        </w:tc>
        <w:tc>
          <w:tcPr>
            <w:tcW w:w="2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publish</w:t>
            </w:r>
          </w:p>
        </w:tc>
        <w:tc>
          <w:tcPr>
            <w:tcW w:w="22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days</w:t>
            </w:r>
          </w:p>
        </w:tc>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region</w:t>
            </w:r>
          </w:p>
        </w:tc>
      </w:tr>
      <w:tr>
        <w:trPr/>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container images</w:t>
            </w:r>
          </w:p>
        </w:tc>
        <w:tc>
          <w:tcPr>
            <w:tcW w:w="2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release</w:t>
            </w:r>
          </w:p>
        </w:tc>
        <w:tc>
          <w:tcPr>
            <w:tcW w:w="22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10 releases</w:t>
            </w:r>
          </w:p>
        </w:tc>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Registry, replicated to the recovery region</w:t>
            </w:r>
          </w:p>
        </w:tc>
      </w:tr>
      <w:tr>
        <w:trPr/>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w:t>
            </w:r>
          </w:p>
        </w:tc>
        <w:tc>
          <w:tcPr>
            <w:tcW w:w="2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change</w:t>
            </w:r>
          </w:p>
        </w:tc>
        <w:tc>
          <w:tcPr>
            <w:tcW w:w="22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versions</w:t>
            </w:r>
          </w:p>
        </w:tc>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 store with a sealed escrow copy under dual control</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Note:</w:t>
      </w:r>
      <w:r>
        <w:rPr>
          <w:rFonts w:eastAsia="Segoe UI" w:cs="Segoe UI" w:ascii="Segoe UI" w:hAnsi="Segoe UI"/>
          <w:color w:val="101820"/>
          <w:sz w:val="20"/>
        </w:rPr>
        <w:t xml:space="preserve"> The application contains no backup automation. Backups are configured in the hosting platform (AWS Backup and RDS, Azure Backup and Flexible Server, pgBackRest or WAL-G and the backup server under option C). The </w:t>
      </w:r>
      <w:r>
        <w:rPr>
          <w:rFonts w:eastAsia="Consolas" w:cs="Consolas" w:ascii="Consolas" w:hAnsi="Consolas"/>
          <w:color w:val="101820"/>
          <w:sz w:val="18"/>
        </w:rPr>
        <w:t>deploy/README.md</w:t>
      </w:r>
      <w:r>
        <w:rPr>
          <w:rFonts w:eastAsia="Segoe UI" w:cs="Segoe UI" w:ascii="Segoe UI" w:hAnsi="Segoe UI"/>
          <w:color w:val="101820"/>
          <w:sz w:val="20"/>
        </w:rPr>
        <w:t xml:space="preserve"> checklist requires daily snapshots kept at least 30 days, a backup of the upload volume and of </w:t>
      </w:r>
      <w:r>
        <w:rPr>
          <w:rFonts w:eastAsia="Consolas" w:cs="Consolas" w:ascii="Consolas" w:hAnsi="Consolas"/>
          <w:color w:val="101820"/>
          <w:sz w:val="18"/>
        </w:rPr>
        <w:t>DATA_ENCRYPTION_KEY</w:t>
      </w:r>
      <w:r>
        <w:rPr>
          <w:rFonts w:eastAsia="Segoe UI" w:cs="Segoe UI" w:ascii="Segoe UI" w:hAnsi="Segoe UI"/>
          <w:color w:val="101820"/>
          <w:sz w:val="20"/>
        </w:rPr>
        <w:t>, and one restore test before go-live.</w:t>
      </w:r>
    </w:p>
    <w:p>
      <w:pPr>
        <w:pStyle w:val="Heading2"/>
        <w:rPr/>
      </w:pPr>
      <w:bookmarkStart w:id="19" w:name="__RefHeading___Toc151599_3199679052"/>
      <w:bookmarkEnd w:id="19"/>
      <w:r>
        <w:rPr>
          <w:rFonts w:eastAsia="Segoe UI" w:cs="Segoe UI"/>
          <w:b/>
          <w:color w:val="0F4761"/>
          <w:sz w:val="26"/>
        </w:rPr>
        <w:t>6.2  Why the encryption key matters</w:t>
      </w:r>
    </w:p>
    <w:p>
      <w:pPr>
        <w:pStyle w:val="Normal"/>
        <w:spacing w:lineRule="auto" w:line="276" w:before="0" w:after="120"/>
        <w:rPr/>
      </w:pPr>
      <w:r>
        <w:rPr>
          <w:rFonts w:eastAsia="Consolas" w:cs="Consolas" w:ascii="Consolas" w:hAnsi="Consolas"/>
          <w:color w:val="101820"/>
          <w:sz w:val="19"/>
        </w:rPr>
        <w:t>DATA_ENCRYPTION_KEY</w:t>
      </w:r>
      <w:r>
        <w:rPr>
          <w:rFonts w:eastAsia="Segoe UI" w:cs="Segoe UI" w:ascii="Segoe UI" w:hAnsi="Segoe UI"/>
          <w:color w:val="101820"/>
          <w:sz w:val="21"/>
        </w:rPr>
        <w:t xml:space="preserve"> encrypts the two-step verification secrets. A database restored without the same key works, but every user with two-step verification must have it reset by an administrator and enrol again. No business data is lost. The key is therefore backed up with the database: versioned in the secret store, with a sealed escrow copy held under dual control by the broker and iorta TechNXT.</w:t>
      </w:r>
    </w:p>
    <w:p>
      <w:pPr>
        <w:pStyle w:val="Normal"/>
        <w:spacing w:lineRule="auto" w:line="276" w:before="0" w:after="120"/>
        <w:rPr/>
      </w:pPr>
      <w:r>
        <w:rPr>
          <w:rFonts w:eastAsia="Consolas" w:cs="Consolas" w:ascii="Consolas" w:hAnsi="Consolas"/>
          <w:color w:val="101820"/>
          <w:sz w:val="19"/>
        </w:rPr>
        <w:t>JWT_SECRET</w:t>
      </w:r>
      <w:r>
        <w:rPr>
          <w:rFonts w:eastAsia="Segoe UI" w:cs="Segoe UI" w:ascii="Segoe UI" w:hAnsi="Segoe UI"/>
          <w:color w:val="101820"/>
          <w:sz w:val="21"/>
        </w:rPr>
        <w:t xml:space="preserve"> signs sessions and file links. Restoring with a new value only signs every user out.</w:t>
      </w:r>
      <w:r>
        <w:br w:type="page"/>
      </w:r>
    </w:p>
    <w:p>
      <w:pPr>
        <w:pStyle w:val="Heading1"/>
        <w:rPr/>
      </w:pPr>
      <w:bookmarkStart w:id="20" w:name="__RefHeading___Toc151601_3199679052"/>
      <w:bookmarkEnd w:id="20"/>
      <w:r>
        <w:rPr>
          <w:rFonts w:eastAsia="Segoe UI" w:cs="Segoe UI" w:ascii="Segoe UI" w:hAnsi="Segoe UI"/>
          <w:b/>
          <w:color w:val="0F4761"/>
          <w:sz w:val="32"/>
        </w:rPr>
        <w:t>7.  Restore procedures</w:t>
      </w:r>
    </w:p>
    <w:p>
      <w:pPr>
        <w:pStyle w:val="Normal"/>
        <w:spacing w:lineRule="auto" w:line="276" w:before="0" w:after="120"/>
        <w:rPr/>
      </w:pPr>
      <w:r>
        <w:rPr>
          <w:rFonts w:eastAsia="Segoe UI" w:cs="Segoe UI" w:ascii="Segoe UI" w:hAnsi="Segoe UI"/>
          <w:color w:val="101820"/>
          <w:sz w:val="21"/>
        </w:rPr>
        <w:t>Detailed command-level steps are in architecture document 09. The procedures below are the order of work and the checks; L3 engineering carries them out, L2 coordinates and the broker confirms.</w:t>
      </w:r>
    </w:p>
    <w:p>
      <w:pPr>
        <w:pStyle w:val="Heading2"/>
        <w:rPr/>
      </w:pPr>
      <w:bookmarkStart w:id="21" w:name="__RefHeading___Toc151603_3199679052"/>
      <w:bookmarkEnd w:id="21"/>
      <w:r>
        <w:rPr>
          <w:rFonts w:eastAsia="Segoe UI" w:cs="Segoe UI"/>
          <w:b/>
          <w:color w:val="0F4761"/>
          <w:sz w:val="26"/>
        </w:rPr>
        <w:t>7.1  Common steps for every restore</w:t>
      </w:r>
    </w:p>
    <w:p>
      <w:pPr>
        <w:pStyle w:val="Normal"/>
        <w:numPr>
          <w:ilvl w:val="0"/>
          <w:numId w:val="8"/>
        </w:numPr>
        <w:spacing w:before="0" w:after="60"/>
        <w:rPr/>
      </w:pPr>
      <w:r>
        <w:rPr>
          <w:rFonts w:eastAsia="Segoe UI" w:cs="Segoe UI" w:ascii="Segoe UI" w:hAnsi="Segoe UI"/>
          <w:color w:val="101820"/>
          <w:sz w:val="21"/>
        </w:rPr>
        <w:t>Declare the incident as P1 and open the bridge (chapter on communication).</w:t>
      </w:r>
    </w:p>
    <w:p>
      <w:pPr>
        <w:pStyle w:val="Normal"/>
        <w:numPr>
          <w:ilvl w:val="0"/>
          <w:numId w:val="2"/>
        </w:numPr>
        <w:spacing w:before="0" w:after="60"/>
        <w:rPr/>
      </w:pPr>
      <w:r>
        <w:rPr>
          <w:rFonts w:eastAsia="Segoe UI" w:cs="Segoe UI" w:ascii="Segoe UI" w:hAnsi="Segoe UI"/>
          <w:color w:val="101820"/>
          <w:sz w:val="21"/>
        </w:rPr>
        <w:t xml:space="preserve">Stop writes: set the API to zero instances or block traffic at the load balancer, and set </w:t>
      </w:r>
      <w:r>
        <w:rPr>
          <w:rFonts w:eastAsia="Consolas" w:cs="Consolas" w:ascii="Consolas" w:hAnsi="Consolas"/>
          <w:color w:val="101820"/>
          <w:sz w:val="19"/>
        </w:rPr>
        <w:t>SCHEDULER_ENABLED=false</w:t>
      </w:r>
      <w:r>
        <w:rPr>
          <w:rFonts w:eastAsia="Segoe UI" w:cs="Segoe UI" w:ascii="Segoe UI" w:hAnsi="Segoe UI"/>
          <w:color w:val="101820"/>
          <w:sz w:val="21"/>
        </w:rPr>
        <w:t xml:space="preserve"> on any instance that stays up, so jobs do not run against a half-restored database.</w:t>
      </w:r>
    </w:p>
    <w:p>
      <w:pPr>
        <w:pStyle w:val="Normal"/>
        <w:numPr>
          <w:ilvl w:val="0"/>
          <w:numId w:val="2"/>
        </w:numPr>
        <w:spacing w:before="0" w:after="60"/>
        <w:rPr/>
      </w:pPr>
      <w:r>
        <w:rPr>
          <w:rFonts w:eastAsia="Segoe UI" w:cs="Segoe UI" w:ascii="Segoe UI" w:hAnsi="Segoe UI"/>
          <w:color w:val="101820"/>
          <w:sz w:val="21"/>
        </w:rPr>
        <w:t>Take a snapshot of the current state, even if damaged, for evidence and for the root-cause analysis.</w:t>
      </w:r>
    </w:p>
    <w:p>
      <w:pPr>
        <w:pStyle w:val="Normal"/>
        <w:numPr>
          <w:ilvl w:val="0"/>
          <w:numId w:val="2"/>
        </w:numPr>
        <w:spacing w:before="0" w:after="60"/>
        <w:rPr/>
      </w:pPr>
      <w:r>
        <w:rPr>
          <w:rFonts w:eastAsia="Segoe UI" w:cs="Segoe UI" w:ascii="Segoe UI" w:hAnsi="Segoe UI"/>
          <w:color w:val="101820"/>
          <w:sz w:val="21"/>
        </w:rPr>
        <w:t>Agree the recovery point with the broker's Accounting Manager: the last time before the damage, in PHT.</w:t>
      </w:r>
    </w:p>
    <w:p>
      <w:pPr>
        <w:pStyle w:val="Normal"/>
        <w:numPr>
          <w:ilvl w:val="0"/>
          <w:numId w:val="2"/>
        </w:numPr>
        <w:spacing w:before="0" w:after="60"/>
        <w:rPr/>
      </w:pPr>
      <w:r>
        <w:rPr>
          <w:rFonts w:eastAsia="Segoe UI" w:cs="Segoe UI" w:ascii="Segoe UI" w:hAnsi="Segoe UI"/>
          <w:color w:val="101820"/>
          <w:sz w:val="21"/>
        </w:rPr>
        <w:t>Restore (sections below).</w:t>
      </w:r>
    </w:p>
    <w:p>
      <w:pPr>
        <w:pStyle w:val="Normal"/>
        <w:numPr>
          <w:ilvl w:val="0"/>
          <w:numId w:val="2"/>
        </w:numPr>
        <w:spacing w:before="0" w:after="60"/>
        <w:rPr/>
      </w:pPr>
      <w:r>
        <w:rPr>
          <w:rFonts w:eastAsia="Segoe UI" w:cs="Segoe UI" w:ascii="Segoe UI" w:hAnsi="Segoe UI"/>
          <w:color w:val="101820"/>
          <w:sz w:val="21"/>
        </w:rPr>
        <w:t xml:space="preserve">Start one API instance. On start it checks the configuration, applies any pending migration under the advisory lock and runs the idempotent seed; </w:t>
      </w:r>
      <w:r>
        <w:rPr>
          <w:rFonts w:eastAsia="Consolas" w:cs="Consolas" w:ascii="Consolas" w:hAnsi="Consolas"/>
          <w:color w:val="101820"/>
          <w:sz w:val="19"/>
        </w:rPr>
        <w:t>/api/health</w:t>
      </w:r>
      <w:r>
        <w:rPr>
          <w:rFonts w:eastAsia="Segoe UI" w:cs="Segoe UI" w:ascii="Segoe UI" w:hAnsi="Segoe UI"/>
          <w:color w:val="101820"/>
          <w:sz w:val="21"/>
        </w:rPr>
        <w:t xml:space="preserve"> answers 200 when ready.</w:t>
      </w:r>
    </w:p>
    <w:p>
      <w:pPr>
        <w:pStyle w:val="Normal"/>
        <w:numPr>
          <w:ilvl w:val="0"/>
          <w:numId w:val="2"/>
        </w:numPr>
        <w:spacing w:before="0" w:after="60"/>
        <w:rPr/>
      </w:pPr>
      <w:r>
        <w:rPr>
          <w:rFonts w:eastAsia="Segoe UI" w:cs="Segoe UI" w:ascii="Segoe UI" w:hAnsi="Segoe UI"/>
          <w:color w:val="101820"/>
          <w:sz w:val="21"/>
        </w:rPr>
        <w:t xml:space="preserve">Check </w:t>
      </w:r>
      <w:r>
        <w:rPr>
          <w:rFonts w:eastAsia="Consolas" w:cs="Consolas" w:ascii="Consolas" w:hAnsi="Consolas"/>
          <w:color w:val="101820"/>
          <w:sz w:val="19"/>
        </w:rPr>
        <w:t>GET /api/version</w:t>
      </w:r>
      <w:r>
        <w:rPr>
          <w:rFonts w:eastAsia="Segoe UI" w:cs="Segoe UI" w:ascii="Segoe UI" w:hAnsi="Segoe UI"/>
          <w:color w:val="101820"/>
          <w:sz w:val="21"/>
        </w:rPr>
        <w:t>: expected commit, no pending migration.</w:t>
      </w:r>
    </w:p>
    <w:p>
      <w:pPr>
        <w:pStyle w:val="Normal"/>
        <w:numPr>
          <w:ilvl w:val="0"/>
          <w:numId w:val="2"/>
        </w:numPr>
        <w:spacing w:before="0" w:after="60"/>
        <w:rPr/>
      </w:pPr>
      <w:r>
        <w:rPr>
          <w:rFonts w:eastAsia="Segoe UI" w:cs="Segoe UI" w:ascii="Segoe UI" w:hAnsi="Segoe UI"/>
          <w:color w:val="101820"/>
          <w:sz w:val="21"/>
        </w:rPr>
        <w:t xml:space="preserve">Run the smoke test of </w:t>
      </w:r>
      <w:r>
        <w:rPr>
          <w:rFonts w:eastAsia="Consolas" w:cs="Consolas" w:ascii="Consolas" w:hAnsi="Consolas"/>
          <w:color w:val="101820"/>
          <w:sz w:val="19"/>
        </w:rPr>
        <w:t>deploy/README.md</w:t>
      </w:r>
      <w:r>
        <w:rPr>
          <w:rFonts w:eastAsia="Segoe UI" w:cs="Segoe UI" w:ascii="Segoe UI" w:hAnsi="Segoe UI"/>
          <w:color w:val="101820"/>
          <w:sz w:val="21"/>
        </w:rPr>
        <w:t xml:space="preserve"> section 4 and the business checks below.</w:t>
      </w:r>
    </w:p>
    <w:p>
      <w:pPr>
        <w:pStyle w:val="Normal"/>
        <w:numPr>
          <w:ilvl w:val="0"/>
          <w:numId w:val="2"/>
        </w:numPr>
        <w:spacing w:before="0" w:after="60"/>
        <w:rPr/>
      </w:pPr>
      <w:r>
        <w:rPr>
          <w:rFonts w:eastAsia="Segoe UI" w:cs="Segoe UI" w:ascii="Segoe UI" w:hAnsi="Segoe UI"/>
          <w:color w:val="101820"/>
          <w:sz w:val="21"/>
        </w:rPr>
        <w:t>Re-enable the scheduler on one instance, scale out, open traffic.</w:t>
      </w:r>
    </w:p>
    <w:p>
      <w:pPr>
        <w:pStyle w:val="Normal"/>
        <w:numPr>
          <w:ilvl w:val="0"/>
          <w:numId w:val="2"/>
        </w:numPr>
        <w:spacing w:before="0" w:after="60"/>
        <w:rPr/>
      </w:pPr>
      <w:r>
        <w:rPr>
          <w:rFonts w:eastAsia="Segoe UI" w:cs="Segoe UI" w:ascii="Segoe UI" w:hAnsi="Segoe UI"/>
          <w:color w:val="101820"/>
          <w:sz w:val="21"/>
        </w:rPr>
        <w:t>Tell users what was restored to which point and what must be re-entered.</w:t>
      </w:r>
    </w:p>
    <w:p>
      <w:pPr>
        <w:pStyle w:val="Heading2"/>
        <w:rPr/>
      </w:pPr>
      <w:bookmarkStart w:id="22" w:name="__RefHeading___Toc151605_3199679052"/>
      <w:bookmarkEnd w:id="22"/>
      <w:r>
        <w:rPr>
          <w:rFonts w:eastAsia="Segoe UI" w:cs="Segoe UI"/>
          <w:b/>
          <w:color w:val="0F4761"/>
          <w:sz w:val="26"/>
        </w:rPr>
        <w:t>7.2  Business checks after a restore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094"/>
        <w:gridCol w:w="2919"/>
      </w:tblGrid>
      <w:tr>
        <w:trPr>
          <w:tblHeader w:val="true"/>
        </w:trPr>
        <w:tc>
          <w:tcPr>
            <w:tcW w:w="60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Check</w:t>
            </w:r>
          </w:p>
        </w:tc>
        <w:tc>
          <w:tcPr>
            <w:tcW w:w="29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r>
      <w:tr>
        <w:trPr/>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official receipt, payment voucher and journal voucher numbers match the broker's paper or bank evidence</w:t>
            </w:r>
          </w:p>
        </w:tc>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r>
      <w:tr>
        <w:trPr/>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Trial balance is balanced; sub-ledger tie-out of the month-end checklist passes</w:t>
            </w:r>
          </w:p>
        </w:tc>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r>
      <w:tr>
        <w:trPr/>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policies, endorsements and claims entered before the recovery point are present</w:t>
            </w:r>
          </w:p>
        </w:tc>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Claims</w:t>
            </w:r>
          </w:p>
        </w:tc>
      </w:tr>
      <w:tr>
        <w:trPr/>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Numbering counters are past the last numbers used; no number is reused</w:t>
            </w:r>
          </w:p>
        </w:tc>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r>
      <w:tr>
        <w:trPr/>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sample of KYC images and claim documents opens</w:t>
            </w:r>
          </w:p>
        </w:tc>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w:t>
            </w:r>
          </w:p>
        </w:tc>
      </w:tr>
      <w:tr>
        <w:trPr/>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Outbox has no flood of old messages queued for resend</w:t>
            </w:r>
          </w:p>
        </w:tc>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r>
      <w:tr>
        <w:trPr/>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works for a user with two-step verification</w:t>
            </w:r>
          </w:p>
        </w:tc>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Transactions entered after the recovery point are re-entered from source documents. Official receipt numbers issued in that window are re-entered with the same numbers where the series allows, or recorded with a cross-reference memo approved by the Accounting Manager, so the BIR sequence stays explainable.</w:t>
      </w:r>
    </w:p>
    <w:p>
      <w:pPr>
        <w:pStyle w:val="Heading2"/>
        <w:rPr/>
      </w:pPr>
      <w:bookmarkStart w:id="23" w:name="__RefHeading___Toc151607_3199679052"/>
      <w:bookmarkEnd w:id="23"/>
      <w:r>
        <w:rPr>
          <w:rFonts w:eastAsia="Segoe UI" w:cs="Segoe UI"/>
          <w:b/>
          <w:color w:val="0F4761"/>
          <w:sz w:val="26"/>
        </w:rPr>
        <w:t>7.3  Database: point-in-time recovery</w:t>
      </w:r>
    </w:p>
    <w:p>
      <w:pPr>
        <w:pStyle w:val="Normal"/>
        <w:spacing w:lineRule="auto" w:line="276" w:before="0" w:after="120"/>
        <w:rPr/>
      </w:pPr>
      <w:r>
        <w:rPr>
          <w:rFonts w:eastAsia="Segoe UI" w:cs="Segoe UI" w:ascii="Segoe UI" w:hAnsi="Segoe UI"/>
          <w:color w:val="101820"/>
          <w:sz w:val="21"/>
        </w:rPr>
        <w:t>Used for logical corruption, a wrong mass change or a bad release.</w:t>
      </w:r>
    </w:p>
    <w:p>
      <w:pPr>
        <w:pStyle w:val="Normal"/>
        <w:numPr>
          <w:ilvl w:val="0"/>
          <w:numId w:val="9"/>
        </w:numPr>
        <w:spacing w:before="0" w:after="60"/>
        <w:rPr/>
      </w:pPr>
      <w:r>
        <w:rPr>
          <w:rFonts w:eastAsia="Segoe UI" w:cs="Segoe UI" w:ascii="Segoe UI" w:hAnsi="Segoe UI"/>
          <w:color w:val="101820"/>
          <w:sz w:val="21"/>
        </w:rPr>
        <w:t>Restore the managed database to a new instance at the agreed recovery point (RDS or Flexible Server PITR; pgBackRest or WAL-G restore under option C).</w:t>
      </w:r>
    </w:p>
    <w:p>
      <w:pPr>
        <w:pStyle w:val="Normal"/>
        <w:numPr>
          <w:ilvl w:val="0"/>
          <w:numId w:val="10"/>
        </w:numPr>
        <w:spacing w:before="0" w:after="60"/>
        <w:rPr/>
      </w:pPr>
      <w:r>
        <w:rPr>
          <w:rFonts w:eastAsia="Segoe UI" w:cs="Segoe UI" w:ascii="Segoe UI" w:hAnsi="Segoe UI"/>
          <w:color w:val="101820"/>
          <w:sz w:val="21"/>
        </w:rPr>
        <w:t xml:space="preserve">Point </w:t>
      </w:r>
      <w:r>
        <w:rPr>
          <w:rFonts w:eastAsia="Consolas" w:cs="Consolas" w:ascii="Consolas" w:hAnsi="Consolas"/>
          <w:color w:val="101820"/>
          <w:sz w:val="19"/>
        </w:rPr>
        <w:t>DATABASE_URL</w:t>
      </w:r>
      <w:r>
        <w:rPr>
          <w:rFonts w:eastAsia="Segoe UI" w:cs="Segoe UI" w:ascii="Segoe UI" w:hAnsi="Segoe UI"/>
          <w:color w:val="101820"/>
          <w:sz w:val="21"/>
        </w:rPr>
        <w:t xml:space="preserve"> of one API instance at the new instance; keep the old instance stopped, not deleted, until the root-cause analysis is done.</w:t>
      </w:r>
    </w:p>
    <w:p>
      <w:pPr>
        <w:pStyle w:val="Normal"/>
        <w:numPr>
          <w:ilvl w:val="0"/>
          <w:numId w:val="11"/>
        </w:numPr>
        <w:spacing w:before="0" w:after="60"/>
        <w:rPr/>
      </w:pPr>
      <w:r>
        <w:rPr>
          <w:rFonts w:eastAsia="Segoe UI" w:cs="Segoe UI" w:ascii="Segoe UI" w:hAnsi="Segoe UI"/>
          <w:color w:val="101820"/>
          <w:sz w:val="21"/>
        </w:rPr>
        <w:t>Common steps 6 to 10.</w:t>
      </w:r>
    </w:p>
    <w:p>
      <w:pPr>
        <w:pStyle w:val="Heading2"/>
        <w:rPr/>
      </w:pPr>
      <w:bookmarkStart w:id="24" w:name="__RefHeading___Toc151609_3199679052"/>
      <w:bookmarkEnd w:id="24"/>
      <w:r>
        <w:rPr>
          <w:rFonts w:eastAsia="Segoe UI" w:cs="Segoe UI"/>
          <w:b/>
          <w:color w:val="0F4761"/>
          <w:sz w:val="26"/>
        </w:rPr>
        <w:t>7.4  Database: snapshot or logical dump</w:t>
      </w:r>
    </w:p>
    <w:p>
      <w:pPr>
        <w:pStyle w:val="Normal"/>
        <w:spacing w:lineRule="auto" w:line="276" w:before="0" w:after="120"/>
        <w:rPr/>
      </w:pPr>
      <w:r>
        <w:rPr>
          <w:rFonts w:eastAsia="Segoe UI" w:cs="Segoe UI" w:ascii="Segoe UI" w:hAnsi="Segoe UI"/>
          <w:color w:val="101820"/>
          <w:sz w:val="21"/>
        </w:rPr>
        <w:t>Used when PITR is not available (beyond 35 days, or a broker-hosted installation with daily dumps only).</w:t>
      </w:r>
    </w:p>
    <w:p>
      <w:pPr>
        <w:pStyle w:val="Normal"/>
        <w:numPr>
          <w:ilvl w:val="0"/>
          <w:numId w:val="12"/>
        </w:numPr>
        <w:spacing w:before="0" w:after="60"/>
        <w:rPr/>
      </w:pPr>
      <w:r>
        <w:rPr>
          <w:rFonts w:eastAsia="Segoe UI" w:cs="Segoe UI" w:ascii="Segoe UI" w:hAnsi="Segoe UI"/>
          <w:color w:val="101820"/>
          <w:sz w:val="21"/>
        </w:rPr>
        <w:t xml:space="preserve">Restore the snapshot to a new instance, or create an empty PostgreSQL 16 database with time zone Asia/Manila and run </w:t>
      </w:r>
      <w:r>
        <w:rPr>
          <w:rFonts w:eastAsia="Consolas" w:cs="Consolas" w:ascii="Consolas" w:hAnsi="Consolas"/>
          <w:color w:val="101820"/>
          <w:sz w:val="19"/>
        </w:rPr>
        <w:t>pg_restore</w:t>
      </w:r>
      <w:r>
        <w:rPr>
          <w:rFonts w:eastAsia="Segoe UI" w:cs="Segoe UI" w:ascii="Segoe UI" w:hAnsi="Segoe UI"/>
          <w:color w:val="101820"/>
          <w:sz w:val="21"/>
        </w:rPr>
        <w:t xml:space="preserve"> of the dump.</w:t>
      </w:r>
    </w:p>
    <w:p>
      <w:pPr>
        <w:pStyle w:val="Normal"/>
        <w:numPr>
          <w:ilvl w:val="0"/>
          <w:numId w:val="13"/>
        </w:numPr>
        <w:spacing w:before="0" w:after="60"/>
        <w:rPr/>
      </w:pPr>
      <w:r>
        <w:rPr>
          <w:rFonts w:eastAsia="Segoe UI" w:cs="Segoe UI" w:ascii="Segoe UI" w:hAnsi="Segoe UI"/>
          <w:color w:val="101820"/>
          <w:sz w:val="21"/>
        </w:rPr>
        <w:t>Compare row counts of the main tables with the dump's own record.</w:t>
      </w:r>
    </w:p>
    <w:p>
      <w:pPr>
        <w:pStyle w:val="Normal"/>
        <w:numPr>
          <w:ilvl w:val="0"/>
          <w:numId w:val="14"/>
        </w:numPr>
        <w:spacing w:before="0" w:after="60"/>
        <w:rPr/>
      </w:pPr>
      <w:r>
        <w:rPr>
          <w:rFonts w:eastAsia="Segoe UI" w:cs="Segoe UI" w:ascii="Segoe UI" w:hAnsi="Segoe UI"/>
          <w:color w:val="101820"/>
          <w:sz w:val="21"/>
        </w:rPr>
        <w:t>Common steps 6 to 10.</w:t>
      </w:r>
    </w:p>
    <w:p>
      <w:pPr>
        <w:pStyle w:val="Heading2"/>
        <w:rPr/>
      </w:pPr>
      <w:bookmarkStart w:id="25" w:name="__RefHeading___Toc151611_3199679052"/>
      <w:bookmarkEnd w:id="25"/>
      <w:r>
        <w:rPr>
          <w:rFonts w:eastAsia="Segoe UI" w:cs="Segoe UI"/>
          <w:b/>
          <w:color w:val="0F4761"/>
          <w:sz w:val="26"/>
        </w:rPr>
        <w:t>7.5  File store</w:t>
      </w:r>
    </w:p>
    <w:p>
      <w:pPr>
        <w:pStyle w:val="Normal"/>
        <w:numPr>
          <w:ilvl w:val="0"/>
          <w:numId w:val="15"/>
        </w:numPr>
        <w:spacing w:before="0" w:after="60"/>
        <w:rPr/>
      </w:pPr>
      <w:r>
        <w:rPr>
          <w:rFonts w:eastAsia="Segoe UI" w:cs="Segoe UI" w:ascii="Segoe UI" w:hAnsi="Segoe UI"/>
          <w:color w:val="101820"/>
          <w:sz w:val="21"/>
        </w:rPr>
        <w:t xml:space="preserve">Restore the file store backup of the agreed day to the same path, or to a new volume mounted at </w:t>
      </w:r>
      <w:r>
        <w:rPr>
          <w:rFonts w:eastAsia="Consolas" w:cs="Consolas" w:ascii="Consolas" w:hAnsi="Consolas"/>
          <w:color w:val="101820"/>
          <w:sz w:val="19"/>
        </w:rPr>
        <w:t>UPLOAD_DIR</w:t>
      </w:r>
      <w:r>
        <w:rPr>
          <w:rFonts w:eastAsia="Segoe UI" w:cs="Segoe UI" w:ascii="Segoe UI" w:hAnsi="Segoe UI"/>
          <w:color w:val="101820"/>
          <w:sz w:val="21"/>
        </w:rPr>
        <w:t xml:space="preserve"> on every API instance.</w:t>
      </w:r>
    </w:p>
    <w:p>
      <w:pPr>
        <w:pStyle w:val="Normal"/>
        <w:numPr>
          <w:ilvl w:val="0"/>
          <w:numId w:val="16"/>
        </w:numPr>
        <w:spacing w:before="0" w:after="60"/>
        <w:rPr/>
      </w:pPr>
      <w:r>
        <w:rPr>
          <w:rFonts w:eastAsia="Segoe UI" w:cs="Segoe UI" w:ascii="Segoe UI" w:hAnsi="Segoe UI"/>
          <w:color w:val="101820"/>
          <w:sz w:val="21"/>
        </w:rPr>
        <w:t>Files uploaded after that backup are listed from the database (records whose stored file is missing) and re-uploaded by users from their originals.</w:t>
      </w:r>
    </w:p>
    <w:p>
      <w:pPr>
        <w:pStyle w:val="Heading2"/>
        <w:rPr/>
      </w:pPr>
      <w:bookmarkStart w:id="26" w:name="__RefHeading___Toc151613_3199679052"/>
      <w:bookmarkEnd w:id="26"/>
      <w:r>
        <w:rPr>
          <w:rFonts w:eastAsia="Segoe UI" w:cs="Segoe UI"/>
          <w:b/>
          <w:color w:val="0F4761"/>
          <w:sz w:val="26"/>
        </w:rPr>
        <w:t>7.6  Region or site loss</w:t>
      </w:r>
    </w:p>
    <w:p>
      <w:pPr>
        <w:pStyle w:val="Normal"/>
        <w:numPr>
          <w:ilvl w:val="0"/>
          <w:numId w:val="17"/>
        </w:numPr>
        <w:spacing w:before="0" w:after="60"/>
        <w:rPr/>
      </w:pPr>
      <w:r>
        <w:rPr>
          <w:rFonts w:eastAsia="Segoe UI" w:cs="Segoe UI" w:ascii="Segoe UI" w:hAnsi="Segoe UI"/>
          <w:color w:val="101820"/>
          <w:sz w:val="21"/>
        </w:rPr>
        <w:t>The Incident Manager and the broker's IT head decide to invoke DR (chapter on roles).</w:t>
      </w:r>
    </w:p>
    <w:p>
      <w:pPr>
        <w:pStyle w:val="Normal"/>
        <w:numPr>
          <w:ilvl w:val="0"/>
          <w:numId w:val="18"/>
        </w:numPr>
        <w:spacing w:before="0" w:after="60"/>
        <w:rPr/>
      </w:pPr>
      <w:r>
        <w:rPr>
          <w:rFonts w:eastAsia="Segoe UI" w:cs="Segoe UI" w:ascii="Segoe UI" w:hAnsi="Segoe UI"/>
          <w:color w:val="101820"/>
          <w:sz w:val="21"/>
        </w:rPr>
        <w:t>In the recovery region or second site: restore the database from the latest cross-region copy, the file store from its latest copy, pull the API image of the running release from the replicated registry and the secrets from the secret store or the escrow copy.</w:t>
      </w:r>
    </w:p>
    <w:p>
      <w:pPr>
        <w:pStyle w:val="Normal"/>
        <w:numPr>
          <w:ilvl w:val="0"/>
          <w:numId w:val="19"/>
        </w:numPr>
        <w:spacing w:before="0" w:after="60"/>
        <w:rPr/>
      </w:pPr>
      <w:r>
        <w:rPr>
          <w:rFonts w:eastAsia="Segoe UI" w:cs="Segoe UI" w:ascii="Segoe UI" w:hAnsi="Segoe UI"/>
          <w:color w:val="101820"/>
          <w:sz w:val="21"/>
        </w:rPr>
        <w:t>Publish the front-end build of the release (or restore the bucket copy) and point DNS or the CDN origin to the recovery site.</w:t>
      </w:r>
    </w:p>
    <w:p>
      <w:pPr>
        <w:pStyle w:val="Normal"/>
        <w:numPr>
          <w:ilvl w:val="0"/>
          <w:numId w:val="20"/>
        </w:numPr>
        <w:spacing w:before="0" w:after="60"/>
        <w:rPr/>
      </w:pPr>
      <w:r>
        <w:rPr>
          <w:rFonts w:eastAsia="Segoe UI" w:cs="Segoe UI" w:ascii="Segoe UI" w:hAnsi="Segoe UI"/>
          <w:color w:val="101820"/>
          <w:sz w:val="21"/>
        </w:rPr>
        <w:t xml:space="preserve">Common steps 6 to 10. Update </w:t>
      </w:r>
      <w:r>
        <w:rPr>
          <w:rFonts w:eastAsia="Consolas" w:cs="Consolas" w:ascii="Consolas" w:hAnsi="Consolas"/>
          <w:color w:val="101820"/>
          <w:sz w:val="19"/>
        </w:rPr>
        <w:t>PUBLIC_BASE_URL</w:t>
      </w:r>
      <w:r>
        <w:rPr>
          <w:rFonts w:eastAsia="Segoe UI" w:cs="Segoe UI" w:ascii="Segoe UI" w:hAnsi="Segoe UI"/>
          <w:color w:val="101820"/>
          <w:sz w:val="21"/>
        </w:rPr>
        <w:t xml:space="preserve"> and </w:t>
      </w:r>
      <w:r>
        <w:rPr>
          <w:rFonts w:eastAsia="Consolas" w:cs="Consolas" w:ascii="Consolas" w:hAnsi="Consolas"/>
          <w:color w:val="101820"/>
          <w:sz w:val="19"/>
        </w:rPr>
        <w:t>CORS_ORIGINS</w:t>
      </w:r>
      <w:r>
        <w:rPr>
          <w:rFonts w:eastAsia="Segoe UI" w:cs="Segoe UI" w:ascii="Segoe UI" w:hAnsi="Segoe UI"/>
          <w:color w:val="101820"/>
          <w:sz w:val="21"/>
        </w:rPr>
        <w:t xml:space="preserve"> if the address changes, and re-register payment gateway webhook addresses if they change.</w:t>
      </w:r>
    </w:p>
    <w:p>
      <w:pPr>
        <w:pStyle w:val="Normal"/>
        <w:numPr>
          <w:ilvl w:val="0"/>
          <w:numId w:val="21"/>
        </w:numPr>
        <w:spacing w:before="0" w:after="60"/>
        <w:rPr/>
      </w:pPr>
      <w:r>
        <w:rPr>
          <w:rFonts w:eastAsia="Segoe UI" w:cs="Segoe UI" w:ascii="Segoe UI" w:hAnsi="Segoe UI"/>
          <w:color w:val="101820"/>
          <w:sz w:val="21"/>
        </w:rPr>
        <w:t>Fail back to the primary region in a planned window once it is stable, using the same procedure in reverse with a fresh backup.</w:t>
      </w:r>
    </w:p>
    <w:p>
      <w:pPr>
        <w:pStyle w:val="Heading2"/>
        <w:rPr/>
      </w:pPr>
      <w:bookmarkStart w:id="27" w:name="__RefHeading___Toc151615_3199679052"/>
      <w:bookmarkEnd w:id="27"/>
      <w:r>
        <w:rPr>
          <w:rFonts w:eastAsia="Segoe UI" w:cs="Segoe UI"/>
          <w:b/>
          <w:color w:val="0F4761"/>
          <w:sz w:val="26"/>
        </w:rPr>
        <w:t>7.7  Front end and secrets</w:t>
      </w:r>
    </w:p>
    <w:p>
      <w:pPr>
        <w:pStyle w:val="Normal"/>
        <w:numPr>
          <w:ilvl w:val="0"/>
          <w:numId w:val="1"/>
        </w:numPr>
        <w:spacing w:before="0" w:after="60"/>
        <w:rPr/>
      </w:pPr>
      <w:r>
        <w:rPr>
          <w:rFonts w:eastAsia="Segoe UI" w:cs="Segoe UI" w:ascii="Segoe UI" w:hAnsi="Segoe UI"/>
          <w:color w:val="101820"/>
          <w:sz w:val="21"/>
        </w:rPr>
        <w:t>Front end: re-run the deployment workflow on the release commit, or restore the previous bucket object versions, then invalidate the CDN.</w:t>
      </w:r>
    </w:p>
    <w:p>
      <w:pPr>
        <w:pStyle w:val="Normal"/>
        <w:numPr>
          <w:ilvl w:val="0"/>
          <w:numId w:val="1"/>
        </w:numPr>
        <w:spacing w:before="0" w:after="60"/>
        <w:rPr/>
      </w:pPr>
      <w:r>
        <w:rPr>
          <w:rFonts w:eastAsia="Segoe UI" w:cs="Segoe UI" w:ascii="Segoe UI" w:hAnsi="Segoe UI"/>
          <w:color w:val="101820"/>
          <w:sz w:val="21"/>
        </w:rPr>
        <w:t>Secrets: restore the previous version from the secret store; if the store is lost, open the sealed escrow copy under dual control and record who opened it.</w:t>
      </w:r>
    </w:p>
    <w:p>
      <w:pPr>
        <w:pStyle w:val="Heading2"/>
        <w:rPr/>
      </w:pPr>
      <w:bookmarkStart w:id="28" w:name="__RefHeading___Toc151617_3199679052"/>
      <w:bookmarkEnd w:id="28"/>
      <w:r>
        <w:rPr>
          <w:rFonts w:eastAsia="Segoe UI" w:cs="Segoe UI"/>
          <w:b/>
          <w:color w:val="0F4761"/>
          <w:sz w:val="26"/>
        </w:rPr>
        <w:t>7.8  Release rollback</w:t>
      </w:r>
    </w:p>
    <w:p>
      <w:pPr>
        <w:pStyle w:val="Normal"/>
        <w:spacing w:lineRule="auto" w:line="276" w:before="0" w:after="120"/>
        <w:rPr/>
      </w:pPr>
      <w:r>
        <w:rPr>
          <w:rFonts w:eastAsia="Segoe UI" w:cs="Segoe UI" w:ascii="Segoe UI" w:hAnsi="Segoe UI"/>
          <w:color w:val="101820"/>
          <w:sz w:val="21"/>
        </w:rPr>
        <w:t>Migrations only add to the schema, so the previous API image runs on the newer schema. Redeploy the previous image tag and front-end build. Restore the pre-release snapshot only if data written by the new release must be undone.</w:t>
      </w:r>
      <w:r>
        <w:br w:type="page"/>
      </w:r>
    </w:p>
    <w:p>
      <w:pPr>
        <w:pStyle w:val="Heading1"/>
        <w:rPr/>
      </w:pPr>
      <w:bookmarkStart w:id="29" w:name="__RefHeading___Toc151619_3199679052"/>
      <w:bookmarkEnd w:id="29"/>
      <w:r>
        <w:rPr>
          <w:rFonts w:eastAsia="Segoe UI" w:cs="Segoe UI" w:ascii="Segoe UI" w:hAnsi="Segoe UI"/>
          <w:b/>
          <w:color w:val="0F4761"/>
          <w:sz w:val="32"/>
        </w:rPr>
        <w:t>8.  Scenarios</w:t>
      </w:r>
    </w:p>
    <w:p>
      <w:pPr>
        <w:pStyle w:val="Heading2"/>
        <w:rPr/>
      </w:pPr>
      <w:bookmarkStart w:id="30" w:name="__RefHeading___Toc151621_3199679052"/>
      <w:bookmarkEnd w:id="30"/>
      <w:r>
        <w:rPr>
          <w:rFonts w:eastAsia="Segoe UI" w:cs="Segoe UI"/>
          <w:b/>
          <w:color w:val="0F4761"/>
          <w:sz w:val="26"/>
        </w:rPr>
        <w:t>8.1  Region or data centre outage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6"/>
        <w:gridCol w:w="6457"/>
      </w:tblGrid>
      <w:tr>
        <w:trPr>
          <w:tblHeader w:val="true"/>
        </w:trPr>
        <w:tc>
          <w:tcPr>
            <w:tcW w:w="25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4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Response</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Provider status page or partner notice; health checks failing from outside; no AZ in the region usable</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hour</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declared; provider's estimate of restoration obtained; broker told</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Decision</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Invoke DR if the provider gives no restoration within 4 hours or no estimate at all, or earlier if a critical deadline is at risk [threshold to confirm with the broker]</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Recovery</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Region or site loss procedure; objectives 24 hours (pilot light) or 8 hours (warm standby)</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Without a DR option</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Wait for the provider; continuity relies on the manual workarounds below</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residency</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recovery region outside the Philippines is a transfer the broker must have documented in advance. Under option C both sites are in the Philippines</w:t>
            </w:r>
          </w:p>
        </w:tc>
      </w:tr>
    </w:tbl>
    <w:p>
      <w:pPr>
        <w:pStyle w:val="Normal"/>
        <w:spacing w:before="0" w:after="80"/>
        <w:rPr/>
      </w:pPr>
      <w:r>
        <w:rPr/>
      </w:r>
    </w:p>
    <w:p>
      <w:pPr>
        <w:pStyle w:val="Heading2"/>
        <w:rPr/>
      </w:pPr>
      <w:bookmarkStart w:id="31" w:name="__RefHeading___Toc151623_3199679052"/>
      <w:bookmarkEnd w:id="31"/>
      <w:r>
        <w:rPr>
          <w:rFonts w:eastAsia="Segoe UI" w:cs="Segoe UI"/>
          <w:b/>
          <w:color w:val="0F4761"/>
          <w:sz w:val="26"/>
        </w:rPr>
        <w:t>8.2  Database corruption or wrong mass change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report wrong balances or missing records; trial balance out of balance; failed migration; a mass update by script went wrong</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Containment</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Stop writes at once; find the first wrong transaction with Master &gt; Audit Trail, </w:t>
            </w:r>
            <w:r>
              <w:rPr>
                <w:rFonts w:eastAsia="Consolas" w:cs="Consolas" w:ascii="Consolas" w:hAnsi="Consolas"/>
                <w:color w:val="101820"/>
                <w:kern w:val="0"/>
                <w:sz w:val="16"/>
                <w:szCs w:val="24"/>
                <w:lang w:val="en-US" w:eastAsia="ja-JP" w:bidi="ar-SA"/>
              </w:rPr>
              <w:t>audit_log</w:t>
            </w:r>
            <w:r>
              <w:rPr>
                <w:rFonts w:eastAsia="Segoe UI" w:cs="Segoe UI" w:ascii="Segoe UI" w:hAnsi="Segoe UI"/>
                <w:color w:val="101820"/>
                <w:kern w:val="0"/>
                <w:sz w:val="18"/>
                <w:szCs w:val="24"/>
                <w:lang w:val="en-US" w:eastAsia="ja-JP" w:bidi="ar-SA"/>
              </w:rPr>
              <w:t xml:space="preserve"> and request ids</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Recovery</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PITR to just before the first wrong change; RPO 15 minutes, RTO 4 hours</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Alternative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 a small, well-identified error, a reviewed data correction under change control instead of a restore (Production Support Approach, data corrections)</w:t>
            </w:r>
          </w:p>
        </w:tc>
      </w:tr>
    </w:tbl>
    <w:p>
      <w:pPr>
        <w:pStyle w:val="Normal"/>
        <w:spacing w:before="0" w:after="80"/>
        <w:rPr/>
      </w:pPr>
      <w:r>
        <w:rPr/>
      </w:r>
    </w:p>
    <w:p>
      <w:pPr>
        <w:pStyle w:val="Heading2"/>
        <w:rPr/>
      </w:pPr>
      <w:bookmarkStart w:id="32" w:name="__RefHeading___Toc151625_3199679052"/>
      <w:bookmarkEnd w:id="32"/>
      <w:r>
        <w:rPr>
          <w:rFonts w:eastAsia="Segoe UI" w:cs="Segoe UI"/>
          <w:b/>
          <w:color w:val="0F4761"/>
          <w:sz w:val="26"/>
        </w:rPr>
        <w:t>8.3  Ransomware or destructive attack</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3"/>
        <w:gridCol w:w="6761"/>
      </w:tblGrid>
      <w:tr>
        <w:trPr>
          <w:tblHeader w:val="true"/>
        </w:trPr>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7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Response</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Encrypted or deleted files, unknown administrator activity, ransom note, alarm on mass deletion</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Containment</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Isolate the environment; revoke cloud and database credentials; rotate </w:t>
            </w:r>
            <w:r>
              <w:rPr>
                <w:rFonts w:eastAsia="Consolas" w:cs="Consolas" w:ascii="Consolas" w:hAnsi="Consolas"/>
                <w:color w:val="101820"/>
                <w:kern w:val="0"/>
                <w:sz w:val="16"/>
                <w:szCs w:val="24"/>
                <w:lang w:val="en-US" w:eastAsia="ja-JP" w:bidi="ar-SA"/>
              </w:rPr>
              <w:t>JWT_SECRET</w:t>
            </w:r>
            <w:r>
              <w:rPr>
                <w:rFonts w:eastAsia="Segoe UI" w:cs="Segoe UI" w:ascii="Segoe UI" w:hAnsi="Segoe UI"/>
                <w:color w:val="101820"/>
                <w:kern w:val="0"/>
                <w:sz w:val="18"/>
                <w:szCs w:val="24"/>
                <w:lang w:val="en-US" w:eastAsia="ja-JP" w:bidi="ar-SA"/>
              </w:rPr>
              <w:t xml:space="preserve"> to sign every user out; disable affected accounts; block addresses at the WAF</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Evidence</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Preserve logs, </w:t>
            </w:r>
            <w:r>
              <w:rPr>
                <w:rFonts w:eastAsia="Consolas" w:cs="Consolas" w:ascii="Consolas" w:hAnsi="Consolas"/>
                <w:color w:val="101820"/>
                <w:kern w:val="0"/>
                <w:sz w:val="16"/>
                <w:szCs w:val="24"/>
                <w:lang w:val="en-US" w:eastAsia="ja-JP" w:bidi="ar-SA"/>
              </w:rPr>
              <w:t>login_history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audit_log</w:t>
            </w:r>
            <w:r>
              <w:rPr>
                <w:rFonts w:eastAsia="Segoe UI" w:cs="Segoe UI" w:ascii="Segoe UI" w:hAnsi="Segoe UI"/>
                <w:color w:val="101820"/>
                <w:kern w:val="0"/>
                <w:sz w:val="18"/>
                <w:szCs w:val="24"/>
                <w:lang w:val="en-US" w:eastAsia="ja-JP" w:bidi="ar-SA"/>
              </w:rPr>
              <w:t>, monitoring data and a snapshot before any clean-up</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Recovery</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Rebuild clean infrastructure from code; restore from a point before the compromise, preferring the write-once monthly dump and the cross-region copies, which an attacker with production credentials cannot alter</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reopening</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Root cause found and closed; all secrets rotated; administrator passwords and two-step enrolments reset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Privacy</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Treated as a possible personal data breach: notice to the broker's DPO within [24] hours of discovery; the DPO decides on notification to the NPC within 72 hours</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Ransom</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does not negotiate or pay on the broker's behalf; any decision is the broker's, with legal advice</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Keep backup deletion rights in a separate account or role from production administration, and use object lock or write-once storage for the monthly dumps.</w:t>
      </w:r>
    </w:p>
    <w:p>
      <w:pPr>
        <w:pStyle w:val="Heading2"/>
        <w:rPr/>
      </w:pPr>
      <w:bookmarkStart w:id="33" w:name="__RefHeading___Toc151627_3199679052"/>
      <w:bookmarkEnd w:id="33"/>
      <w:r>
        <w:rPr>
          <w:rFonts w:eastAsia="Segoe UI" w:cs="Segoe UI"/>
          <w:b/>
          <w:color w:val="0F4761"/>
          <w:sz w:val="26"/>
        </w:rPr>
        <w:t>8.4  Key person loss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Risk</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of the iorta TechNXT engineer who knows a module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 standards and the Technical Reference; module pattern shared by every module; knowledge base of known errors; at least two engineers trained on each module [to confirm named backups]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of the iorta TechNXT DevOps engineer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Deployment as code in the repository and </w:t>
            </w:r>
            <w:r>
              <w:rPr>
                <w:rFonts w:eastAsia="Consolas" w:cs="Consolas" w:ascii="Consolas" w:hAnsi="Consolas"/>
                <w:color w:val="101820"/>
                <w:kern w:val="0"/>
                <w:sz w:val="16"/>
                <w:szCs w:val="24"/>
                <w:lang w:val="en-US" w:eastAsia="ja-JP" w:bidi="ar-SA"/>
              </w:rPr>
              <w:t>deploy/</w:t>
            </w:r>
            <w:r>
              <w:rPr>
                <w:rFonts w:eastAsia="Segoe UI" w:cs="Segoe UI" w:ascii="Segoe UI" w:hAnsi="Segoe UI"/>
                <w:color w:val="101820"/>
                <w:kern w:val="0"/>
                <w:sz w:val="18"/>
                <w:szCs w:val="24"/>
                <w:lang w:val="en-US" w:eastAsia="ja-JP" w:bidi="ar-SA"/>
              </w:rPr>
              <w:t>; runbooks in architecture document 09; cloud access through named roles, never a personal account; break-glass access under dual control</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of the broker's System Administrator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second System Administrator named at go-live; user manual and role guides; iorta TechNXT L2 covers in the meantime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of the broker's Accounting Manager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second user with the Accounting Manager role, so maker-checker approvals can continue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of the person holding the escrow copy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 named holders on each side, recorded in the secret escrow register</w:t>
            </w:r>
          </w:p>
        </w:tc>
      </w:tr>
    </w:tbl>
    <w:p>
      <w:pPr>
        <w:pStyle w:val="Normal"/>
        <w:spacing w:before="0" w:after="80"/>
        <w:rPr/>
      </w:pPr>
      <w:r>
        <w:rPr/>
      </w:r>
    </w:p>
    <w:p>
      <w:pPr>
        <w:pStyle w:val="Heading2"/>
        <w:rPr/>
      </w:pPr>
      <w:bookmarkStart w:id="34" w:name="__RefHeading___Toc151629_3199679052"/>
      <w:bookmarkEnd w:id="34"/>
      <w:r>
        <w:rPr>
          <w:rFonts w:eastAsia="Segoe UI" w:cs="Segoe UI"/>
          <w:b/>
          <w:color w:val="0F4761"/>
          <w:sz w:val="26"/>
        </w:rPr>
        <w:t>8.5  Vendor exit or failure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06"/>
        <w:gridCol w:w="5408"/>
      </w:tblGrid>
      <w:tr>
        <w:trPr>
          <w:tblHeader w:val="true"/>
        </w:trPr>
        <w:tc>
          <w:tcPr>
            <w:tcW w:w="36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4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exit (end of contract)</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Exit and Transition Plan: data returned in an agreed format, transition assistance, deletion within 30 days after the broker confirms the export, certificate of deletion</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unable to continue</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Broker-hosted installation: the broker already holds the database, files and keys. Hosted installation: the broker asks for an immediate export under the Exit and Transition Plan; with a perpetual licence and the optional source code escrow, the release events of the Escrow Agreement apply</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Technology</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React, Node.js 22 and PostgreSQL 16, with no proprietary middleware; any competent team in the Philippines can operate it with the Technical Reference and deployment guide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provider exit</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application runs on any option without code change; moving between AWS, Azure and a local partner is a planned migration from backups</w:t>
            </w:r>
          </w:p>
        </w:tc>
      </w:tr>
    </w:tbl>
    <w:p>
      <w:pPr>
        <w:pStyle w:val="Normal"/>
        <w:spacing w:before="0" w:after="80"/>
        <w:rPr/>
      </w:pPr>
      <w:r>
        <w:rPr/>
      </w:r>
    </w:p>
    <w:p>
      <w:pPr>
        <w:pStyle w:val="Heading2"/>
        <w:rPr/>
      </w:pPr>
      <w:bookmarkStart w:id="35" w:name="__RefHeading___Toc151631_3199679052"/>
      <w:bookmarkEnd w:id="35"/>
      <w:r>
        <w:rPr>
          <w:rFonts w:eastAsia="Segoe UI" w:cs="Segoe UI"/>
          <w:b/>
          <w:color w:val="0F4761"/>
          <w:sz w:val="26"/>
        </w:rPr>
        <w:t>8.6  Third-party outages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61"/>
        <w:gridCol w:w="3825"/>
        <w:gridCol w:w="3828"/>
      </w:tblGrid>
      <w:tr>
        <w:trPr>
          <w:tblHeader w:val="true"/>
        </w:trPr>
        <w:tc>
          <w:tcPr>
            <w:tcW w:w="13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Dependency</w:t>
            </w:r>
          </w:p>
        </w:tc>
        <w:tc>
          <w:tcPr>
            <w:tcW w:w="38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c>
          <w:tcPr>
            <w:tcW w:w="38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Workaround</w:t>
            </w:r>
          </w:p>
        </w:tc>
      </w:tr>
      <w:tr>
        <w:trPr/>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mailbox</w:t>
            </w:r>
          </w:p>
        </w:tc>
        <w:tc>
          <w:tcPr>
            <w:tcW w:w="38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E-mails wait in the E-mail Outbox; transactions continue</w:t>
            </w:r>
          </w:p>
        </w:tc>
        <w:tc>
          <w:tcPr>
            <w:tcW w:w="38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Resend from the outbox when the mailbox is back; send urgent documents from a normal mailbox</w:t>
            </w:r>
          </w:p>
        </w:tc>
      </w:tr>
      <w:tr>
        <w:trPr/>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gateway</w:t>
            </w:r>
          </w:p>
        </w:tc>
        <w:tc>
          <w:tcPr>
            <w:tcW w:w="38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links fail; no automatic receipts</w:t>
            </w:r>
          </w:p>
        </w:tc>
        <w:tc>
          <w:tcPr>
            <w:tcW w:w="38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pay by bank transfer or cheque; Accounting records the receipt</w:t>
            </w:r>
          </w:p>
        </w:tc>
      </w:tr>
      <w:tr>
        <w:trPr/>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portal</w:t>
            </w:r>
          </w:p>
        </w:tc>
        <w:tc>
          <w:tcPr>
            <w:tcW w:w="38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Transfers to insurers cannot be executed</w:t>
            </w:r>
          </w:p>
        </w:tc>
        <w:tc>
          <w:tcPr>
            <w:tcW w:w="38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Approved remittances wait; cheques where the insurer accepts them</w:t>
            </w:r>
          </w:p>
        </w:tc>
      </w:tr>
      <w:tr>
        <w:trPr/>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systems</w:t>
            </w:r>
          </w:p>
        </w:tc>
        <w:tc>
          <w:tcPr>
            <w:tcW w:w="38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effect on BrokerVerse (exchange is by file and e-mail)</w:t>
            </w:r>
          </w:p>
        </w:tc>
        <w:tc>
          <w:tcPr>
            <w:tcW w:w="38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w:t>
            </w:r>
          </w:p>
        </w:tc>
      </w:tr>
    </w:tbl>
    <w:p>
      <w:pPr>
        <w:pStyle w:val="Heading1"/>
        <w:rPr/>
      </w:pPr>
      <w:r>
        <w:br w:type="page"/>
      </w:r>
      <w:bookmarkStart w:id="36" w:name="__RefHeading___Toc151633_3199679052"/>
      <w:bookmarkEnd w:id="36"/>
      <w:r>
        <w:rPr>
          <w:rFonts w:eastAsia="Segoe UI" w:cs="Segoe UI" w:ascii="Segoe UI" w:hAnsi="Segoe UI"/>
          <w:b/>
          <w:color w:val="0F4761"/>
          <w:sz w:val="32"/>
        </w:rPr>
        <w:t>9.  Manual workarounds while the system is down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18"/>
        <w:gridCol w:w="3697"/>
        <w:gridCol w:w="3699"/>
      </w:tblGrid>
      <w:tr>
        <w:trPr>
          <w:tblHeader w:val="true"/>
        </w:trPr>
        <w:tc>
          <w:tcPr>
            <w:tcW w:w="16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Process</w:t>
            </w:r>
          </w:p>
        </w:tc>
        <w:tc>
          <w:tcPr>
            <w:tcW w:w="36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Workaround</w:t>
            </w:r>
          </w:p>
        </w:tc>
        <w:tc>
          <w:tcPr>
            <w:tcW w:w="36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Catch-up after recovery</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Collecting premium</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Issue pre-numbered manual official receipts from the BIR-registered manual series kept for this purpose [to confirm the broker holds one]</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each receipt in BrokerVerse with the manual receipt reference</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Motor policy and CTPL</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the policy or certificate directly from the insurer's own portal or underwriter</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the issued policy (Record Issued Policy journey) with the insurer's number</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notification</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the preliminary loss advice to the insurer from a normal mailbox</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 the claim with the actual notification date</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Defer by the insurer's terms; tell insurers of the delay</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the remittance as normal</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enquiries</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 the last daily exported reports (production register, SOA, renewal list)</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The Daily reports job (05:00 PHT) generates the scheduled daily reports (production register, collections, claims position). Keep the last day's copies, with a premium receivable SOA and the renewal list, outside the system (for example on the broker's file server) so staff can answer clients during an outage.</w:t>
      </w:r>
      <w:r>
        <w:br w:type="page"/>
      </w:r>
    </w:p>
    <w:p>
      <w:pPr>
        <w:pStyle w:val="Heading1"/>
        <w:rPr/>
      </w:pPr>
      <w:bookmarkStart w:id="37" w:name="__RefHeading___Toc151635_3199679052"/>
      <w:bookmarkEnd w:id="37"/>
      <w:r>
        <w:rPr>
          <w:rFonts w:eastAsia="Segoe UI" w:cs="Segoe UI" w:ascii="Segoe UI" w:hAnsi="Segoe UI"/>
          <w:b/>
          <w:color w:val="0F4761"/>
          <w:sz w:val="32"/>
        </w:rPr>
        <w:t>10.  Roles and responsibilities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95"/>
        <w:gridCol w:w="3472"/>
        <w:gridCol w:w="3548"/>
      </w:tblGrid>
      <w:tr>
        <w:trPr>
          <w:tblHeader w:val="true"/>
        </w:trPr>
        <w:tc>
          <w:tcPr>
            <w:tcW w:w="19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34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c>
          <w:tcPr>
            <w:tcW w:w="35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Responsibilities in a disruption</w:t>
            </w:r>
          </w:p>
        </w:tc>
      </w:tr>
      <w:tr>
        <w:trPr/>
        <w:tc>
          <w:tcPr>
            <w:tcW w:w="1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Incident Manager</w:t>
            </w:r>
          </w:p>
        </w:tc>
        <w:tc>
          <w:tcPr>
            <w:tcW w:w="3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support manager [name to confirm]</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Declares P1, runs the bridge, keeps the timeline, decides with the broker's IT head on DR invocation</w:t>
            </w:r>
          </w:p>
        </w:tc>
      </w:tr>
      <w:tr>
        <w:trPr/>
        <w:tc>
          <w:tcPr>
            <w:tcW w:w="1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Recovery lead</w:t>
            </w:r>
          </w:p>
        </w:tc>
        <w:tc>
          <w:tcPr>
            <w:tcW w:w="3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 lead [name to confirm]</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Carries out restores and DR, records times and recovery points</w:t>
            </w:r>
          </w:p>
        </w:tc>
      </w:tr>
      <w:tr>
        <w:trPr/>
        <w:tc>
          <w:tcPr>
            <w:tcW w:w="1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 lead</w:t>
            </w:r>
          </w:p>
        </w:tc>
        <w:tc>
          <w:tcPr>
            <w:tcW w:w="3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L3 engineer [name to confirm]</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Checks migrations, data integrity, jobs and the application after restore</w:t>
            </w:r>
          </w:p>
        </w:tc>
      </w:tr>
      <w:tr>
        <w:trPr/>
        <w:tc>
          <w:tcPr>
            <w:tcW w:w="1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IT head</w:t>
            </w:r>
          </w:p>
        </w:tc>
        <w:tc>
          <w:tcPr>
            <w:tcW w:w="3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Approves DR invocation, recovery point and reopening; coordinates the broker's network and devices</w:t>
            </w:r>
          </w:p>
        </w:tc>
      </w:tr>
      <w:tr>
        <w:trPr/>
        <w:tc>
          <w:tcPr>
            <w:tcW w:w="1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Accounting Manager</w:t>
            </w:r>
          </w:p>
        </w:tc>
        <w:tc>
          <w:tcPr>
            <w:tcW w:w="3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Agrees the recovery point; runs the financial checks; approves re-entry and receipt series treatment</w:t>
            </w:r>
          </w:p>
        </w:tc>
      </w:tr>
      <w:tr>
        <w:trPr/>
        <w:tc>
          <w:tcPr>
            <w:tcW w:w="1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System Administrator</w:t>
            </w:r>
          </w:p>
        </w:tc>
        <w:tc>
          <w:tcPr>
            <w:tcW w:w="3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communication, two-step resets, numbering checks, outbox</w:t>
            </w:r>
          </w:p>
        </w:tc>
      </w:tr>
      <w:tr>
        <w:trPr/>
        <w:tc>
          <w:tcPr>
            <w:tcW w:w="1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DPO</w:t>
            </w:r>
          </w:p>
        </w:tc>
        <w:tc>
          <w:tcPr>
            <w:tcW w:w="3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Decides on NPC and data subject notification when personal data may be affected</w:t>
            </w:r>
          </w:p>
        </w:tc>
      </w:tr>
      <w:tr>
        <w:trPr/>
        <w:tc>
          <w:tcPr>
            <w:tcW w:w="1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sponsor</w:t>
            </w:r>
          </w:p>
        </w:tc>
        <w:tc>
          <w:tcPr>
            <w:tcW w:w="3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Decides on communication to insurers, clients and regulators</w:t>
            </w:r>
          </w:p>
        </w:tc>
      </w:tr>
    </w:tbl>
    <w:p>
      <w:pPr>
        <w:pStyle w:val="Heading1"/>
        <w:rPr/>
      </w:pPr>
      <w:r>
        <w:br w:type="page"/>
      </w:r>
      <w:bookmarkStart w:id="38" w:name="__RefHeading___Toc151637_3199679052"/>
      <w:bookmarkEnd w:id="38"/>
      <w:r>
        <w:rPr>
          <w:rFonts w:eastAsia="Segoe UI" w:cs="Segoe UI" w:ascii="Segoe UI" w:hAnsi="Segoe UI"/>
          <w:b/>
          <w:color w:val="0F4761"/>
          <w:sz w:val="32"/>
        </w:rPr>
        <w:t>11.  Communication</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57"/>
        <w:gridCol w:w="1640"/>
        <w:gridCol w:w="2458"/>
        <w:gridCol w:w="2457"/>
      </w:tblGrid>
      <w:tr>
        <w:trPr>
          <w:tblHeader w:val="true"/>
        </w:trPr>
        <w:tc>
          <w:tcPr>
            <w:tcW w:w="24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c>
          <w:tcPr>
            <w:tcW w:w="16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informs</w:t>
            </w:r>
          </w:p>
        </w:tc>
        <w:tc>
          <w:tcPr>
            <w:tcW w:w="24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Whom</w:t>
            </w:r>
          </w:p>
        </w:tc>
        <w:tc>
          <w:tcPr>
            <w:tcW w:w="24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w:t>
            </w:r>
          </w:p>
        </w:tc>
      </w:tr>
      <w:tr>
        <w:trPr/>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30 minutes of a P1</w:t>
            </w:r>
          </w:p>
        </w:tc>
        <w:tc>
          <w:tcPr>
            <w:tcW w:w="1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Incident Manager</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System Administrator and IT head</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Telephone, then e-mail</w:t>
            </w:r>
          </w:p>
        </w:tc>
      </w:tr>
      <w:tr>
        <w:trPr/>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hour during a P1</w:t>
            </w:r>
          </w:p>
        </w:tc>
        <w:tc>
          <w:tcPr>
            <w:tcW w:w="1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Incident Manager</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IT head and sponsor</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status update</w:t>
            </w:r>
          </w:p>
        </w:tc>
      </w:tr>
      <w:tr>
        <w:trPr/>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Outage over 1 hour</w:t>
            </w:r>
          </w:p>
        </w:tc>
        <w:tc>
          <w:tcPr>
            <w:tcW w:w="1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System Administrator</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users</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or chat; banner on the intranet</w:t>
            </w:r>
          </w:p>
        </w:tc>
      </w:tr>
      <w:tr>
        <w:trPr/>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Outage affecting receipts or issuance over 1 business day</w:t>
            </w:r>
          </w:p>
        </w:tc>
        <w:tc>
          <w:tcPr>
            <w:tcW w:w="1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sponsor</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 concerned</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from the broker</w:t>
            </w:r>
          </w:p>
        </w:tc>
      </w:tr>
      <w:tr>
        <w:trPr/>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Possible personal data breach</w:t>
            </w:r>
          </w:p>
        </w:tc>
        <w:tc>
          <w:tcPr>
            <w:tcW w:w="1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DPO</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[24] hours of discovery, written</w:t>
            </w:r>
          </w:p>
        </w:tc>
      </w:tr>
      <w:tr>
        <w:trPr/>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 notification, where required</w:t>
            </w:r>
          </w:p>
        </w:tc>
        <w:tc>
          <w:tcPr>
            <w:tcW w:w="1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DPO or compliance officer</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NPC; IC if the broker's compliance officer decides it is required</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the rules require</w:t>
            </w:r>
          </w:p>
        </w:tc>
      </w:tr>
      <w:tr>
        <w:trPr/>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Recovery complete</w:t>
            </w:r>
          </w:p>
        </w:tc>
        <w:tc>
          <w:tcPr>
            <w:tcW w:w="1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Incident Manager</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IT head and System Administrator</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with recovery point, data to re-enter and next steps</w:t>
            </w:r>
          </w:p>
        </w:tc>
      </w:tr>
      <w:tr>
        <w:trPr/>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the incident</w:t>
            </w:r>
          </w:p>
        </w:tc>
        <w:tc>
          <w:tcPr>
            <w:tcW w:w="1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RCA draft within 5 business days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Contact list (to be completed for each broker and reviewed every six months):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29"/>
        <w:gridCol w:w="1462"/>
        <w:gridCol w:w="1461"/>
        <w:gridCol w:w="1462"/>
      </w:tblGrid>
      <w:tr>
        <w:trPr>
          <w:tblHeader w:val="true"/>
        </w:trPr>
        <w:tc>
          <w:tcPr>
            <w:tcW w:w="46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14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Name</w:t>
            </w:r>
          </w:p>
        </w:tc>
        <w:tc>
          <w:tcPr>
            <w:tcW w:w="14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Mobile</w:t>
            </w:r>
          </w:p>
        </w:tc>
        <w:tc>
          <w:tcPr>
            <w:tcW w:w="14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E-mail</w:t>
            </w:r>
          </w:p>
        </w:tc>
      </w:tr>
      <w:tr>
        <w:trPr/>
        <w:tc>
          <w:tcPr>
            <w:tcW w:w="4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service desk (P1 line)</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r>
      <w:tr>
        <w:trPr/>
        <w:tc>
          <w:tcPr>
            <w:tcW w:w="4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Incident Manager</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r>
      <w:tr>
        <w:trPr/>
        <w:tc>
          <w:tcPr>
            <w:tcW w:w="4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 lead</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r>
      <w:tr>
        <w:trPr/>
        <w:tc>
          <w:tcPr>
            <w:tcW w:w="4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IT head</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r>
      <w:tr>
        <w:trPr/>
        <w:tc>
          <w:tcPr>
            <w:tcW w:w="4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System Administrator and deputy</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r>
      <w:tr>
        <w:trPr/>
        <w:tc>
          <w:tcPr>
            <w:tcW w:w="4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Accounting Manager</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r>
      <w:tr>
        <w:trPr/>
        <w:tc>
          <w:tcPr>
            <w:tcW w:w="4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DPO</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r>
      <w:tr>
        <w:trPr/>
        <w:tc>
          <w:tcPr>
            <w:tcW w:w="4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provider or partner support</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r>
    </w:tbl>
    <w:p>
      <w:pPr>
        <w:pStyle w:val="Heading1"/>
        <w:rPr/>
      </w:pPr>
      <w:r>
        <w:br w:type="page"/>
      </w:r>
      <w:bookmarkStart w:id="39" w:name="__RefHeading___Toc151639_3199679052"/>
      <w:bookmarkEnd w:id="39"/>
      <w:r>
        <w:rPr>
          <w:rFonts w:eastAsia="Segoe UI" w:cs="Segoe UI" w:ascii="Segoe UI" w:hAnsi="Segoe UI"/>
          <w:b/>
          <w:color w:val="0F4761"/>
          <w:sz w:val="32"/>
        </w:rPr>
        <w:t>12.  DR drills and evidence</w:t>
      </w:r>
    </w:p>
    <w:p>
      <w:pPr>
        <w:pStyle w:val="Heading2"/>
        <w:rPr/>
      </w:pPr>
      <w:bookmarkStart w:id="40" w:name="__RefHeading___Toc151641_3199679052"/>
      <w:bookmarkEnd w:id="40"/>
      <w:r>
        <w:rPr>
          <w:rFonts w:eastAsia="Segoe UI" w:cs="Segoe UI"/>
          <w:b/>
          <w:color w:val="0F4761"/>
          <w:sz w:val="26"/>
        </w:rPr>
        <w:t>12.1  Drill calendar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Test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Frequency</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Success criteria</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jobs succeeded; latest restorable time within 15 minutes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Recorded in the daily health check</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PITR to a new instance, API started against it in isolation, smoke test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Quarterly and before go-live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 completed within 4 hours; smoke test passed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restore with a sample of documents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Quarterly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Sample opens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Logical dump restore into a clean PostgreSQL 16, row counts compared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Twice a year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Counts equal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 escrow check under dual control</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Escrow key matches the live key (compared by hash, not by reading it out)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Tabletop exercise of a region loss and of ransomware with the broker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 contacts and decision points confirmed; actions logged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recovery in the recovery region or site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two years (where a DR option is in the Order Form)</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Achieved RTO and RPO recorded against the objectives</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Hold the first tabletop before go-live, in the cutover rehearsal week, so the contact list and the decision thresholds are agreed before they are needed.</w:t>
      </w:r>
    </w:p>
    <w:p>
      <w:pPr>
        <w:pStyle w:val="Heading2"/>
        <w:rPr/>
      </w:pPr>
      <w:bookmarkStart w:id="41" w:name="__RefHeading___Toc151643_3199679052"/>
      <w:bookmarkEnd w:id="41"/>
      <w:r>
        <w:rPr>
          <w:rFonts w:eastAsia="Segoe UI" w:cs="Segoe UI"/>
          <w:b/>
          <w:color w:val="0F4761"/>
          <w:sz w:val="26"/>
        </w:rPr>
        <w:t>12.2  Evidence kept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55"/>
        <w:gridCol w:w="3169"/>
        <w:gridCol w:w="2966"/>
        <w:gridCol w:w="1423"/>
      </w:tblGrid>
      <w:tr>
        <w:trPr>
          <w:tblHeader w:val="true"/>
        </w:trPr>
        <w:tc>
          <w:tcPr>
            <w:tcW w:w="14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Evidence</w:t>
            </w:r>
          </w:p>
        </w:tc>
        <w:tc>
          <w:tcPr>
            <w:tcW w:w="316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c>
          <w:tcPr>
            <w:tcW w:w="29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Kept by</w:t>
            </w:r>
          </w:p>
        </w:tc>
        <w:tc>
          <w:tcPr>
            <w:tcW w:w="14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Retention</w:t>
            </w:r>
          </w:p>
        </w:tc>
      </w:tr>
      <w:tr>
        <w:trPr/>
        <w:tc>
          <w:tcPr>
            <w:tcW w:w="14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 test record</w:t>
            </w:r>
          </w:p>
        </w:tc>
        <w:tc>
          <w:tcPr>
            <w:tcW w:w="31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operator, backup used, recovery point, start and end times, achieved RTO and RPO, checks run, issues</w:t>
            </w:r>
          </w:p>
        </w:tc>
        <w:tc>
          <w:tcPr>
            <w:tcW w:w="29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 copy to the broker</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years (recommended)</w:t>
            </w:r>
          </w:p>
        </w:tc>
      </w:tr>
      <w:tr>
        <w:trPr/>
        <w:tc>
          <w:tcPr>
            <w:tcW w:w="14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Tabletop minutes</w:t>
            </w:r>
          </w:p>
        </w:tc>
        <w:tc>
          <w:tcPr>
            <w:tcW w:w="31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Scenario, participants, decisions, gaps, actions with owners and dates</w:t>
            </w:r>
          </w:p>
        </w:tc>
        <w:tc>
          <w:tcPr>
            <w:tcW w:w="29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support manager</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years</w:t>
            </w:r>
          </w:p>
        </w:tc>
      </w:tr>
      <w:tr>
        <w:trPr/>
        <w:tc>
          <w:tcPr>
            <w:tcW w:w="14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exercise report</w:t>
            </w:r>
          </w:p>
        </w:tc>
        <w:tc>
          <w:tcPr>
            <w:tcW w:w="31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Timeline, achieved objectives, deviations, lessons, plan updates</w:t>
            </w:r>
          </w:p>
        </w:tc>
        <w:tc>
          <w:tcPr>
            <w:tcW w:w="29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signed by the broker's IT head</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years</w:t>
            </w:r>
          </w:p>
        </w:tc>
      </w:tr>
      <w:tr>
        <w:trPr/>
        <w:tc>
          <w:tcPr>
            <w:tcW w:w="14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Escrow register</w:t>
            </w:r>
          </w:p>
        </w:tc>
        <w:tc>
          <w:tcPr>
            <w:tcW w:w="31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Holders, envelope or vault reference, dates opened and resealed</w:t>
            </w:r>
          </w:p>
        </w:tc>
        <w:tc>
          <w:tcPr>
            <w:tcW w:w="29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and iorta TechNXT jointly</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Life of the contract</w:t>
            </w:r>
          </w:p>
        </w:tc>
      </w:tr>
      <w:tr>
        <w:trPr/>
        <w:tc>
          <w:tcPr>
            <w:tcW w:w="14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service report</w:t>
            </w:r>
          </w:p>
        </w:tc>
        <w:tc>
          <w:tcPr>
            <w:tcW w:w="31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status and test results of the month</w:t>
            </w:r>
          </w:p>
        </w:tc>
        <w:tc>
          <w:tcPr>
            <w:tcW w:w="29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Both</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Life of the contract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failed test is raised as a P2 incident and fixed before the next scheduled test. Results are available to the broker's auditors and, on request, to regulators.</w:t>
      </w:r>
      <w:r>
        <w:br w:type="page"/>
      </w:r>
    </w:p>
    <w:p>
      <w:pPr>
        <w:pStyle w:val="Heading1"/>
        <w:rPr/>
      </w:pPr>
      <w:bookmarkStart w:id="42" w:name="__RefHeading___Toc151645_3199679052"/>
      <w:bookmarkEnd w:id="42"/>
      <w:r>
        <w:rPr>
          <w:rFonts w:eastAsia="Segoe UI" w:cs="Segoe UI" w:ascii="Segoe UI" w:hAnsi="Segoe UI"/>
          <w:b/>
          <w:color w:val="0F4761"/>
          <w:sz w:val="32"/>
        </w:rPr>
        <w:t>13.  Maintaining this plan</w:t>
      </w:r>
    </w:p>
    <w:p>
      <w:pPr>
        <w:pStyle w:val="Normal"/>
        <w:numPr>
          <w:ilvl w:val="0"/>
          <w:numId w:val="1"/>
        </w:numPr>
        <w:spacing w:before="0" w:after="60"/>
        <w:rPr/>
      </w:pPr>
      <w:r>
        <w:rPr>
          <w:rFonts w:eastAsia="Segoe UI" w:cs="Segoe UI" w:ascii="Segoe UI" w:hAnsi="Segoe UI"/>
          <w:color w:val="101820"/>
          <w:sz w:val="21"/>
        </w:rPr>
        <w:t>Reviewed yearly, after each DR exercise, after any P1 that needed a restore, and when the hosting option, topology or contacts change.</w:t>
      </w:r>
    </w:p>
    <w:p>
      <w:pPr>
        <w:pStyle w:val="Normal"/>
        <w:numPr>
          <w:ilvl w:val="0"/>
          <w:numId w:val="1"/>
        </w:numPr>
        <w:spacing w:before="0" w:after="60"/>
        <w:rPr/>
      </w:pPr>
      <w:r>
        <w:rPr>
          <w:rFonts w:eastAsia="Segoe UI" w:cs="Segoe UI" w:ascii="Segoe UI" w:hAnsi="Segoe UI"/>
          <w:color w:val="101820"/>
          <w:sz w:val="21"/>
        </w:rPr>
        <w:t>Changes are approved by the broker's IT head and the iorta TechNXT support manager and recorded in the document control table.</w:t>
      </w:r>
    </w:p>
    <w:p>
      <w:pPr>
        <w:pStyle w:val="Normal"/>
        <w:numPr>
          <w:ilvl w:val="0"/>
          <w:numId w:val="1"/>
        </w:numPr>
        <w:spacing w:before="0" w:after="60"/>
        <w:rPr/>
      </w:pPr>
      <w:r>
        <w:rPr>
          <w:rFonts w:eastAsia="Segoe UI" w:cs="Segoe UI" w:ascii="Segoe UI" w:hAnsi="Segoe UI"/>
          <w:color w:val="101820"/>
          <w:sz w:val="21"/>
        </w:rPr>
        <w:t>The contact list is checked every six months and at each change of key personnel.</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43" w:name="__RefHeading___Toc151647_3199679052"/>
      <w:bookmarkStart w:id="44" w:name="_Toc233203395"/>
      <w:bookmarkEnd w:id="43"/>
      <w:r>
        <w:rPr>
          <w:rStyle w:val="BookTitle"/>
          <w:bCs w:val="false"/>
          <w:i w:val="false"/>
          <w:iCs w:val="false"/>
          <w:spacing w:val="0"/>
        </w:rPr>
        <w:t>14.  Document Sign-Off</w:t>
      </w:r>
      <w:bookmarkEnd w:id="44"/>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objectives become binding only when accepted in the Order Form; DR environment, partner details and contact lists to be completed per broker</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4">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3">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3">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lvlOverride w:ilvl="0">
      <w:startOverride w:val="1"/>
    </w:lvlOverride>
  </w:num>
  <w:num w:numId="10">
    <w:abstractNumId w:val="2"/>
  </w:num>
  <w:num w:numId="11">
    <w:abstractNumId w:val="2"/>
  </w:num>
  <w:num w:numId="12">
    <w:abstractNumId w:val="2"/>
    <w:lvlOverride w:ilvl="0">
      <w:startOverride w:val="1"/>
    </w:lvlOverride>
  </w:num>
  <w:num w:numId="13">
    <w:abstractNumId w:val="2"/>
  </w:num>
  <w:num w:numId="14">
    <w:abstractNumId w:val="2"/>
  </w:num>
  <w:num w:numId="15">
    <w:abstractNumId w:val="2"/>
    <w:lvlOverride w:ilvl="0">
      <w:startOverride w:val="1"/>
    </w:lvlOverride>
  </w:num>
  <w:num w:numId="16">
    <w:abstractNumId w:val="2"/>
  </w:num>
  <w:num w:numId="17">
    <w:abstractNumId w:val="2"/>
    <w:lvlOverride w:ilvl="0">
      <w:startOverride w:val="1"/>
    </w:lvlOverride>
  </w:num>
  <w:num w:numId="18">
    <w:abstractNumId w:val="2"/>
  </w:num>
  <w:num w:numId="19">
    <w:abstractNumId w:val="2"/>
  </w:num>
  <w:num w:numId="20">
    <w:abstractNumId w:val="2"/>
  </w:num>
  <w:num w:numId="21">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2026-10-04T01:53:15Z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