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57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159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161_3066934455">
            <w:r>
              <w:rPr>
                <w:webHidden/>
                <w:rStyle w:val="IndexLink"/>
              </w:rPr>
              <w:t>3. How to use this document</w:t>
              <w:tab/>
              <w:t>5</w:t>
            </w:r>
          </w:hyperlink>
        </w:p>
        <w:p>
          <w:pPr>
            <w:pStyle w:val="TOC2"/>
            <w:tabs>
              <w:tab w:val="clear" w:pos="900"/>
              <w:tab w:val="clear" w:pos="9350"/>
              <w:tab w:val="right" w:pos="9025" w:leader="dot"/>
            </w:tabs>
            <w:rPr/>
          </w:pPr>
          <w:hyperlink w:anchor="__RefHeading___Toc1163_3066934455">
            <w:r>
              <w:rPr>
                <w:webHidden/>
                <w:rStyle w:val="IndexLink"/>
              </w:rPr>
              <w:t>3.1 Purpose</w:t>
              <w:tab/>
              <w:t>5</w:t>
            </w:r>
          </w:hyperlink>
        </w:p>
        <w:p>
          <w:pPr>
            <w:pStyle w:val="TOC2"/>
            <w:tabs>
              <w:tab w:val="clear" w:pos="900"/>
              <w:tab w:val="clear" w:pos="9350"/>
              <w:tab w:val="right" w:pos="9025" w:leader="dot"/>
            </w:tabs>
            <w:rPr/>
          </w:pPr>
          <w:hyperlink w:anchor="__RefHeading___Toc1165_3066934455">
            <w:r>
              <w:rPr>
                <w:webHidden/>
                <w:rStyle w:val="IndexLink"/>
              </w:rPr>
              <w:t>3.2 Rules for the sales team</w:t>
              <w:tab/>
              <w:t>5</w:t>
            </w:r>
          </w:hyperlink>
        </w:p>
        <w:p>
          <w:pPr>
            <w:pStyle w:val="TOC1"/>
            <w:tabs>
              <w:tab w:val="clear" w:pos="900"/>
              <w:tab w:val="clear" w:pos="9350"/>
              <w:tab w:val="right" w:pos="9025" w:leader="dot"/>
            </w:tabs>
            <w:rPr/>
          </w:pPr>
          <w:hyperlink w:anchor="__RefHeading___Toc1167_3066934455">
            <w:r>
              <w:rPr>
                <w:webHidden/>
                <w:rStyle w:val="IndexLink"/>
              </w:rPr>
              <w:t>4. Product and scope</w:t>
              <w:tab/>
              <w:t>6</w:t>
            </w:r>
          </w:hyperlink>
        </w:p>
        <w:p>
          <w:pPr>
            <w:pStyle w:val="TOC2"/>
            <w:tabs>
              <w:tab w:val="clear" w:pos="900"/>
              <w:tab w:val="clear" w:pos="9350"/>
              <w:tab w:val="right" w:pos="9025" w:leader="dot"/>
            </w:tabs>
            <w:rPr/>
          </w:pPr>
          <w:hyperlink w:anchor="__RefHeading___Toc1169_3066934455">
            <w:r>
              <w:rPr>
                <w:webHidden/>
                <w:rStyle w:val="IndexLink"/>
              </w:rPr>
              <w:t>4.1 What is iNXT BrokerVerse OOTB?</w:t>
              <w:tab/>
              <w:t>6</w:t>
            </w:r>
          </w:hyperlink>
        </w:p>
        <w:p>
          <w:pPr>
            <w:pStyle w:val="TOC2"/>
            <w:tabs>
              <w:tab w:val="clear" w:pos="900"/>
              <w:tab w:val="clear" w:pos="9350"/>
              <w:tab w:val="right" w:pos="9025" w:leader="dot"/>
            </w:tabs>
            <w:rPr/>
          </w:pPr>
          <w:hyperlink w:anchor="__RefHeading___Toc1171_3066934455">
            <w:r>
              <w:rPr>
                <w:webHidden/>
                <w:rStyle w:val="IndexLink"/>
              </w:rPr>
              <w:t>4.2 Which lines of business does it support?</w:t>
              <w:tab/>
              <w:t>6</w:t>
            </w:r>
          </w:hyperlink>
        </w:p>
        <w:p>
          <w:pPr>
            <w:pStyle w:val="TOC2"/>
            <w:tabs>
              <w:tab w:val="clear" w:pos="900"/>
              <w:tab w:val="clear" w:pos="9350"/>
              <w:tab w:val="right" w:pos="9025" w:leader="dot"/>
            </w:tabs>
            <w:rPr/>
          </w:pPr>
          <w:hyperlink w:anchor="__RefHeading___Toc1173_3066934455">
            <w:r>
              <w:rPr>
                <w:webHidden/>
                <w:rStyle w:val="IndexLink"/>
              </w:rPr>
              <w:t>4.3 Does it handle co-insurance?</w:t>
              <w:tab/>
              <w:t>6</w:t>
            </w:r>
          </w:hyperlink>
        </w:p>
        <w:p>
          <w:pPr>
            <w:pStyle w:val="TOC2"/>
            <w:tabs>
              <w:tab w:val="clear" w:pos="900"/>
              <w:tab w:val="clear" w:pos="9350"/>
              <w:tab w:val="right" w:pos="9025" w:leader="dot"/>
            </w:tabs>
            <w:rPr/>
          </w:pPr>
          <w:hyperlink w:anchor="__RefHeading___Toc1175_3066934455">
            <w:r>
              <w:rPr>
                <w:webHidden/>
                <w:rStyle w:val="IndexLink"/>
              </w:rPr>
              <w:t>4.4 Does it handle direct bill as well as broker billed?</w:t>
              <w:tab/>
              <w:t>6</w:t>
            </w:r>
          </w:hyperlink>
        </w:p>
        <w:p>
          <w:pPr>
            <w:pStyle w:val="TOC2"/>
            <w:tabs>
              <w:tab w:val="clear" w:pos="900"/>
              <w:tab w:val="clear" w:pos="9350"/>
              <w:tab w:val="right" w:pos="9025" w:leader="dot"/>
            </w:tabs>
            <w:rPr/>
          </w:pPr>
          <w:hyperlink w:anchor="__RefHeading___Toc1177_3066934455">
            <w:r>
              <w:rPr>
                <w:webHidden/>
                <w:rStyle w:val="IndexLink"/>
              </w:rPr>
              <w:t>4.5 Do referrers and sub-agents need a login?</w:t>
              <w:tab/>
              <w:t>6</w:t>
            </w:r>
          </w:hyperlink>
        </w:p>
        <w:p>
          <w:pPr>
            <w:pStyle w:val="TOC2"/>
            <w:tabs>
              <w:tab w:val="clear" w:pos="900"/>
              <w:tab w:val="clear" w:pos="9350"/>
              <w:tab w:val="right" w:pos="9025" w:leader="dot"/>
            </w:tabs>
            <w:rPr/>
          </w:pPr>
          <w:hyperlink w:anchor="__RefHeading___Toc1179_3066934455">
            <w:r>
              <w:rPr>
                <w:webHidden/>
                <w:rStyle w:val="IndexLink"/>
              </w:rPr>
              <w:t>4.6 Which roles are delivered?</w:t>
              <w:tab/>
              <w:t>6</w:t>
            </w:r>
          </w:hyperlink>
        </w:p>
        <w:p>
          <w:pPr>
            <w:pStyle w:val="TOC2"/>
            <w:tabs>
              <w:tab w:val="clear" w:pos="900"/>
              <w:tab w:val="clear" w:pos="9350"/>
              <w:tab w:val="right" w:pos="9025" w:leader="dot"/>
            </w:tabs>
            <w:rPr/>
          </w:pPr>
          <w:hyperlink w:anchor="__RefHeading___Toc1181_3066934455">
            <w:r>
              <w:rPr>
                <w:webHidden/>
                <w:rStyle w:val="IndexLink"/>
              </w:rPr>
              <w:t>4.7 Can clients approve quotations or pay online?</w:t>
              <w:tab/>
              <w:t>7</w:t>
            </w:r>
          </w:hyperlink>
        </w:p>
        <w:p>
          <w:pPr>
            <w:pStyle w:val="TOC2"/>
            <w:tabs>
              <w:tab w:val="clear" w:pos="900"/>
              <w:tab w:val="clear" w:pos="9350"/>
              <w:tab w:val="right" w:pos="9025" w:leader="dot"/>
            </w:tabs>
            <w:rPr/>
          </w:pPr>
          <w:hyperlink w:anchor="__RefHeading___Toc1183_3066934455">
            <w:r>
              <w:rPr>
                <w:webHidden/>
                <w:rStyle w:val="IndexLink"/>
              </w:rPr>
              <w:t>4.8 Does the client receive documents by e-mail?</w:t>
              <w:tab/>
              <w:t>7</w:t>
            </w:r>
          </w:hyperlink>
        </w:p>
        <w:p>
          <w:pPr>
            <w:pStyle w:val="TOC2"/>
            <w:tabs>
              <w:tab w:val="clear" w:pos="900"/>
              <w:tab w:val="clear" w:pos="9350"/>
              <w:tab w:val="right" w:pos="9025" w:leader="dot"/>
            </w:tabs>
            <w:rPr/>
          </w:pPr>
          <w:hyperlink w:anchor="__RefHeading___Toc1185_3066934455">
            <w:r>
              <w:rPr>
                <w:webHidden/>
                <w:rStyle w:val="IndexLink"/>
              </w:rPr>
              <w:t>4.9 What reports come with the product?</w:t>
              <w:tab/>
              <w:t>7</w:t>
            </w:r>
          </w:hyperlink>
        </w:p>
        <w:p>
          <w:pPr>
            <w:pStyle w:val="TOC2"/>
            <w:tabs>
              <w:tab w:val="clear" w:pos="900"/>
              <w:tab w:val="clear" w:pos="9350"/>
              <w:tab w:val="right" w:pos="9025" w:leader="dot"/>
            </w:tabs>
            <w:rPr/>
          </w:pPr>
          <w:hyperlink w:anchor="__RefHeading___Toc1187_3066934455">
            <w:r>
              <w:rPr>
                <w:webHidden/>
                <w:rStyle w:val="IndexLink"/>
              </w:rPr>
              <w:t>4.10 Is there a mobile app?</w:t>
              <w:tab/>
              <w:t>7</w:t>
            </w:r>
          </w:hyperlink>
        </w:p>
        <w:p>
          <w:pPr>
            <w:pStyle w:val="TOC1"/>
            <w:tabs>
              <w:tab w:val="clear" w:pos="900"/>
              <w:tab w:val="clear" w:pos="9350"/>
              <w:tab w:val="right" w:pos="9025" w:leader="dot"/>
            </w:tabs>
            <w:rPr/>
          </w:pPr>
          <w:hyperlink w:anchor="__RefHeading___Toc1189_3066934455">
            <w:r>
              <w:rPr>
                <w:webHidden/>
                <w:rStyle w:val="IndexLink"/>
              </w:rPr>
              <w:t>5. Regulation and compliance</w:t>
              <w:tab/>
              <w:t>8</w:t>
            </w:r>
          </w:hyperlink>
        </w:p>
        <w:p>
          <w:pPr>
            <w:pStyle w:val="TOC2"/>
            <w:tabs>
              <w:tab w:val="clear" w:pos="900"/>
              <w:tab w:val="clear" w:pos="9350"/>
              <w:tab w:val="right" w:pos="9025" w:leader="dot"/>
            </w:tabs>
            <w:rPr/>
          </w:pPr>
          <w:hyperlink w:anchor="__RefHeading___Toc1191_3066934455">
            <w:r>
              <w:rPr>
                <w:webHidden/>
                <w:rStyle w:val="IndexLink"/>
              </w:rPr>
              <w:t>5.1 Does it support Insurance Commission requirements?</w:t>
              <w:tab/>
              <w:t>8</w:t>
            </w:r>
          </w:hyperlink>
        </w:p>
        <w:p>
          <w:pPr>
            <w:pStyle w:val="TOC2"/>
            <w:tabs>
              <w:tab w:val="clear" w:pos="900"/>
              <w:tab w:val="clear" w:pos="9350"/>
              <w:tab w:val="right" w:pos="9025" w:leader="dot"/>
            </w:tabs>
            <w:rPr/>
          </w:pPr>
          <w:hyperlink w:anchor="__RefHeading___Toc1193_3066934455">
            <w:r>
              <w:rPr>
                <w:webHidden/>
                <w:rStyle w:val="IndexLink"/>
              </w:rPr>
              <w:t>5.2 Which BIR outputs are included?</w:t>
              <w:tab/>
              <w:t>8</w:t>
            </w:r>
          </w:hyperlink>
        </w:p>
        <w:p>
          <w:pPr>
            <w:pStyle w:val="TOC2"/>
            <w:tabs>
              <w:tab w:val="clear" w:pos="900"/>
              <w:tab w:val="clear" w:pos="9350"/>
              <w:tab w:val="right" w:pos="9025" w:leader="dot"/>
            </w:tabs>
            <w:rPr/>
          </w:pPr>
          <w:hyperlink w:anchor="__RefHeading___Toc1195_3066934455">
            <w:r>
              <w:rPr>
                <w:webHidden/>
                <w:rStyle w:val="IndexLink"/>
              </w:rPr>
              <w:t>5.3 Is the system registered with the BIR as a Computerized Accounting System?</w:t>
              <w:tab/>
              <w:t>8</w:t>
            </w:r>
          </w:hyperlink>
        </w:p>
        <w:p>
          <w:pPr>
            <w:pStyle w:val="TOC2"/>
            <w:tabs>
              <w:tab w:val="clear" w:pos="900"/>
              <w:tab w:val="clear" w:pos="9350"/>
              <w:tab w:val="right" w:pos="9025" w:leader="dot"/>
            </w:tabs>
            <w:rPr/>
          </w:pPr>
          <w:hyperlink w:anchor="__RefHeading___Toc1197_3066934455">
            <w:r>
              <w:rPr>
                <w:webHidden/>
                <w:rStyle w:val="IndexLink"/>
              </w:rPr>
              <w:t>5.4 How does it handle invoices and receipts under the EOPT Act?</w:t>
              <w:tab/>
              <w:t>8</w:t>
            </w:r>
          </w:hyperlink>
        </w:p>
        <w:p>
          <w:pPr>
            <w:pStyle w:val="TOC2"/>
            <w:tabs>
              <w:tab w:val="clear" w:pos="900"/>
              <w:tab w:val="clear" w:pos="9350"/>
              <w:tab w:val="right" w:pos="9025" w:leader="dot"/>
            </w:tabs>
            <w:rPr/>
          </w:pPr>
          <w:hyperlink w:anchor="__RefHeading___Toc1199_3066934455">
            <w:r>
              <w:rPr>
                <w:webHidden/>
                <w:rStyle w:val="IndexLink"/>
              </w:rPr>
              <w:t>5.5 How are premium taxes calculated?</w:t>
              <w:tab/>
              <w:t>8</w:t>
            </w:r>
          </w:hyperlink>
        </w:p>
        <w:p>
          <w:pPr>
            <w:pStyle w:val="TOC2"/>
            <w:tabs>
              <w:tab w:val="clear" w:pos="900"/>
              <w:tab w:val="clear" w:pos="9350"/>
              <w:tab w:val="right" w:pos="9025" w:leader="dot"/>
            </w:tabs>
            <w:rPr/>
          </w:pPr>
          <w:hyperlink w:anchor="__RefHeading___Toc1201_3066934455">
            <w:r>
              <w:rPr>
                <w:webHidden/>
                <w:rStyle w:val="IndexLink"/>
              </w:rPr>
              <w:t>5.6 What does it do for the Data Privacy Act?</w:t>
              <w:tab/>
              <w:t>8</w:t>
            </w:r>
          </w:hyperlink>
        </w:p>
        <w:p>
          <w:pPr>
            <w:pStyle w:val="TOC2"/>
            <w:tabs>
              <w:tab w:val="clear" w:pos="900"/>
              <w:tab w:val="clear" w:pos="9350"/>
              <w:tab w:val="right" w:pos="9025" w:leader="dot"/>
            </w:tabs>
            <w:rPr/>
          </w:pPr>
          <w:hyperlink w:anchor="__RefHeading___Toc1203_3066934455">
            <w:r>
              <w:rPr>
                <w:webHidden/>
                <w:rStyle w:val="IndexLink"/>
              </w:rPr>
              <w:t>5.7 Does it cover anti-money laundering?</w:t>
              <w:tab/>
              <w:t>9</w:t>
            </w:r>
          </w:hyperlink>
        </w:p>
        <w:p>
          <w:pPr>
            <w:pStyle w:val="TOC1"/>
            <w:tabs>
              <w:tab w:val="clear" w:pos="900"/>
              <w:tab w:val="clear" w:pos="9350"/>
              <w:tab w:val="right" w:pos="9025" w:leader="dot"/>
            </w:tabs>
            <w:rPr/>
          </w:pPr>
          <w:hyperlink w:anchor="__RefHeading___Toc1205_3066934455">
            <w:r>
              <w:rPr>
                <w:webHidden/>
                <w:rStyle w:val="IndexLink"/>
              </w:rPr>
              <w:t>6. Integration and data</w:t>
              <w:tab/>
              <w:t>10</w:t>
            </w:r>
          </w:hyperlink>
        </w:p>
        <w:p>
          <w:pPr>
            <w:pStyle w:val="TOC2"/>
            <w:tabs>
              <w:tab w:val="clear" w:pos="900"/>
              <w:tab w:val="clear" w:pos="9350"/>
              <w:tab w:val="right" w:pos="9025" w:leader="dot"/>
            </w:tabs>
            <w:rPr/>
          </w:pPr>
          <w:hyperlink w:anchor="__RefHeading___Toc1207_3066934455">
            <w:r>
              <w:rPr>
                <w:webHidden/>
                <w:rStyle w:val="IndexLink"/>
              </w:rPr>
              <w:t>6.1 Does it connect to insurers' systems?</w:t>
              <w:tab/>
              <w:t>10</w:t>
            </w:r>
          </w:hyperlink>
        </w:p>
        <w:p>
          <w:pPr>
            <w:pStyle w:val="TOC2"/>
            <w:tabs>
              <w:tab w:val="clear" w:pos="900"/>
              <w:tab w:val="clear" w:pos="9350"/>
              <w:tab w:val="right" w:pos="9025" w:leader="dot"/>
            </w:tabs>
            <w:rPr/>
          </w:pPr>
          <w:hyperlink w:anchor="__RefHeading___Toc1209_3066934455">
            <w:r>
              <w:rPr>
                <w:webHidden/>
                <w:rStyle w:val="IndexLink"/>
              </w:rPr>
              <w:t>6.2 Which banks are supported for reconciliation?</w:t>
              <w:tab/>
              <w:t>10</w:t>
            </w:r>
          </w:hyperlink>
        </w:p>
        <w:p>
          <w:pPr>
            <w:pStyle w:val="TOC2"/>
            <w:tabs>
              <w:tab w:val="clear" w:pos="900"/>
              <w:tab w:val="clear" w:pos="9350"/>
              <w:tab w:val="right" w:pos="9025" w:leader="dot"/>
            </w:tabs>
            <w:rPr/>
          </w:pPr>
          <w:hyperlink w:anchor="__RefHeading___Toc1211_3066934455">
            <w:r>
              <w:rPr>
                <w:webHidden/>
                <w:rStyle w:val="IndexLink"/>
              </w:rPr>
              <w:t>6.3 Does it connect to our accounting package?</w:t>
              <w:tab/>
              <w:t>10</w:t>
            </w:r>
          </w:hyperlink>
        </w:p>
        <w:p>
          <w:pPr>
            <w:pStyle w:val="TOC2"/>
            <w:tabs>
              <w:tab w:val="clear" w:pos="900"/>
              <w:tab w:val="clear" w:pos="9350"/>
              <w:tab w:val="right" w:pos="9025" w:leader="dot"/>
            </w:tabs>
            <w:rPr/>
          </w:pPr>
          <w:hyperlink w:anchor="__RefHeading___Toc1213_3066934455">
            <w:r>
              <w:rPr>
                <w:webHidden/>
                <w:rStyle w:val="IndexLink"/>
              </w:rPr>
              <w:t>6.4 How is our existing data loaded?</w:t>
              <w:tab/>
              <w:t>10</w:t>
            </w:r>
          </w:hyperlink>
        </w:p>
        <w:p>
          <w:pPr>
            <w:pStyle w:val="TOC2"/>
            <w:tabs>
              <w:tab w:val="clear" w:pos="900"/>
              <w:tab w:val="clear" w:pos="9350"/>
              <w:tab w:val="right" w:pos="9025" w:leader="dot"/>
            </w:tabs>
            <w:rPr/>
          </w:pPr>
          <w:hyperlink w:anchor="__RefHeading___Toc1215_3066934455">
            <w:r>
              <w:rPr>
                <w:webHidden/>
                <w:rStyle w:val="IndexLink"/>
              </w:rPr>
              <w:t>6.5 Is there an API?</w:t>
              <w:tab/>
              <w:t>10</w:t>
            </w:r>
          </w:hyperlink>
        </w:p>
        <w:p>
          <w:pPr>
            <w:pStyle w:val="TOC1"/>
            <w:tabs>
              <w:tab w:val="clear" w:pos="900"/>
              <w:tab w:val="clear" w:pos="9350"/>
              <w:tab w:val="right" w:pos="9025" w:leader="dot"/>
            </w:tabs>
            <w:rPr/>
          </w:pPr>
          <w:hyperlink w:anchor="__RefHeading___Toc1217_3066934455">
            <w:r>
              <w:rPr>
                <w:webHidden/>
                <w:rStyle w:val="IndexLink"/>
              </w:rPr>
              <w:t>7. Technology, hosting and security</w:t>
              <w:tab/>
              <w:t>11</w:t>
            </w:r>
          </w:hyperlink>
        </w:p>
        <w:p>
          <w:pPr>
            <w:pStyle w:val="TOC2"/>
            <w:tabs>
              <w:tab w:val="clear" w:pos="900"/>
              <w:tab w:val="clear" w:pos="9350"/>
              <w:tab w:val="right" w:pos="9025" w:leader="dot"/>
            </w:tabs>
            <w:rPr/>
          </w:pPr>
          <w:hyperlink w:anchor="__RefHeading___Toc1219_3066934455">
            <w:r>
              <w:rPr>
                <w:webHidden/>
                <w:rStyle w:val="IndexLink"/>
              </w:rPr>
              <w:t>7.1 What is it built on?</w:t>
              <w:tab/>
              <w:t>11</w:t>
            </w:r>
          </w:hyperlink>
        </w:p>
        <w:p>
          <w:pPr>
            <w:pStyle w:val="TOC2"/>
            <w:tabs>
              <w:tab w:val="clear" w:pos="900"/>
              <w:tab w:val="clear" w:pos="9350"/>
              <w:tab w:val="right" w:pos="9025" w:leader="dot"/>
            </w:tabs>
            <w:rPr/>
          </w:pPr>
          <w:hyperlink w:anchor="__RefHeading___Toc1221_3066934455">
            <w:r>
              <w:rPr>
                <w:webHidden/>
                <w:rStyle w:val="IndexLink"/>
              </w:rPr>
              <w:t>7.2 Where can it be hosted?</w:t>
              <w:tab/>
              <w:t>11</w:t>
            </w:r>
          </w:hyperlink>
        </w:p>
        <w:p>
          <w:pPr>
            <w:pStyle w:val="TOC2"/>
            <w:tabs>
              <w:tab w:val="clear" w:pos="900"/>
              <w:tab w:val="clear" w:pos="9350"/>
              <w:tab w:val="right" w:pos="9025" w:leader="dot"/>
            </w:tabs>
            <w:rPr/>
          </w:pPr>
          <w:hyperlink w:anchor="__RefHeading___Toc1223_3066934455">
            <w:r>
              <w:rPr>
                <w:webHidden/>
                <w:rStyle w:val="IndexLink"/>
              </w:rPr>
              <w:t>7.3 Our data must stay in the Philippines. Can it?</w:t>
              <w:tab/>
              <w:t>11</w:t>
            </w:r>
          </w:hyperlink>
        </w:p>
        <w:p>
          <w:pPr>
            <w:pStyle w:val="TOC2"/>
            <w:tabs>
              <w:tab w:val="clear" w:pos="900"/>
              <w:tab w:val="clear" w:pos="9350"/>
              <w:tab w:val="right" w:pos="9025" w:leader="dot"/>
            </w:tabs>
            <w:rPr/>
          </w:pPr>
          <w:hyperlink w:anchor="__RefHeading___Toc1225_3066934455">
            <w:r>
              <w:rPr>
                <w:webHidden/>
                <w:rStyle w:val="IndexLink"/>
              </w:rPr>
              <w:t>7.4 How is the system secured?</w:t>
              <w:tab/>
              <w:t>11</w:t>
            </w:r>
          </w:hyperlink>
        </w:p>
        <w:p>
          <w:pPr>
            <w:pStyle w:val="TOC2"/>
            <w:tabs>
              <w:tab w:val="clear" w:pos="900"/>
              <w:tab w:val="clear" w:pos="9350"/>
              <w:tab w:val="right" w:pos="9025" w:leader="dot"/>
            </w:tabs>
            <w:rPr/>
          </w:pPr>
          <w:hyperlink w:anchor="__RefHeading___Toc1227_3066934455">
            <w:r>
              <w:rPr>
                <w:webHidden/>
                <w:rStyle w:val="IndexLink"/>
              </w:rPr>
              <w:t>7.5 What about backups and disaster recovery?</w:t>
              <w:tab/>
              <w:t>11</w:t>
            </w:r>
          </w:hyperlink>
        </w:p>
        <w:p>
          <w:pPr>
            <w:pStyle w:val="TOC2"/>
            <w:tabs>
              <w:tab w:val="clear" w:pos="900"/>
              <w:tab w:val="clear" w:pos="9350"/>
              <w:tab w:val="right" w:pos="9025" w:leader="dot"/>
            </w:tabs>
            <w:rPr/>
          </w:pPr>
          <w:hyperlink w:anchor="__RefHeading___Toc1229_3066934455">
            <w:r>
              <w:rPr>
                <w:webHidden/>
                <w:rStyle w:val="IndexLink"/>
              </w:rPr>
              <w:t>7.6 Has it been tested?</w:t>
              <w:tab/>
              <w:t>11</w:t>
            </w:r>
          </w:hyperlink>
        </w:p>
        <w:p>
          <w:pPr>
            <w:pStyle w:val="TOC1"/>
            <w:tabs>
              <w:tab w:val="clear" w:pos="900"/>
              <w:tab w:val="clear" w:pos="9350"/>
              <w:tab w:val="right" w:pos="9025" w:leader="dot"/>
            </w:tabs>
            <w:rPr/>
          </w:pPr>
          <w:hyperlink w:anchor="__RefHeading___Toc1231_3066934455">
            <w:r>
              <w:rPr>
                <w:webHidden/>
                <w:rStyle w:val="IndexLink"/>
              </w:rPr>
              <w:t>8. Implementation</w:t>
              <w:tab/>
              <w:t>13</w:t>
            </w:r>
          </w:hyperlink>
        </w:p>
        <w:p>
          <w:pPr>
            <w:pStyle w:val="TOC2"/>
            <w:tabs>
              <w:tab w:val="clear" w:pos="900"/>
              <w:tab w:val="clear" w:pos="9350"/>
              <w:tab w:val="right" w:pos="9025" w:leader="dot"/>
            </w:tabs>
            <w:rPr/>
          </w:pPr>
          <w:hyperlink w:anchor="__RefHeading___Toc1233_3066934455">
            <w:r>
              <w:rPr>
                <w:webHidden/>
                <w:rStyle w:val="IndexLink"/>
              </w:rPr>
              <w:t>8.1 How long does it take?</w:t>
              <w:tab/>
              <w:t>13</w:t>
            </w:r>
          </w:hyperlink>
        </w:p>
        <w:p>
          <w:pPr>
            <w:pStyle w:val="TOC2"/>
            <w:tabs>
              <w:tab w:val="clear" w:pos="900"/>
              <w:tab w:val="clear" w:pos="9350"/>
              <w:tab w:val="right" w:pos="9025" w:leader="dot"/>
            </w:tabs>
            <w:rPr/>
          </w:pPr>
          <w:hyperlink w:anchor="__RefHeading___Toc1235_3066934455">
            <w:r>
              <w:rPr>
                <w:webHidden/>
                <w:rStyle w:val="IndexLink"/>
              </w:rPr>
              <w:t>8.2 What do you need from us?</w:t>
              <w:tab/>
              <w:t>13</w:t>
            </w:r>
          </w:hyperlink>
        </w:p>
        <w:p>
          <w:pPr>
            <w:pStyle w:val="TOC2"/>
            <w:tabs>
              <w:tab w:val="clear" w:pos="900"/>
              <w:tab w:val="clear" w:pos="9350"/>
              <w:tab w:val="right" w:pos="9025" w:leader="dot"/>
            </w:tabs>
            <w:rPr/>
          </w:pPr>
          <w:hyperlink w:anchor="__RefHeading___Toc1237_3066934455">
            <w:r>
              <w:rPr>
                <w:webHidden/>
                <w:rStyle w:val="IndexLink"/>
              </w:rPr>
              <w:t>8.3 Can you customise it to our process?</w:t>
              <w:tab/>
              <w:t>13</w:t>
            </w:r>
          </w:hyperlink>
        </w:p>
        <w:p>
          <w:pPr>
            <w:pStyle w:val="TOC2"/>
            <w:tabs>
              <w:tab w:val="clear" w:pos="900"/>
              <w:tab w:val="clear" w:pos="9350"/>
              <w:tab w:val="right" w:pos="9025" w:leader="dot"/>
            </w:tabs>
            <w:rPr/>
          </w:pPr>
          <w:hyperlink w:anchor="__RefHeading___Toc1239_3066934455">
            <w:r>
              <w:rPr>
                <w:webHidden/>
                <w:rStyle w:val="IndexLink"/>
              </w:rPr>
              <w:t>8.4 How are users trained?</w:t>
              <w:tab/>
              <w:t>13</w:t>
            </w:r>
          </w:hyperlink>
        </w:p>
        <w:p>
          <w:pPr>
            <w:pStyle w:val="TOC1"/>
            <w:tabs>
              <w:tab w:val="clear" w:pos="900"/>
              <w:tab w:val="clear" w:pos="9350"/>
              <w:tab w:val="right" w:pos="9025" w:leader="dot"/>
            </w:tabs>
            <w:rPr/>
          </w:pPr>
          <w:hyperlink w:anchor="__RefHeading___Toc1241_3066934455">
            <w:r>
              <w:rPr>
                <w:webHidden/>
                <w:rStyle w:val="IndexLink"/>
              </w:rPr>
              <w:t>9. Support and maintenance</w:t>
              <w:tab/>
              <w:t>14</w:t>
            </w:r>
          </w:hyperlink>
        </w:p>
        <w:p>
          <w:pPr>
            <w:pStyle w:val="TOC2"/>
            <w:tabs>
              <w:tab w:val="clear" w:pos="900"/>
              <w:tab w:val="clear" w:pos="9350"/>
              <w:tab w:val="right" w:pos="9025" w:leader="dot"/>
            </w:tabs>
            <w:rPr/>
          </w:pPr>
          <w:hyperlink w:anchor="__RefHeading___Toc1243_3066934455">
            <w:r>
              <w:rPr>
                <w:webHidden/>
                <w:rStyle w:val="IndexLink"/>
              </w:rPr>
              <w:t>9.1 How does support work?</w:t>
              <w:tab/>
              <w:t>14</w:t>
            </w:r>
          </w:hyperlink>
        </w:p>
        <w:p>
          <w:pPr>
            <w:pStyle w:val="TOC2"/>
            <w:tabs>
              <w:tab w:val="clear" w:pos="900"/>
              <w:tab w:val="clear" w:pos="9350"/>
              <w:tab w:val="right" w:pos="9025" w:leader="dot"/>
            </w:tabs>
            <w:rPr/>
          </w:pPr>
          <w:hyperlink w:anchor="__RefHeading___Toc1245_3066934455">
            <w:r>
              <w:rPr>
                <w:webHidden/>
                <w:rStyle w:val="IndexLink"/>
              </w:rPr>
              <w:t>9.2 What does the AMC cover?</w:t>
              <w:tab/>
              <w:t>14</w:t>
            </w:r>
          </w:hyperlink>
        </w:p>
        <w:p>
          <w:pPr>
            <w:pStyle w:val="TOC2"/>
            <w:tabs>
              <w:tab w:val="clear" w:pos="900"/>
              <w:tab w:val="clear" w:pos="9350"/>
              <w:tab w:val="right" w:pos="9025" w:leader="dot"/>
            </w:tabs>
            <w:rPr/>
          </w:pPr>
          <w:hyperlink w:anchor="__RefHeading___Toc1247_3066934455">
            <w:r>
              <w:rPr>
                <w:webHidden/>
                <w:rStyle w:val="IndexLink"/>
              </w:rPr>
              <w:t>9.3 Will we get updates for new BIR forms?</w:t>
              <w:tab/>
              <w:t>14</w:t>
            </w:r>
          </w:hyperlink>
        </w:p>
        <w:p>
          <w:pPr>
            <w:pStyle w:val="TOC1"/>
            <w:tabs>
              <w:tab w:val="clear" w:pos="900"/>
              <w:tab w:val="clear" w:pos="9350"/>
              <w:tab w:val="right" w:pos="9025" w:leader="dot"/>
            </w:tabs>
            <w:rPr/>
          </w:pPr>
          <w:hyperlink w:anchor="__RefHeading___Toc1249_3066934455">
            <w:r>
              <w:rPr>
                <w:webHidden/>
                <w:rStyle w:val="IndexLink"/>
              </w:rPr>
              <w:t>10. Commercials</w:t>
              <w:tab/>
              <w:t>15</w:t>
            </w:r>
          </w:hyperlink>
        </w:p>
        <w:p>
          <w:pPr>
            <w:pStyle w:val="TOC2"/>
            <w:tabs>
              <w:tab w:val="clear" w:pos="900"/>
              <w:tab w:val="clear" w:pos="9350"/>
              <w:tab w:val="right" w:pos="9025" w:leader="dot"/>
            </w:tabs>
            <w:rPr/>
          </w:pPr>
          <w:hyperlink w:anchor="__RefHeading___Toc1251_3066934455">
            <w:r>
              <w:rPr>
                <w:webHidden/>
                <w:rStyle w:val="IndexLink"/>
              </w:rPr>
              <w:t>10.1 How is iNXT BrokerVerse priced?</w:t>
              <w:tab/>
              <w:t>15</w:t>
            </w:r>
          </w:hyperlink>
        </w:p>
        <w:p>
          <w:pPr>
            <w:pStyle w:val="TOC2"/>
            <w:tabs>
              <w:tab w:val="clear" w:pos="900"/>
              <w:tab w:val="clear" w:pos="9350"/>
              <w:tab w:val="right" w:pos="9025" w:leader="dot"/>
            </w:tabs>
            <w:rPr/>
          </w:pPr>
          <w:hyperlink w:anchor="__RefHeading___Toc1253_3066934455">
            <w:r>
              <w:rPr>
                <w:webHidden/>
                <w:rStyle w:val="IndexLink"/>
              </w:rPr>
              <w:t>10.2 Which model should we choose?</w:t>
              <w:tab/>
              <w:t>15</w:t>
            </w:r>
          </w:hyperlink>
        </w:p>
        <w:p>
          <w:pPr>
            <w:pStyle w:val="TOC2"/>
            <w:tabs>
              <w:tab w:val="clear" w:pos="900"/>
              <w:tab w:val="clear" w:pos="9350"/>
              <w:tab w:val="right" w:pos="9025" w:leader="dot"/>
            </w:tabs>
            <w:rPr/>
          </w:pPr>
          <w:hyperlink w:anchor="__RefHeading___Toc1255_3066934455">
            <w:r>
              <w:rPr>
                <w:webHidden/>
                <w:rStyle w:val="IndexLink"/>
              </w:rPr>
              <w:t>10.3 Who counts as a user?</w:t>
              <w:tab/>
              <w:t>15</w:t>
            </w:r>
          </w:hyperlink>
        </w:p>
        <w:p>
          <w:pPr>
            <w:pStyle w:val="TOC2"/>
            <w:tabs>
              <w:tab w:val="clear" w:pos="900"/>
              <w:tab w:val="clear" w:pos="9350"/>
              <w:tab w:val="right" w:pos="9025" w:leader="dot"/>
            </w:tabs>
            <w:rPr/>
          </w:pPr>
          <w:hyperlink w:anchor="__RefHeading___Toc1257_3066934455">
            <w:r>
              <w:rPr>
                <w:webHidden/>
                <w:rStyle w:val="IndexLink"/>
              </w:rPr>
              <w:t>10.4 What are the payment terms?</w:t>
              <w:tab/>
              <w:t>15</w:t>
            </w:r>
          </w:hyperlink>
        </w:p>
        <w:p>
          <w:pPr>
            <w:pStyle w:val="TOC2"/>
            <w:tabs>
              <w:tab w:val="clear" w:pos="900"/>
              <w:tab w:val="clear" w:pos="9350"/>
              <w:tab w:val="right" w:pos="9025" w:leader="dot"/>
            </w:tabs>
            <w:rPr/>
          </w:pPr>
          <w:hyperlink w:anchor="__RefHeading___Toc1259_3066934455">
            <w:r>
              <w:rPr>
                <w:webHidden/>
                <w:rStyle w:val="IndexLink"/>
              </w:rPr>
              <w:t>10.5 Can we withhold tax on your invoices?</w:t>
              <w:tab/>
              <w:t>15</w:t>
            </w:r>
          </w:hyperlink>
        </w:p>
        <w:p>
          <w:pPr>
            <w:pStyle w:val="TOC2"/>
            <w:tabs>
              <w:tab w:val="clear" w:pos="900"/>
              <w:tab w:val="clear" w:pos="9350"/>
              <w:tab w:val="right" w:pos="9025" w:leader="dot"/>
            </w:tabs>
            <w:rPr/>
          </w:pPr>
          <w:hyperlink w:anchor="__RefHeading___Toc1261_3066934455">
            <w:r>
              <w:rPr>
                <w:webHidden/>
                <w:rStyle w:val="IndexLink"/>
              </w:rPr>
              <w:t>10.6 Is there a discount?</w:t>
              <w:tab/>
              <w:t>15</w:t>
            </w:r>
          </w:hyperlink>
        </w:p>
        <w:p>
          <w:pPr>
            <w:pStyle w:val="TOC1"/>
            <w:tabs>
              <w:tab w:val="clear" w:pos="900"/>
              <w:tab w:val="clear" w:pos="9350"/>
              <w:tab w:val="right" w:pos="9025" w:leader="dot"/>
            </w:tabs>
            <w:rPr/>
          </w:pPr>
          <w:hyperlink w:anchor="__RefHeading___Toc1263_3066934455">
            <w:r>
              <w:rPr>
                <w:webHidden/>
                <w:rStyle w:val="IndexLink"/>
              </w:rPr>
              <w:t>11. Objection handling</w:t>
              <w:tab/>
              <w:t>16</w:t>
            </w:r>
          </w:hyperlink>
        </w:p>
        <w:p>
          <w:pPr>
            <w:pStyle w:val="TOC2"/>
            <w:tabs>
              <w:tab w:val="clear" w:pos="900"/>
              <w:tab w:val="clear" w:pos="9350"/>
              <w:tab w:val="right" w:pos="9025" w:leader="dot"/>
            </w:tabs>
            <w:rPr/>
          </w:pPr>
          <w:hyperlink w:anchor="__RefHeading___Toc1265_3066934455">
            <w:r>
              <w:rPr>
                <w:webHidden/>
                <w:rStyle w:val="IndexLink"/>
              </w:rPr>
              <w:t>11.1 How to handle an objection</w:t>
              <w:tab/>
              <w:t>16</w:t>
            </w:r>
          </w:hyperlink>
        </w:p>
        <w:p>
          <w:pPr>
            <w:pStyle w:val="TOC2"/>
            <w:tabs>
              <w:tab w:val="clear" w:pos="900"/>
              <w:tab w:val="clear" w:pos="9350"/>
              <w:tab w:val="right" w:pos="9025" w:leader="dot"/>
            </w:tabs>
            <w:rPr/>
          </w:pPr>
          <w:hyperlink w:anchor="__RefHeading___Toc1267_3066934455">
            <w:r>
              <w:rPr>
                <w:webHidden/>
                <w:rStyle w:val="IndexLink"/>
              </w:rPr>
              <w:t>11.2 "Our spreadsheets and current system work well enough."</w:t>
              <w:tab/>
              <w:t>16</w:t>
            </w:r>
          </w:hyperlink>
        </w:p>
        <w:p>
          <w:pPr>
            <w:pStyle w:val="TOC2"/>
            <w:tabs>
              <w:tab w:val="clear" w:pos="900"/>
              <w:tab w:val="clear" w:pos="9350"/>
              <w:tab w:val="right" w:pos="9025" w:leader="dot"/>
            </w:tabs>
            <w:rPr/>
          </w:pPr>
          <w:hyperlink w:anchor="__RefHeading___Toc1269_3066934455">
            <w:r>
              <w:rPr>
                <w:webHidden/>
                <w:rStyle w:val="IndexLink"/>
              </w:rPr>
              <w:t>11.3 "It is too expensive."</w:t>
              <w:tab/>
              <w:t>16</w:t>
            </w:r>
          </w:hyperlink>
        </w:p>
        <w:p>
          <w:pPr>
            <w:pStyle w:val="TOC2"/>
            <w:tabs>
              <w:tab w:val="clear" w:pos="900"/>
              <w:tab w:val="clear" w:pos="9350"/>
              <w:tab w:val="right" w:pos="9025" w:leader="dot"/>
            </w:tabs>
            <w:rPr/>
          </w:pPr>
          <w:hyperlink w:anchor="__RefHeading___Toc1271_3066934455">
            <w:r>
              <w:rPr>
                <w:webHidden/>
                <w:rStyle w:val="IndexLink"/>
              </w:rPr>
              <w:t>11.4 "A global broker system has more features."</w:t>
              <w:tab/>
              <w:t>16</w:t>
            </w:r>
          </w:hyperlink>
        </w:p>
        <w:p>
          <w:pPr>
            <w:pStyle w:val="TOC2"/>
            <w:tabs>
              <w:tab w:val="clear" w:pos="900"/>
              <w:tab w:val="clear" w:pos="9350"/>
              <w:tab w:val="right" w:pos="9025" w:leader="dot"/>
            </w:tabs>
            <w:rPr/>
          </w:pPr>
          <w:hyperlink w:anchor="__RefHeading___Toc1273_3066934455">
            <w:r>
              <w:rPr>
                <w:webHidden/>
                <w:rStyle w:val="IndexLink"/>
              </w:rPr>
              <w:t>11.5 "We are too small for a system like this."</w:t>
              <w:tab/>
              <w:t>16</w:t>
            </w:r>
          </w:hyperlink>
        </w:p>
        <w:p>
          <w:pPr>
            <w:pStyle w:val="TOC2"/>
            <w:tabs>
              <w:tab w:val="clear" w:pos="900"/>
              <w:tab w:val="clear" w:pos="9350"/>
              <w:tab w:val="right" w:pos="9025" w:leader="dot"/>
            </w:tabs>
            <w:rPr/>
          </w:pPr>
          <w:hyperlink w:anchor="__RefHeading___Toc1275_3066934455">
            <w:r>
              <w:rPr>
                <w:webHidden/>
                <w:rStyle w:val="IndexLink"/>
              </w:rPr>
              <w:t>11.6 "We need it to work exactly like our current process."</w:t>
              <w:tab/>
              <w:t>17</w:t>
            </w:r>
          </w:hyperlink>
        </w:p>
        <w:p>
          <w:pPr>
            <w:pStyle w:val="TOC2"/>
            <w:tabs>
              <w:tab w:val="clear" w:pos="900"/>
              <w:tab w:val="clear" w:pos="9350"/>
              <w:tab w:val="right" w:pos="9025" w:leader="dot"/>
            </w:tabs>
            <w:rPr/>
          </w:pPr>
          <w:hyperlink w:anchor="__RefHeading___Toc1277_3066934455">
            <w:r>
              <w:rPr>
                <w:webHidden/>
                <w:rStyle w:val="IndexLink"/>
              </w:rPr>
              <w:t>11.7 "Implementation projects always run late."</w:t>
              <w:tab/>
              <w:t>17</w:t>
            </w:r>
          </w:hyperlink>
        </w:p>
        <w:p>
          <w:pPr>
            <w:pStyle w:val="TOC2"/>
            <w:tabs>
              <w:tab w:val="clear" w:pos="900"/>
              <w:tab w:val="clear" w:pos="9350"/>
              <w:tab w:val="right" w:pos="9025" w:leader="dot"/>
            </w:tabs>
            <w:rPr/>
          </w:pPr>
          <w:hyperlink w:anchor="__RefHeading___Toc1279_3066934455">
            <w:r>
              <w:rPr>
                <w:webHidden/>
                <w:rStyle w:val="IndexLink"/>
              </w:rPr>
              <w:t>11.8 "We do not want our data in the cloud abroad."</w:t>
              <w:tab/>
              <w:t>17</w:t>
            </w:r>
          </w:hyperlink>
        </w:p>
        <w:p>
          <w:pPr>
            <w:pStyle w:val="TOC2"/>
            <w:tabs>
              <w:tab w:val="clear" w:pos="900"/>
              <w:tab w:val="clear" w:pos="9350"/>
              <w:tab w:val="right" w:pos="9025" w:leader="dot"/>
            </w:tabs>
            <w:rPr/>
          </w:pPr>
          <w:hyperlink w:anchor="__RefHeading___Toc1281_3066934455">
            <w:r>
              <w:rPr>
                <w:webHidden/>
                <w:rStyle w:val="IndexLink"/>
              </w:rPr>
              <w:t>11.9 "We need direct integration with our insurers."</w:t>
              <w:tab/>
              <w:t>17</w:t>
            </w:r>
          </w:hyperlink>
        </w:p>
        <w:p>
          <w:pPr>
            <w:pStyle w:val="TOC2"/>
            <w:tabs>
              <w:tab w:val="clear" w:pos="900"/>
              <w:tab w:val="clear" w:pos="9350"/>
              <w:tab w:val="right" w:pos="9025" w:leader="dot"/>
            </w:tabs>
            <w:rPr/>
          </w:pPr>
          <w:hyperlink w:anchor="__RefHeading___Toc1283_3066934455">
            <w:r>
              <w:rPr>
                <w:webHidden/>
                <w:rStyle w:val="IndexLink"/>
              </w:rPr>
              <w:t>11.10 "Our finance team will not change the accounting system."</w:t>
              <w:tab/>
              <w:t>18</w:t>
            </w:r>
          </w:hyperlink>
        </w:p>
        <w:p>
          <w:pPr>
            <w:pStyle w:val="TOC2"/>
            <w:tabs>
              <w:tab w:val="clear" w:pos="900"/>
              <w:tab w:val="clear" w:pos="9350"/>
              <w:tab w:val="right" w:pos="9025" w:leader="dot"/>
            </w:tabs>
            <w:rPr/>
          </w:pPr>
          <w:hyperlink w:anchor="__RefHeading___Toc1285_3066934455">
            <w:r>
              <w:rPr>
                <w:webHidden/>
                <w:rStyle w:val="IndexLink"/>
              </w:rPr>
              <w:t>11.11 "Twenty-two percent AMC is high."</w:t>
              <w:tab/>
              <w:t>18</w:t>
            </w:r>
          </w:hyperlink>
        </w:p>
        <w:p>
          <w:pPr>
            <w:pStyle w:val="TOC2"/>
            <w:tabs>
              <w:tab w:val="clear" w:pos="900"/>
              <w:tab w:val="clear" w:pos="9350"/>
              <w:tab w:val="right" w:pos="9025" w:leader="dot"/>
            </w:tabs>
            <w:rPr/>
          </w:pPr>
          <w:hyperlink w:anchor="__RefHeading___Toc1287_3066934455">
            <w:r>
              <w:rPr>
                <w:webHidden/>
                <w:rStyle w:val="IndexLink"/>
              </w:rPr>
              <w:t>11.12 "The 5% yearly increase is a concern."</w:t>
              <w:tab/>
              <w:t>18</w:t>
            </w:r>
          </w:hyperlink>
        </w:p>
        <w:p>
          <w:pPr>
            <w:pStyle w:val="TOC2"/>
            <w:tabs>
              <w:tab w:val="clear" w:pos="900"/>
              <w:tab w:val="clear" w:pos="9350"/>
              <w:tab w:val="right" w:pos="9025" w:leader="dot"/>
            </w:tabs>
            <w:rPr/>
          </w:pPr>
          <w:hyperlink w:anchor="__RefHeading___Toc1289_3066934455">
            <w:r>
              <w:rPr>
                <w:webHidden/>
                <w:rStyle w:val="IndexLink"/>
              </w:rPr>
              <w:t>11.13 "Who are your other clients?"</w:t>
              <w:tab/>
              <w:t>18</w:t>
            </w:r>
          </w:hyperlink>
        </w:p>
        <w:p>
          <w:pPr>
            <w:pStyle w:val="TOC2"/>
            <w:tabs>
              <w:tab w:val="clear" w:pos="900"/>
              <w:tab w:val="clear" w:pos="9350"/>
              <w:tab w:val="right" w:pos="9025" w:leader="dot"/>
            </w:tabs>
            <w:rPr/>
          </w:pPr>
          <w:hyperlink w:anchor="__RefHeading___Toc1291_3066934455">
            <w:r>
              <w:rPr>
                <w:webHidden/>
                <w:rStyle w:val="IndexLink"/>
              </w:rPr>
              <w:t>11.14 "What happens if iorta TechNXT is no longer there?"</w:t>
              <w:tab/>
              <w:t>18</w:t>
            </w:r>
          </w:hyperlink>
        </w:p>
        <w:p>
          <w:pPr>
            <w:pStyle w:val="TOC2"/>
            <w:tabs>
              <w:tab w:val="clear" w:pos="900"/>
              <w:tab w:val="clear" w:pos="9350"/>
              <w:tab w:val="right" w:pos="9025" w:leader="dot"/>
            </w:tabs>
            <w:rPr/>
          </w:pPr>
          <w:hyperlink w:anchor="__RefHeading___Toc1293_3066934455">
            <w:r>
              <w:rPr>
                <w:webHidden/>
                <w:rStyle w:val="IndexLink"/>
              </w:rPr>
              <w:t>11.15 "Our users will not adopt a new system."</w:t>
              <w:tab/>
              <w:t>18</w:t>
            </w:r>
          </w:hyperlink>
        </w:p>
        <w:p>
          <w:pPr>
            <w:pStyle w:val="TOC2"/>
            <w:tabs>
              <w:tab w:val="clear" w:pos="900"/>
              <w:tab w:val="clear" w:pos="9350"/>
              <w:tab w:val="right" w:pos="9025" w:leader="dot"/>
            </w:tabs>
            <w:rPr/>
          </w:pPr>
          <w:hyperlink w:anchor="__RefHeading___Toc1295_3066934455">
            <w:r>
              <w:rPr>
                <w:webHidden/>
                <w:rStyle w:val="IndexLink"/>
              </w:rPr>
              <w:t>11.16 "The timing is not right. Maybe next year."</w:t>
              <w:tab/>
              <w:t>19</w:t>
            </w:r>
          </w:hyperlink>
        </w:p>
        <w:p>
          <w:pPr>
            <w:pStyle w:val="TOC1"/>
            <w:tabs>
              <w:tab w:val="clear" w:pos="900"/>
              <w:tab w:val="clear" w:pos="9350"/>
              <w:tab w:val="right" w:pos="9025" w:leader="dot"/>
            </w:tabs>
            <w:rPr/>
          </w:pPr>
          <w:hyperlink w:anchor="__RefHeading___Toc1297_3066934455">
            <w:r>
              <w:rPr>
                <w:webHidden/>
                <w:rStyle w:val="IndexLink"/>
              </w:rPr>
              <w:t>12. Known limits of the OOTB version</w:t>
              <w:tab/>
              <w:t>20</w:t>
            </w:r>
          </w:hyperlink>
        </w:p>
        <w:p>
          <w:pPr>
            <w:pStyle w:val="TOC1"/>
            <w:tabs>
              <w:tab w:val="clear" w:pos="900"/>
              <w:tab w:val="clear" w:pos="9350"/>
              <w:tab w:val="right" w:pos="9025" w:leader="dot"/>
            </w:tabs>
            <w:rPr/>
          </w:pPr>
          <w:hyperlink w:anchor="__RefHeading___Toc1299_3066934455">
            <w:r>
              <w:rPr>
                <w:webHidden/>
                <w:rStyle w:val="IndexLink"/>
                <w:i w:val="false"/>
                <w:iCs w:val="false"/>
              </w:rPr>
              <w:t>13.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57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59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61_3066934455"/>
      <w:bookmarkEnd w:id="6"/>
      <w:r>
        <w:rPr>
          <w:rFonts w:eastAsia="Segoe UI" w:cs="Segoe UI" w:ascii="Segoe UI" w:hAnsi="Segoe UI"/>
          <w:b/>
          <w:color w:val="0F4761"/>
          <w:sz w:val="32"/>
        </w:rPr>
        <w:t>3.  How to use this document</w:t>
      </w:r>
    </w:p>
    <w:p>
      <w:pPr>
        <w:pStyle w:val="Heading2"/>
        <w:rPr/>
      </w:pPr>
      <w:bookmarkStart w:id="7" w:name="__RefHeading___Toc1163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165_3066934455"/>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167_3066934455"/>
      <w:bookmarkEnd w:id="9"/>
      <w:r>
        <w:rPr>
          <w:rFonts w:eastAsia="Segoe UI" w:cs="Segoe UI" w:ascii="Segoe UI" w:hAnsi="Segoe UI"/>
          <w:b/>
          <w:color w:val="0F4761"/>
          <w:sz w:val="32"/>
        </w:rPr>
        <w:t>4.  Product and scope</w:t>
      </w:r>
    </w:p>
    <w:p>
      <w:pPr>
        <w:pStyle w:val="Heading2"/>
        <w:rPr/>
      </w:pPr>
      <w:bookmarkStart w:id="10" w:name="__RefHeading___Toc1169_3066934455"/>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endorsements, claims, renewals, billing, official receipts, collections and credit control, remittance to insurers, direct bill, commission and incentives, reinsurance, the general ledger, bank and insurer reconciliation, the month-end and year-end close, BIR working papers, reports and dashboards. "OOTB" means it is delivered as it is and fitted to the broker by configuration; changes to the product are change requests.</w:t>
      </w:r>
    </w:p>
    <w:p>
      <w:pPr>
        <w:pStyle w:val="Heading2"/>
        <w:rPr/>
      </w:pPr>
      <w:bookmarkStart w:id="11" w:name="__RefHeading___Toc1171_3066934455"/>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173_3066934455"/>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175_3066934455"/>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177_3066934455"/>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179_3066934455"/>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Seven: System Administrator, Sales &amp; Marketing, Processing Team, Operations, Claims, Accounting and Accounting Manager. Each has its own menus, landing dashboard and server-side permissions. Roles can be adjusted in Master &gt; Generals &gt; User Management.</w:t>
      </w:r>
    </w:p>
    <w:p>
      <w:pPr>
        <w:pStyle w:val="Heading2"/>
        <w:rPr/>
      </w:pPr>
      <w:bookmarkStart w:id="16" w:name="__RefHeading___Toc1181_3066934455"/>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183_3066934455"/>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185_3066934455"/>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39 catalogue reports in Reports &gt; All Reports, grouped as production and placement, claims and renewals, insurers and commission, receivables and cash, ledger and period end, BIR tax and bank. Each runs on screen with totals and downloads as Excel, CSV or PDF on the letterhead. There are also Executive, Sales, Processing, Claims and Commission dashboards. The Reports Book in the documentation package describes every report.</w:t>
      </w:r>
    </w:p>
    <w:p>
      <w:pPr>
        <w:pStyle w:val="Heading2"/>
        <w:rPr/>
      </w:pPr>
      <w:bookmarkStart w:id="19" w:name="__RefHeading___Toc1187_3066934455"/>
      <w:bookmarkEnd w:id="19"/>
      <w:r>
        <w:rPr>
          <w:rFonts w:eastAsia="Segoe UI" w:cs="Segoe UI"/>
          <w:b/>
          <w:color w:val="0F4761"/>
          <w:sz w:val="26"/>
        </w:rPr>
        <w:t>4.10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0" w:name="__RefHeading___Toc1189_3066934455"/>
      <w:bookmarkEnd w:id="20"/>
      <w:r>
        <w:rPr>
          <w:rFonts w:eastAsia="Segoe UI" w:cs="Segoe UI" w:ascii="Segoe UI" w:hAnsi="Segoe UI"/>
          <w:b/>
          <w:color w:val="0F4761"/>
          <w:sz w:val="32"/>
        </w:rPr>
        <w:t>5.  Regulation and compliance</w:t>
      </w:r>
    </w:p>
    <w:p>
      <w:pPr>
        <w:pStyle w:val="Heading2"/>
        <w:rPr/>
      </w:pPr>
      <w:bookmarkStart w:id="21" w:name="__RefHeading___Toc1191_3066934455"/>
      <w:bookmarkEnd w:id="21"/>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and remittance terms per insurer drive the due dates. The financial statements and production reports give the figures for IC reports. There is no report in the IC's own format; the broker prepares and files IC reports from these figures.</w:t>
      </w:r>
    </w:p>
    <w:p>
      <w:pPr>
        <w:pStyle w:val="Heading2"/>
        <w:rPr/>
      </w:pPr>
      <w:bookmarkStart w:id="22" w:name="__RefHeading___Toc1193_3066934455"/>
      <w:bookmarkEnd w:id="22"/>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VAT Summary as the working paper for 2550M and 2550Q, SAWT, QAP for 1601-EQ, and SLSP Sales and Purchases, all in the BIR column order as CSV, Excel or PDF. The system does not file returns; the broker validates the files with the BIR's tools and files them.</w:t>
      </w:r>
    </w:p>
    <w:p>
      <w:pPr>
        <w:pStyle w:val="Heading2"/>
        <w:rPr/>
      </w:pPr>
      <w:bookmarkStart w:id="23" w:name="__RefHeading___Toc1195_3066934455"/>
      <w:bookmarkEnd w:id="23"/>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iNXT BrokerVerse provides what such a file typically needs: the system description, sample journals, ledgers, trial balance and receipts, the number series, the audit trail, user access controls and period locks. The current status of any registration or acknowledgement held for iNXT BrokerVerse: [to confirm].</w:t>
      </w:r>
    </w:p>
    <w:p>
      <w:pPr>
        <w:pStyle w:val="Heading2"/>
        <w:rPr/>
      </w:pPr>
      <w:bookmarkStart w:id="24" w:name="__RefHeading___Toc1197_3066934455"/>
      <w:bookmarkEnd w:id="24"/>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The broker issues invoices (bills) and official receipts from their own number series, printed on the letterhead with the TIN, and the next number can continue the old system's numbering. Which documents the broker issues as primary and supplementary documents is decided with its tax adviser, and the series are registered with the BIR as required.</w:t>
      </w:r>
    </w:p>
    <w:p>
      <w:pPr>
        <w:pStyle w:val="Heading2"/>
        <w:rPr/>
      </w:pPr>
      <w:bookmarkStart w:id="25" w:name="__RefHeading___Toc1199_3066934455"/>
      <w:bookmarkEnd w:id="25"/>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6" w:name="__RefHeading___Toc1201_3066934455"/>
      <w:bookmarkEnd w:id="26"/>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breach notification. iorta TechNXT acts as personal information processor when it hosts or supports the system.</w:t>
      </w:r>
    </w:p>
    <w:p>
      <w:pPr>
        <w:pStyle w:val="Heading2"/>
        <w:rPr/>
      </w:pPr>
      <w:bookmarkStart w:id="27" w:name="__RefHeading___Toc1203_3066934455"/>
      <w:bookmarkEnd w:id="27"/>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Partly. KYC data for motor (government ID type, number and image) is required before issue, and the receipts, collections and client accounting history give transaction data for review. There is no transaction monitoring, sanctions or PEP screening, or AMLC reporting function. Whether and how the AMLA applies is for the broker's compliance officer.</w:t>
      </w:r>
      <w:r>
        <w:br w:type="page"/>
      </w:r>
    </w:p>
    <w:p>
      <w:pPr>
        <w:pStyle w:val="Heading1"/>
        <w:rPr/>
      </w:pPr>
      <w:bookmarkStart w:id="28" w:name="__RefHeading___Toc1205_3066934455"/>
      <w:bookmarkEnd w:id="28"/>
      <w:r>
        <w:rPr>
          <w:rFonts w:eastAsia="Segoe UI" w:cs="Segoe UI" w:ascii="Segoe UI" w:hAnsi="Segoe UI"/>
          <w:b/>
          <w:color w:val="0F4761"/>
          <w:sz w:val="32"/>
        </w:rPr>
        <w:t>6.  Integration and data</w:t>
      </w:r>
    </w:p>
    <w:p>
      <w:pPr>
        <w:pStyle w:val="Heading2"/>
        <w:rPr/>
      </w:pPr>
      <w:bookmarkStart w:id="29" w:name="__RefHeading___Toc1207_3066934455"/>
      <w:bookmarkEnd w:id="29"/>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No insurer API is used. Broker slips, placement orders, remittance statements and commission debit notes go to insurers as PDF, CSV or Excel files and by e-mail. Insurer statements of account come back as CSV or Excel files and are matched in Insurer Reconciliation, with a column mapping per insurer. An insurer API integration is a change request (standard integration PHP 320,000.00, complex PHP 720,000.00).</w:t>
      </w:r>
    </w:p>
    <w:p>
      <w:pPr>
        <w:pStyle w:val="Heading2"/>
        <w:rPr/>
      </w:pPr>
      <w:bookmarkStart w:id="30" w:name="__RefHeading___Toc1209_3066934455"/>
      <w:bookmarkEnd w:id="30"/>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A new bank format is added in Master &gt; Finance &gt; Bank Statement Formats without code. Transfers to insurers are approved in the system and their bank result recorded; no bank payment file or bank API is generated.</w:t>
      </w:r>
    </w:p>
    <w:p>
      <w:pPr>
        <w:pStyle w:val="Heading2"/>
        <w:rPr/>
      </w:pPr>
      <w:bookmarkStart w:id="31" w:name="__RefHeading___Toc1211_3066934455"/>
      <w:bookmarkEnd w:id="31"/>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2" w:name="__RefHeading___Toc1213_3066934455"/>
      <w:bookmarkEnd w:id="32"/>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delivered upload templates (about 40), filled by the broker from its old system: masters, clients, in-force policies, open receivables (Import open items) and the opening trial balance (Import opening balances). Each load is rehearsed in mock loads and reconciled before cutover. One import file holds up to 20,000 rows; larger books are loaded in several files. Migration from a legacy source beyond the templates is PHP 240,000.00 per source.</w:t>
      </w:r>
    </w:p>
    <w:p>
      <w:pPr>
        <w:pStyle w:val="Heading2"/>
        <w:rPr/>
      </w:pPr>
      <w:bookmarkStart w:id="33" w:name="__RefHeading___Toc1215_3066934455"/>
      <w:bookmarkEnd w:id="33"/>
      <w:r>
        <w:rPr>
          <w:rFonts w:eastAsia="Segoe UI" w:cs="Segoe UI"/>
          <w:b/>
          <w:color w:val="0F4761"/>
          <w:sz w:val="26"/>
        </w:rPr>
        <w:t>6.5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w:t>
      </w:r>
      <w:r>
        <w:br w:type="page"/>
      </w:r>
    </w:p>
    <w:p>
      <w:pPr>
        <w:pStyle w:val="Heading1"/>
        <w:rPr/>
      </w:pPr>
      <w:bookmarkStart w:id="34" w:name="__RefHeading___Toc1217_3066934455"/>
      <w:bookmarkEnd w:id="34"/>
      <w:r>
        <w:rPr>
          <w:rFonts w:eastAsia="Segoe UI" w:cs="Segoe UI" w:ascii="Segoe UI" w:hAnsi="Segoe UI"/>
          <w:b/>
          <w:color w:val="0F4761"/>
          <w:sz w:val="32"/>
        </w:rPr>
        <w:t>7.  Technology, hosting and security</w:t>
      </w:r>
    </w:p>
    <w:p>
      <w:pPr>
        <w:pStyle w:val="Heading2"/>
        <w:rPr/>
      </w:pPr>
      <w:bookmarkStart w:id="35" w:name="__RefHeading___Toc1219_3066934455"/>
      <w:bookmarkEnd w:id="35"/>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6" w:name="__RefHeading___Toc1221_3066934455"/>
      <w:bookmarkEnd w:id="36"/>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per environment set: Dev, UAT and Production for a small or medium broker; Dev, SIT, UAT and Production for a large broker. A temporary Pre-Prod, restored from a production backup for the go-live rehearsal and each major release, is billed only for the months it exists. On AWS the standing set costs PHP 43,000.00 a month for a small broker and PHP 143,000.00 for a large one (Rate Card). A broker that hosts itself pays no hosting fee and receives the deployment guide, with set-up support at day rates.</w:t>
      </w:r>
    </w:p>
    <w:p>
      <w:pPr>
        <w:pStyle w:val="Heading2"/>
        <w:rPr/>
      </w:pPr>
      <w:bookmarkStart w:id="37" w:name="__RefHeading___Toc1223_3066934455"/>
      <w:bookmarkEnd w:id="37"/>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38" w:name="__RefHeading___Toc1225_3066934455"/>
      <w:bookmarkEnd w:id="38"/>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TLS in transit; audit trail of every change with before and after values. Application controls are mapped to the OWASP Top 10. Storage encryption of the database, files and backups is recommended on every hosting option.</w:t>
      </w:r>
    </w:p>
    <w:p>
      <w:pPr>
        <w:pStyle w:val="Heading2"/>
        <w:rPr/>
      </w:pPr>
      <w:bookmarkStart w:id="39" w:name="__RefHeading___Toc1227_3066934455"/>
      <w:bookmarkEnd w:id="39"/>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0" w:name="__RefHeading___Toc1229_3066934455"/>
      <w:bookmarkEnd w:id="40"/>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after the re-test of 03 October 2026, 486 passed; the remaining 11 are 2 open Medium items, 3 cases that need a mail server and 6 not yet run, each tracked in the test workbook. The backend business-rule regression has 717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1" w:name="__RefHeading___Toc1231_3066934455"/>
      <w:bookmarkEnd w:id="41"/>
      <w:r>
        <w:rPr>
          <w:rFonts w:eastAsia="Segoe UI" w:cs="Segoe UI" w:ascii="Segoe UI" w:hAnsi="Segoe UI"/>
          <w:b/>
          <w:color w:val="0F4761"/>
          <w:sz w:val="32"/>
        </w:rPr>
        <w:t>8.  Implementation</w:t>
      </w:r>
    </w:p>
    <w:p>
      <w:pPr>
        <w:pStyle w:val="Heading2"/>
        <w:rPr/>
      </w:pPr>
      <w:bookmarkStart w:id="42" w:name="__RefHeading___Toc1233_3066934455"/>
      <w:bookmarkEnd w:id="42"/>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3" w:name="__RefHeading___Toc1235_3066934455"/>
      <w:bookmarkEnd w:id="43"/>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4" w:name="__RefHeading___Toc1237_3066934455"/>
      <w:bookmarkEnd w:id="44"/>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5" w:name="__RefHeading___Toc1239_3066934455"/>
      <w:bookmarkEnd w:id="45"/>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(186 pages) and the role guides for the seven roles. Training days are included per tier; extra trainer days are PHP 30,000.00.</w:t>
      </w:r>
      <w:r>
        <w:br w:type="page"/>
      </w:r>
    </w:p>
    <w:p>
      <w:pPr>
        <w:pStyle w:val="Heading1"/>
        <w:rPr/>
      </w:pPr>
      <w:bookmarkStart w:id="46" w:name="__RefHeading___Toc1241_3066934455"/>
      <w:bookmarkEnd w:id="46"/>
      <w:r>
        <w:rPr>
          <w:rFonts w:eastAsia="Segoe UI" w:cs="Segoe UI" w:ascii="Segoe UI" w:hAnsi="Segoe UI"/>
          <w:b/>
          <w:color w:val="0F4761"/>
          <w:sz w:val="32"/>
        </w:rPr>
        <w:t>9.  Support and maintenance</w:t>
      </w:r>
    </w:p>
    <w:p>
      <w:pPr>
        <w:pStyle w:val="Heading2"/>
        <w:rPr/>
      </w:pPr>
      <w:bookmarkStart w:id="47" w:name="__RefHeading___Toc1243_3066934455"/>
      <w:bookmarkEnd w:id="47"/>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48" w:name="__RefHeading___Toc1245_3066934455"/>
      <w:bookmarkEnd w:id="48"/>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49" w:name="__RefHeading___Toc1247_3066934455"/>
      <w:bookmarkEnd w:id="49"/>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A broker-specific report or form is a change request.</w:t>
      </w:r>
      <w:r>
        <w:br w:type="page"/>
      </w:r>
    </w:p>
    <w:p>
      <w:pPr>
        <w:pStyle w:val="Heading1"/>
        <w:rPr/>
      </w:pPr>
      <w:bookmarkStart w:id="50" w:name="__RefHeading___Toc1249_3066934455"/>
      <w:bookmarkEnd w:id="50"/>
      <w:r>
        <w:rPr>
          <w:rFonts w:eastAsia="Segoe UI" w:cs="Segoe UI" w:ascii="Segoe UI" w:hAnsi="Segoe UI"/>
          <w:b/>
          <w:color w:val="0F4761"/>
          <w:sz w:val="32"/>
        </w:rPr>
        <w:t>10.  Commercials</w:t>
      </w:r>
    </w:p>
    <w:p>
      <w:pPr>
        <w:pStyle w:val="Heading2"/>
        <w:rPr/>
      </w:pPr>
      <w:bookmarkStart w:id="51" w:name="__RefHeading___Toc1251_3066934455"/>
      <w:bookmarkEnd w:id="51"/>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2" w:name="__RefHeading___Toc1253_3066934455"/>
      <w:bookmarkEnd w:id="52"/>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3" w:name="__RefHeading___Toc1255_3066934455"/>
      <w:bookmarkEnd w:id="53"/>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4" w:name="__RefHeading___Toc1257_3066934455"/>
      <w:bookmarkEnd w:id="54"/>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5" w:name="__RefHeading___Toc1259_3066934455"/>
      <w:bookmarkEnd w:id="55"/>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6" w:name="__RefHeading___Toc1261_3066934455"/>
      <w:bookmarkEnd w:id="56"/>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57" w:name="__RefHeading___Toc1263_3066934455"/>
      <w:bookmarkEnd w:id="57"/>
      <w:r>
        <w:rPr>
          <w:rFonts w:eastAsia="Segoe UI" w:cs="Segoe UI" w:ascii="Segoe UI" w:hAnsi="Segoe UI"/>
          <w:b/>
          <w:color w:val="0F4761"/>
          <w:sz w:val="32"/>
        </w:rPr>
        <w:t>11.  Objection handling</w:t>
      </w:r>
    </w:p>
    <w:p>
      <w:pPr>
        <w:pStyle w:val="Heading2"/>
        <w:rPr/>
      </w:pPr>
      <w:bookmarkStart w:id="58" w:name="__RefHeading___Toc1265_3066934455"/>
      <w:bookmarkEnd w:id="58"/>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59" w:name="__RefHeading___Toc1267_3066934455"/>
      <w:bookmarkEnd w:id="59"/>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0" w:name="__RefHeading___Toc1269_3066934455"/>
      <w:bookmarkEnd w:id="60"/>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1" w:name="__RefHeading___Toc1271_3066934455"/>
      <w:bookmarkEnd w:id="61"/>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working papers, local bank formats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BIR Form 2307, VAT Summary and the premium taxes on a quotation. Ask which feature of the other system the team would use every day.</w:t>
      </w:r>
    </w:p>
    <w:p>
      <w:pPr>
        <w:pStyle w:val="Heading2"/>
        <w:rPr/>
      </w:pPr>
      <w:bookmarkStart w:id="62" w:name="__RefHeading___Toc1273_3066934455"/>
      <w:bookmarkEnd w:id="62"/>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3" w:name="__RefHeading___Toc1275_3066934455"/>
      <w:bookmarkEnd w:id="63"/>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4" w:name="__RefHeading___Toc1277_3066934455"/>
      <w:bookmarkEnd w:id="64"/>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5" w:name="__RefHeading___Toc1279_3066934455"/>
      <w:bookmarkEnd w:id="65"/>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6" w:name="__RefHeading___Toc1281_3066934455"/>
      <w:bookmarkEnd w:id="66"/>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"Philippine insurers do not share one API, so the product exchanges files and e-mails with insurers: slips, placement orders, remittance statements and debit notes out; statements of account in, matched in Insurer Reconciliation. Where an insurer offers an API you want to use, we price it as a standard or complex integration."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Reconciliation with an imported statement; the integration prices in the commercial note.</w:t>
      </w:r>
    </w:p>
    <w:p>
      <w:pPr>
        <w:pStyle w:val="Heading2"/>
        <w:rPr/>
      </w:pPr>
      <w:bookmarkStart w:id="67" w:name="__RefHeading___Toc1283_3066934455"/>
      <w:bookmarkEnd w:id="67"/>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68" w:name="__RefHeading___Toc1285_3066934455"/>
      <w:bookmarkEnd w:id="68"/>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69" w:name="__RefHeading___Toc1287_3066934455"/>
      <w:bookmarkEnd w:id="69"/>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0" w:name="__RefHeading___Toc1289_3066934455"/>
      <w:bookmarkEnd w:id="70"/>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1" w:name="__RefHeading___Toc1291_3066934455"/>
      <w:bookmarkEnd w:id="71"/>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2" w:name="__RefHeading___Toc1293_3066934455"/>
      <w:bookmarkEnd w:id="72"/>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Training is per role, from key users who were part of the configuration. The user manual and a guide for each of the seven roles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3" w:name="__RefHeading___Toc1295_3066934455"/>
      <w:bookmarkEnd w:id="73"/>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4" w:name="__RefHeading___Toc1297_3066934455"/>
      <w:bookmarkEnd w:id="74"/>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 files and e-mail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for a named insurer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prepares the IC report from the figures; CR for a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by insurer; CR if needed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client accounting history for review</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result recorded; no bank payment file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for a bank file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5" w:name="__RefHeading___Toc1299_3066934455"/>
      <w:bookmarkStart w:id="76" w:name="_Toc233203395"/>
      <w:bookmarkEnd w:id="75"/>
      <w:r>
        <w:rPr>
          <w:rStyle w:val="BookTitle"/>
          <w:bCs w:val="false"/>
          <w:i w:val="false"/>
          <w:iCs w:val="false"/>
          <w:spacing w:val="0"/>
        </w:rPr>
        <w:t>13.  Document Sign-Off</w:t>
      </w:r>
      <w:bookmarkEnd w:id="7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2026-10-04T05:41:07Z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