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and Cutover Plan for BrokerVerse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and Cutover Plan for BrokerVerse</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Data Migration</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Data Migration</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Initial issue</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OOTB</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GL</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General ledger</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TB</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Trial balance</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CoA</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Chart of accounts</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OR</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Official receipt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ATP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Authority to Print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BIR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Bureau of Internal Revenue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Pre-Prod</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Pre-production environment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SIT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System integration test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User acceptance test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API</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Application programming interface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XLSX</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Excel workbook</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CSV</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Comma-separated values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PM</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Project manager</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Introduction</w:t>
      </w:r>
    </w:p>
    <w:p>
      <w:pPr>
        <w:pStyle w:val="Heading2"/>
      </w:pPr>
      <w:r>
        <w:rPr>
          <w:rFonts w:ascii="Segoe UI" w:hAnsi="Segoe UI" w:cs="Segoe UI" w:eastAsia="Segoe UI"/>
          <w:b/>
          <w:color w:val="0F4761"/>
          <w:sz w:val="26"/>
        </w:rPr>
        <w:t>3.1  Purpose</w:t>
      </w:r>
    </w:p>
    <w:p>
      <w:pPr>
        <w:spacing w:after="120" w:line="276" w:lineRule="auto"/>
      </w:pPr>
      <w:r>
        <w:rPr>
          <w:rFonts w:ascii="Segoe UI" w:hAnsi="Segoe UI" w:cs="Segoe UI" w:eastAsia="Segoe UI"/>
          <w:color w:val="101820"/>
          <w:sz w:val="21"/>
        </w:rPr>
        <w:t>This plan describes how a broker's data moves from the old system into BrokerVerse OOTB and how the switch to BrokerVerse is made: which data objects are loaded, with which upload templates, in what order, how each load is validated and reconciled, how the mock loads rehearse it, the cutover checklist, the go/no-go criteria and the rollback.</w:t>
      </w:r>
    </w:p>
    <w:p>
      <w:pPr>
        <w:spacing w:after="120" w:line="276" w:lineRule="auto"/>
      </w:pPr>
      <w:r>
        <w:rPr>
          <w:rFonts w:ascii="Segoe UI" w:hAnsi="Segoe UI" w:cs="Segoe UI" w:eastAsia="Segoe UI"/>
          <w:color w:val="101820"/>
          <w:sz w:val="21"/>
        </w:rPr>
        <w:t xml:space="preserve">It applies the step-by-step set-up of </w:t>
      </w:r>
      <w:r>
        <w:rPr>
          <w:rFonts w:ascii="Consolas" w:hAnsi="Consolas" w:cs="Consolas" w:eastAsia="Consolas"/>
          <w:color w:val="101820"/>
          <w:sz w:val="19"/>
        </w:rPr>
        <w:t>docs/onboarding/GO_LIVE_DATA_SETUP.md</w:t>
      </w:r>
      <w:r>
        <w:rPr>
          <w:rFonts w:ascii="Segoe UI" w:hAnsi="Segoe UI" w:cs="Segoe UI" w:eastAsia="Segoe UI"/>
          <w:color w:val="101820"/>
          <w:sz w:val="21"/>
        </w:rPr>
        <w:t xml:space="preserve"> to the project and adds the controls around it.</w:t>
      </w:r>
    </w:p>
    <w:p>
      <w:pPr>
        <w:pStyle w:val="Heading2"/>
      </w:pPr>
      <w:r>
        <w:rPr>
          <w:rFonts w:ascii="Segoe UI" w:hAnsi="Segoe UI" w:cs="Segoe UI" w:eastAsia="Segoe UI"/>
          <w:b/>
          <w:color w:val="0F4761"/>
          <w:sz w:val="26"/>
        </w:rPr>
        <w:t>3.2  Principles</w:t>
      </w:r>
    </w:p>
    <w:p>
      <w:pPr>
        <w:spacing w:after="60"/>
        <w:numPr>
          <w:ilvl w:val="0"/>
          <w:numId w:val="3"/>
        </w:numPr>
      </w:pPr>
      <w:r>
        <w:rPr>
          <w:rFonts w:ascii="Segoe UI" w:hAnsi="Segoe UI" w:cs="Segoe UI" w:eastAsia="Segoe UI"/>
          <w:b/>
          <w:color w:val="101820"/>
          <w:sz w:val="21"/>
        </w:rPr>
        <w:t>Templates only.</w:t>
      </w:r>
      <w:r>
        <w:rPr>
          <w:rFonts w:ascii="Segoe UI" w:hAnsi="Segoe UI" w:cs="Segoe UI" w:eastAsia="Segoe UI"/>
          <w:color w:val="101820"/>
          <w:sz w:val="21"/>
        </w:rPr>
        <w:t xml:space="preserve"> Every load uses the delivered upload templates in </w:t>
      </w:r>
      <w:r>
        <w:rPr>
          <w:rFonts w:ascii="Consolas" w:hAnsi="Consolas" w:cs="Consolas" w:eastAsia="Consolas"/>
          <w:color w:val="101820"/>
          <w:sz w:val="19"/>
        </w:rPr>
        <w:t>docs/package/05_Delivery/Upload_Templates</w:t>
      </w:r>
      <w:r>
        <w:rPr>
          <w:rFonts w:ascii="Segoe UI" w:hAnsi="Segoe UI" w:cs="Segoe UI" w:eastAsia="Segoe UI"/>
          <w:color w:val="101820"/>
          <w:sz w:val="21"/>
        </w:rPr>
        <w:t>. Each workbook has a Data sheet (exact headers, sample rows to delete), a Columns sheet (required, format, allowed values, accepted alternative headers) and an Instructions sheet (screen, API route, file types, row limit, what happens to a wrong row).</w:t>
      </w:r>
    </w:p>
    <w:p>
      <w:pPr>
        <w:spacing w:after="60"/>
        <w:numPr>
          <w:ilvl w:val="0"/>
          <w:numId w:val="3"/>
        </w:numPr>
      </w:pPr>
      <w:r>
        <w:rPr>
          <w:rFonts w:ascii="Segoe UI" w:hAnsi="Segoe UI" w:cs="Segoe UI" w:eastAsia="Segoe UI"/>
          <w:b/>
          <w:color w:val="101820"/>
          <w:sz w:val="21"/>
        </w:rPr>
        <w:t>The broker owns the data.</w:t>
      </w:r>
      <w:r>
        <w:rPr>
          <w:rFonts w:ascii="Segoe UI" w:hAnsi="Segoe UI" w:cs="Segoe UI" w:eastAsia="Segoe UI"/>
          <w:color w:val="101820"/>
          <w:sz w:val="21"/>
        </w:rPr>
        <w:t xml:space="preserve"> The broker extracts, cleanses and signs off its data. iorta TechNXT advises on mapping, runs the loads with the broker and reports the results.</w:t>
      </w:r>
    </w:p>
    <w:p>
      <w:pPr>
        <w:spacing w:after="60"/>
        <w:numPr>
          <w:ilvl w:val="0"/>
          <w:numId w:val="3"/>
        </w:numPr>
      </w:pPr>
      <w:r>
        <w:rPr>
          <w:rFonts w:ascii="Segoe UI" w:hAnsi="Segoe UI" w:cs="Segoe UI" w:eastAsia="Segoe UI"/>
          <w:b/>
          <w:color w:val="101820"/>
          <w:sz w:val="21"/>
        </w:rPr>
        <w:t>Open positions, not history.</w:t>
      </w:r>
      <w:r>
        <w:rPr>
          <w:rFonts w:ascii="Segoe UI" w:hAnsi="Segoe UI" w:cs="Segoe UI" w:eastAsia="Segoe UI"/>
          <w:color w:val="101820"/>
          <w:sz w:val="21"/>
        </w:rPr>
        <w:t xml:space="preserve"> BrokerVerse receives what is open at the go-live date: in-force policies, unpaid premium, the trial balance. Closed history stays in the old system, which is kept read-only.</w:t>
      </w:r>
    </w:p>
    <w:p>
      <w:pPr>
        <w:spacing w:after="60"/>
        <w:numPr>
          <w:ilvl w:val="0"/>
          <w:numId w:val="3"/>
        </w:numPr>
      </w:pPr>
      <w:r>
        <w:rPr>
          <w:rFonts w:ascii="Segoe UI" w:hAnsi="Segoe UI" w:cs="Segoe UI" w:eastAsia="Segoe UI"/>
          <w:b/>
          <w:color w:val="101820"/>
          <w:sz w:val="21"/>
        </w:rPr>
        <w:t>One go-live date.</w:t>
      </w:r>
      <w:r>
        <w:rPr>
          <w:rFonts w:ascii="Segoe UI" w:hAnsi="Segoe UI" w:cs="Segoe UI" w:eastAsia="Segoe UI"/>
          <w:color w:val="101820"/>
          <w:sz w:val="21"/>
        </w:rPr>
        <w:t xml:space="preserve"> The go-live date is the first day of transactions in BrokerVerse. Balances and open items are taken from the old system at the close of the day before.</w:t>
      </w:r>
    </w:p>
    <w:p>
      <w:pPr>
        <w:spacing w:after="60"/>
        <w:numPr>
          <w:ilvl w:val="0"/>
          <w:numId w:val="3"/>
        </w:numPr>
      </w:pPr>
      <w:r>
        <w:rPr>
          <w:rFonts w:ascii="Segoe UI" w:hAnsi="Segoe UI" w:cs="Segoe UI" w:eastAsia="Segoe UI"/>
          <w:b/>
          <w:color w:val="101820"/>
          <w:sz w:val="21"/>
        </w:rPr>
        <w:t>Reconcile everything.</w:t>
      </w:r>
      <w:r>
        <w:rPr>
          <w:rFonts w:ascii="Segoe UI" w:hAnsi="Segoe UI" w:cs="Segoe UI" w:eastAsia="Segoe UI"/>
          <w:color w:val="101820"/>
          <w:sz w:val="21"/>
        </w:rPr>
        <w:t xml:space="preserve"> Every load is checked on counts and totals against control figures produced from the old system before the load.</w:t>
      </w:r>
    </w:p>
    <w:p>
      <w:pPr>
        <w:spacing w:after="60"/>
        <w:numPr>
          <w:ilvl w:val="0"/>
          <w:numId w:val="3"/>
        </w:numPr>
      </w:pPr>
      <w:r>
        <w:rPr>
          <w:rFonts w:ascii="Segoe UI" w:hAnsi="Segoe UI" w:cs="Segoe UI" w:eastAsia="Segoe UI"/>
          <w:b/>
          <w:color w:val="101820"/>
          <w:sz w:val="21"/>
        </w:rPr>
        <w:t>Rehearse.</w:t>
      </w:r>
      <w:r>
        <w:rPr>
          <w:rFonts w:ascii="Segoe UI" w:hAnsi="Segoe UI" w:cs="Segoe UI" w:eastAsia="Segoe UI"/>
          <w:color w:val="101820"/>
          <w:sz w:val="21"/>
        </w:rPr>
        <w:t xml:space="preserve"> The full sequence runs at least twice before cutover (mock loads in UAT, or SIT and UAT for a large broker), and the last run is the cutover rehearsal in a temporary Pre-Prod created from a production backup.</w:t>
      </w:r>
    </w:p>
    <w:p>
      <w:pPr>
        <w:pStyle w:val="Heading2"/>
      </w:pPr>
      <w:r>
        <w:rPr>
          <w:rFonts w:ascii="Segoe UI" w:hAnsi="Segoe UI" w:cs="Segoe UI" w:eastAsia="Segoe UI"/>
          <w:b/>
          <w:color w:val="0F4761"/>
          <w:sz w:val="26"/>
        </w:rPr>
        <w:t>3.3  Roles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127"/>
        <w:gridCol w:w="2026"/>
        <w:gridCol w:w="4862"/>
      </w:tblGrid>
      <w:tr>
        <w:trPr>
          <w:tblHeader w:val="true"/>
        </w:trPr>
        <w:tc>
          <w:tcPr>
            <w:tcW w:type="dxa" w:w="2127"/>
            <w:shd w:val="clear" w:color="auto" w:fill="DCE9F7"/>
          </w:tcPr>
          <w:p>
            <w:pPr>
              <w:spacing w:after="20"/>
            </w:pPr>
            <w:r>
              <w:rPr>
                <w:rFonts w:ascii="Segoe UI" w:hAnsi="Segoe UI" w:cs="Segoe UI" w:eastAsia="Segoe UI"/>
                <w:b/>
                <w:color w:val="0F4761"/>
                <w:sz w:val="18"/>
              </w:rPr>
              <w:t>Role</w:t>
            </w:r>
          </w:p>
        </w:tc>
        <w:tc>
          <w:tcPr>
            <w:tcW w:type="dxa" w:w="2026"/>
            <w:shd w:val="clear" w:color="auto" w:fill="DCE9F7"/>
          </w:tcPr>
          <w:p>
            <w:pPr>
              <w:spacing w:after="20"/>
            </w:pPr>
            <w:r>
              <w:rPr>
                <w:rFonts w:ascii="Segoe UI" w:hAnsi="Segoe UI" w:cs="Segoe UI" w:eastAsia="Segoe UI"/>
                <w:b/>
                <w:color w:val="0F4761"/>
                <w:sz w:val="18"/>
              </w:rPr>
              <w:t>Party</w:t>
            </w:r>
          </w:p>
        </w:tc>
        <w:tc>
          <w:tcPr>
            <w:tcW w:type="dxa" w:w="4862"/>
            <w:shd w:val="clear" w:color="auto" w:fill="DCE9F7"/>
          </w:tcPr>
          <w:p>
            <w:pPr>
              <w:spacing w:after="20"/>
            </w:pPr>
            <w:r>
              <w:rPr>
                <w:rFonts w:ascii="Segoe UI" w:hAnsi="Segoe UI" w:cs="Segoe UI" w:eastAsia="Segoe UI"/>
                <w:b/>
                <w:color w:val="0F4761"/>
                <w:sz w:val="18"/>
              </w:rPr>
              <w:t>Responsibility</w:t>
            </w:r>
          </w:p>
        </w:tc>
      </w:tr>
      <w:tr>
        <w:tc>
          <w:tcPr>
            <w:tcW w:type="dxa" w:w="2127"/>
          </w:tcPr>
          <w:p>
            <w:pPr>
              <w:spacing w:after="20"/>
            </w:pPr>
            <w:r>
              <w:rPr>
                <w:rFonts w:ascii="Segoe UI" w:hAnsi="Segoe UI" w:cs="Segoe UI" w:eastAsia="Segoe UI"/>
                <w:color w:val="101820"/>
                <w:sz w:val="18"/>
              </w:rPr>
              <w:t>Data owner per object</w:t>
            </w:r>
          </w:p>
        </w:tc>
        <w:tc>
          <w:tcPr>
            <w:tcW w:type="dxa" w:w="2026"/>
          </w:tcPr>
          <w:p>
            <w:pPr>
              <w:spacing w:after="20"/>
            </w:pPr>
            <w:r>
              <w:rPr>
                <w:rFonts w:ascii="Segoe UI" w:hAnsi="Segoe UI" w:cs="Segoe UI" w:eastAsia="Segoe UI"/>
                <w:color w:val="101820"/>
                <w:sz w:val="18"/>
              </w:rPr>
              <w:t>Broker process owner</w:t>
            </w:r>
          </w:p>
        </w:tc>
        <w:tc>
          <w:tcPr>
            <w:tcW w:type="dxa" w:w="4862"/>
          </w:tcPr>
          <w:p>
            <w:pPr>
              <w:spacing w:after="20"/>
            </w:pPr>
            <w:r>
              <w:rPr>
                <w:rFonts w:ascii="Segoe UI" w:hAnsi="Segoe UI" w:cs="Segoe UI" w:eastAsia="Segoe UI"/>
                <w:color w:val="101820"/>
                <w:sz w:val="18"/>
              </w:rPr>
              <w:t>Extract, cleanse, approve the file, sign off the reconciliation</w:t>
            </w:r>
          </w:p>
        </w:tc>
      </w:tr>
      <w:tr>
        <w:tc>
          <w:tcPr>
            <w:tcW w:type="dxa" w:w="2127"/>
          </w:tcPr>
          <w:p>
            <w:pPr>
              <w:spacing w:after="20"/>
            </w:pPr>
            <w:r>
              <w:rPr>
                <w:rFonts w:ascii="Segoe UI" w:hAnsi="Segoe UI" w:cs="Segoe UI" w:eastAsia="Segoe UI"/>
                <w:color w:val="101820"/>
                <w:sz w:val="18"/>
              </w:rPr>
              <w:t>Accounting Manager</w:t>
            </w:r>
          </w:p>
        </w:tc>
        <w:tc>
          <w:tcPr>
            <w:tcW w:type="dxa" w:w="2026"/>
          </w:tcPr>
          <w:p>
            <w:pPr>
              <w:spacing w:after="20"/>
            </w:pPr>
            <w:r>
              <w:rPr>
                <w:rFonts w:ascii="Segoe UI" w:hAnsi="Segoe UI" w:cs="Segoe UI" w:eastAsia="Segoe UI"/>
                <w:color w:val="101820"/>
                <w:sz w:val="18"/>
              </w:rPr>
              <w:t>Broker</w:t>
            </w:r>
          </w:p>
        </w:tc>
        <w:tc>
          <w:tcPr>
            <w:tcW w:type="dxa" w:w="4862"/>
          </w:tcPr>
          <w:p>
            <w:pPr>
              <w:spacing w:after="20"/>
            </w:pPr>
            <w:r>
              <w:rPr>
                <w:rFonts w:ascii="Segoe UI" w:hAnsi="Segoe UI" w:cs="Segoe UI" w:eastAsia="Segoe UI"/>
                <w:color w:val="101820"/>
                <w:sz w:val="18"/>
              </w:rPr>
              <w:t>Chart of accounts mapping, trial balance, open receivables, amounts due to insurers; signs off the financial reconciliation</w:t>
            </w:r>
          </w:p>
        </w:tc>
      </w:tr>
      <w:tr>
        <w:tc>
          <w:tcPr>
            <w:tcW w:type="dxa" w:w="2127"/>
          </w:tcPr>
          <w:p>
            <w:pPr>
              <w:spacing w:after="20"/>
            </w:pPr>
            <w:r>
              <w:rPr>
                <w:rFonts w:ascii="Segoe UI" w:hAnsi="Segoe UI" w:cs="Segoe UI" w:eastAsia="Segoe UI"/>
                <w:color w:val="101820"/>
                <w:sz w:val="18"/>
              </w:rPr>
              <w:t>Broker PM</w:t>
            </w:r>
          </w:p>
        </w:tc>
        <w:tc>
          <w:tcPr>
            <w:tcW w:type="dxa" w:w="2026"/>
          </w:tcPr>
          <w:p>
            <w:pPr>
              <w:spacing w:after="20"/>
            </w:pPr>
            <w:r>
              <w:rPr>
                <w:rFonts w:ascii="Segoe UI" w:hAnsi="Segoe UI" w:cs="Segoe UI" w:eastAsia="Segoe UI"/>
                <w:color w:val="101820"/>
                <w:sz w:val="18"/>
              </w:rPr>
              <w:t>Broker</w:t>
            </w:r>
          </w:p>
        </w:tc>
        <w:tc>
          <w:tcPr>
            <w:tcW w:type="dxa" w:w="4862"/>
          </w:tcPr>
          <w:p>
            <w:pPr>
              <w:spacing w:after="20"/>
            </w:pPr>
            <w:r>
              <w:rPr>
                <w:rFonts w:ascii="Segoe UI" w:hAnsi="Segoe UI" w:cs="Segoe UI" w:eastAsia="Segoe UI"/>
                <w:color w:val="101820"/>
                <w:sz w:val="18"/>
              </w:rPr>
              <w:t>Data readiness tracking, cutover coordination</w:t>
            </w:r>
          </w:p>
        </w:tc>
      </w:tr>
      <w:tr>
        <w:tc>
          <w:tcPr>
            <w:tcW w:type="dxa" w:w="2127"/>
          </w:tcPr>
          <w:p>
            <w:pPr>
              <w:spacing w:after="20"/>
            </w:pPr>
            <w:r>
              <w:rPr>
                <w:rFonts w:ascii="Segoe UI" w:hAnsi="Segoe UI" w:cs="Segoe UI" w:eastAsia="Segoe UI"/>
                <w:color w:val="101820"/>
                <w:sz w:val="18"/>
              </w:rPr>
              <w:t>System Administrator</w:t>
            </w:r>
          </w:p>
        </w:tc>
        <w:tc>
          <w:tcPr>
            <w:tcW w:type="dxa" w:w="2026"/>
          </w:tcPr>
          <w:p>
            <w:pPr>
              <w:spacing w:after="20"/>
            </w:pPr>
            <w:r>
              <w:rPr>
                <w:rFonts w:ascii="Segoe UI" w:hAnsi="Segoe UI" w:cs="Segoe UI" w:eastAsia="Segoe UI"/>
                <w:color w:val="101820"/>
                <w:sz w:val="18"/>
              </w:rPr>
              <w:t>Broker</w:t>
            </w:r>
          </w:p>
        </w:tc>
        <w:tc>
          <w:tcPr>
            <w:tcW w:type="dxa" w:w="4862"/>
          </w:tcPr>
          <w:p>
            <w:pPr>
              <w:spacing w:after="20"/>
            </w:pPr>
            <w:r>
              <w:rPr>
                <w:rFonts w:ascii="Segoe UI" w:hAnsi="Segoe UI" w:cs="Segoe UI" w:eastAsia="Segoe UI"/>
                <w:color w:val="101820"/>
                <w:sz w:val="18"/>
              </w:rPr>
              <w:t>Masters and users in production; loads that have no Upload button with iorta TechNXT</w:t>
            </w:r>
          </w:p>
        </w:tc>
      </w:tr>
      <w:tr>
        <w:tc>
          <w:tcPr>
            <w:tcW w:type="dxa" w:w="2127"/>
          </w:tcPr>
          <w:p>
            <w:pPr>
              <w:spacing w:after="20"/>
            </w:pPr>
            <w:r>
              <w:rPr>
                <w:rFonts w:ascii="Segoe UI" w:hAnsi="Segoe UI" w:cs="Segoe UI" w:eastAsia="Segoe UI"/>
                <w:color w:val="101820"/>
                <w:sz w:val="18"/>
              </w:rPr>
              <w:t>Migration lead</w:t>
            </w:r>
          </w:p>
        </w:tc>
        <w:tc>
          <w:tcPr>
            <w:tcW w:type="dxa" w:w="2026"/>
          </w:tcPr>
          <w:p>
            <w:pPr>
              <w:spacing w:after="20"/>
            </w:pPr>
            <w:r>
              <w:rPr>
                <w:rFonts w:ascii="Segoe UI" w:hAnsi="Segoe UI" w:cs="Segoe UI" w:eastAsia="Segoe UI"/>
                <w:color w:val="101820"/>
                <w:sz w:val="18"/>
              </w:rPr>
              <w:t>iorta TechNXT</w:t>
            </w:r>
          </w:p>
        </w:tc>
        <w:tc>
          <w:tcPr>
            <w:tcW w:type="dxa" w:w="4862"/>
          </w:tcPr>
          <w:p>
            <w:pPr>
              <w:spacing w:after="20"/>
            </w:pPr>
            <w:r>
              <w:rPr>
                <w:rFonts w:ascii="Segoe UI" w:hAnsi="Segoe UI" w:cs="Segoe UI" w:eastAsia="Segoe UI"/>
                <w:color w:val="101820"/>
                <w:sz w:val="18"/>
              </w:rPr>
              <w:t>Mapping, load runs, load logs, reconciliation reports, cutover runbook</w:t>
            </w:r>
          </w:p>
        </w:tc>
      </w:tr>
      <w:tr>
        <w:tc>
          <w:tcPr>
            <w:tcW w:type="dxa" w:w="2127"/>
          </w:tcPr>
          <w:p>
            <w:pPr>
              <w:spacing w:after="20"/>
            </w:pPr>
            <w:r>
              <w:rPr>
                <w:rFonts w:ascii="Segoe UI" w:hAnsi="Segoe UI" w:cs="Segoe UI" w:eastAsia="Segoe UI"/>
                <w:color w:val="101820"/>
                <w:sz w:val="18"/>
              </w:rPr>
              <w:t>DevOps lead</w:t>
            </w:r>
          </w:p>
        </w:tc>
        <w:tc>
          <w:tcPr>
            <w:tcW w:type="dxa" w:w="2026"/>
          </w:tcPr>
          <w:p>
            <w:pPr>
              <w:spacing w:after="20"/>
            </w:pPr>
            <w:r>
              <w:rPr>
                <w:rFonts w:ascii="Segoe UI" w:hAnsi="Segoe UI" w:cs="Segoe UI" w:eastAsia="Segoe UI"/>
                <w:color w:val="101820"/>
                <w:sz w:val="18"/>
              </w:rPr>
              <w:t>iorta TechNXT</w:t>
            </w:r>
          </w:p>
        </w:tc>
        <w:tc>
          <w:tcPr>
            <w:tcW w:type="dxa" w:w="4862"/>
          </w:tcPr>
          <w:p>
            <w:pPr>
              <w:spacing w:after="20"/>
            </w:pPr>
            <w:r>
              <w:rPr>
                <w:rFonts w:ascii="Segoe UI" w:hAnsi="Segoe UI" w:cs="Segoe UI" w:eastAsia="Segoe UI"/>
                <w:color w:val="101820"/>
                <w:sz w:val="18"/>
              </w:rPr>
              <w:t>Environments, snapshots, the provisioning script, rollback</w:t>
            </w:r>
          </w:p>
        </w:tc>
      </w:tr>
    </w:tbl>
    <w:p>
      <w:pPr>
        <w:pStyle w:val="Heading1"/>
        <w:pageBreakBefore/>
      </w:pPr>
      <w:r>
        <w:rPr>
          <w:rFonts w:ascii="Segoe UI" w:hAnsi="Segoe UI" w:cs="Segoe UI" w:eastAsia="Segoe UI"/>
          <w:b/>
          <w:color w:val="0F4761"/>
          <w:sz w:val="32"/>
        </w:rPr>
        <w:t>4.  Data objects</w:t>
      </w:r>
    </w:p>
    <w:p>
      <w:pPr>
        <w:pStyle w:val="Heading2"/>
      </w:pPr>
      <w:r>
        <w:rPr>
          <w:rFonts w:ascii="Segoe UI" w:hAnsi="Segoe UI" w:cs="Segoe UI" w:eastAsia="Segoe UI"/>
          <w:b/>
          <w:color w:val="0F4761"/>
          <w:sz w:val="26"/>
        </w:rPr>
        <w:t>4.1  In scope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327"/>
        <w:gridCol w:w="2563"/>
        <w:gridCol w:w="2562"/>
        <w:gridCol w:w="2562"/>
      </w:tblGrid>
      <w:tr>
        <w:trPr>
          <w:tblHeader w:val="true"/>
        </w:trPr>
        <w:tc>
          <w:tcPr>
            <w:tcW w:type="dxa" w:w="1327"/>
            <w:shd w:val="clear" w:color="auto" w:fill="DCE9F7"/>
          </w:tcPr>
          <w:p>
            <w:pPr>
              <w:spacing w:after="20"/>
            </w:pPr>
            <w:r>
              <w:rPr>
                <w:rFonts w:ascii="Segoe UI" w:hAnsi="Segoe UI" w:cs="Segoe UI" w:eastAsia="Segoe UI"/>
                <w:b/>
                <w:color w:val="0F4761"/>
                <w:sz w:val="18"/>
              </w:rPr>
              <w:t>Group</w:t>
            </w:r>
          </w:p>
        </w:tc>
        <w:tc>
          <w:tcPr>
            <w:tcW w:type="dxa" w:w="2563"/>
            <w:shd w:val="clear" w:color="auto" w:fill="DCE9F7"/>
          </w:tcPr>
          <w:p>
            <w:pPr>
              <w:spacing w:after="20"/>
            </w:pPr>
            <w:r>
              <w:rPr>
                <w:rFonts w:ascii="Segoe UI" w:hAnsi="Segoe UI" w:cs="Segoe UI" w:eastAsia="Segoe UI"/>
                <w:b/>
                <w:color w:val="0F4761"/>
                <w:sz w:val="18"/>
              </w:rPr>
              <w:t>Data object</w:t>
            </w:r>
          </w:p>
        </w:tc>
        <w:tc>
          <w:tcPr>
            <w:tcW w:type="dxa" w:w="2562"/>
            <w:shd w:val="clear" w:color="auto" w:fill="DCE9F7"/>
          </w:tcPr>
          <w:p>
            <w:pPr>
              <w:spacing w:after="20"/>
            </w:pPr>
            <w:r>
              <w:rPr>
                <w:rFonts w:ascii="Segoe UI" w:hAnsi="Segoe UI" w:cs="Segoe UI" w:eastAsia="Segoe UI"/>
                <w:b/>
                <w:color w:val="0F4761"/>
                <w:sz w:val="18"/>
              </w:rPr>
              <w:t>Source in the old system</w:t>
            </w:r>
          </w:p>
        </w:tc>
        <w:tc>
          <w:tcPr>
            <w:tcW w:type="dxa" w:w="2562"/>
            <w:shd w:val="clear" w:color="auto" w:fill="DCE9F7"/>
          </w:tcPr>
          <w:p>
            <w:pPr>
              <w:spacing w:after="20"/>
            </w:pPr>
            <w:r>
              <w:rPr>
                <w:rFonts w:ascii="Segoe UI" w:hAnsi="Segoe UI" w:cs="Segoe UI" w:eastAsia="Segoe UI"/>
                <w:b/>
                <w:color w:val="0F4761"/>
                <w:sz w:val="18"/>
              </w:rPr>
              <w:t>Loaded into</w:t>
            </w:r>
          </w:p>
        </w:tc>
      </w:tr>
      <w:tr>
        <w:tc>
          <w:tcPr>
            <w:tcW w:type="dxa" w:w="1327"/>
          </w:tcPr>
          <w:p>
            <w:pPr>
              <w:spacing w:after="20"/>
            </w:pPr>
            <w:r>
              <w:rPr>
                <w:rFonts w:ascii="Segoe UI" w:hAnsi="Segoe UI" w:cs="Segoe UI" w:eastAsia="Segoe UI"/>
                <w:color w:val="101820"/>
                <w:sz w:val="18"/>
              </w:rPr>
              <w:t>Organisation</w:t>
            </w:r>
          </w:p>
        </w:tc>
        <w:tc>
          <w:tcPr>
            <w:tcW w:type="dxa" w:w="2563"/>
          </w:tcPr>
          <w:p>
            <w:pPr>
              <w:spacing w:after="20"/>
            </w:pPr>
            <w:r>
              <w:rPr>
                <w:rFonts w:ascii="Segoe UI" w:hAnsi="Segoe UI" w:cs="Segoe UI" w:eastAsia="Segoe UI"/>
                <w:color w:val="101820"/>
                <w:sz w:val="18"/>
              </w:rPr>
              <w:t>Company, branches, departments</w:t>
            </w:r>
          </w:p>
        </w:tc>
        <w:tc>
          <w:tcPr>
            <w:tcW w:type="dxa" w:w="2562"/>
          </w:tcPr>
          <w:p>
            <w:pPr>
              <w:spacing w:after="20"/>
            </w:pPr>
            <w:r>
              <w:rPr>
                <w:rFonts w:ascii="Segoe UI" w:hAnsi="Segoe UI" w:cs="Segoe UI" w:eastAsia="Segoe UI"/>
                <w:color w:val="101820"/>
                <w:sz w:val="18"/>
              </w:rPr>
              <w:t>Company records</w:t>
            </w:r>
          </w:p>
        </w:tc>
        <w:tc>
          <w:tcPr>
            <w:tcW w:type="dxa" w:w="2562"/>
          </w:tcPr>
          <w:p>
            <w:pPr>
              <w:spacing w:after="20"/>
            </w:pPr>
            <w:r>
              <w:rPr>
                <w:rFonts w:ascii="Segoe UI" w:hAnsi="Segoe UI" w:cs="Segoe UI" w:eastAsia="Segoe UI"/>
                <w:color w:val="101820"/>
                <w:sz w:val="18"/>
              </w:rPr>
              <w:t>Master &gt; Generals &gt; Organization</w:t>
            </w:r>
          </w:p>
        </w:tc>
      </w:tr>
      <w:tr>
        <w:tc>
          <w:tcPr>
            <w:tcW w:type="dxa" w:w="1327"/>
          </w:tcPr>
          <w:p>
            <w:pPr>
              <w:spacing w:after="20"/>
            </w:pPr>
            <w:r>
              <w:rPr>
                <w:rFonts w:ascii="Segoe UI" w:hAnsi="Segoe UI" w:cs="Segoe UI" w:eastAsia="Segoe UI"/>
                <w:color w:val="101820"/>
                <w:sz w:val="18"/>
              </w:rPr>
              <w:t>Organisation</w:t>
            </w:r>
          </w:p>
        </w:tc>
        <w:tc>
          <w:tcPr>
            <w:tcW w:type="dxa" w:w="2563"/>
          </w:tcPr>
          <w:p>
            <w:pPr>
              <w:spacing w:after="20"/>
            </w:pPr>
            <w:r>
              <w:rPr>
                <w:rFonts w:ascii="Segoe UI" w:hAnsi="Segoe UI" w:cs="Segoe UI" w:eastAsia="Segoe UI"/>
                <w:color w:val="101820"/>
                <w:sz w:val="18"/>
              </w:rPr>
              <w:t>Employee hierarchy and designations; staff branch, designation and reporting line</w:t>
            </w:r>
          </w:p>
        </w:tc>
        <w:tc>
          <w:tcPr>
            <w:tcW w:type="dxa" w:w="2562"/>
          </w:tcPr>
          <w:p>
            <w:pPr>
              <w:spacing w:after="20"/>
            </w:pPr>
            <w:r>
              <w:rPr>
                <w:rFonts w:ascii="Segoe UI" w:hAnsi="Segoe UI" w:cs="Segoe UI" w:eastAsia="Segoe UI"/>
                <w:color w:val="101820"/>
                <w:sz w:val="18"/>
              </w:rPr>
              <w:t>HR list</w:t>
            </w:r>
          </w:p>
        </w:tc>
        <w:tc>
          <w:tcPr>
            <w:tcW w:type="dxa" w:w="2562"/>
          </w:tcPr>
          <w:p>
            <w:pPr>
              <w:spacing w:after="20"/>
            </w:pPr>
            <w:r>
              <w:rPr>
                <w:rFonts w:ascii="Segoe UI" w:hAnsi="Segoe UI" w:cs="Segoe UI" w:eastAsia="Segoe UI"/>
                <w:color w:val="101820"/>
                <w:sz w:val="18"/>
              </w:rPr>
              <w:t>Master &gt; Generals &gt; Employee Management; Master &gt; Generals &gt; User Management &gt; User</w:t>
            </w:r>
          </w:p>
        </w:tc>
      </w:tr>
      <w:tr>
        <w:tc>
          <w:tcPr>
            <w:tcW w:type="dxa" w:w="1327"/>
          </w:tcPr>
          <w:p>
            <w:pPr>
              <w:spacing w:after="20"/>
            </w:pPr>
            <w:r>
              <w:rPr>
                <w:rFonts w:ascii="Segoe UI" w:hAnsi="Segoe UI" w:cs="Segoe UI" w:eastAsia="Segoe UI"/>
                <w:color w:val="101820"/>
                <w:sz w:val="18"/>
              </w:rPr>
              <w:t>Access</w:t>
            </w:r>
          </w:p>
        </w:tc>
        <w:tc>
          <w:tcPr>
            <w:tcW w:type="dxa" w:w="2563"/>
          </w:tcPr>
          <w:p>
            <w:pPr>
              <w:spacing w:after="20"/>
            </w:pPr>
            <w:r>
              <w:rPr>
                <w:rFonts w:ascii="Segoe UI" w:hAnsi="Segoe UI" w:cs="Segoe UI" w:eastAsia="Segoe UI"/>
                <w:color w:val="101820"/>
                <w:sz w:val="18"/>
              </w:rPr>
              <w:t>Users with one role each</w:t>
            </w:r>
          </w:p>
        </w:tc>
        <w:tc>
          <w:tcPr>
            <w:tcW w:type="dxa" w:w="2562"/>
          </w:tcPr>
          <w:p>
            <w:pPr>
              <w:spacing w:after="20"/>
            </w:pPr>
            <w:r>
              <w:rPr>
                <w:rFonts w:ascii="Segoe UI" w:hAnsi="Segoe UI" w:cs="Segoe UI" w:eastAsia="Segoe UI"/>
                <w:color w:val="101820"/>
                <w:sz w:val="18"/>
              </w:rPr>
              <w:t>User list</w:t>
            </w:r>
          </w:p>
        </w:tc>
        <w:tc>
          <w:tcPr>
            <w:tcW w:type="dxa" w:w="2562"/>
          </w:tcPr>
          <w:p>
            <w:pPr>
              <w:spacing w:after="20"/>
            </w:pPr>
            <w:r>
              <w:rPr>
                <w:rFonts w:ascii="Segoe UI" w:hAnsi="Segoe UI" w:cs="Segoe UI" w:eastAsia="Segoe UI"/>
                <w:color w:val="101820"/>
                <w:sz w:val="18"/>
              </w:rPr>
              <w:t>Master &gt; Generals &gt; User Management &gt; User, or the provisioning script</w:t>
            </w:r>
          </w:p>
        </w:tc>
      </w:tr>
      <w:tr>
        <w:tc>
          <w:tcPr>
            <w:tcW w:type="dxa" w:w="1327"/>
          </w:tcPr>
          <w:p>
            <w:pPr>
              <w:spacing w:after="20"/>
            </w:pPr>
            <w:r>
              <w:rPr>
                <w:rFonts w:ascii="Segoe UI" w:hAnsi="Segoe UI" w:cs="Segoe UI" w:eastAsia="Segoe UI"/>
                <w:color w:val="101820"/>
                <w:sz w:val="18"/>
              </w:rPr>
              <w:t>Reference</w:t>
            </w:r>
          </w:p>
        </w:tc>
        <w:tc>
          <w:tcPr>
            <w:tcW w:type="dxa" w:w="2563"/>
          </w:tcPr>
          <w:p>
            <w:pPr>
              <w:spacing w:after="20"/>
            </w:pPr>
            <w:r>
              <w:rPr>
                <w:rFonts w:ascii="Segoe UI" w:hAnsi="Segoe UI" w:cs="Segoe UI" w:eastAsia="Segoe UI"/>
                <w:color w:val="101820"/>
                <w:sz w:val="18"/>
              </w:rPr>
              <w:t>Countries, states (provinces), cities</w:t>
            </w:r>
          </w:p>
        </w:tc>
        <w:tc>
          <w:tcPr>
            <w:tcW w:type="dxa" w:w="2562"/>
          </w:tcPr>
          <w:p>
            <w:pPr>
              <w:spacing w:after="20"/>
            </w:pPr>
            <w:r>
              <w:rPr>
                <w:rFonts w:ascii="Segoe UI" w:hAnsi="Segoe UI" w:cs="Segoe UI" w:eastAsia="Segoe UI"/>
                <w:color w:val="101820"/>
                <w:sz w:val="18"/>
              </w:rPr>
              <w:t>Address tables (delivered data covers the Philippines; load only what is missing)</w:t>
            </w:r>
          </w:p>
        </w:tc>
        <w:tc>
          <w:tcPr>
            <w:tcW w:type="dxa" w:w="2562"/>
          </w:tcPr>
          <w:p>
            <w:pPr>
              <w:spacing w:after="20"/>
            </w:pPr>
            <w:r>
              <w:rPr>
                <w:rFonts w:ascii="Segoe UI" w:hAnsi="Segoe UI" w:cs="Segoe UI" w:eastAsia="Segoe UI"/>
                <w:color w:val="101820"/>
                <w:sz w:val="18"/>
              </w:rPr>
              <w:t>Master &gt; Generals &gt; Location</w:t>
            </w:r>
          </w:p>
        </w:tc>
      </w:tr>
      <w:tr>
        <w:tc>
          <w:tcPr>
            <w:tcW w:type="dxa" w:w="1327"/>
          </w:tcPr>
          <w:p>
            <w:pPr>
              <w:spacing w:after="20"/>
            </w:pPr>
            <w:r>
              <w:rPr>
                <w:rFonts w:ascii="Segoe UI" w:hAnsi="Segoe UI" w:cs="Segoe UI" w:eastAsia="Segoe UI"/>
                <w:color w:val="101820"/>
                <w:sz w:val="18"/>
              </w:rPr>
              <w:t>Reference</w:t>
            </w:r>
          </w:p>
        </w:tc>
        <w:tc>
          <w:tcPr>
            <w:tcW w:type="dxa" w:w="2563"/>
          </w:tcPr>
          <w:p>
            <w:pPr>
              <w:spacing w:after="20"/>
            </w:pPr>
            <w:r>
              <w:rPr>
                <w:rFonts w:ascii="Segoe UI" w:hAnsi="Segoe UI" w:cs="Segoe UI" w:eastAsia="Segoe UI"/>
                <w:color w:val="101820"/>
                <w:sz w:val="18"/>
              </w:rPr>
              <w:t>Currencies, exchange rates</w:t>
            </w:r>
          </w:p>
        </w:tc>
        <w:tc>
          <w:tcPr>
            <w:tcW w:type="dxa" w:w="2562"/>
          </w:tcPr>
          <w:p>
            <w:pPr>
              <w:spacing w:after="20"/>
            </w:pPr>
            <w:r>
              <w:rPr>
                <w:rFonts w:ascii="Segoe UI" w:hAnsi="Segoe UI" w:cs="Segoe UI" w:eastAsia="Segoe UI"/>
                <w:color w:val="101820"/>
                <w:sz w:val="18"/>
              </w:rPr>
              <w:t>Finance</w:t>
            </w:r>
          </w:p>
        </w:tc>
        <w:tc>
          <w:tcPr>
            <w:tcW w:type="dxa" w:w="2562"/>
          </w:tcPr>
          <w:p>
            <w:pPr>
              <w:spacing w:after="20"/>
            </w:pPr>
            <w:r>
              <w:rPr>
                <w:rFonts w:ascii="Segoe UI" w:hAnsi="Segoe UI" w:cs="Segoe UI" w:eastAsia="Segoe UI"/>
                <w:color w:val="101820"/>
                <w:sz w:val="18"/>
              </w:rPr>
              <w:t>Master &gt; Finance &gt; Currency, Exchange Rate</w:t>
            </w:r>
          </w:p>
        </w:tc>
      </w:tr>
      <w:tr>
        <w:tc>
          <w:tcPr>
            <w:tcW w:type="dxa" w:w="1327"/>
          </w:tcPr>
          <w:p>
            <w:pPr>
              <w:spacing w:after="20"/>
            </w:pPr>
            <w:r>
              <w:rPr>
                <w:rFonts w:ascii="Segoe UI" w:hAnsi="Segoe UI" w:cs="Segoe UI" w:eastAsia="Segoe UI"/>
                <w:color w:val="101820"/>
                <w:sz w:val="18"/>
              </w:rPr>
              <w:t>Insurance</w:t>
            </w:r>
          </w:p>
        </w:tc>
        <w:tc>
          <w:tcPr>
            <w:tcW w:type="dxa" w:w="2563"/>
          </w:tcPr>
          <w:p>
            <w:pPr>
              <w:spacing w:after="20"/>
            </w:pPr>
            <w:r>
              <w:rPr>
                <w:rFonts w:ascii="Segoe UI" w:hAnsi="Segoe UI" w:cs="Segoe UI" w:eastAsia="Segoe UI"/>
                <w:color w:val="101820"/>
                <w:sz w:val="18"/>
              </w:rPr>
              <w:t>Insurers with commission rate, premium payment warranty, remittance terms, billing mode</w:t>
            </w:r>
          </w:p>
        </w:tc>
        <w:tc>
          <w:tcPr>
            <w:tcW w:type="dxa" w:w="2562"/>
          </w:tcPr>
          <w:p>
            <w:pPr>
              <w:spacing w:after="20"/>
            </w:pPr>
            <w:r>
              <w:rPr>
                <w:rFonts w:ascii="Segoe UI" w:hAnsi="Segoe UI" w:cs="Segoe UI" w:eastAsia="Segoe UI"/>
                <w:color w:val="101820"/>
                <w:sz w:val="18"/>
              </w:rPr>
              <w:t>Insurer master and agreements</w:t>
            </w:r>
          </w:p>
        </w:tc>
        <w:tc>
          <w:tcPr>
            <w:tcW w:type="dxa" w:w="2562"/>
          </w:tcPr>
          <w:p>
            <w:pPr>
              <w:spacing w:after="20"/>
            </w:pPr>
            <w:r>
              <w:rPr>
                <w:rFonts w:ascii="Segoe UI" w:hAnsi="Segoe UI" w:cs="Segoe UI" w:eastAsia="Segoe UI"/>
                <w:color w:val="101820"/>
                <w:sz w:val="18"/>
              </w:rPr>
              <w:t>Master &gt; Generals &gt; Insurance Management &gt; Insurance Company</w:t>
            </w:r>
          </w:p>
        </w:tc>
      </w:tr>
      <w:tr>
        <w:tc>
          <w:tcPr>
            <w:tcW w:type="dxa" w:w="1327"/>
          </w:tcPr>
          <w:p>
            <w:pPr>
              <w:spacing w:after="20"/>
            </w:pPr>
            <w:r>
              <w:rPr>
                <w:rFonts w:ascii="Segoe UI" w:hAnsi="Segoe UI" w:cs="Segoe UI" w:eastAsia="Segoe UI"/>
                <w:color w:val="101820"/>
                <w:sz w:val="18"/>
              </w:rPr>
              <w:t>Insurance</w:t>
            </w:r>
          </w:p>
        </w:tc>
        <w:tc>
          <w:tcPr>
            <w:tcW w:type="dxa" w:w="2563"/>
          </w:tcPr>
          <w:p>
            <w:pPr>
              <w:spacing w:after="20"/>
            </w:pPr>
            <w:r>
              <w:rPr>
                <w:rFonts w:ascii="Segoe UI" w:hAnsi="Segoe UI" w:cs="Segoe UI" w:eastAsia="Segoe UI"/>
                <w:color w:val="101820"/>
                <w:sz w:val="18"/>
              </w:rPr>
              <w:t>Lines of business, products, policy types, covers</w:t>
            </w:r>
          </w:p>
        </w:tc>
        <w:tc>
          <w:tcPr>
            <w:tcW w:type="dxa" w:w="2562"/>
          </w:tcPr>
          <w:p>
            <w:pPr>
              <w:spacing w:after="20"/>
            </w:pPr>
            <w:r>
              <w:rPr>
                <w:rFonts w:ascii="Segoe UI" w:hAnsi="Segoe UI" w:cs="Segoe UI" w:eastAsia="Segoe UI"/>
                <w:color w:val="101820"/>
                <w:sz w:val="18"/>
              </w:rPr>
              <w:t>Product list (delivered data covers Philippine non-life; load only what is missing)</w:t>
            </w:r>
          </w:p>
        </w:tc>
        <w:tc>
          <w:tcPr>
            <w:tcW w:type="dxa" w:w="2562"/>
          </w:tcPr>
          <w:p>
            <w:pPr>
              <w:spacing w:after="20"/>
            </w:pPr>
            <w:r>
              <w:rPr>
                <w:rFonts w:ascii="Segoe UI" w:hAnsi="Segoe UI" w:cs="Segoe UI" w:eastAsia="Segoe UI"/>
                <w:color w:val="101820"/>
                <w:sz w:val="18"/>
              </w:rPr>
              <w:t>Master &gt; Generals &gt; Insurance Management</w:t>
            </w:r>
          </w:p>
        </w:tc>
      </w:tr>
      <w:tr>
        <w:tc>
          <w:tcPr>
            <w:tcW w:type="dxa" w:w="1327"/>
          </w:tcPr>
          <w:p>
            <w:pPr>
              <w:spacing w:after="20"/>
            </w:pPr>
            <w:r>
              <w:rPr>
                <w:rFonts w:ascii="Segoe UI" w:hAnsi="Segoe UI" w:cs="Segoe UI" w:eastAsia="Segoe UI"/>
                <w:color w:val="101820"/>
                <w:sz w:val="18"/>
              </w:rPr>
              <w:t>Insurance</w:t>
            </w:r>
          </w:p>
        </w:tc>
        <w:tc>
          <w:tcPr>
            <w:tcW w:type="dxa" w:w="2563"/>
          </w:tcPr>
          <w:p>
            <w:pPr>
              <w:spacing w:after="20"/>
            </w:pPr>
            <w:r>
              <w:rPr>
                <w:rFonts w:ascii="Segoe UI" w:hAnsi="Segoe UI" w:cs="Segoe UI" w:eastAsia="Segoe UI"/>
                <w:color w:val="101820"/>
                <w:sz w:val="18"/>
              </w:rPr>
              <w:t>Vehicle brands, models, variants, vehicles</w:t>
            </w:r>
          </w:p>
        </w:tc>
        <w:tc>
          <w:tcPr>
            <w:tcW w:type="dxa" w:w="2562"/>
          </w:tcPr>
          <w:p>
            <w:pPr>
              <w:spacing w:after="20"/>
            </w:pPr>
            <w:r>
              <w:rPr>
                <w:rFonts w:ascii="Segoe UI" w:hAnsi="Segoe UI" w:cs="Segoe UI" w:eastAsia="Segoe UI"/>
                <w:color w:val="101820"/>
                <w:sz w:val="18"/>
              </w:rPr>
              <w:t>Motor tables (delivered data holds vehicle makes)</w:t>
            </w:r>
          </w:p>
        </w:tc>
        <w:tc>
          <w:tcPr>
            <w:tcW w:type="dxa" w:w="2562"/>
          </w:tcPr>
          <w:p>
            <w:pPr>
              <w:spacing w:after="20"/>
            </w:pPr>
            <w:r>
              <w:rPr>
                <w:rFonts w:ascii="Segoe UI" w:hAnsi="Segoe UI" w:cs="Segoe UI" w:eastAsia="Segoe UI"/>
                <w:color w:val="101820"/>
                <w:sz w:val="18"/>
              </w:rPr>
              <w:t>Master &gt; Generals &gt; Insurance Management &gt; Vehicle</w:t>
            </w:r>
          </w:p>
        </w:tc>
      </w:tr>
      <w:tr>
        <w:tc>
          <w:tcPr>
            <w:tcW w:type="dxa" w:w="1327"/>
          </w:tcPr>
          <w:p>
            <w:pPr>
              <w:spacing w:after="20"/>
            </w:pPr>
            <w:r>
              <w:rPr>
                <w:rFonts w:ascii="Segoe UI" w:hAnsi="Segoe UI" w:cs="Segoe UI" w:eastAsia="Segoe UI"/>
                <w:color w:val="101820"/>
                <w:sz w:val="18"/>
              </w:rPr>
              <w:t>Insurance</w:t>
            </w:r>
          </w:p>
        </w:tc>
        <w:tc>
          <w:tcPr>
            <w:tcW w:type="dxa" w:w="2563"/>
          </w:tcPr>
          <w:p>
            <w:pPr>
              <w:spacing w:after="20"/>
            </w:pPr>
            <w:r>
              <w:rPr>
                <w:rFonts w:ascii="Segoe UI" w:hAnsi="Segoe UI" w:cs="Segoe UI" w:eastAsia="Segoe UI"/>
                <w:color w:val="101820"/>
                <w:sz w:val="18"/>
              </w:rPr>
              <w:t>Signatories</w:t>
            </w:r>
          </w:p>
        </w:tc>
        <w:tc>
          <w:tcPr>
            <w:tcW w:type="dxa" w:w="2562"/>
          </w:tcPr>
          <w:p>
            <w:pPr>
              <w:spacing w:after="20"/>
            </w:pPr>
            <w:r>
              <w:rPr>
                <w:rFonts w:ascii="Segoe UI" w:hAnsi="Segoe UI" w:cs="Segoe UI" w:eastAsia="Segoe UI"/>
                <w:color w:val="101820"/>
                <w:sz w:val="18"/>
              </w:rPr>
              <w:t>Authorised signatories</w:t>
            </w:r>
          </w:p>
        </w:tc>
        <w:tc>
          <w:tcPr>
            <w:tcW w:type="dxa" w:w="2562"/>
          </w:tcPr>
          <w:p>
            <w:pPr>
              <w:spacing w:after="20"/>
            </w:pPr>
            <w:r>
              <w:rPr>
                <w:rFonts w:ascii="Segoe UI" w:hAnsi="Segoe UI" w:cs="Segoe UI" w:eastAsia="Segoe UI"/>
                <w:color w:val="101820"/>
                <w:sz w:val="18"/>
              </w:rPr>
              <w:t>Master &gt; Generals &gt; Insurance Management &gt; Signatories</w:t>
            </w:r>
          </w:p>
        </w:tc>
      </w:tr>
      <w:tr>
        <w:tc>
          <w:tcPr>
            <w:tcW w:type="dxa" w:w="1327"/>
          </w:tcPr>
          <w:p>
            <w:pPr>
              <w:spacing w:after="20"/>
            </w:pPr>
            <w:r>
              <w:rPr>
                <w:rFonts w:ascii="Segoe UI" w:hAnsi="Segoe UI" w:cs="Segoe UI" w:eastAsia="Segoe UI"/>
                <w:color w:val="101820"/>
                <w:sz w:val="18"/>
              </w:rPr>
              <w:t>Commission</w:t>
            </w:r>
          </w:p>
        </w:tc>
        <w:tc>
          <w:tcPr>
            <w:tcW w:type="dxa" w:w="2563"/>
          </w:tcPr>
          <w:p>
            <w:pPr>
              <w:spacing w:after="20"/>
            </w:pPr>
            <w:r>
              <w:rPr>
                <w:rFonts w:ascii="Segoe UI" w:hAnsi="Segoe UI" w:cs="Segoe UI" w:eastAsia="Segoe UI"/>
                <w:color w:val="101820"/>
                <w:sz w:val="18"/>
              </w:rPr>
              <w:t>Commission rates per insurer, product and line of business</w:t>
            </w:r>
          </w:p>
        </w:tc>
        <w:tc>
          <w:tcPr>
            <w:tcW w:type="dxa" w:w="2562"/>
          </w:tcPr>
          <w:p>
            <w:pPr>
              <w:spacing w:after="20"/>
            </w:pPr>
            <w:r>
              <w:rPr>
                <w:rFonts w:ascii="Segoe UI" w:hAnsi="Segoe UI" w:cs="Segoe UI" w:eastAsia="Segoe UI"/>
                <w:color w:val="101820"/>
                <w:sz w:val="18"/>
              </w:rPr>
              <w:t>Commission tables</w:t>
            </w:r>
          </w:p>
        </w:tc>
        <w:tc>
          <w:tcPr>
            <w:tcW w:type="dxa" w:w="2562"/>
          </w:tcPr>
          <w:p>
            <w:pPr>
              <w:spacing w:after="20"/>
            </w:pPr>
            <w:r>
              <w:rPr>
                <w:rFonts w:ascii="Segoe UI" w:hAnsi="Segoe UI" w:cs="Segoe UI" w:eastAsia="Segoe UI"/>
                <w:color w:val="101820"/>
                <w:sz w:val="18"/>
              </w:rPr>
              <w:t>Master &gt; Finance &gt; Commission Rate Matrix</w:t>
            </w:r>
          </w:p>
        </w:tc>
      </w:tr>
      <w:tr>
        <w:tc>
          <w:tcPr>
            <w:tcW w:type="dxa" w:w="1327"/>
          </w:tcPr>
          <w:p>
            <w:pPr>
              <w:spacing w:after="20"/>
            </w:pPr>
            <w:r>
              <w:rPr>
                <w:rFonts w:ascii="Segoe UI" w:hAnsi="Segoe UI" w:cs="Segoe UI" w:eastAsia="Segoe UI"/>
                <w:color w:val="101820"/>
                <w:sz w:val="18"/>
              </w:rPr>
              <w:t>Finance</w:t>
            </w:r>
          </w:p>
        </w:tc>
        <w:tc>
          <w:tcPr>
            <w:tcW w:type="dxa" w:w="2563"/>
          </w:tcPr>
          <w:p>
            <w:pPr>
              <w:spacing w:after="20"/>
            </w:pPr>
            <w:r>
              <w:rPr>
                <w:rFonts w:ascii="Segoe UI" w:hAnsi="Segoe UI" w:cs="Segoe UI" w:eastAsia="Segoe UI"/>
                <w:color w:val="101820"/>
                <w:sz w:val="18"/>
              </w:rPr>
              <w:t>Chart of accounts</w:t>
            </w:r>
          </w:p>
        </w:tc>
        <w:tc>
          <w:tcPr>
            <w:tcW w:type="dxa" w:w="2562"/>
          </w:tcPr>
          <w:p>
            <w:pPr>
              <w:spacing w:after="20"/>
            </w:pPr>
            <w:r>
              <w:rPr>
                <w:rFonts w:ascii="Segoe UI" w:hAnsi="Segoe UI" w:cs="Segoe UI" w:eastAsia="Segoe UI"/>
                <w:color w:val="101820"/>
                <w:sz w:val="18"/>
              </w:rPr>
              <w:t>GL account list</w:t>
            </w:r>
          </w:p>
        </w:tc>
        <w:tc>
          <w:tcPr>
            <w:tcW w:type="dxa" w:w="2562"/>
          </w:tcPr>
          <w:p>
            <w:pPr>
              <w:spacing w:after="20"/>
            </w:pPr>
            <w:r>
              <w:rPr>
                <w:rFonts w:ascii="Segoe UI" w:hAnsi="Segoe UI" w:cs="Segoe UI" w:eastAsia="Segoe UI"/>
                <w:color w:val="101820"/>
                <w:sz w:val="18"/>
              </w:rPr>
              <w:t>Master &gt; Finance &gt; Main Account, Sub Account</w:t>
            </w:r>
          </w:p>
        </w:tc>
      </w:tr>
      <w:tr>
        <w:tc>
          <w:tcPr>
            <w:tcW w:type="dxa" w:w="1327"/>
          </w:tcPr>
          <w:p>
            <w:pPr>
              <w:spacing w:after="20"/>
            </w:pPr>
            <w:r>
              <w:rPr>
                <w:rFonts w:ascii="Segoe UI" w:hAnsi="Segoe UI" w:cs="Segoe UI" w:eastAsia="Segoe UI"/>
                <w:color w:val="101820"/>
                <w:sz w:val="18"/>
              </w:rPr>
              <w:t>Finance</w:t>
            </w:r>
          </w:p>
        </w:tc>
        <w:tc>
          <w:tcPr>
            <w:tcW w:type="dxa" w:w="2563"/>
          </w:tcPr>
          <w:p>
            <w:pPr>
              <w:spacing w:after="20"/>
            </w:pPr>
            <w:r>
              <w:rPr>
                <w:rFonts w:ascii="Segoe UI" w:hAnsi="Segoe UI" w:cs="Segoe UI" w:eastAsia="Segoe UI"/>
                <w:color w:val="101820"/>
                <w:sz w:val="18"/>
              </w:rPr>
              <w:t>Transaction codes, write-off reasons; petty cash funds</w:t>
            </w:r>
          </w:p>
        </w:tc>
        <w:tc>
          <w:tcPr>
            <w:tcW w:type="dxa" w:w="2562"/>
          </w:tcPr>
          <w:p>
            <w:pPr>
              <w:spacing w:after="20"/>
            </w:pPr>
            <w:r>
              <w:rPr>
                <w:rFonts w:ascii="Segoe UI" w:hAnsi="Segoe UI" w:cs="Segoe UI" w:eastAsia="Segoe UI"/>
                <w:color w:val="101820"/>
                <w:sz w:val="18"/>
              </w:rPr>
              <w:t>Finance set-up</w:t>
            </w:r>
          </w:p>
        </w:tc>
        <w:tc>
          <w:tcPr>
            <w:tcW w:type="dxa" w:w="2562"/>
          </w:tcPr>
          <w:p>
            <w:pPr>
              <w:spacing w:after="20"/>
            </w:pPr>
            <w:r>
              <w:rPr>
                <w:rFonts w:ascii="Segoe UI" w:hAnsi="Segoe UI" w:cs="Segoe UI" w:eastAsia="Segoe UI"/>
                <w:color w:val="101820"/>
                <w:sz w:val="18"/>
              </w:rPr>
              <w:t>Master &gt; Finance; Accounts &gt; Petty Cash &gt; Initiate</w:t>
            </w:r>
          </w:p>
        </w:tc>
      </w:tr>
      <w:tr>
        <w:tc>
          <w:tcPr>
            <w:tcW w:type="dxa" w:w="1327"/>
          </w:tcPr>
          <w:p>
            <w:pPr>
              <w:spacing w:after="20"/>
            </w:pPr>
            <w:r>
              <w:rPr>
                <w:rFonts w:ascii="Segoe UI" w:hAnsi="Segoe UI" w:cs="Segoe UI" w:eastAsia="Segoe UI"/>
                <w:color w:val="101820"/>
                <w:sz w:val="18"/>
              </w:rPr>
              <w:t>Finance</w:t>
            </w:r>
          </w:p>
        </w:tc>
        <w:tc>
          <w:tcPr>
            <w:tcW w:type="dxa" w:w="2563"/>
          </w:tcPr>
          <w:p>
            <w:pPr>
              <w:spacing w:after="20"/>
            </w:pPr>
            <w:r>
              <w:rPr>
                <w:rFonts w:ascii="Segoe UI" w:hAnsi="Segoe UI" w:cs="Segoe UI" w:eastAsia="Segoe UI"/>
                <w:color w:val="101820"/>
                <w:sz w:val="18"/>
              </w:rPr>
              <w:t>Banks and the broker's bank accounts</w:t>
            </w:r>
          </w:p>
        </w:tc>
        <w:tc>
          <w:tcPr>
            <w:tcW w:type="dxa" w:w="2562"/>
          </w:tcPr>
          <w:p>
            <w:pPr>
              <w:spacing w:after="20"/>
            </w:pPr>
            <w:r>
              <w:rPr>
                <w:rFonts w:ascii="Segoe UI" w:hAnsi="Segoe UI" w:cs="Segoe UI" w:eastAsia="Segoe UI"/>
                <w:color w:val="101820"/>
                <w:sz w:val="18"/>
              </w:rPr>
              <w:t>Bank list</w:t>
            </w:r>
          </w:p>
        </w:tc>
        <w:tc>
          <w:tcPr>
            <w:tcW w:type="dxa" w:w="2562"/>
          </w:tcPr>
          <w:p>
            <w:pPr>
              <w:spacing w:after="20"/>
            </w:pPr>
            <w:r>
              <w:rPr>
                <w:rFonts w:ascii="Segoe UI" w:hAnsi="Segoe UI" w:cs="Segoe UI" w:eastAsia="Segoe UI"/>
                <w:color w:val="101820"/>
                <w:sz w:val="18"/>
              </w:rPr>
              <w:t>Master &gt; Finance &gt; Bank</w:t>
            </w:r>
          </w:p>
        </w:tc>
      </w:tr>
      <w:tr>
        <w:tc>
          <w:tcPr>
            <w:tcW w:type="dxa" w:w="1327"/>
          </w:tcPr>
          <w:p>
            <w:pPr>
              <w:spacing w:after="20"/>
            </w:pPr>
            <w:r>
              <w:rPr>
                <w:rFonts w:ascii="Segoe UI" w:hAnsi="Segoe UI" w:cs="Segoe UI" w:eastAsia="Segoe UI"/>
                <w:color w:val="101820"/>
                <w:sz w:val="18"/>
              </w:rPr>
              <w:t>Open business</w:t>
            </w:r>
          </w:p>
        </w:tc>
        <w:tc>
          <w:tcPr>
            <w:tcW w:type="dxa" w:w="2563"/>
          </w:tcPr>
          <w:p>
            <w:pPr>
              <w:spacing w:after="20"/>
            </w:pPr>
            <w:r>
              <w:rPr>
                <w:rFonts w:ascii="Segoe UI" w:hAnsi="Segoe UI" w:cs="Segoe UI" w:eastAsia="Segoe UI"/>
                <w:color w:val="101820"/>
                <w:sz w:val="18"/>
              </w:rPr>
              <w:t>In-force policies and their clients</w:t>
            </w:r>
          </w:p>
        </w:tc>
        <w:tc>
          <w:tcPr>
            <w:tcW w:type="dxa" w:w="2562"/>
          </w:tcPr>
          <w:p>
            <w:pPr>
              <w:spacing w:after="20"/>
            </w:pPr>
            <w:r>
              <w:rPr>
                <w:rFonts w:ascii="Segoe UI" w:hAnsi="Segoe UI" w:cs="Segoe UI" w:eastAsia="Segoe UI"/>
                <w:color w:val="101820"/>
                <w:sz w:val="18"/>
              </w:rPr>
              <w:t>Policy register at go-live</w:t>
            </w:r>
          </w:p>
        </w:tc>
        <w:tc>
          <w:tcPr>
            <w:tcW w:type="dxa" w:w="2562"/>
          </w:tcPr>
          <w:p>
            <w:pPr>
              <w:spacing w:after="20"/>
            </w:pPr>
            <w:r>
              <w:rPr>
                <w:rFonts w:ascii="Segoe UI" w:hAnsi="Segoe UI" w:cs="Segoe UI" w:eastAsia="Segoe UI"/>
                <w:color w:val="101820"/>
                <w:sz w:val="18"/>
              </w:rPr>
              <w:t>Operations &gt; Policy &gt; Bulk Upload, go-live mode</w:t>
            </w:r>
          </w:p>
        </w:tc>
      </w:tr>
      <w:tr>
        <w:tc>
          <w:tcPr>
            <w:tcW w:type="dxa" w:w="1327"/>
          </w:tcPr>
          <w:p>
            <w:pPr>
              <w:spacing w:after="20"/>
            </w:pPr>
            <w:r>
              <w:rPr>
                <w:rFonts w:ascii="Segoe UI" w:hAnsi="Segoe UI" w:cs="Segoe UI" w:eastAsia="Segoe UI"/>
                <w:color w:val="101820"/>
                <w:sz w:val="18"/>
              </w:rPr>
              <w:t>Open business</w:t>
            </w:r>
          </w:p>
        </w:tc>
        <w:tc>
          <w:tcPr>
            <w:tcW w:type="dxa" w:w="2563"/>
          </w:tcPr>
          <w:p>
            <w:pPr>
              <w:spacing w:after="20"/>
            </w:pPr>
            <w:r>
              <w:rPr>
                <w:rFonts w:ascii="Segoe UI" w:hAnsi="Segoe UI" w:cs="Segoe UI" w:eastAsia="Segoe UI"/>
                <w:color w:val="101820"/>
                <w:sz w:val="18"/>
              </w:rPr>
              <w:t>Open premium receivables</w:t>
            </w:r>
          </w:p>
        </w:tc>
        <w:tc>
          <w:tcPr>
            <w:tcW w:type="dxa" w:w="2562"/>
          </w:tcPr>
          <w:p>
            <w:pPr>
              <w:spacing w:after="20"/>
            </w:pPr>
            <w:r>
              <w:rPr>
                <w:rFonts w:ascii="Segoe UI" w:hAnsi="Segoe UI" w:cs="Segoe UI" w:eastAsia="Segoe UI"/>
                <w:color w:val="101820"/>
                <w:sz w:val="18"/>
              </w:rPr>
              <w:t>Receivable ageing at the day before go-live</w:t>
            </w:r>
          </w:p>
        </w:tc>
        <w:tc>
          <w:tcPr>
            <w:tcW w:type="dxa" w:w="2562"/>
          </w:tcPr>
          <w:p>
            <w:pPr>
              <w:spacing w:after="20"/>
            </w:pPr>
            <w:r>
              <w:rPr>
                <w:rFonts w:ascii="Segoe UI" w:hAnsi="Segoe UI" w:cs="Segoe UI" w:eastAsia="Segoe UI"/>
                <w:color w:val="101820"/>
                <w:sz w:val="18"/>
              </w:rPr>
              <w:t>Accounts &gt; Collections &gt; Import open items</w:t>
            </w:r>
          </w:p>
        </w:tc>
      </w:tr>
      <w:tr>
        <w:tc>
          <w:tcPr>
            <w:tcW w:type="dxa" w:w="1327"/>
          </w:tcPr>
          <w:p>
            <w:pPr>
              <w:spacing w:after="20"/>
            </w:pPr>
            <w:r>
              <w:rPr>
                <w:rFonts w:ascii="Segoe UI" w:hAnsi="Segoe UI" w:cs="Segoe UI" w:eastAsia="Segoe UI"/>
                <w:color w:val="101820"/>
                <w:sz w:val="18"/>
              </w:rPr>
              <w:t>Open business</w:t>
            </w:r>
          </w:p>
        </w:tc>
        <w:tc>
          <w:tcPr>
            <w:tcW w:type="dxa" w:w="2563"/>
          </w:tcPr>
          <w:p>
            <w:pPr>
              <w:spacing w:after="20"/>
            </w:pPr>
            <w:r>
              <w:rPr>
                <w:rFonts w:ascii="Segoe UI" w:hAnsi="Segoe UI" w:cs="Segoe UI" w:eastAsia="Segoe UI"/>
                <w:color w:val="101820"/>
                <w:sz w:val="18"/>
              </w:rPr>
              <w:t>GL opening balances</w:t>
            </w:r>
          </w:p>
        </w:tc>
        <w:tc>
          <w:tcPr>
            <w:tcW w:type="dxa" w:w="2562"/>
          </w:tcPr>
          <w:p>
            <w:pPr>
              <w:spacing w:after="20"/>
            </w:pPr>
            <w:r>
              <w:rPr>
                <w:rFonts w:ascii="Segoe UI" w:hAnsi="Segoe UI" w:cs="Segoe UI" w:eastAsia="Segoe UI"/>
                <w:color w:val="101820"/>
                <w:sz w:val="18"/>
              </w:rPr>
              <w:t>Trial balance at the day before go-live</w:t>
            </w:r>
          </w:p>
        </w:tc>
        <w:tc>
          <w:tcPr>
            <w:tcW w:type="dxa" w:w="2562"/>
          </w:tcPr>
          <w:p>
            <w:pPr>
              <w:spacing w:after="20"/>
            </w:pPr>
            <w:r>
              <w:rPr>
                <w:rFonts w:ascii="Segoe UI" w:hAnsi="Segoe UI" w:cs="Segoe UI" w:eastAsia="Segoe UI"/>
                <w:color w:val="101820"/>
                <w:sz w:val="18"/>
              </w:rPr>
              <w:t>Accounts &gt; Period End &gt; Period Management &gt; Import opening balances</w:t>
            </w:r>
          </w:p>
        </w:tc>
      </w:tr>
      <w:tr>
        <w:tc>
          <w:tcPr>
            <w:tcW w:type="dxa" w:w="1327"/>
          </w:tcPr>
          <w:p>
            <w:pPr>
              <w:spacing w:after="20"/>
            </w:pPr>
            <w:r>
              <w:rPr>
                <w:rFonts w:ascii="Segoe UI" w:hAnsi="Segoe UI" w:cs="Segoe UI" w:eastAsia="Segoe UI"/>
                <w:color w:val="101820"/>
                <w:sz w:val="18"/>
              </w:rPr>
              <w:t>Open business (optional)</w:t>
            </w:r>
          </w:p>
        </w:tc>
        <w:tc>
          <w:tcPr>
            <w:tcW w:type="dxa" w:w="2563"/>
          </w:tcPr>
          <w:p>
            <w:pPr>
              <w:spacing w:after="20"/>
            </w:pPr>
            <w:r>
              <w:rPr>
                <w:rFonts w:ascii="Segoe UI" w:hAnsi="Segoe UI" w:cs="Segoe UI" w:eastAsia="Segoe UI"/>
                <w:color w:val="101820"/>
                <w:sz w:val="18"/>
              </w:rPr>
              <w:t>Leads and quotations in progress</w:t>
            </w:r>
          </w:p>
        </w:tc>
        <w:tc>
          <w:tcPr>
            <w:tcW w:type="dxa" w:w="2562"/>
          </w:tcPr>
          <w:p>
            <w:pPr>
              <w:spacing w:after="20"/>
            </w:pPr>
            <w:r>
              <w:rPr>
                <w:rFonts w:ascii="Segoe UI" w:hAnsi="Segoe UI" w:cs="Segoe UI" w:eastAsia="Segoe UI"/>
                <w:color w:val="101820"/>
                <w:sz w:val="18"/>
              </w:rPr>
              <w:t>Pipeline</w:t>
            </w:r>
          </w:p>
        </w:tc>
        <w:tc>
          <w:tcPr>
            <w:tcW w:type="dxa" w:w="2562"/>
          </w:tcPr>
          <w:p>
            <w:pPr>
              <w:spacing w:after="20"/>
            </w:pPr>
            <w:r>
              <w:rPr>
                <w:rFonts w:ascii="Segoe UI" w:hAnsi="Segoe UI" w:cs="Segoe UI" w:eastAsia="Segoe UI"/>
                <w:color w:val="101820"/>
                <w:sz w:val="18"/>
              </w:rPr>
              <w:t>Operations &gt; Sales &amp; Marketing &gt; Prospects and Quotations, Bulk Upload</w:t>
            </w:r>
          </w:p>
        </w:tc>
      </w:tr>
    </w:tbl>
    <w:p>
      <w:pPr>
        <w:spacing w:after="80"/>
      </w:pPr>
    </w:p>
    <w:p>
      <w:pPr>
        <w:pStyle w:val="Heading2"/>
      </w:pPr>
      <w:r>
        <w:rPr>
          <w:rFonts w:ascii="Segoe UI" w:hAnsi="Segoe UI" w:cs="Segoe UI" w:eastAsia="Segoe UI"/>
          <w:b/>
          <w:color w:val="0F4761"/>
          <w:sz w:val="26"/>
        </w:rPr>
        <w:t>4.2  Open payables and other open positions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Position</w:t>
            </w:r>
          </w:p>
        </w:tc>
        <w:tc>
          <w:tcPr>
            <w:tcW w:type="dxa" w:w="4507"/>
            <w:shd w:val="clear" w:color="auto" w:fill="DCE9F7"/>
          </w:tcPr>
          <w:p>
            <w:pPr>
              <w:spacing w:after="20"/>
            </w:pPr>
            <w:r>
              <w:rPr>
                <w:rFonts w:ascii="Segoe UI" w:hAnsi="Segoe UI" w:cs="Segoe UI" w:eastAsia="Segoe UI"/>
                <w:b/>
                <w:color w:val="0F4761"/>
                <w:sz w:val="18"/>
              </w:rPr>
              <w:t>How it moves to BrokerVerse</w:t>
            </w:r>
          </w:p>
        </w:tc>
      </w:tr>
      <w:tr>
        <w:tc>
          <w:tcPr>
            <w:tcW w:type="dxa" w:w="4507"/>
          </w:tcPr>
          <w:p>
            <w:pPr>
              <w:spacing w:after="20"/>
            </w:pPr>
            <w:r>
              <w:rPr>
                <w:rFonts w:ascii="Segoe UI" w:hAnsi="Segoe UI" w:cs="Segoe UI" w:eastAsia="Segoe UI"/>
                <w:color w:val="101820"/>
                <w:sz w:val="18"/>
              </w:rPr>
              <w:t>Premium due to insurers on bills of the old system</w:t>
            </w:r>
          </w:p>
        </w:tc>
        <w:tc>
          <w:tcPr>
            <w:tcW w:type="dxa" w:w="4507"/>
          </w:tcPr>
          <w:p>
            <w:pPr>
              <w:spacing w:after="20"/>
            </w:pPr>
            <w:r>
              <w:rPr>
                <w:rFonts w:ascii="Segoe UI" w:hAnsi="Segoe UI" w:cs="Segoe UI" w:eastAsia="Segoe UI"/>
                <w:color w:val="101820"/>
                <w:sz w:val="18"/>
              </w:rPr>
              <w:t>Part of the Due to Insurers opening balance. Paid with payment vouchers in Accounts &gt; Disbursement (</w:t>
            </w:r>
            <w:r>
              <w:rPr>
                <w:rFonts w:ascii="Consolas" w:hAnsi="Consolas" w:cs="Consolas" w:eastAsia="Consolas"/>
                <w:color w:val="101820"/>
                <w:sz w:val="16"/>
              </w:rPr>
              <w:t>Disbursements_Upload_Template.xlsx</w:t>
            </w:r>
            <w:r>
              <w:rPr>
                <w:rFonts w:ascii="Segoe UI" w:hAnsi="Segoe UI" w:cs="Segoe UI" w:eastAsia="Segoe UI"/>
                <w:color w:val="101820"/>
                <w:sz w:val="18"/>
              </w:rPr>
              <w:t xml:space="preserve"> for many at once), not through the remittance run, which only sees bills booked in BrokerVerse</w:t>
            </w:r>
          </w:p>
        </w:tc>
      </w:tr>
      <w:tr>
        <w:tc>
          <w:tcPr>
            <w:tcW w:type="dxa" w:w="4507"/>
          </w:tcPr>
          <w:p>
            <w:pPr>
              <w:spacing w:after="20"/>
            </w:pPr>
            <w:r>
              <w:rPr>
                <w:rFonts w:ascii="Segoe UI" w:hAnsi="Segoe UI" w:cs="Segoe UI" w:eastAsia="Segoe UI"/>
                <w:color w:val="101820"/>
                <w:sz w:val="18"/>
              </w:rPr>
              <w:t>Commission due to referrers and agents earned before go-live</w:t>
            </w:r>
          </w:p>
        </w:tc>
        <w:tc>
          <w:tcPr>
            <w:tcW w:type="dxa" w:w="4507"/>
          </w:tcPr>
          <w:p>
            <w:pPr>
              <w:spacing w:after="20"/>
            </w:pPr>
            <w:r>
              <w:rPr>
                <w:rFonts w:ascii="Segoe UI" w:hAnsi="Segoe UI" w:cs="Segoe UI" w:eastAsia="Segoe UI"/>
                <w:color w:val="101820"/>
                <w:sz w:val="18"/>
              </w:rPr>
              <w:t>Part of the opening balance of the commission payable account; paid with payment vouchers (payee type Agent/Referrer)</w:t>
            </w:r>
          </w:p>
        </w:tc>
      </w:tr>
      <w:tr>
        <w:tc>
          <w:tcPr>
            <w:tcW w:type="dxa" w:w="4507"/>
          </w:tcPr>
          <w:p>
            <w:pPr>
              <w:spacing w:after="20"/>
            </w:pPr>
            <w:r>
              <w:rPr>
                <w:rFonts w:ascii="Segoe UI" w:hAnsi="Segoe UI" w:cs="Segoe UI" w:eastAsia="Segoe UI"/>
                <w:color w:val="101820"/>
                <w:sz w:val="18"/>
              </w:rPr>
              <w:t>Commission receivable from insurers on direct-bill business billed in the old system</w:t>
            </w:r>
          </w:p>
        </w:tc>
        <w:tc>
          <w:tcPr>
            <w:tcW w:type="dxa" w:w="4507"/>
          </w:tcPr>
          <w:p>
            <w:pPr>
              <w:spacing w:after="20"/>
            </w:pPr>
            <w:r>
              <w:rPr>
                <w:rFonts w:ascii="Segoe UI" w:hAnsi="Segoe UI" w:cs="Segoe UI" w:eastAsia="Segoe UI"/>
                <w:color w:val="101820"/>
                <w:sz w:val="18"/>
              </w:rPr>
              <w:t>Part of the opening balance of Commission Receivable - Insurers. There is no open-item import for debit notes; recommended procedure: clear the balance with a journal voucher when the insurer pays, agreed with the Accounting Manager in discovery</w:t>
            </w:r>
          </w:p>
        </w:tc>
      </w:tr>
      <w:tr>
        <w:tc>
          <w:tcPr>
            <w:tcW w:type="dxa" w:w="4507"/>
          </w:tcPr>
          <w:p>
            <w:pPr>
              <w:spacing w:after="20"/>
            </w:pPr>
            <w:r>
              <w:rPr>
                <w:rFonts w:ascii="Segoe UI" w:hAnsi="Segoe UI" w:cs="Segoe UI" w:eastAsia="Segoe UI"/>
                <w:color w:val="101820"/>
                <w:sz w:val="18"/>
              </w:rPr>
              <w:t>Unreconciled bank items</w:t>
            </w:r>
          </w:p>
        </w:tc>
        <w:tc>
          <w:tcPr>
            <w:tcW w:type="dxa" w:w="4507"/>
          </w:tcPr>
          <w:p>
            <w:pPr>
              <w:spacing w:after="20"/>
            </w:pPr>
            <w:r>
              <w:rPr>
                <w:rFonts w:ascii="Segoe UI" w:hAnsi="Segoe UI" w:cs="Segoe UI" w:eastAsia="Segoe UI"/>
                <w:color w:val="101820"/>
                <w:sz w:val="18"/>
              </w:rPr>
              <w:t>Kept on the old bank reconciliation; BrokerVerse reconciles from the reconcile-from date of each bank account (normally the go-live date)</w:t>
            </w:r>
          </w:p>
        </w:tc>
      </w:tr>
      <w:tr>
        <w:tc>
          <w:tcPr>
            <w:tcW w:type="dxa" w:w="4507"/>
          </w:tcPr>
          <w:p>
            <w:pPr>
              <w:spacing w:after="20"/>
            </w:pPr>
            <w:r>
              <w:rPr>
                <w:rFonts w:ascii="Segoe UI" w:hAnsi="Segoe UI" w:cs="Segoe UI" w:eastAsia="Segoe UI"/>
                <w:color w:val="101820"/>
                <w:sz w:val="18"/>
              </w:rPr>
              <w:t>Open claims</w:t>
            </w:r>
          </w:p>
        </w:tc>
        <w:tc>
          <w:tcPr>
            <w:tcW w:type="dxa" w:w="4507"/>
          </w:tcPr>
          <w:p>
            <w:pPr>
              <w:spacing w:after="20"/>
            </w:pPr>
            <w:r>
              <w:rPr>
                <w:rFonts w:ascii="Segoe UI" w:hAnsi="Segoe UI" w:cs="Segoe UI" w:eastAsia="Segoe UI"/>
                <w:color w:val="101820"/>
                <w:sz w:val="18"/>
              </w:rPr>
              <w:t>No claim upload. Claims open at go-live on policies loaded as in-force are registered on Operations &gt; Claims after go-live; claims on policies that are no longer in force stay in the old system until closed</w:t>
            </w:r>
          </w:p>
        </w:tc>
      </w:tr>
      <w:tr>
        <w:tc>
          <w:tcPr>
            <w:tcW w:type="dxa" w:w="4507"/>
          </w:tcPr>
          <w:p>
            <w:pPr>
              <w:spacing w:after="20"/>
            </w:pPr>
            <w:r>
              <w:rPr>
                <w:rFonts w:ascii="Segoe UI" w:hAnsi="Segoe UI" w:cs="Segoe UI" w:eastAsia="Segoe UI"/>
                <w:color w:val="101820"/>
                <w:sz w:val="18"/>
              </w:rPr>
              <w:t>Co-insured in-force policies</w:t>
            </w:r>
          </w:p>
        </w:tc>
        <w:tc>
          <w:tcPr>
            <w:tcW w:type="dxa" w:w="4507"/>
          </w:tcPr>
          <w:p>
            <w:pPr>
              <w:spacing w:after="20"/>
            </w:pPr>
            <w:r>
              <w:rPr>
                <w:rFonts w:ascii="Segoe UI" w:hAnsi="Segoe UI" w:cs="Segoe UI" w:eastAsia="Segoe UI"/>
                <w:color w:val="101820"/>
                <w:sz w:val="18"/>
              </w:rPr>
              <w:t>The go-live upload loads each policy with its insurer at 100%. Co-insured policies are entered on the screen with their participants</w:t>
            </w:r>
          </w:p>
        </w:tc>
      </w:tr>
    </w:tbl>
    <w:p>
      <w:pPr>
        <w:spacing w:after="80"/>
      </w:pPr>
    </w:p>
    <w:p>
      <w:pPr>
        <w:pStyle w:val="Heading2"/>
      </w:pPr>
      <w:r>
        <w:rPr>
          <w:rFonts w:ascii="Segoe UI" w:hAnsi="Segoe UI" w:cs="Segoe UI" w:eastAsia="Segoe UI"/>
          <w:b/>
          <w:color w:val="0F4761"/>
          <w:sz w:val="26"/>
        </w:rPr>
        <w:t>4.3  Out of scope</w:t>
      </w:r>
    </w:p>
    <w:p>
      <w:pPr>
        <w:spacing w:after="120" w:line="276" w:lineRule="auto"/>
      </w:pPr>
      <w:r>
        <w:rPr>
          <w:rFonts w:ascii="Segoe UI" w:hAnsi="Segoe UI" w:cs="Segoe UI" w:eastAsia="Segoe UI"/>
          <w:color w:val="101820"/>
          <w:sz w:val="21"/>
        </w:rPr>
        <w:t>Expired, cancelled and lapsed policies; settled and closed claims; paid bills; transaction history and journals before go-live; prior fiscal years; documents and images of the old system; quotations and leads the broker decides not to carry over. Migrating any of these is a change request.</w:t>
      </w:r>
    </w:p>
    <w:p>
      <w:pPr>
        <w:pStyle w:val="Heading1"/>
        <w:pageBreakBefore/>
      </w:pPr>
      <w:r>
        <w:rPr>
          <w:rFonts w:ascii="Segoe UI" w:hAnsi="Segoe UI" w:cs="Segoe UI" w:eastAsia="Segoe UI"/>
          <w:b/>
          <w:color w:val="0F4761"/>
          <w:sz w:val="32"/>
        </w:rPr>
        <w:t>5.  Upload templates</w:t>
      </w:r>
    </w:p>
    <w:p>
      <w:pPr>
        <w:pStyle w:val="Heading2"/>
      </w:pPr>
      <w:r>
        <w:rPr>
          <w:rFonts w:ascii="Segoe UI" w:hAnsi="Segoe UI" w:cs="Segoe UI" w:eastAsia="Segoe UI"/>
          <w:b/>
          <w:color w:val="0F4761"/>
          <w:sz w:val="26"/>
        </w:rPr>
        <w:t>5.1  Templates in docs/package/05_Delivery/Upload_Templates</w:t>
      </w:r>
    </w:p>
    <w:p>
      <w:pPr>
        <w:spacing w:after="120" w:line="276" w:lineRule="auto"/>
      </w:pPr>
      <w:r>
        <w:rPr>
          <w:rFonts w:ascii="Segoe UI" w:hAnsi="Segoe UI" w:cs="Segoe UI" w:eastAsia="Segoe UI"/>
          <w:color w:val="101820"/>
          <w:sz w:val="21"/>
        </w:rPr>
        <w:t>All templates were verified against the importers: each was loaded unchanged through the API on a fresh database (</w:t>
      </w:r>
      <w:r>
        <w:rPr>
          <w:rFonts w:ascii="Consolas" w:hAnsi="Consolas" w:cs="Consolas" w:eastAsia="Consolas"/>
          <w:color w:val="101820"/>
          <w:sz w:val="19"/>
        </w:rPr>
        <w:t>docs/package/05_Delivery/Upload_Templates/README.md</w:t>
      </w:r>
      <w:r>
        <w:rPr>
          <w:rFonts w:ascii="Segoe UI" w:hAnsi="Segoe UI" w:cs="Segoe UI" w:eastAsia="Segoe UI"/>
          <w:color w:val="101820"/>
          <w:sz w:val="21"/>
        </w:rPr>
        <w:t>). Required columns are listed in bold on the template's Columns sheet. An import file holds at most 20,000 data rows and 10 MB (</w:t>
      </w:r>
      <w:r>
        <w:rPr>
          <w:rFonts w:ascii="Consolas" w:hAnsi="Consolas" w:cs="Consolas" w:eastAsia="Consolas"/>
          <w:color w:val="101820"/>
          <w:sz w:val="19"/>
        </w:rPr>
        <w:t>IMPORT_MAX_ROWS</w:t>
      </w:r>
      <w:r>
        <w:rPr>
          <w:rFonts w:ascii="Segoe UI" w:hAnsi="Segoe UI" w:cs="Segoe UI" w:eastAsia="Segoe UI"/>
          <w:color w:val="101820"/>
          <w:sz w:val="21"/>
        </w:rPr>
        <w:t xml:space="preserve">, </w:t>
      </w:r>
      <w:r>
        <w:rPr>
          <w:rFonts w:ascii="Consolas" w:hAnsi="Consolas" w:cs="Consolas" w:eastAsia="Consolas"/>
          <w:color w:val="101820"/>
          <w:sz w:val="19"/>
        </w:rPr>
        <w:t>IMPORT_MAX_MB</w:t>
      </w:r>
      <w:r>
        <w:rPr>
          <w:rFonts w:ascii="Segoe UI" w:hAnsi="Segoe UI" w:cs="Segoe UI" w:eastAsia="Segoe UI"/>
          <w:color w:val="101820"/>
          <w:sz w:val="21"/>
        </w:rPr>
        <w:t>); the receipt upload takes at most 1,000 rows.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005"/>
        <w:gridCol w:w="3005"/>
        <w:gridCol w:w="3005"/>
      </w:tblGrid>
      <w:tr>
        <w:trPr>
          <w:tblHeader w:val="true"/>
        </w:trPr>
        <w:tc>
          <w:tcPr>
            <w:tcW w:type="dxa" w:w="3005"/>
            <w:shd w:val="clear" w:color="auto" w:fill="DCE9F7"/>
          </w:tcPr>
          <w:p>
            <w:pPr>
              <w:spacing w:after="20"/>
            </w:pPr>
            <w:r>
              <w:rPr>
                <w:rFonts w:ascii="Segoe UI" w:hAnsi="Segoe UI" w:cs="Segoe UI" w:eastAsia="Segoe UI"/>
                <w:b/>
                <w:color w:val="0F4761"/>
                <w:sz w:val="18"/>
              </w:rPr>
              <w:t>Template</w:t>
            </w:r>
          </w:p>
        </w:tc>
        <w:tc>
          <w:tcPr>
            <w:tcW w:type="dxa" w:w="3005"/>
            <w:shd w:val="clear" w:color="auto" w:fill="DCE9F7"/>
          </w:tcPr>
          <w:p>
            <w:pPr>
              <w:spacing w:after="20"/>
            </w:pPr>
            <w:r>
              <w:rPr>
                <w:rFonts w:ascii="Segoe UI" w:hAnsi="Segoe UI" w:cs="Segoe UI" w:eastAsia="Segoe UI"/>
                <w:b/>
                <w:color w:val="0F4761"/>
                <w:sz w:val="18"/>
              </w:rPr>
              <w:t>Loads</w:t>
            </w:r>
          </w:p>
        </w:tc>
        <w:tc>
          <w:tcPr>
            <w:tcW w:type="dxa" w:w="3005"/>
            <w:shd w:val="clear" w:color="auto" w:fill="DCE9F7"/>
          </w:tcPr>
          <w:p>
            <w:pPr>
              <w:spacing w:after="20"/>
            </w:pPr>
            <w:r>
              <w:rPr>
                <w:rFonts w:ascii="Segoe UI" w:hAnsi="Segoe UI" w:cs="Segoe UI" w:eastAsia="Segoe UI"/>
                <w:b/>
                <w:color w:val="0F4761"/>
                <w:sz w:val="18"/>
              </w:rPr>
              <w:t>Screen</w:t>
            </w:r>
          </w:p>
        </w:tc>
      </w:tr>
      <w:tr>
        <w:tc>
          <w:tcPr>
            <w:tcW w:type="dxa" w:w="3005"/>
          </w:tcPr>
          <w:p>
            <w:pPr>
              <w:spacing w:after="20"/>
            </w:pPr>
            <w:r>
              <w:rPr>
                <w:rFonts w:ascii="Consolas" w:hAnsi="Consolas" w:cs="Consolas" w:eastAsia="Consolas"/>
                <w:color w:val="101820"/>
                <w:sz w:val="16"/>
              </w:rPr>
              <w:t>Company_Upload_Template.xlsx</w:t>
            </w:r>
          </w:p>
        </w:tc>
        <w:tc>
          <w:tcPr>
            <w:tcW w:type="dxa" w:w="3005"/>
          </w:tcPr>
          <w:p>
            <w:pPr>
              <w:spacing w:after="20"/>
            </w:pPr>
            <w:r>
              <w:rPr>
                <w:rFonts w:ascii="Segoe UI" w:hAnsi="Segoe UI" w:cs="Segoe UI" w:eastAsia="Segoe UI"/>
                <w:color w:val="101820"/>
                <w:sz w:val="18"/>
              </w:rPr>
              <w:t>Companies (letterhead, TIN, IC licence)</w:t>
            </w:r>
          </w:p>
        </w:tc>
        <w:tc>
          <w:tcPr>
            <w:tcW w:type="dxa" w:w="3005"/>
          </w:tcPr>
          <w:p>
            <w:pPr>
              <w:spacing w:after="20"/>
            </w:pPr>
            <w:r>
              <w:rPr>
                <w:rFonts w:ascii="Segoe UI" w:hAnsi="Segoe UI" w:cs="Segoe UI" w:eastAsia="Segoe UI"/>
                <w:color w:val="101820"/>
                <w:sz w:val="18"/>
              </w:rPr>
              <w:t>Master &gt; Generals &gt; Organization &gt; Company (API route)</w:t>
            </w:r>
          </w:p>
        </w:tc>
      </w:tr>
      <w:tr>
        <w:tc>
          <w:tcPr>
            <w:tcW w:type="dxa" w:w="3005"/>
          </w:tcPr>
          <w:p>
            <w:pPr>
              <w:spacing w:after="20"/>
            </w:pPr>
            <w:r>
              <w:rPr>
                <w:rFonts w:ascii="Consolas" w:hAnsi="Consolas" w:cs="Consolas" w:eastAsia="Consolas"/>
                <w:color w:val="101820"/>
                <w:sz w:val="16"/>
              </w:rPr>
              <w:t>Branch_Upload_Template.xlsx</w:t>
            </w:r>
          </w:p>
        </w:tc>
        <w:tc>
          <w:tcPr>
            <w:tcW w:type="dxa" w:w="3005"/>
          </w:tcPr>
          <w:p>
            <w:pPr>
              <w:spacing w:after="20"/>
            </w:pPr>
            <w:r>
              <w:rPr>
                <w:rFonts w:ascii="Segoe UI" w:hAnsi="Segoe UI" w:cs="Segoe UI" w:eastAsia="Segoe UI"/>
                <w:color w:val="101820"/>
                <w:sz w:val="18"/>
              </w:rPr>
              <w:t>Branches</w:t>
            </w:r>
          </w:p>
        </w:tc>
        <w:tc>
          <w:tcPr>
            <w:tcW w:type="dxa" w:w="3005"/>
          </w:tcPr>
          <w:p>
            <w:pPr>
              <w:spacing w:after="20"/>
            </w:pPr>
            <w:r>
              <w:rPr>
                <w:rFonts w:ascii="Segoe UI" w:hAnsi="Segoe UI" w:cs="Segoe UI" w:eastAsia="Segoe UI"/>
                <w:color w:val="101820"/>
                <w:sz w:val="18"/>
              </w:rPr>
              <w:t>Master &gt; Generals &gt; Organization &gt; Branch (API route)</w:t>
            </w:r>
          </w:p>
        </w:tc>
      </w:tr>
      <w:tr>
        <w:tc>
          <w:tcPr>
            <w:tcW w:type="dxa" w:w="3005"/>
          </w:tcPr>
          <w:p>
            <w:pPr>
              <w:spacing w:after="20"/>
            </w:pPr>
            <w:r>
              <w:rPr>
                <w:rFonts w:ascii="Consolas" w:hAnsi="Consolas" w:cs="Consolas" w:eastAsia="Consolas"/>
                <w:color w:val="101820"/>
                <w:sz w:val="16"/>
              </w:rPr>
              <w:t>Department_Upload_Template.xlsx</w:t>
            </w:r>
          </w:p>
        </w:tc>
        <w:tc>
          <w:tcPr>
            <w:tcW w:type="dxa" w:w="3005"/>
          </w:tcPr>
          <w:p>
            <w:pPr>
              <w:spacing w:after="20"/>
            </w:pPr>
            <w:r>
              <w:rPr>
                <w:rFonts w:ascii="Segoe UI" w:hAnsi="Segoe UI" w:cs="Segoe UI" w:eastAsia="Segoe UI"/>
                <w:color w:val="101820"/>
                <w:sz w:val="18"/>
              </w:rPr>
              <w:t>Departments</w:t>
            </w:r>
          </w:p>
        </w:tc>
        <w:tc>
          <w:tcPr>
            <w:tcW w:type="dxa" w:w="3005"/>
          </w:tcPr>
          <w:p>
            <w:pPr>
              <w:spacing w:after="20"/>
            </w:pPr>
            <w:r>
              <w:rPr>
                <w:rFonts w:ascii="Segoe UI" w:hAnsi="Segoe UI" w:cs="Segoe UI" w:eastAsia="Segoe UI"/>
                <w:color w:val="101820"/>
                <w:sz w:val="18"/>
              </w:rPr>
              <w:t>Master &gt; Generals &gt; Organization &gt; Branch, departments of the branch (API route)</w:t>
            </w:r>
          </w:p>
        </w:tc>
      </w:tr>
      <w:tr>
        <w:tc>
          <w:tcPr>
            <w:tcW w:type="dxa" w:w="3005"/>
          </w:tcPr>
          <w:p>
            <w:pPr>
              <w:spacing w:after="20"/>
            </w:pPr>
            <w:r>
              <w:rPr>
                <w:rFonts w:ascii="Consolas" w:hAnsi="Consolas" w:cs="Consolas" w:eastAsia="Consolas"/>
                <w:color w:val="101820"/>
                <w:sz w:val="16"/>
              </w:rPr>
              <w:t>Users_Provisioning_Template.xlsx</w:t>
            </w:r>
            <w:r>
              <w:rPr>
                <w:rFonts w:ascii="Segoe UI" w:hAnsi="Segoe UI" w:cs="Segoe UI" w:eastAsia="Segoe UI"/>
                <w:color w:val="101820"/>
                <w:sz w:val="18"/>
              </w:rPr>
              <w:t xml:space="preserve"> / </w:t>
            </w:r>
            <w:r>
              <w:rPr>
                <w:rFonts w:ascii="Consolas" w:hAnsi="Consolas" w:cs="Consolas" w:eastAsia="Consolas"/>
                <w:color w:val="101820"/>
                <w:sz w:val="16"/>
              </w:rPr>
              <w:t>.csv</w:t>
            </w:r>
          </w:p>
        </w:tc>
        <w:tc>
          <w:tcPr>
            <w:tcW w:type="dxa" w:w="3005"/>
          </w:tcPr>
          <w:p>
            <w:pPr>
              <w:spacing w:after="20"/>
            </w:pPr>
            <w:r>
              <w:rPr>
                <w:rFonts w:ascii="Segoe UI" w:hAnsi="Segoe UI" w:cs="Segoe UI" w:eastAsia="Segoe UI"/>
                <w:color w:val="101820"/>
                <w:sz w:val="18"/>
              </w:rPr>
              <w:t>Users with role and initial password</w:t>
            </w:r>
          </w:p>
        </w:tc>
        <w:tc>
          <w:tcPr>
            <w:tcW w:type="dxa" w:w="3005"/>
          </w:tcPr>
          <w:p>
            <w:pPr>
              <w:spacing w:after="20"/>
            </w:pPr>
            <w:r>
              <w:rPr>
                <w:rFonts w:ascii="Segoe UI" w:hAnsi="Segoe UI" w:cs="Segoe UI" w:eastAsia="Segoe UI"/>
                <w:color w:val="101820"/>
                <w:sz w:val="18"/>
              </w:rPr>
              <w:t xml:space="preserve">Server script </w:t>
            </w:r>
            <w:r>
              <w:rPr>
                <w:rFonts w:ascii="Consolas" w:hAnsi="Consolas" w:cs="Consolas" w:eastAsia="Consolas"/>
                <w:color w:val="101820"/>
                <w:sz w:val="16"/>
              </w:rPr>
              <w:t>backend/scripts/provision-users.js</w:t>
            </w:r>
          </w:p>
        </w:tc>
      </w:tr>
      <w:tr>
        <w:tc>
          <w:tcPr>
            <w:tcW w:type="dxa" w:w="3005"/>
          </w:tcPr>
          <w:p>
            <w:pPr>
              <w:spacing w:after="20"/>
            </w:pPr>
            <w:r>
              <w:rPr>
                <w:rFonts w:ascii="Consolas" w:hAnsi="Consolas" w:cs="Consolas" w:eastAsia="Consolas"/>
                <w:color w:val="101820"/>
                <w:sz w:val="16"/>
              </w:rPr>
              <w:t>Hierarchy_Upload_Template.xlsx</w:t>
            </w:r>
          </w:p>
        </w:tc>
        <w:tc>
          <w:tcPr>
            <w:tcW w:type="dxa" w:w="3005"/>
          </w:tcPr>
          <w:p>
            <w:pPr>
              <w:spacing w:after="20"/>
            </w:pPr>
            <w:r>
              <w:rPr>
                <w:rFonts w:ascii="Segoe UI" w:hAnsi="Segoe UI" w:cs="Segoe UI" w:eastAsia="Segoe UI"/>
                <w:color w:val="101820"/>
                <w:sz w:val="18"/>
              </w:rPr>
              <w:t>Ranks of the employee hierarchy</w:t>
            </w:r>
          </w:p>
        </w:tc>
        <w:tc>
          <w:tcPr>
            <w:tcW w:type="dxa" w:w="3005"/>
          </w:tcPr>
          <w:p>
            <w:pPr>
              <w:spacing w:after="20"/>
            </w:pPr>
            <w:r>
              <w:rPr>
                <w:rFonts w:ascii="Segoe UI" w:hAnsi="Segoe UI" w:cs="Segoe UI" w:eastAsia="Segoe UI"/>
                <w:color w:val="101820"/>
                <w:sz w:val="18"/>
              </w:rPr>
              <w:t>Employee Management &gt; Hierarchy (API route)</w:t>
            </w:r>
          </w:p>
        </w:tc>
      </w:tr>
      <w:tr>
        <w:tc>
          <w:tcPr>
            <w:tcW w:type="dxa" w:w="3005"/>
          </w:tcPr>
          <w:p>
            <w:pPr>
              <w:spacing w:after="20"/>
            </w:pPr>
            <w:r>
              <w:rPr>
                <w:rFonts w:ascii="Consolas" w:hAnsi="Consolas" w:cs="Consolas" w:eastAsia="Consolas"/>
                <w:color w:val="101820"/>
                <w:sz w:val="16"/>
              </w:rPr>
              <w:t>Designation_Upload_Template.xlsx</w:t>
            </w:r>
          </w:p>
        </w:tc>
        <w:tc>
          <w:tcPr>
            <w:tcW w:type="dxa" w:w="3005"/>
          </w:tcPr>
          <w:p>
            <w:pPr>
              <w:spacing w:after="20"/>
            </w:pPr>
            <w:r>
              <w:rPr>
                <w:rFonts w:ascii="Segoe UI" w:hAnsi="Segoe UI" w:cs="Segoe UI" w:eastAsia="Segoe UI"/>
                <w:color w:val="101820"/>
                <w:sz w:val="18"/>
              </w:rPr>
              <w:t>Designations</w:t>
            </w:r>
          </w:p>
        </w:tc>
        <w:tc>
          <w:tcPr>
            <w:tcW w:type="dxa" w:w="3005"/>
          </w:tcPr>
          <w:p>
            <w:pPr>
              <w:spacing w:after="20"/>
            </w:pPr>
            <w:r>
              <w:rPr>
                <w:rFonts w:ascii="Segoe UI" w:hAnsi="Segoe UI" w:cs="Segoe UI" w:eastAsia="Segoe UI"/>
                <w:color w:val="101820"/>
                <w:sz w:val="18"/>
              </w:rPr>
              <w:t>Employee Management &gt; Designation (API route)</w:t>
            </w:r>
          </w:p>
        </w:tc>
      </w:tr>
      <w:tr>
        <w:tc>
          <w:tcPr>
            <w:tcW w:type="dxa" w:w="3005"/>
          </w:tcPr>
          <w:p>
            <w:pPr>
              <w:spacing w:after="20"/>
            </w:pPr>
            <w:r>
              <w:rPr>
                <w:rFonts w:ascii="Consolas" w:hAnsi="Consolas" w:cs="Consolas" w:eastAsia="Consolas"/>
                <w:color w:val="101820"/>
                <w:sz w:val="16"/>
              </w:rPr>
              <w:t>Country_Upload_Template.xlsx</w:t>
            </w:r>
          </w:p>
        </w:tc>
        <w:tc>
          <w:tcPr>
            <w:tcW w:type="dxa" w:w="3005"/>
          </w:tcPr>
          <w:p>
            <w:pPr>
              <w:spacing w:after="20"/>
            </w:pPr>
            <w:r>
              <w:rPr>
                <w:rFonts w:ascii="Segoe UI" w:hAnsi="Segoe UI" w:cs="Segoe UI" w:eastAsia="Segoe UI"/>
                <w:color w:val="101820"/>
                <w:sz w:val="18"/>
              </w:rPr>
              <w:t>Countries</w:t>
            </w:r>
          </w:p>
        </w:tc>
        <w:tc>
          <w:tcPr>
            <w:tcW w:type="dxa" w:w="3005"/>
          </w:tcPr>
          <w:p>
            <w:pPr>
              <w:spacing w:after="20"/>
            </w:pPr>
            <w:r>
              <w:rPr>
                <w:rFonts w:ascii="Segoe UI" w:hAnsi="Segoe UI" w:cs="Segoe UI" w:eastAsia="Segoe UI"/>
                <w:color w:val="101820"/>
                <w:sz w:val="18"/>
              </w:rPr>
              <w:t>Master &gt; Generals &gt; Location &gt; Country</w:t>
            </w:r>
          </w:p>
        </w:tc>
      </w:tr>
      <w:tr>
        <w:tc>
          <w:tcPr>
            <w:tcW w:type="dxa" w:w="3005"/>
          </w:tcPr>
          <w:p>
            <w:pPr>
              <w:spacing w:after="20"/>
            </w:pPr>
            <w:r>
              <w:rPr>
                <w:rFonts w:ascii="Consolas" w:hAnsi="Consolas" w:cs="Consolas" w:eastAsia="Consolas"/>
                <w:color w:val="101820"/>
                <w:sz w:val="16"/>
              </w:rPr>
              <w:t>State_Upload_Template.xlsx</w:t>
            </w:r>
          </w:p>
        </w:tc>
        <w:tc>
          <w:tcPr>
            <w:tcW w:type="dxa" w:w="3005"/>
          </w:tcPr>
          <w:p>
            <w:pPr>
              <w:spacing w:after="20"/>
            </w:pPr>
            <w:r>
              <w:rPr>
                <w:rFonts w:ascii="Segoe UI" w:hAnsi="Segoe UI" w:cs="Segoe UI" w:eastAsia="Segoe UI"/>
                <w:color w:val="101820"/>
                <w:sz w:val="18"/>
              </w:rPr>
              <w:t>States or provinces</w:t>
            </w:r>
          </w:p>
        </w:tc>
        <w:tc>
          <w:tcPr>
            <w:tcW w:type="dxa" w:w="3005"/>
          </w:tcPr>
          <w:p>
            <w:pPr>
              <w:spacing w:after="20"/>
            </w:pPr>
            <w:r>
              <w:rPr>
                <w:rFonts w:ascii="Segoe UI" w:hAnsi="Segoe UI" w:cs="Segoe UI" w:eastAsia="Segoe UI"/>
                <w:color w:val="101820"/>
                <w:sz w:val="18"/>
              </w:rPr>
              <w:t>Location &gt; State</w:t>
            </w:r>
          </w:p>
        </w:tc>
      </w:tr>
      <w:tr>
        <w:tc>
          <w:tcPr>
            <w:tcW w:type="dxa" w:w="3005"/>
          </w:tcPr>
          <w:p>
            <w:pPr>
              <w:spacing w:after="20"/>
            </w:pPr>
            <w:r>
              <w:rPr>
                <w:rFonts w:ascii="Consolas" w:hAnsi="Consolas" w:cs="Consolas" w:eastAsia="Consolas"/>
                <w:color w:val="101820"/>
                <w:sz w:val="16"/>
              </w:rPr>
              <w:t>City_Upload_Template.xlsx</w:t>
            </w:r>
          </w:p>
        </w:tc>
        <w:tc>
          <w:tcPr>
            <w:tcW w:type="dxa" w:w="3005"/>
          </w:tcPr>
          <w:p>
            <w:pPr>
              <w:spacing w:after="20"/>
            </w:pPr>
            <w:r>
              <w:rPr>
                <w:rFonts w:ascii="Segoe UI" w:hAnsi="Segoe UI" w:cs="Segoe UI" w:eastAsia="Segoe UI"/>
                <w:color w:val="101820"/>
                <w:sz w:val="18"/>
              </w:rPr>
              <w:t>Cities with postal code</w:t>
            </w:r>
          </w:p>
        </w:tc>
        <w:tc>
          <w:tcPr>
            <w:tcW w:type="dxa" w:w="3005"/>
          </w:tcPr>
          <w:p>
            <w:pPr>
              <w:spacing w:after="20"/>
            </w:pPr>
            <w:r>
              <w:rPr>
                <w:rFonts w:ascii="Segoe UI" w:hAnsi="Segoe UI" w:cs="Segoe UI" w:eastAsia="Segoe UI"/>
                <w:color w:val="101820"/>
                <w:sz w:val="18"/>
              </w:rPr>
              <w:t>Location &gt; City Master</w:t>
            </w:r>
          </w:p>
        </w:tc>
      </w:tr>
      <w:tr>
        <w:tc>
          <w:tcPr>
            <w:tcW w:type="dxa" w:w="3005"/>
          </w:tcPr>
          <w:p>
            <w:pPr>
              <w:spacing w:after="20"/>
            </w:pPr>
            <w:r>
              <w:rPr>
                <w:rFonts w:ascii="Consolas" w:hAnsi="Consolas" w:cs="Consolas" w:eastAsia="Consolas"/>
                <w:color w:val="101820"/>
                <w:sz w:val="16"/>
              </w:rPr>
              <w:t>Currency_Upload_Template.xlsx</w:t>
            </w:r>
          </w:p>
        </w:tc>
        <w:tc>
          <w:tcPr>
            <w:tcW w:type="dxa" w:w="3005"/>
          </w:tcPr>
          <w:p>
            <w:pPr>
              <w:spacing w:after="20"/>
            </w:pPr>
            <w:r>
              <w:rPr>
                <w:rFonts w:ascii="Segoe UI" w:hAnsi="Segoe UI" w:cs="Segoe UI" w:eastAsia="Segoe UI"/>
                <w:color w:val="101820"/>
                <w:sz w:val="18"/>
              </w:rPr>
              <w:t>Currencies</w:t>
            </w:r>
          </w:p>
        </w:tc>
        <w:tc>
          <w:tcPr>
            <w:tcW w:type="dxa" w:w="3005"/>
          </w:tcPr>
          <w:p>
            <w:pPr>
              <w:spacing w:after="20"/>
            </w:pPr>
            <w:r>
              <w:rPr>
                <w:rFonts w:ascii="Segoe UI" w:hAnsi="Segoe UI" w:cs="Segoe UI" w:eastAsia="Segoe UI"/>
                <w:color w:val="101820"/>
                <w:sz w:val="18"/>
              </w:rPr>
              <w:t>Master &gt; Finance &gt; Currency</w:t>
            </w:r>
          </w:p>
        </w:tc>
      </w:tr>
      <w:tr>
        <w:tc>
          <w:tcPr>
            <w:tcW w:type="dxa" w:w="3005"/>
          </w:tcPr>
          <w:p>
            <w:pPr>
              <w:spacing w:after="20"/>
            </w:pPr>
            <w:r>
              <w:rPr>
                <w:rFonts w:ascii="Consolas" w:hAnsi="Consolas" w:cs="Consolas" w:eastAsia="Consolas"/>
                <w:color w:val="101820"/>
                <w:sz w:val="16"/>
              </w:rPr>
              <w:t>Exchange_Rate_Upload_Template.xlsx</w:t>
            </w:r>
          </w:p>
        </w:tc>
        <w:tc>
          <w:tcPr>
            <w:tcW w:type="dxa" w:w="3005"/>
          </w:tcPr>
          <w:p>
            <w:pPr>
              <w:spacing w:after="20"/>
            </w:pPr>
            <w:r>
              <w:rPr>
                <w:rFonts w:ascii="Segoe UI" w:hAnsi="Segoe UI" w:cs="Segoe UI" w:eastAsia="Segoe UI"/>
                <w:color w:val="101820"/>
                <w:sz w:val="18"/>
              </w:rPr>
              <w:t>Exchange rates with effective dates</w:t>
            </w:r>
          </w:p>
        </w:tc>
        <w:tc>
          <w:tcPr>
            <w:tcW w:type="dxa" w:w="3005"/>
          </w:tcPr>
          <w:p>
            <w:pPr>
              <w:spacing w:after="20"/>
            </w:pPr>
            <w:r>
              <w:rPr>
                <w:rFonts w:ascii="Segoe UI" w:hAnsi="Segoe UI" w:cs="Segoe UI" w:eastAsia="Segoe UI"/>
                <w:color w:val="101820"/>
                <w:sz w:val="18"/>
              </w:rPr>
              <w:t>Master &gt; Finance &gt; Exchange Rate (API route)</w:t>
            </w:r>
          </w:p>
        </w:tc>
      </w:tr>
      <w:tr>
        <w:tc>
          <w:tcPr>
            <w:tcW w:type="dxa" w:w="3005"/>
          </w:tcPr>
          <w:p>
            <w:pPr>
              <w:spacing w:after="20"/>
            </w:pPr>
            <w:r>
              <w:rPr>
                <w:rFonts w:ascii="Consolas" w:hAnsi="Consolas" w:cs="Consolas" w:eastAsia="Consolas"/>
                <w:color w:val="101820"/>
                <w:sz w:val="16"/>
              </w:rPr>
              <w:t>Insurance_Company_Upload_Template.xlsx</w:t>
            </w:r>
          </w:p>
        </w:tc>
        <w:tc>
          <w:tcPr>
            <w:tcW w:type="dxa" w:w="3005"/>
          </w:tcPr>
          <w:p>
            <w:pPr>
              <w:spacing w:after="20"/>
            </w:pPr>
            <w:r>
              <w:rPr>
                <w:rFonts w:ascii="Segoe UI" w:hAnsi="Segoe UI" w:cs="Segoe UI" w:eastAsia="Segoe UI"/>
                <w:color w:val="101820"/>
                <w:sz w:val="18"/>
              </w:rPr>
              <w:t>Insurers, default commission rate, premium payment warranty days, remittance terms, billing mode</w:t>
            </w:r>
          </w:p>
        </w:tc>
        <w:tc>
          <w:tcPr>
            <w:tcW w:type="dxa" w:w="3005"/>
          </w:tcPr>
          <w:p>
            <w:pPr>
              <w:spacing w:after="20"/>
            </w:pPr>
            <w:r>
              <w:rPr>
                <w:rFonts w:ascii="Segoe UI" w:hAnsi="Segoe UI" w:cs="Segoe UI" w:eastAsia="Segoe UI"/>
                <w:color w:val="101820"/>
                <w:sz w:val="18"/>
              </w:rPr>
              <w:t>Insurance Management &gt; Insurance Company</w:t>
            </w:r>
          </w:p>
        </w:tc>
      </w:tr>
      <w:tr>
        <w:tc>
          <w:tcPr>
            <w:tcW w:type="dxa" w:w="3005"/>
          </w:tcPr>
          <w:p>
            <w:pPr>
              <w:spacing w:after="20"/>
            </w:pPr>
            <w:r>
              <w:rPr>
                <w:rFonts w:ascii="Consolas" w:hAnsi="Consolas" w:cs="Consolas" w:eastAsia="Consolas"/>
                <w:color w:val="101820"/>
                <w:sz w:val="16"/>
              </w:rPr>
              <w:t>Line_of_Business_Upload_Template.xlsx</w:t>
            </w:r>
          </w:p>
        </w:tc>
        <w:tc>
          <w:tcPr>
            <w:tcW w:type="dxa" w:w="3005"/>
          </w:tcPr>
          <w:p>
            <w:pPr>
              <w:spacing w:after="20"/>
            </w:pPr>
            <w:r>
              <w:rPr>
                <w:rFonts w:ascii="Segoe UI" w:hAnsi="Segoe UI" w:cs="Segoe UI" w:eastAsia="Segoe UI"/>
                <w:color w:val="101820"/>
                <w:sz w:val="18"/>
              </w:rPr>
              <w:t>Lines of business</w:t>
            </w:r>
          </w:p>
        </w:tc>
        <w:tc>
          <w:tcPr>
            <w:tcW w:type="dxa" w:w="3005"/>
          </w:tcPr>
          <w:p>
            <w:pPr>
              <w:spacing w:after="20"/>
            </w:pPr>
            <w:r>
              <w:rPr>
                <w:rFonts w:ascii="Segoe UI" w:hAnsi="Segoe UI" w:cs="Segoe UI" w:eastAsia="Segoe UI"/>
                <w:color w:val="101820"/>
                <w:sz w:val="18"/>
              </w:rPr>
              <w:t>Insurance Management &gt; Line of Business (API route)</w:t>
            </w:r>
          </w:p>
        </w:tc>
      </w:tr>
      <w:tr>
        <w:tc>
          <w:tcPr>
            <w:tcW w:type="dxa" w:w="3005"/>
          </w:tcPr>
          <w:p>
            <w:pPr>
              <w:spacing w:after="20"/>
            </w:pPr>
            <w:r>
              <w:rPr>
                <w:rFonts w:ascii="Consolas" w:hAnsi="Consolas" w:cs="Consolas" w:eastAsia="Consolas"/>
                <w:color w:val="101820"/>
                <w:sz w:val="16"/>
              </w:rPr>
              <w:t>Product_Upload_Template.xlsx</w:t>
            </w:r>
          </w:p>
        </w:tc>
        <w:tc>
          <w:tcPr>
            <w:tcW w:type="dxa" w:w="3005"/>
          </w:tcPr>
          <w:p>
            <w:pPr>
              <w:spacing w:after="20"/>
            </w:pPr>
            <w:r>
              <w:rPr>
                <w:rFonts w:ascii="Segoe UI" w:hAnsi="Segoe UI" w:cs="Segoe UI" w:eastAsia="Segoe UI"/>
                <w:color w:val="101820"/>
                <w:sz w:val="18"/>
              </w:rPr>
              <w:t>Products per line</w:t>
            </w:r>
          </w:p>
        </w:tc>
        <w:tc>
          <w:tcPr>
            <w:tcW w:type="dxa" w:w="3005"/>
          </w:tcPr>
          <w:p>
            <w:pPr>
              <w:spacing w:after="20"/>
            </w:pPr>
            <w:r>
              <w:rPr>
                <w:rFonts w:ascii="Segoe UI" w:hAnsi="Segoe UI" w:cs="Segoe UI" w:eastAsia="Segoe UI"/>
                <w:color w:val="101820"/>
                <w:sz w:val="18"/>
              </w:rPr>
              <w:t>Insurance Management &gt; Product (API route)</w:t>
            </w:r>
          </w:p>
        </w:tc>
      </w:tr>
      <w:tr>
        <w:tc>
          <w:tcPr>
            <w:tcW w:type="dxa" w:w="3005"/>
          </w:tcPr>
          <w:p>
            <w:pPr>
              <w:spacing w:after="20"/>
            </w:pPr>
            <w:r>
              <w:rPr>
                <w:rFonts w:ascii="Consolas" w:hAnsi="Consolas" w:cs="Consolas" w:eastAsia="Consolas"/>
                <w:color w:val="101820"/>
                <w:sz w:val="16"/>
              </w:rPr>
              <w:t>Policy_Type_Upload_Template.xlsx</w:t>
            </w:r>
          </w:p>
        </w:tc>
        <w:tc>
          <w:tcPr>
            <w:tcW w:type="dxa" w:w="3005"/>
          </w:tcPr>
          <w:p>
            <w:pPr>
              <w:spacing w:after="20"/>
            </w:pPr>
            <w:r>
              <w:rPr>
                <w:rFonts w:ascii="Segoe UI" w:hAnsi="Segoe UI" w:cs="Segoe UI" w:eastAsia="Segoe UI"/>
                <w:color w:val="101820"/>
                <w:sz w:val="18"/>
              </w:rPr>
              <w:t>Policy types per product</w:t>
            </w:r>
          </w:p>
        </w:tc>
        <w:tc>
          <w:tcPr>
            <w:tcW w:type="dxa" w:w="3005"/>
          </w:tcPr>
          <w:p>
            <w:pPr>
              <w:spacing w:after="20"/>
            </w:pPr>
            <w:r>
              <w:rPr>
                <w:rFonts w:ascii="Segoe UI" w:hAnsi="Segoe UI" w:cs="Segoe UI" w:eastAsia="Segoe UI"/>
                <w:color w:val="101820"/>
                <w:sz w:val="18"/>
              </w:rPr>
              <w:t>Insurance Management &gt; Product (API route)</w:t>
            </w:r>
          </w:p>
        </w:tc>
      </w:tr>
      <w:tr>
        <w:tc>
          <w:tcPr>
            <w:tcW w:type="dxa" w:w="3005"/>
          </w:tcPr>
          <w:p>
            <w:pPr>
              <w:spacing w:after="20"/>
            </w:pPr>
            <w:r>
              <w:rPr>
                <w:rFonts w:ascii="Consolas" w:hAnsi="Consolas" w:cs="Consolas" w:eastAsia="Consolas"/>
                <w:color w:val="101820"/>
                <w:sz w:val="16"/>
              </w:rPr>
              <w:t>Cover_Upload_Template.xlsx</w:t>
            </w:r>
          </w:p>
        </w:tc>
        <w:tc>
          <w:tcPr>
            <w:tcW w:type="dxa" w:w="3005"/>
          </w:tcPr>
          <w:p>
            <w:pPr>
              <w:spacing w:after="20"/>
            </w:pPr>
            <w:r>
              <w:rPr>
                <w:rFonts w:ascii="Segoe UI" w:hAnsi="Segoe UI" w:cs="Segoe UI" w:eastAsia="Segoe UI"/>
                <w:color w:val="101820"/>
                <w:sz w:val="18"/>
              </w:rPr>
              <w:t>Covers</w:t>
            </w:r>
          </w:p>
        </w:tc>
        <w:tc>
          <w:tcPr>
            <w:tcW w:type="dxa" w:w="3005"/>
          </w:tcPr>
          <w:p>
            <w:pPr>
              <w:spacing w:after="20"/>
            </w:pPr>
            <w:r>
              <w:rPr>
                <w:rFonts w:ascii="Segoe UI" w:hAnsi="Segoe UI" w:cs="Segoe UI" w:eastAsia="Segoe UI"/>
                <w:color w:val="101820"/>
                <w:sz w:val="18"/>
              </w:rPr>
              <w:t>Insurance Management &gt; Cover (API route)</w:t>
            </w:r>
          </w:p>
        </w:tc>
      </w:tr>
      <w:tr>
        <w:tc>
          <w:tcPr>
            <w:tcW w:type="dxa" w:w="3005"/>
          </w:tcPr>
          <w:p>
            <w:pPr>
              <w:spacing w:after="20"/>
            </w:pPr>
            <w:r>
              <w:rPr>
                <w:rFonts w:ascii="Consolas" w:hAnsi="Consolas" w:cs="Consolas" w:eastAsia="Consolas"/>
                <w:color w:val="101820"/>
                <w:sz w:val="16"/>
              </w:rPr>
              <w:t>Vehicle_Brand_Upload_Template.xlsx</w:t>
            </w:r>
          </w:p>
        </w:tc>
        <w:tc>
          <w:tcPr>
            <w:tcW w:type="dxa" w:w="3005"/>
          </w:tcPr>
          <w:p>
            <w:pPr>
              <w:spacing w:after="20"/>
            </w:pPr>
            <w:r>
              <w:rPr>
                <w:rFonts w:ascii="Segoe UI" w:hAnsi="Segoe UI" w:cs="Segoe UI" w:eastAsia="Segoe UI"/>
                <w:color w:val="101820"/>
                <w:sz w:val="18"/>
              </w:rPr>
              <w:t>Vehicle brands</w:t>
            </w:r>
          </w:p>
        </w:tc>
        <w:tc>
          <w:tcPr>
            <w:tcW w:type="dxa" w:w="3005"/>
          </w:tcPr>
          <w:p>
            <w:pPr>
              <w:spacing w:after="20"/>
            </w:pPr>
            <w:r>
              <w:rPr>
                <w:rFonts w:ascii="Segoe UI" w:hAnsi="Segoe UI" w:cs="Segoe UI" w:eastAsia="Segoe UI"/>
                <w:color w:val="101820"/>
                <w:sz w:val="18"/>
              </w:rPr>
              <w:t>Insurance Management &gt; Vehicle</w:t>
            </w:r>
          </w:p>
        </w:tc>
      </w:tr>
      <w:tr>
        <w:tc>
          <w:tcPr>
            <w:tcW w:type="dxa" w:w="3005"/>
          </w:tcPr>
          <w:p>
            <w:pPr>
              <w:spacing w:after="20"/>
            </w:pPr>
            <w:r>
              <w:rPr>
                <w:rFonts w:ascii="Consolas" w:hAnsi="Consolas" w:cs="Consolas" w:eastAsia="Consolas"/>
                <w:color w:val="101820"/>
                <w:sz w:val="16"/>
              </w:rPr>
              <w:t>Vehicle_Model_Upload_Template.xlsx</w:t>
            </w:r>
          </w:p>
        </w:tc>
        <w:tc>
          <w:tcPr>
            <w:tcW w:type="dxa" w:w="3005"/>
          </w:tcPr>
          <w:p>
            <w:pPr>
              <w:spacing w:after="20"/>
            </w:pPr>
            <w:r>
              <w:rPr>
                <w:rFonts w:ascii="Segoe UI" w:hAnsi="Segoe UI" w:cs="Segoe UI" w:eastAsia="Segoe UI"/>
                <w:color w:val="101820"/>
                <w:sz w:val="18"/>
              </w:rPr>
              <w:t>Vehicle models per brand</w:t>
            </w:r>
          </w:p>
        </w:tc>
        <w:tc>
          <w:tcPr>
            <w:tcW w:type="dxa" w:w="3005"/>
          </w:tcPr>
          <w:p>
            <w:pPr>
              <w:spacing w:after="20"/>
            </w:pPr>
            <w:r>
              <w:rPr>
                <w:rFonts w:ascii="Segoe UI" w:hAnsi="Segoe UI" w:cs="Segoe UI" w:eastAsia="Segoe UI"/>
                <w:color w:val="101820"/>
                <w:sz w:val="18"/>
              </w:rPr>
              <w:t>Insurance Management &gt; Vehicle</w:t>
            </w:r>
          </w:p>
        </w:tc>
      </w:tr>
      <w:tr>
        <w:tc>
          <w:tcPr>
            <w:tcW w:type="dxa" w:w="3005"/>
          </w:tcPr>
          <w:p>
            <w:pPr>
              <w:spacing w:after="20"/>
            </w:pPr>
            <w:r>
              <w:rPr>
                <w:rFonts w:ascii="Consolas" w:hAnsi="Consolas" w:cs="Consolas" w:eastAsia="Consolas"/>
                <w:color w:val="101820"/>
                <w:sz w:val="16"/>
              </w:rPr>
              <w:t>Vehicle_Variant_Upload_Template.xlsx</w:t>
            </w:r>
          </w:p>
        </w:tc>
        <w:tc>
          <w:tcPr>
            <w:tcW w:type="dxa" w:w="3005"/>
          </w:tcPr>
          <w:p>
            <w:pPr>
              <w:spacing w:after="20"/>
            </w:pPr>
            <w:r>
              <w:rPr>
                <w:rFonts w:ascii="Segoe UI" w:hAnsi="Segoe UI" w:cs="Segoe UI" w:eastAsia="Segoe UI"/>
                <w:color w:val="101820"/>
                <w:sz w:val="18"/>
              </w:rPr>
              <w:t>Variants with body type and seating</w:t>
            </w:r>
          </w:p>
        </w:tc>
        <w:tc>
          <w:tcPr>
            <w:tcW w:type="dxa" w:w="3005"/>
          </w:tcPr>
          <w:p>
            <w:pPr>
              <w:spacing w:after="20"/>
            </w:pPr>
            <w:r>
              <w:rPr>
                <w:rFonts w:ascii="Segoe UI" w:hAnsi="Segoe UI" w:cs="Segoe UI" w:eastAsia="Segoe UI"/>
                <w:color w:val="101820"/>
                <w:sz w:val="18"/>
              </w:rPr>
              <w:t>Insurance Management &gt; Vehicle</w:t>
            </w:r>
          </w:p>
        </w:tc>
      </w:tr>
      <w:tr>
        <w:tc>
          <w:tcPr>
            <w:tcW w:type="dxa" w:w="3005"/>
          </w:tcPr>
          <w:p>
            <w:pPr>
              <w:spacing w:after="20"/>
            </w:pPr>
            <w:r>
              <w:rPr>
                <w:rFonts w:ascii="Consolas" w:hAnsi="Consolas" w:cs="Consolas" w:eastAsia="Consolas"/>
                <w:color w:val="101820"/>
                <w:sz w:val="16"/>
              </w:rPr>
              <w:t>Vehicle_Upload_Template.xlsx</w:t>
            </w:r>
          </w:p>
        </w:tc>
        <w:tc>
          <w:tcPr>
            <w:tcW w:type="dxa" w:w="3005"/>
          </w:tcPr>
          <w:p>
            <w:pPr>
              <w:spacing w:after="20"/>
            </w:pPr>
            <w:r>
              <w:rPr>
                <w:rFonts w:ascii="Segoe UI" w:hAnsi="Segoe UI" w:cs="Segoe UI" w:eastAsia="Segoe UI"/>
                <w:color w:val="101820"/>
                <w:sz w:val="18"/>
              </w:rPr>
              <w:t>Vehicles</w:t>
            </w:r>
          </w:p>
        </w:tc>
        <w:tc>
          <w:tcPr>
            <w:tcW w:type="dxa" w:w="3005"/>
          </w:tcPr>
          <w:p>
            <w:pPr>
              <w:spacing w:after="20"/>
            </w:pPr>
            <w:r>
              <w:rPr>
                <w:rFonts w:ascii="Segoe UI" w:hAnsi="Segoe UI" w:cs="Segoe UI" w:eastAsia="Segoe UI"/>
                <w:color w:val="101820"/>
                <w:sz w:val="18"/>
              </w:rPr>
              <w:t>Insurance Management &gt; Vehicle</w:t>
            </w:r>
          </w:p>
        </w:tc>
      </w:tr>
      <w:tr>
        <w:tc>
          <w:tcPr>
            <w:tcW w:type="dxa" w:w="3005"/>
          </w:tcPr>
          <w:p>
            <w:pPr>
              <w:spacing w:after="20"/>
            </w:pPr>
            <w:r>
              <w:rPr>
                <w:rFonts w:ascii="Consolas" w:hAnsi="Consolas" w:cs="Consolas" w:eastAsia="Consolas"/>
                <w:color w:val="101820"/>
                <w:sz w:val="16"/>
              </w:rPr>
              <w:t>Signatories_Upload_Template.xlsx</w:t>
            </w:r>
          </w:p>
        </w:tc>
        <w:tc>
          <w:tcPr>
            <w:tcW w:type="dxa" w:w="3005"/>
          </w:tcPr>
          <w:p>
            <w:pPr>
              <w:spacing w:after="20"/>
            </w:pPr>
            <w:r>
              <w:rPr>
                <w:rFonts w:ascii="Segoe UI" w:hAnsi="Segoe UI" w:cs="Segoe UI" w:eastAsia="Segoe UI"/>
                <w:color w:val="101820"/>
                <w:sz w:val="18"/>
              </w:rPr>
              <w:t>Signatories</w:t>
            </w:r>
          </w:p>
        </w:tc>
        <w:tc>
          <w:tcPr>
            <w:tcW w:type="dxa" w:w="3005"/>
          </w:tcPr>
          <w:p>
            <w:pPr>
              <w:spacing w:after="20"/>
            </w:pPr>
            <w:r>
              <w:rPr>
                <w:rFonts w:ascii="Segoe UI" w:hAnsi="Segoe UI" w:cs="Segoe UI" w:eastAsia="Segoe UI"/>
                <w:color w:val="101820"/>
                <w:sz w:val="18"/>
              </w:rPr>
              <w:t>Insurance Management &gt; Signatories (API route)</w:t>
            </w:r>
          </w:p>
        </w:tc>
      </w:tr>
      <w:tr>
        <w:tc>
          <w:tcPr>
            <w:tcW w:type="dxa" w:w="3005"/>
          </w:tcPr>
          <w:p>
            <w:pPr>
              <w:spacing w:after="20"/>
            </w:pPr>
            <w:r>
              <w:rPr>
                <w:rFonts w:ascii="Consolas" w:hAnsi="Consolas" w:cs="Consolas" w:eastAsia="Consolas"/>
                <w:color w:val="101820"/>
                <w:sz w:val="16"/>
              </w:rPr>
              <w:t>Chart_of_Accounts_Upload_Template.xlsx</w:t>
            </w:r>
          </w:p>
        </w:tc>
        <w:tc>
          <w:tcPr>
            <w:tcW w:type="dxa" w:w="3005"/>
          </w:tcPr>
          <w:p>
            <w:pPr>
              <w:spacing w:after="20"/>
            </w:pPr>
            <w:r>
              <w:rPr>
                <w:rFonts w:ascii="Segoe UI" w:hAnsi="Segoe UI" w:cs="Segoe UI" w:eastAsia="Segoe UI"/>
                <w:color w:val="101820"/>
                <w:sz w:val="18"/>
              </w:rPr>
              <w:t>Main and sub accounts with statement group and normal balance</w:t>
            </w:r>
          </w:p>
        </w:tc>
        <w:tc>
          <w:tcPr>
            <w:tcW w:type="dxa" w:w="3005"/>
          </w:tcPr>
          <w:p>
            <w:pPr>
              <w:spacing w:after="20"/>
            </w:pPr>
            <w:r>
              <w:rPr>
                <w:rFonts w:ascii="Segoe UI" w:hAnsi="Segoe UI" w:cs="Segoe UI" w:eastAsia="Segoe UI"/>
                <w:color w:val="101820"/>
                <w:sz w:val="18"/>
              </w:rPr>
              <w:t>Master &gt; Finance &gt; Main Account &gt; Upload</w:t>
            </w:r>
          </w:p>
        </w:tc>
      </w:tr>
      <w:tr>
        <w:tc>
          <w:tcPr>
            <w:tcW w:type="dxa" w:w="3005"/>
          </w:tcPr>
          <w:p>
            <w:pPr>
              <w:spacing w:after="20"/>
            </w:pPr>
            <w:r>
              <w:rPr>
                <w:rFonts w:ascii="Consolas" w:hAnsi="Consolas" w:cs="Consolas" w:eastAsia="Consolas"/>
                <w:color w:val="101820"/>
                <w:sz w:val="16"/>
              </w:rPr>
              <w:t>Transaction_Code_Upload_Template.xlsx</w:t>
            </w:r>
          </w:p>
        </w:tc>
        <w:tc>
          <w:tcPr>
            <w:tcW w:type="dxa" w:w="3005"/>
          </w:tcPr>
          <w:p>
            <w:pPr>
              <w:spacing w:after="20"/>
            </w:pPr>
            <w:r>
              <w:rPr>
                <w:rFonts w:ascii="Segoe UI" w:hAnsi="Segoe UI" w:cs="Segoe UI" w:eastAsia="Segoe UI"/>
                <w:color w:val="101820"/>
                <w:sz w:val="18"/>
              </w:rPr>
              <w:t>Transaction codes with GL accounts and user limits</w:t>
            </w:r>
          </w:p>
        </w:tc>
        <w:tc>
          <w:tcPr>
            <w:tcW w:type="dxa" w:w="3005"/>
          </w:tcPr>
          <w:p>
            <w:pPr>
              <w:spacing w:after="20"/>
            </w:pPr>
            <w:r>
              <w:rPr>
                <w:rFonts w:ascii="Segoe UI" w:hAnsi="Segoe UI" w:cs="Segoe UI" w:eastAsia="Segoe UI"/>
                <w:color w:val="101820"/>
                <w:sz w:val="18"/>
              </w:rPr>
              <w:t>Master &gt; Finance &gt; Transaction Code</w:t>
            </w:r>
          </w:p>
        </w:tc>
      </w:tr>
      <w:tr>
        <w:tc>
          <w:tcPr>
            <w:tcW w:type="dxa" w:w="3005"/>
          </w:tcPr>
          <w:p>
            <w:pPr>
              <w:spacing w:after="20"/>
            </w:pPr>
            <w:r>
              <w:rPr>
                <w:rFonts w:ascii="Consolas" w:hAnsi="Consolas" w:cs="Consolas" w:eastAsia="Consolas"/>
                <w:color w:val="101820"/>
                <w:sz w:val="16"/>
              </w:rPr>
              <w:t>Write_off_Reason_Upload_Template.xlsx</w:t>
            </w:r>
          </w:p>
        </w:tc>
        <w:tc>
          <w:tcPr>
            <w:tcW w:type="dxa" w:w="3005"/>
          </w:tcPr>
          <w:p>
            <w:pPr>
              <w:spacing w:after="20"/>
            </w:pPr>
            <w:r>
              <w:rPr>
                <w:rFonts w:ascii="Segoe UI" w:hAnsi="Segoe UI" w:cs="Segoe UI" w:eastAsia="Segoe UI"/>
                <w:color w:val="101820"/>
                <w:sz w:val="18"/>
              </w:rPr>
              <w:t>Write-off reasons with GL account and maximum</w:t>
            </w:r>
          </w:p>
        </w:tc>
        <w:tc>
          <w:tcPr>
            <w:tcW w:type="dxa" w:w="3005"/>
          </w:tcPr>
          <w:p>
            <w:pPr>
              <w:spacing w:after="20"/>
            </w:pPr>
            <w:r>
              <w:rPr>
                <w:rFonts w:ascii="Segoe UI" w:hAnsi="Segoe UI" w:cs="Segoe UI" w:eastAsia="Segoe UI"/>
                <w:color w:val="101820"/>
                <w:sz w:val="18"/>
              </w:rPr>
              <w:t>Master &gt; Finance &gt; Account Determination (API route)</w:t>
            </w:r>
          </w:p>
        </w:tc>
      </w:tr>
      <w:tr>
        <w:tc>
          <w:tcPr>
            <w:tcW w:type="dxa" w:w="3005"/>
          </w:tcPr>
          <w:p>
            <w:pPr>
              <w:spacing w:after="20"/>
            </w:pPr>
            <w:r>
              <w:rPr>
                <w:rFonts w:ascii="Consolas" w:hAnsi="Consolas" w:cs="Consolas" w:eastAsia="Consolas"/>
                <w:color w:val="101820"/>
                <w:sz w:val="16"/>
              </w:rPr>
              <w:t>Bank_Upload_Template.xlsx</w:t>
            </w:r>
          </w:p>
        </w:tc>
        <w:tc>
          <w:tcPr>
            <w:tcW w:type="dxa" w:w="3005"/>
          </w:tcPr>
          <w:p>
            <w:pPr>
              <w:spacing w:after="20"/>
            </w:pPr>
            <w:r>
              <w:rPr>
                <w:rFonts w:ascii="Segoe UI" w:hAnsi="Segoe UI" w:cs="Segoe UI" w:eastAsia="Segoe UI"/>
                <w:color w:val="101820"/>
                <w:sz w:val="18"/>
              </w:rPr>
              <w:t>Banks</w:t>
            </w:r>
          </w:p>
        </w:tc>
        <w:tc>
          <w:tcPr>
            <w:tcW w:type="dxa" w:w="3005"/>
          </w:tcPr>
          <w:p>
            <w:pPr>
              <w:spacing w:after="20"/>
            </w:pPr>
            <w:r>
              <w:rPr>
                <w:rFonts w:ascii="Segoe UI" w:hAnsi="Segoe UI" w:cs="Segoe UI" w:eastAsia="Segoe UI"/>
                <w:color w:val="101820"/>
                <w:sz w:val="18"/>
              </w:rPr>
              <w:t>Master &gt; Finance &gt; Bank</w:t>
            </w:r>
          </w:p>
        </w:tc>
      </w:tr>
      <w:tr>
        <w:tc>
          <w:tcPr>
            <w:tcW w:type="dxa" w:w="3005"/>
          </w:tcPr>
          <w:p>
            <w:pPr>
              <w:spacing w:after="20"/>
            </w:pPr>
            <w:r>
              <w:rPr>
                <w:rFonts w:ascii="Consolas" w:hAnsi="Consolas" w:cs="Consolas" w:eastAsia="Consolas"/>
                <w:color w:val="101820"/>
                <w:sz w:val="16"/>
              </w:rPr>
              <w:t>Bank_Account_Upload_Template.xlsx</w:t>
            </w:r>
          </w:p>
        </w:tc>
        <w:tc>
          <w:tcPr>
            <w:tcW w:type="dxa" w:w="3005"/>
          </w:tcPr>
          <w:p>
            <w:pPr>
              <w:spacing w:after="20"/>
            </w:pPr>
            <w:r>
              <w:rPr>
                <w:rFonts w:ascii="Segoe UI" w:hAnsi="Segoe UI" w:cs="Segoe UI" w:eastAsia="Segoe UI"/>
                <w:color w:val="101820"/>
                <w:sz w:val="18"/>
              </w:rPr>
              <w:t>The broker's bank accounts with GL cash account, statement format and reconcile-from date</w:t>
            </w:r>
          </w:p>
        </w:tc>
        <w:tc>
          <w:tcPr>
            <w:tcW w:type="dxa" w:w="3005"/>
          </w:tcPr>
          <w:p>
            <w:pPr>
              <w:spacing w:after="20"/>
            </w:pPr>
            <w:r>
              <w:rPr>
                <w:rFonts w:ascii="Segoe UI" w:hAnsi="Segoe UI" w:cs="Segoe UI" w:eastAsia="Segoe UI"/>
                <w:color w:val="101820"/>
                <w:sz w:val="18"/>
              </w:rPr>
              <w:t>Master &gt; Finance &gt; Bank (Bank accounts)</w:t>
            </w:r>
          </w:p>
        </w:tc>
      </w:tr>
      <w:tr>
        <w:tc>
          <w:tcPr>
            <w:tcW w:type="dxa" w:w="3005"/>
          </w:tcPr>
          <w:p>
            <w:pPr>
              <w:spacing w:after="20"/>
            </w:pPr>
            <w:r>
              <w:rPr>
                <w:rFonts w:ascii="Consolas" w:hAnsi="Consolas" w:cs="Consolas" w:eastAsia="Consolas"/>
                <w:color w:val="101820"/>
                <w:sz w:val="16"/>
              </w:rPr>
              <w:t>Policies_Upload_Template.xlsx</w:t>
            </w:r>
          </w:p>
        </w:tc>
        <w:tc>
          <w:tcPr>
            <w:tcW w:type="dxa" w:w="3005"/>
          </w:tcPr>
          <w:p>
            <w:pPr>
              <w:spacing w:after="20"/>
            </w:pPr>
            <w:r>
              <w:rPr>
                <w:rFonts w:ascii="Segoe UI" w:hAnsi="Segoe UI" w:cs="Segoe UI" w:eastAsia="Segoe UI"/>
                <w:color w:val="101820"/>
                <w:sz w:val="18"/>
              </w:rPr>
              <w:t>In-force policies and their clients (go-live mode), or new policies</w:t>
            </w:r>
          </w:p>
        </w:tc>
        <w:tc>
          <w:tcPr>
            <w:tcW w:type="dxa" w:w="3005"/>
          </w:tcPr>
          <w:p>
            <w:pPr>
              <w:spacing w:after="20"/>
            </w:pPr>
            <w:r>
              <w:rPr>
                <w:rFonts w:ascii="Segoe UI" w:hAnsi="Segoe UI" w:cs="Segoe UI" w:eastAsia="Segoe UI"/>
                <w:color w:val="101820"/>
                <w:sz w:val="18"/>
              </w:rPr>
              <w:t>Operations &gt; Policy &gt; Bulk Upload</w:t>
            </w:r>
          </w:p>
        </w:tc>
      </w:tr>
      <w:tr>
        <w:tc>
          <w:tcPr>
            <w:tcW w:type="dxa" w:w="3005"/>
          </w:tcPr>
          <w:p>
            <w:pPr>
              <w:spacing w:after="20"/>
            </w:pPr>
            <w:r>
              <w:rPr>
                <w:rFonts w:ascii="Consolas" w:hAnsi="Consolas" w:cs="Consolas" w:eastAsia="Consolas"/>
                <w:color w:val="101820"/>
                <w:sz w:val="16"/>
              </w:rPr>
              <w:t>Open_Items_Upload_Template.xlsx</w:t>
            </w:r>
          </w:p>
        </w:tc>
        <w:tc>
          <w:tcPr>
            <w:tcW w:type="dxa" w:w="3005"/>
          </w:tcPr>
          <w:p>
            <w:pPr>
              <w:spacing w:after="20"/>
            </w:pPr>
            <w:r>
              <w:rPr>
                <w:rFonts w:ascii="Segoe UI" w:hAnsi="Segoe UI" w:cs="Segoe UI" w:eastAsia="Segoe UI"/>
                <w:color w:val="101820"/>
                <w:sz w:val="18"/>
              </w:rPr>
              <w:t>Unpaid premium bills at go-live</w:t>
            </w:r>
          </w:p>
        </w:tc>
        <w:tc>
          <w:tcPr>
            <w:tcW w:type="dxa" w:w="3005"/>
          </w:tcPr>
          <w:p>
            <w:pPr>
              <w:spacing w:after="20"/>
            </w:pPr>
            <w:r>
              <w:rPr>
                <w:rFonts w:ascii="Segoe UI" w:hAnsi="Segoe UI" w:cs="Segoe UI" w:eastAsia="Segoe UI"/>
                <w:color w:val="101820"/>
                <w:sz w:val="18"/>
              </w:rPr>
              <w:t>Accounts &gt; Collections &gt; Import open items</w:t>
            </w:r>
          </w:p>
        </w:tc>
      </w:tr>
      <w:tr>
        <w:tc>
          <w:tcPr>
            <w:tcW w:type="dxa" w:w="3005"/>
          </w:tcPr>
          <w:p>
            <w:pPr>
              <w:spacing w:after="20"/>
            </w:pPr>
            <w:r>
              <w:rPr>
                <w:rFonts w:ascii="Consolas" w:hAnsi="Consolas" w:cs="Consolas" w:eastAsia="Consolas"/>
                <w:color w:val="101820"/>
                <w:sz w:val="16"/>
              </w:rPr>
              <w:t>Opening_Balances_Upload_Template.xlsx</w:t>
            </w:r>
          </w:p>
        </w:tc>
        <w:tc>
          <w:tcPr>
            <w:tcW w:type="dxa" w:w="3005"/>
          </w:tcPr>
          <w:p>
            <w:pPr>
              <w:spacing w:after="20"/>
            </w:pPr>
            <w:r>
              <w:rPr>
                <w:rFonts w:ascii="Segoe UI" w:hAnsi="Segoe UI" w:cs="Segoe UI" w:eastAsia="Segoe UI"/>
                <w:color w:val="101820"/>
                <w:sz w:val="18"/>
              </w:rPr>
              <w:t>Trial balance at the day before go-live</w:t>
            </w:r>
          </w:p>
        </w:tc>
        <w:tc>
          <w:tcPr>
            <w:tcW w:type="dxa" w:w="3005"/>
          </w:tcPr>
          <w:p>
            <w:pPr>
              <w:spacing w:after="20"/>
            </w:pPr>
            <w:r>
              <w:rPr>
                <w:rFonts w:ascii="Segoe UI" w:hAnsi="Segoe UI" w:cs="Segoe UI" w:eastAsia="Segoe UI"/>
                <w:color w:val="101820"/>
                <w:sz w:val="18"/>
              </w:rPr>
              <w:t>Accounts &gt; Period End &gt; Period Management &gt; Import opening balances</w:t>
            </w:r>
          </w:p>
        </w:tc>
      </w:tr>
      <w:tr>
        <w:tc>
          <w:tcPr>
            <w:tcW w:type="dxa" w:w="3005"/>
          </w:tcPr>
          <w:p>
            <w:pPr>
              <w:spacing w:after="20"/>
            </w:pPr>
            <w:r>
              <w:rPr>
                <w:rFonts w:ascii="Consolas" w:hAnsi="Consolas" w:cs="Consolas" w:eastAsia="Consolas"/>
                <w:color w:val="101820"/>
                <w:sz w:val="16"/>
              </w:rPr>
              <w:t>Leads_Upload_Template.xlsx</w:t>
            </w:r>
          </w:p>
        </w:tc>
        <w:tc>
          <w:tcPr>
            <w:tcW w:type="dxa" w:w="3005"/>
          </w:tcPr>
          <w:p>
            <w:pPr>
              <w:spacing w:after="20"/>
            </w:pPr>
            <w:r>
              <w:rPr>
                <w:rFonts w:ascii="Segoe UI" w:hAnsi="Segoe UI" w:cs="Segoe UI" w:eastAsia="Segoe UI"/>
                <w:color w:val="101820"/>
                <w:sz w:val="18"/>
              </w:rPr>
              <w:t>Prospects</w:t>
            </w:r>
          </w:p>
        </w:tc>
        <w:tc>
          <w:tcPr>
            <w:tcW w:type="dxa" w:w="3005"/>
          </w:tcPr>
          <w:p>
            <w:pPr>
              <w:spacing w:after="20"/>
            </w:pPr>
            <w:r>
              <w:rPr>
                <w:rFonts w:ascii="Segoe UI" w:hAnsi="Segoe UI" w:cs="Segoe UI" w:eastAsia="Segoe UI"/>
                <w:color w:val="101820"/>
                <w:sz w:val="18"/>
              </w:rPr>
              <w:t>Operations &gt; Sales &amp; Marketing &gt; Prospects &gt; Bulk Upload</w:t>
            </w:r>
          </w:p>
        </w:tc>
      </w:tr>
      <w:tr>
        <w:tc>
          <w:tcPr>
            <w:tcW w:type="dxa" w:w="3005"/>
          </w:tcPr>
          <w:p>
            <w:pPr>
              <w:spacing w:after="20"/>
            </w:pPr>
            <w:r>
              <w:rPr>
                <w:rFonts w:ascii="Consolas" w:hAnsi="Consolas" w:cs="Consolas" w:eastAsia="Consolas"/>
                <w:color w:val="101820"/>
                <w:sz w:val="16"/>
              </w:rPr>
              <w:t>Quotations_Upload_Template.xlsx</w:t>
            </w:r>
          </w:p>
        </w:tc>
        <w:tc>
          <w:tcPr>
            <w:tcW w:type="dxa" w:w="3005"/>
          </w:tcPr>
          <w:p>
            <w:pPr>
              <w:spacing w:after="20"/>
            </w:pPr>
            <w:r>
              <w:rPr>
                <w:rFonts w:ascii="Segoe UI" w:hAnsi="Segoe UI" w:cs="Segoe UI" w:eastAsia="Segoe UI"/>
                <w:color w:val="101820"/>
                <w:sz w:val="18"/>
              </w:rPr>
              <w:t>Quotations in progress</w:t>
            </w:r>
          </w:p>
        </w:tc>
        <w:tc>
          <w:tcPr>
            <w:tcW w:type="dxa" w:w="3005"/>
          </w:tcPr>
          <w:p>
            <w:pPr>
              <w:spacing w:after="20"/>
            </w:pPr>
            <w:r>
              <w:rPr>
                <w:rFonts w:ascii="Segoe UI" w:hAnsi="Segoe UI" w:cs="Segoe UI" w:eastAsia="Segoe UI"/>
                <w:color w:val="101820"/>
                <w:sz w:val="18"/>
              </w:rPr>
              <w:t>Operations &gt; Sales &amp; Marketing &gt; Quotations &gt; Bulk Upload</w:t>
            </w:r>
          </w:p>
        </w:tc>
      </w:tr>
      <w:tr>
        <w:tc>
          <w:tcPr>
            <w:tcW w:type="dxa" w:w="3005"/>
          </w:tcPr>
          <w:p>
            <w:pPr>
              <w:spacing w:after="20"/>
            </w:pPr>
            <w:r>
              <w:rPr>
                <w:rFonts w:ascii="Consolas" w:hAnsi="Consolas" w:cs="Consolas" w:eastAsia="Consolas"/>
                <w:color w:val="101820"/>
                <w:sz w:val="16"/>
              </w:rPr>
              <w:t>Receipts_Upload_Template.xlsx</w:t>
            </w:r>
          </w:p>
        </w:tc>
        <w:tc>
          <w:tcPr>
            <w:tcW w:type="dxa" w:w="3005"/>
          </w:tcPr>
          <w:p>
            <w:pPr>
              <w:spacing w:after="20"/>
            </w:pPr>
            <w:r>
              <w:rPr>
                <w:rFonts w:ascii="Segoe UI" w:hAnsi="Segoe UI" w:cs="Segoe UI" w:eastAsia="Segoe UI"/>
                <w:color w:val="101820"/>
                <w:sz w:val="18"/>
              </w:rPr>
              <w:t>Official receipts against open bills (day-to-day use)</w:t>
            </w:r>
          </w:p>
        </w:tc>
        <w:tc>
          <w:tcPr>
            <w:tcW w:type="dxa" w:w="3005"/>
          </w:tcPr>
          <w:p>
            <w:pPr>
              <w:spacing w:after="20"/>
            </w:pPr>
            <w:r>
              <w:rPr>
                <w:rFonts w:ascii="Segoe UI" w:hAnsi="Segoe UI" w:cs="Segoe UI" w:eastAsia="Segoe UI"/>
                <w:color w:val="101820"/>
                <w:sz w:val="18"/>
              </w:rPr>
              <w:t>Accounts &gt; Receipts &gt; Bulk upload</w:t>
            </w:r>
          </w:p>
        </w:tc>
      </w:tr>
      <w:tr>
        <w:tc>
          <w:tcPr>
            <w:tcW w:type="dxa" w:w="3005"/>
          </w:tcPr>
          <w:p>
            <w:pPr>
              <w:spacing w:after="20"/>
            </w:pPr>
            <w:r>
              <w:rPr>
                <w:rFonts w:ascii="Consolas" w:hAnsi="Consolas" w:cs="Consolas" w:eastAsia="Consolas"/>
                <w:color w:val="101820"/>
                <w:sz w:val="16"/>
              </w:rPr>
              <w:t>Disbursements_Upload_Template.xlsx</w:t>
            </w:r>
          </w:p>
        </w:tc>
        <w:tc>
          <w:tcPr>
            <w:tcW w:type="dxa" w:w="3005"/>
          </w:tcPr>
          <w:p>
            <w:pPr>
              <w:spacing w:after="20"/>
            </w:pPr>
            <w:r>
              <w:rPr>
                <w:rFonts w:ascii="Segoe UI" w:hAnsi="Segoe UI" w:cs="Segoe UI" w:eastAsia="Segoe UI"/>
                <w:color w:val="101820"/>
                <w:sz w:val="18"/>
              </w:rPr>
              <w:t>Payment vouchers, for example to pay amounts due to insurers at go-live</w:t>
            </w:r>
          </w:p>
        </w:tc>
        <w:tc>
          <w:tcPr>
            <w:tcW w:type="dxa" w:w="3005"/>
          </w:tcPr>
          <w:p>
            <w:pPr>
              <w:spacing w:after="20"/>
            </w:pPr>
            <w:r>
              <w:rPr>
                <w:rFonts w:ascii="Segoe UI" w:hAnsi="Segoe UI" w:cs="Segoe UI" w:eastAsia="Segoe UI"/>
                <w:color w:val="101820"/>
                <w:sz w:val="18"/>
              </w:rPr>
              <w:t>Accounts &gt; Disbursement &gt; Bulk upload</w:t>
            </w:r>
          </w:p>
        </w:tc>
      </w:tr>
      <w:tr>
        <w:tc>
          <w:tcPr>
            <w:tcW w:type="dxa" w:w="3005"/>
          </w:tcPr>
          <w:p>
            <w:pPr>
              <w:spacing w:after="20"/>
            </w:pPr>
            <w:r>
              <w:rPr>
                <w:rFonts w:ascii="Consolas" w:hAnsi="Consolas" w:cs="Consolas" w:eastAsia="Consolas"/>
                <w:color w:val="101820"/>
                <w:sz w:val="16"/>
              </w:rPr>
              <w:t>Bank_Statement_Generic_Upload_Template.xlsx</w:t>
            </w:r>
          </w:p>
        </w:tc>
        <w:tc>
          <w:tcPr>
            <w:tcW w:type="dxa" w:w="3005"/>
          </w:tcPr>
          <w:p>
            <w:pPr>
              <w:spacing w:after="20"/>
            </w:pPr>
            <w:r>
              <w:rPr>
                <w:rFonts w:ascii="Segoe UI" w:hAnsi="Segoe UI" w:cs="Segoe UI" w:eastAsia="Segoe UI"/>
                <w:color w:val="101820"/>
                <w:sz w:val="18"/>
              </w:rPr>
              <w:t>Bank statements of banks without a delivered format</w:t>
            </w:r>
          </w:p>
        </w:tc>
        <w:tc>
          <w:tcPr>
            <w:tcW w:type="dxa" w:w="3005"/>
          </w:tcPr>
          <w:p>
            <w:pPr>
              <w:spacing w:after="20"/>
            </w:pPr>
            <w:r>
              <w:rPr>
                <w:rFonts w:ascii="Segoe UI" w:hAnsi="Segoe UI" w:cs="Segoe UI" w:eastAsia="Segoe UI"/>
                <w:color w:val="101820"/>
                <w:sz w:val="18"/>
              </w:rPr>
              <w:t>Accounts &gt; Bank Reconciliation &gt; Reconciliation Workspace &gt; Import statement</w:t>
            </w:r>
          </w:p>
        </w:tc>
      </w:tr>
      <w:tr>
        <w:tc>
          <w:tcPr>
            <w:tcW w:type="dxa" w:w="3005"/>
          </w:tcPr>
          <w:p>
            <w:pPr>
              <w:spacing w:after="20"/>
            </w:pPr>
            <w:r>
              <w:rPr>
                <w:rFonts w:ascii="Consolas" w:hAnsi="Consolas" w:cs="Consolas" w:eastAsia="Consolas"/>
                <w:color w:val="101820"/>
                <w:sz w:val="16"/>
              </w:rPr>
              <w:t>Remittance_Bank_Transactions_Template.xlsx</w:t>
            </w:r>
            <w:r>
              <w:rPr>
                <w:rFonts w:ascii="Segoe UI" w:hAnsi="Segoe UI" w:cs="Segoe UI" w:eastAsia="Segoe UI"/>
                <w:color w:val="101820"/>
                <w:sz w:val="18"/>
              </w:rPr>
              <w:t xml:space="preserve"> / </w:t>
            </w:r>
            <w:r>
              <w:rPr>
                <w:rFonts w:ascii="Consolas" w:hAnsi="Consolas" w:cs="Consolas" w:eastAsia="Consolas"/>
                <w:color w:val="101820"/>
                <w:sz w:val="16"/>
              </w:rPr>
              <w:t>.csv</w:t>
            </w:r>
          </w:p>
        </w:tc>
        <w:tc>
          <w:tcPr>
            <w:tcW w:type="dxa" w:w="3005"/>
          </w:tcPr>
          <w:p>
            <w:pPr>
              <w:spacing w:after="20"/>
            </w:pPr>
            <w:r>
              <w:rPr>
                <w:rFonts w:ascii="Segoe UI" w:hAnsi="Segoe UI" w:cs="Segoe UI" w:eastAsia="Segoe UI"/>
                <w:color w:val="101820"/>
                <w:sz w:val="18"/>
              </w:rPr>
              <w:t>Bank transactions for remittance reconciliation</w:t>
            </w:r>
          </w:p>
        </w:tc>
        <w:tc>
          <w:tcPr>
            <w:tcW w:type="dxa" w:w="3005"/>
          </w:tcPr>
          <w:p>
            <w:pPr>
              <w:spacing w:after="20"/>
            </w:pPr>
            <w:r>
              <w:rPr>
                <w:rFonts w:ascii="Segoe UI" w:hAnsi="Segoe UI" w:cs="Segoe UI" w:eastAsia="Segoe UI"/>
                <w:color w:val="101820"/>
                <w:sz w:val="18"/>
              </w:rPr>
              <w:t>Accounts &gt; Remittance &gt; Reconciliation &gt; Import</w:t>
            </w:r>
          </w:p>
        </w:tc>
      </w:tr>
      <w:tr>
        <w:tc>
          <w:tcPr>
            <w:tcW w:type="dxa" w:w="3005"/>
          </w:tcPr>
          <w:p>
            <w:pPr>
              <w:spacing w:after="20"/>
            </w:pPr>
            <w:r>
              <w:rPr>
                <w:rFonts w:ascii="Consolas" w:hAnsi="Consolas" w:cs="Consolas" w:eastAsia="Consolas"/>
                <w:color w:val="101820"/>
                <w:sz w:val="16"/>
              </w:rPr>
              <w:t>Remittance_Bulk_Upload_Template.xlsx</w:t>
            </w:r>
          </w:p>
        </w:tc>
        <w:tc>
          <w:tcPr>
            <w:tcW w:type="dxa" w:w="3005"/>
          </w:tcPr>
          <w:p>
            <w:pPr>
              <w:spacing w:after="20"/>
            </w:pPr>
            <w:r>
              <w:rPr>
                <w:rFonts w:ascii="Segoe UI" w:hAnsi="Segoe UI" w:cs="Segoe UI" w:eastAsia="Segoe UI"/>
                <w:color w:val="101820"/>
                <w:sz w:val="18"/>
              </w:rPr>
              <w:t>Policies for bulk remittance processing</w:t>
            </w:r>
          </w:p>
        </w:tc>
        <w:tc>
          <w:tcPr>
            <w:tcW w:type="dxa" w:w="3005"/>
          </w:tcPr>
          <w:p>
            <w:pPr>
              <w:spacing w:after="20"/>
            </w:pPr>
            <w:r>
              <w:rPr>
                <w:rFonts w:ascii="Segoe UI" w:hAnsi="Segoe UI" w:cs="Segoe UI" w:eastAsia="Segoe UI"/>
                <w:color w:val="101820"/>
                <w:sz w:val="18"/>
              </w:rPr>
              <w:t>Accounts &gt; Remittance &gt; Bulk Processing</w:t>
            </w:r>
          </w:p>
        </w:tc>
      </w:tr>
    </w:tbl>
    <w:p>
      <w:pPr>
        <w:spacing w:after="80"/>
      </w:pPr>
    </w:p>
    <w:p>
      <w:pPr>
        <w:spacing w:after="120" w:line="276" w:lineRule="auto"/>
      </w:pPr>
      <w:r>
        <w:rPr>
          <w:rFonts w:ascii="Segoe UI" w:hAnsi="Segoe UI" w:cs="Segoe UI" w:eastAsia="Segoe UI"/>
          <w:color w:val="101820"/>
          <w:sz w:val="21"/>
        </w:rPr>
        <w:t>"API route" means the screen has no Upload button in this release; a System Administrator loads the file through the route written on the template's Instructions sheet, or enters the records on the screen.</w:t>
      </w:r>
    </w:p>
    <w:p>
      <w:pPr>
        <w:pStyle w:val="Heading2"/>
      </w:pPr>
      <w:r>
        <w:rPr>
          <w:rFonts w:ascii="Segoe UI" w:hAnsi="Segoe UI" w:cs="Segoe UI" w:eastAsia="Segoe UI"/>
          <w:b/>
          <w:color w:val="0F4761"/>
          <w:sz w:val="26"/>
        </w:rPr>
        <w:t>5.2  Data that has no template</w:t>
      </w:r>
    </w:p>
    <w:p>
      <w:pPr>
        <w:spacing w:after="120" w:line="276" w:lineRule="auto"/>
      </w:pPr>
      <w:r>
        <w:rPr>
          <w:rFonts w:ascii="Segoe UI" w:hAnsi="Segoe UI" w:cs="Segoe UI" w:eastAsia="Segoe UI"/>
          <w:color w:val="101820"/>
          <w:sz w:val="21"/>
        </w:rPr>
        <w:t>Tax codes (Master &gt; Finance &gt; Taxation: delivered with the Philippine codes and edited on the screen), the Commission Rate Matrix, account determination, posting rules, document numbering, product templates and the motor tariff, settings and schedules. These are configured on the screens and are part of the configuration, not of the data migration.</w:t>
      </w:r>
    </w:p>
    <w:p>
      <w:pPr>
        <w:pStyle w:val="Heading2"/>
      </w:pPr>
      <w:r>
        <w:rPr>
          <w:rFonts w:ascii="Segoe UI" w:hAnsi="Segoe UI" w:cs="Segoe UI" w:eastAsia="Segoe UI"/>
          <w:b/>
          <w:color w:val="0F4761"/>
          <w:sz w:val="26"/>
        </w:rPr>
        <w:t>5.3  Format rules</w:t>
      </w:r>
    </w:p>
    <w:p>
      <w:pPr>
        <w:spacing w:after="60"/>
        <w:numPr>
          <w:ilvl w:val="0"/>
          <w:numId w:val="3"/>
        </w:numPr>
      </w:pPr>
      <w:r>
        <w:rPr>
          <w:rFonts w:ascii="Segoe UI" w:hAnsi="Segoe UI" w:cs="Segoe UI" w:eastAsia="Segoe UI"/>
          <w:color w:val="101820"/>
          <w:sz w:val="21"/>
        </w:rPr>
        <w:t xml:space="preserve">Dates as </w:t>
      </w:r>
      <w:r>
        <w:rPr>
          <w:rFonts w:ascii="Consolas" w:hAnsi="Consolas" w:cs="Consolas" w:eastAsia="Consolas"/>
          <w:color w:val="101820"/>
          <w:sz w:val="19"/>
        </w:rPr>
        <w:t>YYYY-MM-DD</w:t>
      </w:r>
      <w:r>
        <w:rPr>
          <w:rFonts w:ascii="Segoe UI" w:hAnsi="Segoe UI" w:cs="Segoe UI" w:eastAsia="Segoe UI"/>
          <w:color w:val="101820"/>
          <w:sz w:val="21"/>
        </w:rPr>
        <w:t>; amounts as plain numbers without currency sign or thousands separator; rates as fractions where the Columns sheet says so (0.20 for 20%).</w:t>
      </w:r>
    </w:p>
    <w:p>
      <w:pPr>
        <w:spacing w:after="60"/>
        <w:numPr>
          <w:ilvl w:val="0"/>
          <w:numId w:val="3"/>
        </w:numPr>
      </w:pPr>
      <w:r>
        <w:rPr>
          <w:rFonts w:ascii="Segoe UI" w:hAnsi="Segoe UI" w:cs="Segoe UI" w:eastAsia="Segoe UI"/>
          <w:color w:val="101820"/>
          <w:sz w:val="21"/>
        </w:rPr>
        <w:t>One row per record; no merged cells, formulas or hidden rows; delete the sample rows.</w:t>
      </w:r>
    </w:p>
    <w:p>
      <w:pPr>
        <w:spacing w:after="60"/>
        <w:numPr>
          <w:ilvl w:val="0"/>
          <w:numId w:val="3"/>
        </w:numPr>
      </w:pPr>
      <w:r>
        <w:rPr>
          <w:rFonts w:ascii="Segoe UI" w:hAnsi="Segoe UI" w:cs="Segoe UI" w:eastAsia="Segoe UI"/>
          <w:color w:val="101820"/>
          <w:sz w:val="21"/>
        </w:rPr>
        <w:t>Codes that link files (insurer names, product types, policy numbers, account codes) must match exactly what is already loaded.</w:t>
      </w:r>
    </w:p>
    <w:p>
      <w:pPr>
        <w:pStyle w:val="Heading1"/>
        <w:pageBreakBefore/>
      </w:pPr>
      <w:r>
        <w:rPr>
          <w:rFonts w:ascii="Segoe UI" w:hAnsi="Segoe UI" w:cs="Segoe UI" w:eastAsia="Segoe UI"/>
          <w:b/>
          <w:color w:val="0F4761"/>
          <w:sz w:val="32"/>
        </w:rPr>
        <w:t>6.  Load sequence</w:t>
      </w:r>
    </w:p>
    <w:p>
      <w:pPr>
        <w:spacing w:after="120" w:line="276" w:lineRule="auto"/>
      </w:pPr>
      <w:r>
        <w:rPr>
          <w:rFonts w:ascii="Segoe UI" w:hAnsi="Segoe UI" w:cs="Segoe UI" w:eastAsia="Segoe UI"/>
          <w:color w:val="101820"/>
          <w:sz w:val="21"/>
        </w:rPr>
        <w:t>The order follows the dependencies between objects. A step starts only when the previous one is reconciled.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3355"/>
        <w:gridCol w:w="2112"/>
        <w:gridCol w:w="2640"/>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3355"/>
            <w:shd w:val="clear" w:color="auto" w:fill="DCE9F7"/>
          </w:tcPr>
          <w:p>
            <w:pPr>
              <w:spacing w:after="20"/>
            </w:pPr>
            <w:r>
              <w:rPr>
                <w:rFonts w:ascii="Segoe UI" w:hAnsi="Segoe UI" w:cs="Segoe UI" w:eastAsia="Segoe UI"/>
                <w:b/>
                <w:color w:val="0F4761"/>
                <w:sz w:val="18"/>
              </w:rPr>
              <w:t>Load</w:t>
            </w:r>
          </w:p>
        </w:tc>
        <w:tc>
          <w:tcPr>
            <w:tcW w:type="dxa" w:w="2112"/>
            <w:shd w:val="clear" w:color="auto" w:fill="DCE9F7"/>
          </w:tcPr>
          <w:p>
            <w:pPr>
              <w:spacing w:after="20"/>
            </w:pPr>
            <w:r>
              <w:rPr>
                <w:rFonts w:ascii="Segoe UI" w:hAnsi="Segoe UI" w:cs="Segoe UI" w:eastAsia="Segoe UI"/>
                <w:b/>
                <w:color w:val="0F4761"/>
                <w:sz w:val="18"/>
              </w:rPr>
              <w:t>Depends on</w:t>
            </w:r>
          </w:p>
        </w:tc>
        <w:tc>
          <w:tcPr>
            <w:tcW w:type="dxa" w:w="2640"/>
            <w:shd w:val="clear" w:color="auto" w:fill="DCE9F7"/>
          </w:tcPr>
          <w:p>
            <w:pPr>
              <w:spacing w:after="20"/>
            </w:pPr>
            <w:r>
              <w:rPr>
                <w:rFonts w:ascii="Segoe UI" w:hAnsi="Segoe UI" w:cs="Segoe UI" w:eastAsia="Segoe UI"/>
                <w:b/>
                <w:color w:val="0F4761"/>
                <w:sz w:val="18"/>
              </w:rPr>
              <w:t>Who</w:t>
            </w:r>
          </w:p>
        </w:tc>
      </w:tr>
      <w:tr>
        <w:tc>
          <w:tcPr>
            <w:tcW w:type="dxa" w:w="907"/>
          </w:tcPr>
          <w:p>
            <w:pPr>
              <w:spacing w:after="20"/>
            </w:pPr>
            <w:r>
              <w:rPr>
                <w:rFonts w:ascii="Segoe UI" w:hAnsi="Segoe UI" w:cs="Segoe UI" w:eastAsia="Segoe UI"/>
                <w:color w:val="101820"/>
                <w:sz w:val="18"/>
              </w:rPr>
              <w:t>1</w:t>
            </w:r>
          </w:p>
        </w:tc>
        <w:tc>
          <w:tcPr>
            <w:tcW w:type="dxa" w:w="3355"/>
          </w:tcPr>
          <w:p>
            <w:pPr>
              <w:spacing w:after="20"/>
            </w:pPr>
            <w:r>
              <w:rPr>
                <w:rFonts w:ascii="Segoe UI" w:hAnsi="Segoe UI" w:cs="Segoe UI" w:eastAsia="Segoe UI"/>
                <w:color w:val="101820"/>
                <w:sz w:val="18"/>
              </w:rPr>
              <w:t>Company and letterhead; System Settings</w:t>
            </w:r>
          </w:p>
        </w:tc>
        <w:tc>
          <w:tcPr>
            <w:tcW w:type="dxa" w:w="2112"/>
          </w:tcPr>
          <w:p>
            <w:pPr>
              <w:spacing w:after="20"/>
            </w:pPr>
            <w:r>
              <w:rPr>
                <w:rFonts w:ascii="Segoe UI" w:hAnsi="Segoe UI" w:cs="Segoe UI" w:eastAsia="Segoe UI"/>
                <w:color w:val="101820"/>
                <w:sz w:val="18"/>
              </w:rPr>
              <w:t>Nothing</w:t>
            </w:r>
          </w:p>
        </w:tc>
        <w:tc>
          <w:tcPr>
            <w:tcW w:type="dxa" w:w="2640"/>
          </w:tcPr>
          <w:p>
            <w:pPr>
              <w:spacing w:after="20"/>
            </w:pPr>
            <w:r>
              <w:rPr>
                <w:rFonts w:ascii="Segoe UI" w:hAnsi="Segoe UI" w:cs="Segoe UI" w:eastAsia="Segoe UI"/>
                <w:color w:val="101820"/>
                <w:sz w:val="18"/>
              </w:rPr>
              <w:t>System Administrator</w:t>
            </w:r>
          </w:p>
        </w:tc>
      </w:tr>
      <w:tr>
        <w:tc>
          <w:tcPr>
            <w:tcW w:type="dxa" w:w="907"/>
          </w:tcPr>
          <w:p>
            <w:pPr>
              <w:spacing w:after="20"/>
            </w:pPr>
            <w:r>
              <w:rPr>
                <w:rFonts w:ascii="Segoe UI" w:hAnsi="Segoe UI" w:cs="Segoe UI" w:eastAsia="Segoe UI"/>
                <w:color w:val="101820"/>
                <w:sz w:val="18"/>
              </w:rPr>
              <w:t>2</w:t>
            </w:r>
          </w:p>
        </w:tc>
        <w:tc>
          <w:tcPr>
            <w:tcW w:type="dxa" w:w="3355"/>
          </w:tcPr>
          <w:p>
            <w:pPr>
              <w:spacing w:after="20"/>
            </w:pPr>
            <w:r>
              <w:rPr>
                <w:rFonts w:ascii="Segoe UI" w:hAnsi="Segoe UI" w:cs="Segoe UI" w:eastAsia="Segoe UI"/>
                <w:color w:val="101820"/>
                <w:sz w:val="18"/>
              </w:rPr>
              <w:t>Location masters (only what is missing)</w:t>
            </w:r>
          </w:p>
        </w:tc>
        <w:tc>
          <w:tcPr>
            <w:tcW w:type="dxa" w:w="2112"/>
          </w:tcPr>
          <w:p>
            <w:pPr>
              <w:spacing w:after="20"/>
            </w:pPr>
            <w:r>
              <w:rPr>
                <w:rFonts w:ascii="Segoe UI" w:hAnsi="Segoe UI" w:cs="Segoe UI" w:eastAsia="Segoe UI"/>
                <w:color w:val="101820"/>
                <w:sz w:val="18"/>
              </w:rPr>
              <w:t>1</w:t>
            </w:r>
          </w:p>
        </w:tc>
        <w:tc>
          <w:tcPr>
            <w:tcW w:type="dxa" w:w="2640"/>
          </w:tcPr>
          <w:p>
            <w:pPr>
              <w:spacing w:after="20"/>
            </w:pPr>
            <w:r>
              <w:rPr>
                <w:rFonts w:ascii="Segoe UI" w:hAnsi="Segoe UI" w:cs="Segoe UI" w:eastAsia="Segoe UI"/>
                <w:color w:val="101820"/>
                <w:sz w:val="18"/>
              </w:rPr>
              <w:t>System Administrator</w:t>
            </w:r>
          </w:p>
        </w:tc>
      </w:tr>
      <w:tr>
        <w:tc>
          <w:tcPr>
            <w:tcW w:type="dxa" w:w="907"/>
          </w:tcPr>
          <w:p>
            <w:pPr>
              <w:spacing w:after="20"/>
            </w:pPr>
            <w:r>
              <w:rPr>
                <w:rFonts w:ascii="Segoe UI" w:hAnsi="Segoe UI" w:cs="Segoe UI" w:eastAsia="Segoe UI"/>
                <w:color w:val="101820"/>
                <w:sz w:val="18"/>
              </w:rPr>
              <w:t>3</w:t>
            </w:r>
          </w:p>
        </w:tc>
        <w:tc>
          <w:tcPr>
            <w:tcW w:type="dxa" w:w="3355"/>
          </w:tcPr>
          <w:p>
            <w:pPr>
              <w:spacing w:after="20"/>
            </w:pPr>
            <w:r>
              <w:rPr>
                <w:rFonts w:ascii="Segoe UI" w:hAnsi="Segoe UI" w:cs="Segoe UI" w:eastAsia="Segoe UI"/>
                <w:color w:val="101820"/>
                <w:sz w:val="18"/>
              </w:rPr>
              <w:t>Branches, departments</w:t>
            </w:r>
          </w:p>
        </w:tc>
        <w:tc>
          <w:tcPr>
            <w:tcW w:type="dxa" w:w="2112"/>
          </w:tcPr>
          <w:p>
            <w:pPr>
              <w:spacing w:after="20"/>
            </w:pPr>
            <w:r>
              <w:rPr>
                <w:rFonts w:ascii="Segoe UI" w:hAnsi="Segoe UI" w:cs="Segoe UI" w:eastAsia="Segoe UI"/>
                <w:color w:val="101820"/>
                <w:sz w:val="18"/>
              </w:rPr>
              <w:t>1, 2</w:t>
            </w:r>
          </w:p>
        </w:tc>
        <w:tc>
          <w:tcPr>
            <w:tcW w:type="dxa" w:w="2640"/>
          </w:tcPr>
          <w:p>
            <w:pPr>
              <w:spacing w:after="20"/>
            </w:pPr>
            <w:r>
              <w:rPr>
                <w:rFonts w:ascii="Segoe UI" w:hAnsi="Segoe UI" w:cs="Segoe UI" w:eastAsia="Segoe UI"/>
                <w:color w:val="101820"/>
                <w:sz w:val="18"/>
              </w:rPr>
              <w:t>System Administrator</w:t>
            </w:r>
          </w:p>
        </w:tc>
      </w:tr>
      <w:tr>
        <w:tc>
          <w:tcPr>
            <w:tcW w:type="dxa" w:w="907"/>
          </w:tcPr>
          <w:p>
            <w:pPr>
              <w:spacing w:after="20"/>
            </w:pPr>
            <w:r>
              <w:rPr>
                <w:rFonts w:ascii="Segoe UI" w:hAnsi="Segoe UI" w:cs="Segoe UI" w:eastAsia="Segoe UI"/>
                <w:color w:val="101820"/>
                <w:sz w:val="18"/>
              </w:rPr>
              <w:t>4</w:t>
            </w:r>
          </w:p>
        </w:tc>
        <w:tc>
          <w:tcPr>
            <w:tcW w:type="dxa" w:w="3355"/>
          </w:tcPr>
          <w:p>
            <w:pPr>
              <w:spacing w:after="20"/>
            </w:pPr>
            <w:r>
              <w:rPr>
                <w:rFonts w:ascii="Segoe UI" w:hAnsi="Segoe UI" w:cs="Segoe UI" w:eastAsia="Segoe UI"/>
                <w:color w:val="101820"/>
                <w:sz w:val="18"/>
              </w:rPr>
              <w:t>Users and roles; security settings</w:t>
            </w:r>
          </w:p>
        </w:tc>
        <w:tc>
          <w:tcPr>
            <w:tcW w:type="dxa" w:w="2112"/>
          </w:tcPr>
          <w:p>
            <w:pPr>
              <w:spacing w:after="20"/>
            </w:pPr>
            <w:r>
              <w:rPr>
                <w:rFonts w:ascii="Segoe UI" w:hAnsi="Segoe UI" w:cs="Segoe UI" w:eastAsia="Segoe UI"/>
                <w:color w:val="101820"/>
                <w:sz w:val="18"/>
              </w:rPr>
              <w:t>3</w:t>
            </w:r>
          </w:p>
        </w:tc>
        <w:tc>
          <w:tcPr>
            <w:tcW w:type="dxa" w:w="2640"/>
          </w:tcPr>
          <w:p>
            <w:pPr>
              <w:spacing w:after="20"/>
            </w:pPr>
            <w:r>
              <w:rPr>
                <w:rFonts w:ascii="Segoe UI" w:hAnsi="Segoe UI" w:cs="Segoe UI" w:eastAsia="Segoe UI"/>
                <w:color w:val="101820"/>
                <w:sz w:val="18"/>
              </w:rPr>
              <w:t>System Administrator</w:t>
            </w:r>
          </w:p>
        </w:tc>
      </w:tr>
      <w:tr>
        <w:tc>
          <w:tcPr>
            <w:tcW w:type="dxa" w:w="907"/>
          </w:tcPr>
          <w:p>
            <w:pPr>
              <w:spacing w:after="20"/>
            </w:pPr>
            <w:r>
              <w:rPr>
                <w:rFonts w:ascii="Segoe UI" w:hAnsi="Segoe UI" w:cs="Segoe UI" w:eastAsia="Segoe UI"/>
                <w:color w:val="101820"/>
                <w:sz w:val="18"/>
              </w:rPr>
              <w:t>5</w:t>
            </w:r>
          </w:p>
        </w:tc>
        <w:tc>
          <w:tcPr>
            <w:tcW w:type="dxa" w:w="3355"/>
          </w:tcPr>
          <w:p>
            <w:pPr>
              <w:spacing w:after="20"/>
            </w:pPr>
            <w:r>
              <w:rPr>
                <w:rFonts w:ascii="Segoe UI" w:hAnsi="Segoe UI" w:cs="Segoe UI" w:eastAsia="Segoe UI"/>
                <w:color w:val="101820"/>
                <w:sz w:val="18"/>
              </w:rPr>
              <w:t>Employee hierarchy and designations (if used)</w:t>
            </w:r>
          </w:p>
        </w:tc>
        <w:tc>
          <w:tcPr>
            <w:tcW w:type="dxa" w:w="2112"/>
          </w:tcPr>
          <w:p>
            <w:pPr>
              <w:spacing w:after="20"/>
            </w:pPr>
            <w:r>
              <w:rPr>
                <w:rFonts w:ascii="Segoe UI" w:hAnsi="Segoe UI" w:cs="Segoe UI" w:eastAsia="Segoe UI"/>
                <w:color w:val="101820"/>
                <w:sz w:val="18"/>
              </w:rPr>
              <w:t>3</w:t>
            </w:r>
          </w:p>
        </w:tc>
        <w:tc>
          <w:tcPr>
            <w:tcW w:type="dxa" w:w="2640"/>
          </w:tcPr>
          <w:p>
            <w:pPr>
              <w:spacing w:after="20"/>
            </w:pPr>
            <w:r>
              <w:rPr>
                <w:rFonts w:ascii="Segoe UI" w:hAnsi="Segoe UI" w:cs="Segoe UI" w:eastAsia="Segoe UI"/>
                <w:color w:val="101820"/>
                <w:sz w:val="18"/>
              </w:rPr>
              <w:t>System Administrator</w:t>
            </w:r>
          </w:p>
        </w:tc>
      </w:tr>
      <w:tr>
        <w:tc>
          <w:tcPr>
            <w:tcW w:type="dxa" w:w="907"/>
          </w:tcPr>
          <w:p>
            <w:pPr>
              <w:spacing w:after="20"/>
            </w:pPr>
            <w:r>
              <w:rPr>
                <w:rFonts w:ascii="Segoe UI" w:hAnsi="Segoe UI" w:cs="Segoe UI" w:eastAsia="Segoe UI"/>
                <w:color w:val="101820"/>
                <w:sz w:val="18"/>
              </w:rPr>
              <w:t>6</w:t>
            </w:r>
          </w:p>
        </w:tc>
        <w:tc>
          <w:tcPr>
            <w:tcW w:type="dxa" w:w="3355"/>
          </w:tcPr>
          <w:p>
            <w:pPr>
              <w:spacing w:after="20"/>
            </w:pPr>
            <w:r>
              <w:rPr>
                <w:rFonts w:ascii="Segoe UI" w:hAnsi="Segoe UI" w:cs="Segoe UI" w:eastAsia="Segoe UI"/>
                <w:color w:val="101820"/>
                <w:sz w:val="18"/>
              </w:rPr>
              <w:t>Currencies and exchange rates (if foreign currency business)</w:t>
            </w:r>
          </w:p>
        </w:tc>
        <w:tc>
          <w:tcPr>
            <w:tcW w:type="dxa" w:w="2112"/>
          </w:tcPr>
          <w:p>
            <w:pPr>
              <w:spacing w:after="20"/>
            </w:pPr>
            <w:r>
              <w:rPr>
                <w:rFonts w:ascii="Segoe UI" w:hAnsi="Segoe UI" w:cs="Segoe UI" w:eastAsia="Segoe UI"/>
                <w:color w:val="101820"/>
                <w:sz w:val="18"/>
              </w:rPr>
              <w:t>1</w:t>
            </w:r>
          </w:p>
        </w:tc>
        <w:tc>
          <w:tcPr>
            <w:tcW w:type="dxa" w:w="2640"/>
          </w:tcPr>
          <w:p>
            <w:pPr>
              <w:spacing w:after="20"/>
            </w:pPr>
            <w:r>
              <w:rPr>
                <w:rFonts w:ascii="Segoe UI" w:hAnsi="Segoe UI" w:cs="Segoe UI" w:eastAsia="Segoe UI"/>
                <w:color w:val="101820"/>
                <w:sz w:val="18"/>
              </w:rPr>
              <w:t>Accounting</w:t>
            </w:r>
          </w:p>
        </w:tc>
      </w:tr>
      <w:tr>
        <w:tc>
          <w:tcPr>
            <w:tcW w:type="dxa" w:w="907"/>
          </w:tcPr>
          <w:p>
            <w:pPr>
              <w:spacing w:after="20"/>
            </w:pPr>
            <w:r>
              <w:rPr>
                <w:rFonts w:ascii="Segoe UI" w:hAnsi="Segoe UI" w:cs="Segoe UI" w:eastAsia="Segoe UI"/>
                <w:color w:val="101820"/>
                <w:sz w:val="18"/>
              </w:rPr>
              <w:t>7</w:t>
            </w:r>
          </w:p>
        </w:tc>
        <w:tc>
          <w:tcPr>
            <w:tcW w:type="dxa" w:w="3355"/>
          </w:tcPr>
          <w:p>
            <w:pPr>
              <w:spacing w:after="20"/>
            </w:pPr>
            <w:r>
              <w:rPr>
                <w:rFonts w:ascii="Segoe UI" w:hAnsi="Segoe UI" w:cs="Segoe UI" w:eastAsia="Segoe UI"/>
                <w:color w:val="101820"/>
                <w:sz w:val="18"/>
              </w:rPr>
              <w:t>Chart of accounts review and load; account determination</w:t>
            </w:r>
          </w:p>
        </w:tc>
        <w:tc>
          <w:tcPr>
            <w:tcW w:type="dxa" w:w="2112"/>
          </w:tcPr>
          <w:p>
            <w:pPr>
              <w:spacing w:after="20"/>
            </w:pPr>
            <w:r>
              <w:rPr>
                <w:rFonts w:ascii="Segoe UI" w:hAnsi="Segoe UI" w:cs="Segoe UI" w:eastAsia="Segoe UI"/>
                <w:color w:val="101820"/>
                <w:sz w:val="18"/>
              </w:rPr>
              <w:t>1</w:t>
            </w:r>
          </w:p>
        </w:tc>
        <w:tc>
          <w:tcPr>
            <w:tcW w:type="dxa" w:w="2640"/>
          </w:tcPr>
          <w:p>
            <w:pPr>
              <w:spacing w:after="20"/>
            </w:pPr>
            <w:r>
              <w:rPr>
                <w:rFonts w:ascii="Segoe UI" w:hAnsi="Segoe UI" w:cs="Segoe UI" w:eastAsia="Segoe UI"/>
                <w:color w:val="101820"/>
                <w:sz w:val="18"/>
              </w:rPr>
              <w:t>Accounting Manager with iorta TechNXT</w:t>
            </w:r>
          </w:p>
        </w:tc>
      </w:tr>
      <w:tr>
        <w:tc>
          <w:tcPr>
            <w:tcW w:type="dxa" w:w="907"/>
          </w:tcPr>
          <w:p>
            <w:pPr>
              <w:spacing w:after="20"/>
            </w:pPr>
            <w:r>
              <w:rPr>
                <w:rFonts w:ascii="Segoe UI" w:hAnsi="Segoe UI" w:cs="Segoe UI" w:eastAsia="Segoe UI"/>
                <w:color w:val="101820"/>
                <w:sz w:val="18"/>
              </w:rPr>
              <w:t>8</w:t>
            </w:r>
          </w:p>
        </w:tc>
        <w:tc>
          <w:tcPr>
            <w:tcW w:type="dxa" w:w="3355"/>
          </w:tcPr>
          <w:p>
            <w:pPr>
              <w:spacing w:after="20"/>
            </w:pPr>
            <w:r>
              <w:rPr>
                <w:rFonts w:ascii="Segoe UI" w:hAnsi="Segoe UI" w:cs="Segoe UI" w:eastAsia="Segoe UI"/>
                <w:color w:val="101820"/>
                <w:sz w:val="18"/>
              </w:rPr>
              <w:t>Banks, bank accounts, signatories; transaction codes, write-off reasons, petty cash</w:t>
            </w:r>
          </w:p>
        </w:tc>
        <w:tc>
          <w:tcPr>
            <w:tcW w:type="dxa" w:w="2112"/>
          </w:tcPr>
          <w:p>
            <w:pPr>
              <w:spacing w:after="20"/>
            </w:pPr>
            <w:r>
              <w:rPr>
                <w:rFonts w:ascii="Segoe UI" w:hAnsi="Segoe UI" w:cs="Segoe UI" w:eastAsia="Segoe UI"/>
                <w:color w:val="101820"/>
                <w:sz w:val="18"/>
              </w:rPr>
              <w:t>7</w:t>
            </w:r>
          </w:p>
        </w:tc>
        <w:tc>
          <w:tcPr>
            <w:tcW w:type="dxa" w:w="2640"/>
          </w:tcPr>
          <w:p>
            <w:pPr>
              <w:spacing w:after="20"/>
            </w:pPr>
            <w:r>
              <w:rPr>
                <w:rFonts w:ascii="Segoe UI" w:hAnsi="Segoe UI" w:cs="Segoe UI" w:eastAsia="Segoe UI"/>
                <w:color w:val="101820"/>
                <w:sz w:val="18"/>
              </w:rPr>
              <w:t>Accounting</w:t>
            </w:r>
          </w:p>
        </w:tc>
      </w:tr>
      <w:tr>
        <w:tc>
          <w:tcPr>
            <w:tcW w:type="dxa" w:w="907"/>
          </w:tcPr>
          <w:p>
            <w:pPr>
              <w:spacing w:after="20"/>
            </w:pPr>
            <w:r>
              <w:rPr>
                <w:rFonts w:ascii="Segoe UI" w:hAnsi="Segoe UI" w:cs="Segoe UI" w:eastAsia="Segoe UI"/>
                <w:color w:val="101820"/>
                <w:sz w:val="18"/>
              </w:rPr>
              <w:t>9</w:t>
            </w:r>
          </w:p>
        </w:tc>
        <w:tc>
          <w:tcPr>
            <w:tcW w:type="dxa" w:w="3355"/>
          </w:tcPr>
          <w:p>
            <w:pPr>
              <w:spacing w:after="20"/>
            </w:pPr>
            <w:r>
              <w:rPr>
                <w:rFonts w:ascii="Segoe UI" w:hAnsi="Segoe UI" w:cs="Segoe UI" w:eastAsia="Segoe UI"/>
                <w:color w:val="101820"/>
                <w:sz w:val="18"/>
              </w:rPr>
              <w:t>Insurers</w:t>
            </w:r>
          </w:p>
        </w:tc>
        <w:tc>
          <w:tcPr>
            <w:tcW w:type="dxa" w:w="2112"/>
          </w:tcPr>
          <w:p>
            <w:pPr>
              <w:spacing w:after="20"/>
            </w:pPr>
            <w:r>
              <w:rPr>
                <w:rFonts w:ascii="Segoe UI" w:hAnsi="Segoe UI" w:cs="Segoe UI" w:eastAsia="Segoe UI"/>
                <w:color w:val="101820"/>
                <w:sz w:val="18"/>
              </w:rPr>
              <w:t>2</w:t>
            </w:r>
          </w:p>
        </w:tc>
        <w:tc>
          <w:tcPr>
            <w:tcW w:type="dxa" w:w="2640"/>
          </w:tcPr>
          <w:p>
            <w:pPr>
              <w:spacing w:after="20"/>
            </w:pPr>
            <w:r>
              <w:rPr>
                <w:rFonts w:ascii="Segoe UI" w:hAnsi="Segoe UI" w:cs="Segoe UI" w:eastAsia="Segoe UI"/>
                <w:color w:val="101820"/>
                <w:sz w:val="18"/>
              </w:rPr>
              <w:t>Processing Team, Accounting</w:t>
            </w:r>
          </w:p>
        </w:tc>
      </w:tr>
      <w:tr>
        <w:tc>
          <w:tcPr>
            <w:tcW w:type="dxa" w:w="907"/>
          </w:tcPr>
          <w:p>
            <w:pPr>
              <w:spacing w:after="20"/>
            </w:pPr>
            <w:r>
              <w:rPr>
                <w:rFonts w:ascii="Segoe UI" w:hAnsi="Segoe UI" w:cs="Segoe UI" w:eastAsia="Segoe UI"/>
                <w:color w:val="101820"/>
                <w:sz w:val="18"/>
              </w:rPr>
              <w:t>10</w:t>
            </w:r>
          </w:p>
        </w:tc>
        <w:tc>
          <w:tcPr>
            <w:tcW w:type="dxa" w:w="3355"/>
          </w:tcPr>
          <w:p>
            <w:pPr>
              <w:spacing w:after="20"/>
            </w:pPr>
            <w:r>
              <w:rPr>
                <w:rFonts w:ascii="Segoe UI" w:hAnsi="Segoe UI" w:cs="Segoe UI" w:eastAsia="Segoe UI"/>
                <w:color w:val="101820"/>
                <w:sz w:val="18"/>
              </w:rPr>
              <w:t>Lines of business, products, policy types, covers, vehicles (only what is missing); product templates and motor tariff</w:t>
            </w:r>
          </w:p>
        </w:tc>
        <w:tc>
          <w:tcPr>
            <w:tcW w:type="dxa" w:w="2112"/>
          </w:tcPr>
          <w:p>
            <w:pPr>
              <w:spacing w:after="20"/>
            </w:pPr>
            <w:r>
              <w:rPr>
                <w:rFonts w:ascii="Segoe UI" w:hAnsi="Segoe UI" w:cs="Segoe UI" w:eastAsia="Segoe UI"/>
                <w:color w:val="101820"/>
                <w:sz w:val="18"/>
              </w:rPr>
              <w:t>9</w:t>
            </w:r>
          </w:p>
        </w:tc>
        <w:tc>
          <w:tcPr>
            <w:tcW w:type="dxa" w:w="2640"/>
          </w:tcPr>
          <w:p>
            <w:pPr>
              <w:spacing w:after="20"/>
            </w:pPr>
            <w:r>
              <w:rPr>
                <w:rFonts w:ascii="Segoe UI" w:hAnsi="Segoe UI" w:cs="Segoe UI" w:eastAsia="Segoe UI"/>
                <w:color w:val="101820"/>
                <w:sz w:val="18"/>
              </w:rPr>
              <w:t>Processing Team</w:t>
            </w:r>
          </w:p>
        </w:tc>
      </w:tr>
      <w:tr>
        <w:tc>
          <w:tcPr>
            <w:tcW w:type="dxa" w:w="907"/>
          </w:tcPr>
          <w:p>
            <w:pPr>
              <w:spacing w:after="20"/>
            </w:pPr>
            <w:r>
              <w:rPr>
                <w:rFonts w:ascii="Segoe UI" w:hAnsi="Segoe UI" w:cs="Segoe UI" w:eastAsia="Segoe UI"/>
                <w:color w:val="101820"/>
                <w:sz w:val="18"/>
              </w:rPr>
              <w:t>11</w:t>
            </w:r>
          </w:p>
        </w:tc>
        <w:tc>
          <w:tcPr>
            <w:tcW w:type="dxa" w:w="3355"/>
          </w:tcPr>
          <w:p>
            <w:pPr>
              <w:spacing w:after="20"/>
            </w:pPr>
            <w:r>
              <w:rPr>
                <w:rFonts w:ascii="Segoe UI" w:hAnsi="Segoe UI" w:cs="Segoe UI" w:eastAsia="Segoe UI"/>
                <w:color w:val="101820"/>
                <w:sz w:val="18"/>
              </w:rPr>
              <w:t>Commission rules; Commission Rate Matrix; referrers</w:t>
            </w:r>
          </w:p>
        </w:tc>
        <w:tc>
          <w:tcPr>
            <w:tcW w:type="dxa" w:w="2112"/>
          </w:tcPr>
          <w:p>
            <w:pPr>
              <w:spacing w:after="20"/>
            </w:pPr>
            <w:r>
              <w:rPr>
                <w:rFonts w:ascii="Segoe UI" w:hAnsi="Segoe UI" w:cs="Segoe UI" w:eastAsia="Segoe UI"/>
                <w:color w:val="101820"/>
                <w:sz w:val="18"/>
              </w:rPr>
              <w:t>9, 10</w:t>
            </w:r>
          </w:p>
        </w:tc>
        <w:tc>
          <w:tcPr>
            <w:tcW w:type="dxa" w:w="2640"/>
          </w:tcPr>
          <w:p>
            <w:pPr>
              <w:spacing w:after="20"/>
            </w:pPr>
            <w:r>
              <w:rPr>
                <w:rFonts w:ascii="Segoe UI" w:hAnsi="Segoe UI" w:cs="Segoe UI" w:eastAsia="Segoe UI"/>
                <w:color w:val="101820"/>
                <w:sz w:val="18"/>
              </w:rPr>
              <w:t>Accounting</w:t>
            </w:r>
          </w:p>
        </w:tc>
      </w:tr>
      <w:tr>
        <w:tc>
          <w:tcPr>
            <w:tcW w:type="dxa" w:w="907"/>
          </w:tcPr>
          <w:p>
            <w:pPr>
              <w:spacing w:after="20"/>
            </w:pPr>
            <w:r>
              <w:rPr>
                <w:rFonts w:ascii="Segoe UI" w:hAnsi="Segoe UI" w:cs="Segoe UI" w:eastAsia="Segoe UI"/>
                <w:color w:val="101820"/>
                <w:sz w:val="18"/>
              </w:rPr>
              <w:t>12</w:t>
            </w:r>
          </w:p>
        </w:tc>
        <w:tc>
          <w:tcPr>
            <w:tcW w:type="dxa" w:w="3355"/>
          </w:tcPr>
          <w:p>
            <w:pPr>
              <w:spacing w:after="20"/>
            </w:pPr>
            <w:r>
              <w:rPr>
                <w:rFonts w:ascii="Segoe UI" w:hAnsi="Segoe UI" w:cs="Segoe UI" w:eastAsia="Segoe UI"/>
                <w:color w:val="101820"/>
                <w:sz w:val="18"/>
              </w:rPr>
              <w:t>Tax codes, premium taxes and LGU rates (review)</w:t>
            </w:r>
          </w:p>
        </w:tc>
        <w:tc>
          <w:tcPr>
            <w:tcW w:type="dxa" w:w="2112"/>
          </w:tcPr>
          <w:p>
            <w:pPr>
              <w:spacing w:after="20"/>
            </w:pPr>
            <w:r>
              <w:rPr>
                <w:rFonts w:ascii="Segoe UI" w:hAnsi="Segoe UI" w:cs="Segoe UI" w:eastAsia="Segoe UI"/>
                <w:color w:val="101820"/>
                <w:sz w:val="18"/>
              </w:rPr>
              <w:t>7</w:t>
            </w:r>
          </w:p>
        </w:tc>
        <w:tc>
          <w:tcPr>
            <w:tcW w:type="dxa" w:w="2640"/>
          </w:tcPr>
          <w:p>
            <w:pPr>
              <w:spacing w:after="20"/>
            </w:pPr>
            <w:r>
              <w:rPr>
                <w:rFonts w:ascii="Segoe UI" w:hAnsi="Segoe UI" w:cs="Segoe UI" w:eastAsia="Segoe UI"/>
                <w:color w:val="101820"/>
                <w:sz w:val="18"/>
              </w:rPr>
              <w:t>Accounting Manager</w:t>
            </w:r>
          </w:p>
        </w:tc>
      </w:tr>
      <w:tr>
        <w:tc>
          <w:tcPr>
            <w:tcW w:type="dxa" w:w="907"/>
          </w:tcPr>
          <w:p>
            <w:pPr>
              <w:spacing w:after="20"/>
            </w:pPr>
            <w:r>
              <w:rPr>
                <w:rFonts w:ascii="Segoe UI" w:hAnsi="Segoe UI" w:cs="Segoe UI" w:eastAsia="Segoe UI"/>
                <w:color w:val="101820"/>
                <w:sz w:val="18"/>
              </w:rPr>
              <w:t>13</w:t>
            </w:r>
          </w:p>
        </w:tc>
        <w:tc>
          <w:tcPr>
            <w:tcW w:type="dxa" w:w="3355"/>
          </w:tcPr>
          <w:p>
            <w:pPr>
              <w:spacing w:after="20"/>
            </w:pPr>
            <w:r>
              <w:rPr>
                <w:rFonts w:ascii="Segoe UI" w:hAnsi="Segoe UI" w:cs="Segoe UI" w:eastAsia="Segoe UI"/>
                <w:color w:val="101820"/>
                <w:sz w:val="18"/>
              </w:rPr>
              <w:t>Document numbering: next numbers of each series</w:t>
            </w:r>
          </w:p>
        </w:tc>
        <w:tc>
          <w:tcPr>
            <w:tcW w:type="dxa" w:w="2112"/>
          </w:tcPr>
          <w:p>
            <w:pPr>
              <w:spacing w:after="20"/>
            </w:pPr>
            <w:r>
              <w:rPr>
                <w:rFonts w:ascii="Segoe UI" w:hAnsi="Segoe UI" w:cs="Segoe UI" w:eastAsia="Segoe UI"/>
                <w:color w:val="101820"/>
                <w:sz w:val="18"/>
              </w:rPr>
              <w:t>Last numbers of the old system</w:t>
            </w:r>
          </w:p>
        </w:tc>
        <w:tc>
          <w:tcPr>
            <w:tcW w:type="dxa" w:w="2640"/>
          </w:tcPr>
          <w:p>
            <w:pPr>
              <w:spacing w:after="20"/>
            </w:pPr>
            <w:r>
              <w:rPr>
                <w:rFonts w:ascii="Segoe UI" w:hAnsi="Segoe UI" w:cs="Segoe UI" w:eastAsia="Segoe UI"/>
                <w:color w:val="101820"/>
                <w:sz w:val="18"/>
              </w:rPr>
              <w:t>System Administrator, Accounting</w:t>
            </w:r>
          </w:p>
        </w:tc>
      </w:tr>
      <w:tr>
        <w:tc>
          <w:tcPr>
            <w:tcW w:type="dxa" w:w="907"/>
          </w:tcPr>
          <w:p>
            <w:pPr>
              <w:spacing w:after="20"/>
            </w:pPr>
            <w:r>
              <w:rPr>
                <w:rFonts w:ascii="Segoe UI" w:hAnsi="Segoe UI" w:cs="Segoe UI" w:eastAsia="Segoe UI"/>
                <w:color w:val="101820"/>
                <w:sz w:val="18"/>
              </w:rPr>
              <w:t>14</w:t>
            </w:r>
          </w:p>
        </w:tc>
        <w:tc>
          <w:tcPr>
            <w:tcW w:type="dxa" w:w="3355"/>
          </w:tcPr>
          <w:p>
            <w:pPr>
              <w:spacing w:after="20"/>
            </w:pPr>
            <w:r>
              <w:rPr>
                <w:rFonts w:ascii="Segoe UI" w:hAnsi="Segoe UI" w:cs="Segoe UI" w:eastAsia="Segoe UI"/>
                <w:color w:val="101820"/>
                <w:sz w:val="18"/>
              </w:rPr>
              <w:t>In-force policies and clients (go-live mode)</w:t>
            </w:r>
          </w:p>
        </w:tc>
        <w:tc>
          <w:tcPr>
            <w:tcW w:type="dxa" w:w="2112"/>
          </w:tcPr>
          <w:p>
            <w:pPr>
              <w:spacing w:after="20"/>
            </w:pPr>
            <w:r>
              <w:rPr>
                <w:rFonts w:ascii="Segoe UI" w:hAnsi="Segoe UI" w:cs="Segoe UI" w:eastAsia="Segoe UI"/>
                <w:color w:val="101820"/>
                <w:sz w:val="18"/>
              </w:rPr>
              <w:t>9, 10</w:t>
            </w:r>
          </w:p>
        </w:tc>
        <w:tc>
          <w:tcPr>
            <w:tcW w:type="dxa" w:w="2640"/>
          </w:tcPr>
          <w:p>
            <w:pPr>
              <w:spacing w:after="20"/>
            </w:pPr>
            <w:r>
              <w:rPr>
                <w:rFonts w:ascii="Segoe UI" w:hAnsi="Segoe UI" w:cs="Segoe UI" w:eastAsia="Segoe UI"/>
                <w:color w:val="101820"/>
                <w:sz w:val="18"/>
              </w:rPr>
              <w:t>Processing Team</w:t>
            </w:r>
          </w:p>
        </w:tc>
      </w:tr>
      <w:tr>
        <w:tc>
          <w:tcPr>
            <w:tcW w:type="dxa" w:w="907"/>
          </w:tcPr>
          <w:p>
            <w:pPr>
              <w:spacing w:after="20"/>
            </w:pPr>
            <w:r>
              <w:rPr>
                <w:rFonts w:ascii="Segoe UI" w:hAnsi="Segoe UI" w:cs="Segoe UI" w:eastAsia="Segoe UI"/>
                <w:color w:val="101820"/>
                <w:sz w:val="18"/>
              </w:rPr>
              <w:t>15</w:t>
            </w:r>
          </w:p>
        </w:tc>
        <w:tc>
          <w:tcPr>
            <w:tcW w:type="dxa" w:w="3355"/>
          </w:tcPr>
          <w:p>
            <w:pPr>
              <w:spacing w:after="20"/>
            </w:pPr>
            <w:r>
              <w:rPr>
                <w:rFonts w:ascii="Segoe UI" w:hAnsi="Segoe UI" w:cs="Segoe UI" w:eastAsia="Segoe UI"/>
                <w:color w:val="101820"/>
                <w:sz w:val="18"/>
              </w:rPr>
              <w:t>Open premium receivables</w:t>
            </w:r>
          </w:p>
        </w:tc>
        <w:tc>
          <w:tcPr>
            <w:tcW w:type="dxa" w:w="2112"/>
          </w:tcPr>
          <w:p>
            <w:pPr>
              <w:spacing w:after="20"/>
            </w:pPr>
            <w:r>
              <w:rPr>
                <w:rFonts w:ascii="Segoe UI" w:hAnsi="Segoe UI" w:cs="Segoe UI" w:eastAsia="Segoe UI"/>
                <w:color w:val="101820"/>
                <w:sz w:val="18"/>
              </w:rPr>
              <w:t>14</w:t>
            </w:r>
          </w:p>
        </w:tc>
        <w:tc>
          <w:tcPr>
            <w:tcW w:type="dxa" w:w="2640"/>
          </w:tcPr>
          <w:p>
            <w:pPr>
              <w:spacing w:after="20"/>
            </w:pPr>
            <w:r>
              <w:rPr>
                <w:rFonts w:ascii="Segoe UI" w:hAnsi="Segoe UI" w:cs="Segoe UI" w:eastAsia="Segoe UI"/>
                <w:color w:val="101820"/>
                <w:sz w:val="18"/>
              </w:rPr>
              <w:t>Accounting</w:t>
            </w:r>
          </w:p>
        </w:tc>
      </w:tr>
      <w:tr>
        <w:tc>
          <w:tcPr>
            <w:tcW w:type="dxa" w:w="907"/>
          </w:tcPr>
          <w:p>
            <w:pPr>
              <w:spacing w:after="20"/>
            </w:pPr>
            <w:r>
              <w:rPr>
                <w:rFonts w:ascii="Segoe UI" w:hAnsi="Segoe UI" w:cs="Segoe UI" w:eastAsia="Segoe UI"/>
                <w:color w:val="101820"/>
                <w:sz w:val="18"/>
              </w:rPr>
              <w:t>16</w:t>
            </w:r>
          </w:p>
        </w:tc>
        <w:tc>
          <w:tcPr>
            <w:tcW w:type="dxa" w:w="3355"/>
          </w:tcPr>
          <w:p>
            <w:pPr>
              <w:spacing w:after="20"/>
            </w:pPr>
            <w:r>
              <w:rPr>
                <w:rFonts w:ascii="Segoe UI" w:hAnsi="Segoe UI" w:cs="Segoe UI" w:eastAsia="Segoe UI"/>
                <w:color w:val="101820"/>
                <w:sz w:val="18"/>
              </w:rPr>
              <w:t>GL opening balances</w:t>
            </w:r>
          </w:p>
        </w:tc>
        <w:tc>
          <w:tcPr>
            <w:tcW w:type="dxa" w:w="2112"/>
          </w:tcPr>
          <w:p>
            <w:pPr>
              <w:spacing w:after="20"/>
            </w:pPr>
            <w:r>
              <w:rPr>
                <w:rFonts w:ascii="Segoe UI" w:hAnsi="Segoe UI" w:cs="Segoe UI" w:eastAsia="Segoe UI"/>
                <w:color w:val="101820"/>
                <w:sz w:val="18"/>
              </w:rPr>
              <w:t>7, 15</w:t>
            </w:r>
          </w:p>
        </w:tc>
        <w:tc>
          <w:tcPr>
            <w:tcW w:type="dxa" w:w="2640"/>
          </w:tcPr>
          <w:p>
            <w:pPr>
              <w:spacing w:after="20"/>
            </w:pPr>
            <w:r>
              <w:rPr>
                <w:rFonts w:ascii="Segoe UI" w:hAnsi="Segoe UI" w:cs="Segoe UI" w:eastAsia="Segoe UI"/>
                <w:color w:val="101820"/>
                <w:sz w:val="18"/>
              </w:rPr>
              <w:t>Accounting Manager</w:t>
            </w:r>
          </w:p>
        </w:tc>
      </w:tr>
      <w:tr>
        <w:tc>
          <w:tcPr>
            <w:tcW w:type="dxa" w:w="907"/>
          </w:tcPr>
          <w:p>
            <w:pPr>
              <w:spacing w:after="20"/>
            </w:pPr>
            <w:r>
              <w:rPr>
                <w:rFonts w:ascii="Segoe UI" w:hAnsi="Segoe UI" w:cs="Segoe UI" w:eastAsia="Segoe UI"/>
                <w:color w:val="101820"/>
                <w:sz w:val="18"/>
              </w:rPr>
              <w:t>17</w:t>
            </w:r>
          </w:p>
        </w:tc>
        <w:tc>
          <w:tcPr>
            <w:tcW w:type="dxa" w:w="3355"/>
          </w:tcPr>
          <w:p>
            <w:pPr>
              <w:spacing w:after="20"/>
            </w:pPr>
            <w:r>
              <w:rPr>
                <w:rFonts w:ascii="Segoe UI" w:hAnsi="Segoe UI" w:cs="Segoe UI" w:eastAsia="Segoe UI"/>
                <w:color w:val="101820"/>
                <w:sz w:val="18"/>
              </w:rPr>
              <w:t>Leads and quotations in progress (optional)</w:t>
            </w:r>
          </w:p>
        </w:tc>
        <w:tc>
          <w:tcPr>
            <w:tcW w:type="dxa" w:w="2112"/>
          </w:tcPr>
          <w:p>
            <w:pPr>
              <w:spacing w:after="20"/>
            </w:pPr>
            <w:r>
              <w:rPr>
                <w:rFonts w:ascii="Segoe UI" w:hAnsi="Segoe UI" w:cs="Segoe UI" w:eastAsia="Segoe UI"/>
                <w:color w:val="101820"/>
                <w:sz w:val="18"/>
              </w:rPr>
              <w:t>9, 10</w:t>
            </w:r>
          </w:p>
        </w:tc>
        <w:tc>
          <w:tcPr>
            <w:tcW w:type="dxa" w:w="2640"/>
          </w:tcPr>
          <w:p>
            <w:pPr>
              <w:spacing w:after="20"/>
            </w:pPr>
            <w:r>
              <w:rPr>
                <w:rFonts w:ascii="Segoe UI" w:hAnsi="Segoe UI" w:cs="Segoe UI" w:eastAsia="Segoe UI"/>
                <w:color w:val="101820"/>
                <w:sz w:val="18"/>
              </w:rPr>
              <w:t>Sales &amp; Marketing</w:t>
            </w:r>
          </w:p>
        </w:tc>
      </w:tr>
      <w:tr>
        <w:tc>
          <w:tcPr>
            <w:tcW w:type="dxa" w:w="907"/>
          </w:tcPr>
          <w:p>
            <w:pPr>
              <w:spacing w:after="20"/>
            </w:pPr>
            <w:r>
              <w:rPr>
                <w:rFonts w:ascii="Segoe UI" w:hAnsi="Segoe UI" w:cs="Segoe UI" w:eastAsia="Segoe UI"/>
                <w:color w:val="101820"/>
                <w:sz w:val="18"/>
              </w:rPr>
              <w:t>18</w:t>
            </w:r>
          </w:p>
        </w:tc>
        <w:tc>
          <w:tcPr>
            <w:tcW w:type="dxa" w:w="3355"/>
          </w:tcPr>
          <w:p>
            <w:pPr>
              <w:spacing w:after="20"/>
            </w:pPr>
            <w:r>
              <w:rPr>
                <w:rFonts w:ascii="Segoe UI" w:hAnsi="Segoe UI" w:cs="Segoe UI" w:eastAsia="Segoe UI"/>
                <w:color w:val="101820"/>
                <w:sz w:val="18"/>
              </w:rPr>
              <w:t>Payment vouchers for amounts due to insurers at go-live, when paid</w:t>
            </w:r>
          </w:p>
        </w:tc>
        <w:tc>
          <w:tcPr>
            <w:tcW w:type="dxa" w:w="2112"/>
          </w:tcPr>
          <w:p>
            <w:pPr>
              <w:spacing w:after="20"/>
            </w:pPr>
            <w:r>
              <w:rPr>
                <w:rFonts w:ascii="Segoe UI" w:hAnsi="Segoe UI" w:cs="Segoe UI" w:eastAsia="Segoe UI"/>
                <w:color w:val="101820"/>
                <w:sz w:val="18"/>
              </w:rPr>
              <w:t>16</w:t>
            </w:r>
          </w:p>
        </w:tc>
        <w:tc>
          <w:tcPr>
            <w:tcW w:type="dxa" w:w="2640"/>
          </w:tcPr>
          <w:p>
            <w:pPr>
              <w:spacing w:after="20"/>
            </w:pPr>
            <w:r>
              <w:rPr>
                <w:rFonts w:ascii="Segoe UI" w:hAnsi="Segoe UI" w:cs="Segoe UI" w:eastAsia="Segoe UI"/>
                <w:color w:val="101820"/>
                <w:sz w:val="18"/>
              </w:rPr>
              <w:t>Accounting, after go-live</w:t>
            </w:r>
          </w:p>
        </w:tc>
      </w:tr>
    </w:tbl>
    <w:p>
      <w:pPr>
        <w:spacing w:after="80"/>
      </w:pPr>
    </w:p>
    <w:p>
      <w:pPr>
        <w:spacing w:after="120" w:line="276" w:lineRule="auto"/>
      </w:pPr>
      <w:r>
        <w:rPr>
          <w:rFonts w:ascii="Segoe UI" w:hAnsi="Segoe UI" w:cs="Segoe UI" w:eastAsia="Segoe UI"/>
          <w:color w:val="101820"/>
          <w:sz w:val="21"/>
        </w:rPr>
        <w:t xml:space="preserve">Points to know (from </w:t>
      </w:r>
      <w:r>
        <w:rPr>
          <w:rFonts w:ascii="Consolas" w:hAnsi="Consolas" w:cs="Consolas" w:eastAsia="Consolas"/>
          <w:color w:val="101820"/>
          <w:sz w:val="19"/>
        </w:rPr>
        <w:t>GO_LIVE_DATA_SETUP.md</w:t>
      </w:r>
      <w:r>
        <w:rPr>
          <w:rFonts w:ascii="Segoe UI" w:hAnsi="Segoe UI" w:cs="Segoe UI" w:eastAsia="Segoe UI"/>
          <w:color w:val="101820"/>
          <w:sz w:val="21"/>
        </w:rPr>
        <w:t>, step 11):</w:t>
      </w:r>
    </w:p>
    <w:p>
      <w:pPr>
        <w:spacing w:after="60"/>
        <w:numPr>
          <w:ilvl w:val="0"/>
          <w:numId w:val="3"/>
        </w:numPr>
      </w:pPr>
      <w:r>
        <w:rPr>
          <w:rFonts w:ascii="Segoe UI" w:hAnsi="Segoe UI" w:cs="Segoe UI" w:eastAsia="Segoe UI"/>
          <w:color w:val="101820"/>
          <w:sz w:val="21"/>
        </w:rPr>
        <w:t>In go-live mode each policy row creates the client and the policy with its insurer at 100%, with no bill, journal or commission. Each row creates a new client, so a client with several policies appears once per policy and is merged afterwards on the Clients screen if needed.</w:t>
      </w:r>
    </w:p>
    <w:p>
      <w:pPr>
        <w:spacing w:after="60"/>
        <w:numPr>
          <w:ilvl w:val="0"/>
          <w:numId w:val="3"/>
        </w:numPr>
      </w:pPr>
      <w:r>
        <w:rPr>
          <w:rFonts w:ascii="Segoe UI" w:hAnsi="Segoe UI" w:cs="Segoe UI" w:eastAsia="Segoe UI"/>
          <w:color w:val="101820"/>
          <w:sz w:val="21"/>
        </w:rPr>
        <w:t>Open items are loaded against policies already in BrokerVerse; a direct-billed policy is refused. Each open item becomes a bill that ages, is chased by the collection reminders and is paid with a normal official receipt. No journal is posted. Rows already loaded for the same go-live date are skipped, so a corrected file can be loaded again.</w:t>
      </w:r>
    </w:p>
    <w:p>
      <w:pPr>
        <w:spacing w:after="60"/>
        <w:numPr>
          <w:ilvl w:val="0"/>
          <w:numId w:val="3"/>
        </w:numPr>
      </w:pPr>
      <w:r>
        <w:rPr>
          <w:rFonts w:ascii="Segoe UI" w:hAnsi="Segoe UI" w:cs="Segoe UI" w:eastAsia="Segoe UI"/>
          <w:color w:val="101820"/>
          <w:sz w:val="21"/>
        </w:rPr>
        <w:t xml:space="preserve">While an open item is unpaid, a claim on that policy is refused when </w:t>
      </w:r>
      <w:r>
        <w:rPr>
          <w:rFonts w:ascii="Consolas" w:hAnsi="Consolas" w:cs="Consolas" w:eastAsia="Consolas"/>
          <w:color w:val="101820"/>
          <w:sz w:val="19"/>
        </w:rPr>
        <w:t>claims.block_unpaid_premium</w:t>
      </w:r>
      <w:r>
        <w:rPr>
          <w:rFonts w:ascii="Segoe UI" w:hAnsi="Segoe UI" w:cs="Segoe UI" w:eastAsia="Segoe UI"/>
          <w:color w:val="101820"/>
          <w:sz w:val="21"/>
        </w:rPr>
        <w:t xml:space="preserve"> is on (the delivered setting).</w:t>
      </w:r>
    </w:p>
    <w:p>
      <w:pPr>
        <w:spacing w:after="60"/>
        <w:numPr>
          <w:ilvl w:val="0"/>
          <w:numId w:val="3"/>
        </w:numPr>
      </w:pPr>
      <w:r>
        <w:rPr>
          <w:rFonts w:ascii="Segoe UI" w:hAnsi="Segoe UI" w:cs="Segoe UI" w:eastAsia="Segoe UI"/>
          <w:color w:val="101820"/>
          <w:sz w:val="21"/>
        </w:rPr>
        <w:t>Opening balances go into the fiscal year that contains the go-live date. Debits must equal credits or nothing is loaded. Loading again with the same go-live date replaces the earlier load; another date is refused. A go-live date after journals already posted in the same fiscal year is refused: load the balances before anyone posts.</w:t>
      </w:r>
    </w:p>
    <w:p>
      <w:pPr>
        <w:spacing w:after="60"/>
        <w:numPr>
          <w:ilvl w:val="0"/>
          <w:numId w:val="3"/>
        </w:numPr>
      </w:pPr>
      <w:r>
        <w:rPr>
          <w:rFonts w:ascii="Segoe UI" w:hAnsi="Segoe UI" w:cs="Segoe UI" w:eastAsia="Segoe UI"/>
          <w:color w:val="101820"/>
          <w:sz w:val="21"/>
        </w:rPr>
        <w:t>Close the accounting periods of the fiscal year before the go-live date in Period Management so nothing is posted into them.</w:t>
      </w:r>
    </w:p>
    <w:p>
      <w:pPr>
        <w:pStyle w:val="Heading1"/>
        <w:pageBreakBefore/>
      </w:pPr>
      <w:r>
        <w:rPr>
          <w:rFonts w:ascii="Segoe UI" w:hAnsi="Segoe UI" w:cs="Segoe UI" w:eastAsia="Segoe UI"/>
          <w:b/>
          <w:color w:val="0F4761"/>
          <w:sz w:val="32"/>
        </w:rPr>
        <w:t>7.  Validation and reconciliation</w:t>
      </w:r>
    </w:p>
    <w:p>
      <w:pPr>
        <w:pStyle w:val="Heading2"/>
      </w:pPr>
      <w:r>
        <w:rPr>
          <w:rFonts w:ascii="Segoe UI" w:hAnsi="Segoe UI" w:cs="Segoe UI" w:eastAsia="Segoe UI"/>
          <w:b/>
          <w:color w:val="0F4761"/>
          <w:sz w:val="26"/>
        </w:rPr>
        <w:t>7.1  Validation by the system</w:t>
      </w:r>
    </w:p>
    <w:p>
      <w:pPr>
        <w:spacing w:after="120" w:line="276" w:lineRule="auto"/>
      </w:pPr>
      <w:r>
        <w:rPr>
          <w:rFonts w:ascii="Segoe UI" w:hAnsi="Segoe UI" w:cs="Segoe UI" w:eastAsia="Segoe UI"/>
          <w:color w:val="101820"/>
          <w:sz w:val="21"/>
        </w:rPr>
        <w:t>Each upload checks every row and reports the failing rows with the reason; the rest are loaded (opening balances are all or nothing). The load log keeps, for each file: file name, date and time, user, rows read, created, skipped, failed, and the list of failures.</w:t>
      </w:r>
    </w:p>
    <w:p>
      <w:pPr>
        <w:pStyle w:val="Heading2"/>
      </w:pPr>
      <w:r>
        <w:rPr>
          <w:rFonts w:ascii="Segoe UI" w:hAnsi="Segoe UI" w:cs="Segoe UI" w:eastAsia="Segoe UI"/>
          <w:b/>
          <w:color w:val="0F4761"/>
          <w:sz w:val="26"/>
        </w:rPr>
        <w:t>7.2  Control figures</w:t>
      </w:r>
    </w:p>
    <w:p>
      <w:pPr>
        <w:spacing w:after="120" w:line="276" w:lineRule="auto"/>
      </w:pPr>
      <w:r>
        <w:rPr>
          <w:rFonts w:ascii="Segoe UI" w:hAnsi="Segoe UI" w:cs="Segoe UI" w:eastAsia="Segoe UI"/>
          <w:color w:val="101820"/>
          <w:sz w:val="21"/>
        </w:rPr>
        <w:t>Before each load the data owner produces control figures from the old system, signed by the Accounting Manager for financial objects. After the load the same figures are produced from BrokerVerse and compared.</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352"/>
        <w:gridCol w:w="2352"/>
        <w:gridCol w:w="2352"/>
        <w:gridCol w:w="1960"/>
      </w:tblGrid>
      <w:tr>
        <w:trPr>
          <w:tblHeader w:val="true"/>
        </w:trPr>
        <w:tc>
          <w:tcPr>
            <w:tcW w:type="dxa" w:w="2352"/>
            <w:shd w:val="clear" w:color="auto" w:fill="DCE9F7"/>
          </w:tcPr>
          <w:p>
            <w:pPr>
              <w:spacing w:after="20"/>
            </w:pPr>
            <w:r>
              <w:rPr>
                <w:rFonts w:ascii="Segoe UI" w:hAnsi="Segoe UI" w:cs="Segoe UI" w:eastAsia="Segoe UI"/>
                <w:b/>
                <w:color w:val="0F4761"/>
                <w:sz w:val="18"/>
              </w:rPr>
              <w:t>Object</w:t>
            </w:r>
          </w:p>
        </w:tc>
        <w:tc>
          <w:tcPr>
            <w:tcW w:type="dxa" w:w="2352"/>
            <w:shd w:val="clear" w:color="auto" w:fill="DCE9F7"/>
          </w:tcPr>
          <w:p>
            <w:pPr>
              <w:spacing w:after="20"/>
            </w:pPr>
            <w:r>
              <w:rPr>
                <w:rFonts w:ascii="Segoe UI" w:hAnsi="Segoe UI" w:cs="Segoe UI" w:eastAsia="Segoe UI"/>
                <w:b/>
                <w:color w:val="0F4761"/>
                <w:sz w:val="18"/>
              </w:rPr>
              <w:t>Control figures from the old system</w:t>
            </w:r>
          </w:p>
        </w:tc>
        <w:tc>
          <w:tcPr>
            <w:tcW w:type="dxa" w:w="2352"/>
            <w:shd w:val="clear" w:color="auto" w:fill="DCE9F7"/>
          </w:tcPr>
          <w:p>
            <w:pPr>
              <w:spacing w:after="20"/>
            </w:pPr>
            <w:r>
              <w:rPr>
                <w:rFonts w:ascii="Segoe UI" w:hAnsi="Segoe UI" w:cs="Segoe UI" w:eastAsia="Segoe UI"/>
                <w:b/>
                <w:color w:val="0F4761"/>
                <w:sz w:val="18"/>
              </w:rPr>
              <w:t>Where to read them in BrokerVerse</w:t>
            </w:r>
          </w:p>
        </w:tc>
        <w:tc>
          <w:tcPr>
            <w:tcW w:type="dxa" w:w="1960"/>
            <w:shd w:val="clear" w:color="auto" w:fill="DCE9F7"/>
          </w:tcPr>
          <w:p>
            <w:pPr>
              <w:spacing w:after="20"/>
            </w:pPr>
            <w:r>
              <w:rPr>
                <w:rFonts w:ascii="Segoe UI" w:hAnsi="Segoe UI" w:cs="Segoe UI" w:eastAsia="Segoe UI"/>
                <w:b/>
                <w:color w:val="0F4761"/>
                <w:sz w:val="18"/>
              </w:rPr>
              <w:t>Tolerance</w:t>
            </w:r>
          </w:p>
        </w:tc>
      </w:tr>
      <w:tr>
        <w:tc>
          <w:tcPr>
            <w:tcW w:type="dxa" w:w="2352"/>
          </w:tcPr>
          <w:p>
            <w:pPr>
              <w:spacing w:after="20"/>
            </w:pPr>
            <w:r>
              <w:rPr>
                <w:rFonts w:ascii="Segoe UI" w:hAnsi="Segoe UI" w:cs="Segoe UI" w:eastAsia="Segoe UI"/>
                <w:color w:val="101820"/>
                <w:sz w:val="18"/>
              </w:rPr>
              <w:t>Masters (insurers, products, accounts, banks, users)</w:t>
            </w:r>
          </w:p>
        </w:tc>
        <w:tc>
          <w:tcPr>
            <w:tcW w:type="dxa" w:w="2352"/>
          </w:tcPr>
          <w:p>
            <w:pPr>
              <w:spacing w:after="20"/>
            </w:pPr>
            <w:r>
              <w:rPr>
                <w:rFonts w:ascii="Segoe UI" w:hAnsi="Segoe UI" w:cs="Segoe UI" w:eastAsia="Segoe UI"/>
                <w:color w:val="101820"/>
                <w:sz w:val="18"/>
              </w:rPr>
              <w:t>Count of records per type</w:t>
            </w:r>
          </w:p>
        </w:tc>
        <w:tc>
          <w:tcPr>
            <w:tcW w:type="dxa" w:w="2352"/>
          </w:tcPr>
          <w:p>
            <w:pPr>
              <w:spacing w:after="20"/>
            </w:pPr>
            <w:r>
              <w:rPr>
                <w:rFonts w:ascii="Segoe UI" w:hAnsi="Segoe UI" w:cs="Segoe UI" w:eastAsia="Segoe UI"/>
                <w:color w:val="101820"/>
                <w:sz w:val="18"/>
              </w:rPr>
              <w:t>Each master list; Upload result "created, failed"</w:t>
            </w:r>
          </w:p>
        </w:tc>
        <w:tc>
          <w:tcPr>
            <w:tcW w:type="dxa" w:w="1960"/>
          </w:tcPr>
          <w:p>
            <w:pPr>
              <w:spacing w:after="20"/>
            </w:pPr>
            <w:r>
              <w:rPr>
                <w:rFonts w:ascii="Segoe UI" w:hAnsi="Segoe UI" w:cs="Segoe UI" w:eastAsia="Segoe UI"/>
                <w:color w:val="101820"/>
                <w:sz w:val="18"/>
              </w:rPr>
              <w:t>Exact</w:t>
            </w:r>
          </w:p>
        </w:tc>
      </w:tr>
      <w:tr>
        <w:tc>
          <w:tcPr>
            <w:tcW w:type="dxa" w:w="2352"/>
          </w:tcPr>
          <w:p>
            <w:pPr>
              <w:spacing w:after="20"/>
            </w:pPr>
            <w:r>
              <w:rPr>
                <w:rFonts w:ascii="Segoe UI" w:hAnsi="Segoe UI" w:cs="Segoe UI" w:eastAsia="Segoe UI"/>
                <w:color w:val="101820"/>
                <w:sz w:val="18"/>
              </w:rPr>
              <w:t>In-force policies</w:t>
            </w:r>
          </w:p>
        </w:tc>
        <w:tc>
          <w:tcPr>
            <w:tcW w:type="dxa" w:w="2352"/>
          </w:tcPr>
          <w:p>
            <w:pPr>
              <w:spacing w:after="20"/>
            </w:pPr>
            <w:r>
              <w:rPr>
                <w:rFonts w:ascii="Segoe UI" w:hAnsi="Segoe UI" w:cs="Segoe UI" w:eastAsia="Segoe UI"/>
                <w:color w:val="101820"/>
                <w:sz w:val="18"/>
              </w:rPr>
              <w:t>Count; count per insurer and per line; total sum insured; total gross premium; total net premium</w:t>
            </w:r>
          </w:p>
        </w:tc>
        <w:tc>
          <w:tcPr>
            <w:tcW w:type="dxa" w:w="2352"/>
          </w:tcPr>
          <w:p>
            <w:pPr>
              <w:spacing w:after="20"/>
            </w:pPr>
            <w:r>
              <w:rPr>
                <w:rFonts w:ascii="Segoe UI" w:hAnsi="Segoe UI" w:cs="Segoe UI" w:eastAsia="Segoe UI"/>
                <w:color w:val="101820"/>
                <w:sz w:val="18"/>
              </w:rPr>
              <w:t>Operations &gt; Policy; Reports &gt; Operational Reports &gt; Production; Production Register</w:t>
            </w:r>
          </w:p>
        </w:tc>
        <w:tc>
          <w:tcPr>
            <w:tcW w:type="dxa" w:w="1960"/>
          </w:tcPr>
          <w:p>
            <w:pPr>
              <w:spacing w:after="20"/>
            </w:pPr>
            <w:r>
              <w:rPr>
                <w:rFonts w:ascii="Segoe UI" w:hAnsi="Segoe UI" w:cs="Segoe UI" w:eastAsia="Segoe UI"/>
                <w:color w:val="101820"/>
                <w:sz w:val="18"/>
              </w:rPr>
              <w:t>Exact</w:t>
            </w:r>
          </w:p>
        </w:tc>
      </w:tr>
      <w:tr>
        <w:tc>
          <w:tcPr>
            <w:tcW w:type="dxa" w:w="2352"/>
          </w:tcPr>
          <w:p>
            <w:pPr>
              <w:spacing w:after="20"/>
            </w:pPr>
            <w:r>
              <w:rPr>
                <w:rFonts w:ascii="Segoe UI" w:hAnsi="Segoe UI" w:cs="Segoe UI" w:eastAsia="Segoe UI"/>
                <w:color w:val="101820"/>
                <w:sz w:val="18"/>
              </w:rPr>
              <w:t>Clients</w:t>
            </w:r>
          </w:p>
        </w:tc>
        <w:tc>
          <w:tcPr>
            <w:tcW w:type="dxa" w:w="2352"/>
          </w:tcPr>
          <w:p>
            <w:pPr>
              <w:spacing w:after="20"/>
            </w:pPr>
            <w:r>
              <w:rPr>
                <w:rFonts w:ascii="Segoe UI" w:hAnsi="Segoe UI" w:cs="Segoe UI" w:eastAsia="Segoe UI"/>
                <w:color w:val="101820"/>
                <w:sz w:val="18"/>
              </w:rPr>
              <w:t>Count of distinct insureds</w:t>
            </w:r>
          </w:p>
        </w:tc>
        <w:tc>
          <w:tcPr>
            <w:tcW w:type="dxa" w:w="2352"/>
          </w:tcPr>
          <w:p>
            <w:pPr>
              <w:spacing w:after="20"/>
            </w:pPr>
            <w:r>
              <w:rPr>
                <w:rFonts w:ascii="Segoe UI" w:hAnsi="Segoe UI" w:cs="Segoe UI" w:eastAsia="Segoe UI"/>
                <w:color w:val="101820"/>
                <w:sz w:val="18"/>
              </w:rPr>
              <w:t>Operations &gt; Clients (before and after merging duplicates)</w:t>
            </w:r>
          </w:p>
        </w:tc>
        <w:tc>
          <w:tcPr>
            <w:tcW w:type="dxa" w:w="1960"/>
          </w:tcPr>
          <w:p>
            <w:pPr>
              <w:spacing w:after="20"/>
            </w:pPr>
            <w:r>
              <w:rPr>
                <w:rFonts w:ascii="Segoe UI" w:hAnsi="Segoe UI" w:cs="Segoe UI" w:eastAsia="Segoe UI"/>
                <w:color w:val="101820"/>
                <w:sz w:val="18"/>
              </w:rPr>
              <w:t>Explained differences only</w:t>
            </w:r>
          </w:p>
        </w:tc>
      </w:tr>
      <w:tr>
        <w:tc>
          <w:tcPr>
            <w:tcW w:type="dxa" w:w="2352"/>
          </w:tcPr>
          <w:p>
            <w:pPr>
              <w:spacing w:after="20"/>
            </w:pPr>
            <w:r>
              <w:rPr>
                <w:rFonts w:ascii="Segoe UI" w:hAnsi="Segoe UI" w:cs="Segoe UI" w:eastAsia="Segoe UI"/>
                <w:color w:val="101820"/>
                <w:sz w:val="18"/>
              </w:rPr>
              <w:t>Open premium receivables</w:t>
            </w:r>
          </w:p>
        </w:tc>
        <w:tc>
          <w:tcPr>
            <w:tcW w:type="dxa" w:w="2352"/>
          </w:tcPr>
          <w:p>
            <w:pPr>
              <w:spacing w:after="20"/>
            </w:pPr>
            <w:r>
              <w:rPr>
                <w:rFonts w:ascii="Segoe UI" w:hAnsi="Segoe UI" w:cs="Segoe UI" w:eastAsia="Segoe UI"/>
                <w:color w:val="101820"/>
                <w:sz w:val="18"/>
              </w:rPr>
              <w:t>Count of open bills; total open balance; totals per ageing bucket (30, 60, 90, 120 days)</w:t>
            </w:r>
          </w:p>
        </w:tc>
        <w:tc>
          <w:tcPr>
            <w:tcW w:type="dxa" w:w="2352"/>
          </w:tcPr>
          <w:p>
            <w:pPr>
              <w:spacing w:after="20"/>
            </w:pPr>
            <w:r>
              <w:rPr>
                <w:rFonts w:ascii="Segoe UI" w:hAnsi="Segoe UI" w:cs="Segoe UI" w:eastAsia="Segoe UI"/>
                <w:color w:val="101820"/>
                <w:sz w:val="18"/>
              </w:rPr>
              <w:t>Accounts &gt; Collections; Reports &gt; Financial Reports &gt; SOA/Premium Receivable</w:t>
            </w:r>
          </w:p>
        </w:tc>
        <w:tc>
          <w:tcPr>
            <w:tcW w:type="dxa" w:w="1960"/>
          </w:tcPr>
          <w:p>
            <w:pPr>
              <w:spacing w:after="20"/>
            </w:pPr>
            <w:r>
              <w:rPr>
                <w:rFonts w:ascii="Segoe UI" w:hAnsi="Segoe UI" w:cs="Segoe UI" w:eastAsia="Segoe UI"/>
                <w:color w:val="101820"/>
                <w:sz w:val="18"/>
              </w:rPr>
              <w:t>Exact</w:t>
            </w:r>
          </w:p>
        </w:tc>
      </w:tr>
      <w:tr>
        <w:tc>
          <w:tcPr>
            <w:tcW w:type="dxa" w:w="2352"/>
          </w:tcPr>
          <w:p>
            <w:pPr>
              <w:spacing w:after="20"/>
            </w:pPr>
            <w:r>
              <w:rPr>
                <w:rFonts w:ascii="Segoe UI" w:hAnsi="Segoe UI" w:cs="Segoe UI" w:eastAsia="Segoe UI"/>
                <w:color w:val="101820"/>
                <w:sz w:val="18"/>
              </w:rPr>
              <w:t>GL opening balances</w:t>
            </w:r>
          </w:p>
        </w:tc>
        <w:tc>
          <w:tcPr>
            <w:tcW w:type="dxa" w:w="2352"/>
          </w:tcPr>
          <w:p>
            <w:pPr>
              <w:spacing w:after="20"/>
            </w:pPr>
            <w:r>
              <w:rPr>
                <w:rFonts w:ascii="Segoe UI" w:hAnsi="Segoe UI" w:cs="Segoe UI" w:eastAsia="Segoe UI"/>
                <w:color w:val="101820"/>
                <w:sz w:val="18"/>
              </w:rPr>
              <w:t>Total debits, total credits, balance per account</w:t>
            </w:r>
          </w:p>
        </w:tc>
        <w:tc>
          <w:tcPr>
            <w:tcW w:type="dxa" w:w="2352"/>
          </w:tcPr>
          <w:p>
            <w:pPr>
              <w:spacing w:after="20"/>
            </w:pPr>
            <w:r>
              <w:rPr>
                <w:rFonts w:ascii="Segoe UI" w:hAnsi="Segoe UI" w:cs="Segoe UI" w:eastAsia="Segoe UI"/>
                <w:color w:val="101820"/>
                <w:sz w:val="18"/>
              </w:rPr>
              <w:t>Accounts &gt; Period End &gt; Financial Statements: trial balance as at the go-live date; Trial Balance report</w:t>
            </w:r>
          </w:p>
        </w:tc>
        <w:tc>
          <w:tcPr>
            <w:tcW w:type="dxa" w:w="1960"/>
          </w:tcPr>
          <w:p>
            <w:pPr>
              <w:spacing w:after="20"/>
            </w:pPr>
            <w:r>
              <w:rPr>
                <w:rFonts w:ascii="Segoe UI" w:hAnsi="Segoe UI" w:cs="Segoe UI" w:eastAsia="Segoe UI"/>
                <w:color w:val="101820"/>
                <w:sz w:val="18"/>
              </w:rPr>
              <w:t>Exact</w:t>
            </w:r>
          </w:p>
        </w:tc>
      </w:tr>
      <w:tr>
        <w:tc>
          <w:tcPr>
            <w:tcW w:type="dxa" w:w="2352"/>
          </w:tcPr>
          <w:p>
            <w:pPr>
              <w:spacing w:after="20"/>
            </w:pPr>
            <w:r>
              <w:rPr>
                <w:rFonts w:ascii="Segoe UI" w:hAnsi="Segoe UI" w:cs="Segoe UI" w:eastAsia="Segoe UI"/>
                <w:color w:val="101820"/>
                <w:sz w:val="18"/>
              </w:rPr>
              <w:t>Premiums Receivable</w:t>
            </w:r>
          </w:p>
        </w:tc>
        <w:tc>
          <w:tcPr>
            <w:tcW w:type="dxa" w:w="2352"/>
          </w:tcPr>
          <w:p>
            <w:pPr>
              <w:spacing w:after="20"/>
            </w:pPr>
            <w:r>
              <w:rPr>
                <w:rFonts w:ascii="Segoe UI" w:hAnsi="Segoe UI" w:cs="Segoe UI" w:eastAsia="Segoe UI"/>
                <w:color w:val="101820"/>
                <w:sz w:val="18"/>
              </w:rPr>
              <w:t>GL balance = total of open items</w:t>
            </w:r>
          </w:p>
        </w:tc>
        <w:tc>
          <w:tcPr>
            <w:tcW w:type="dxa" w:w="2352"/>
          </w:tcPr>
          <w:p>
            <w:pPr>
              <w:spacing w:after="20"/>
            </w:pPr>
            <w:r>
              <w:rPr>
                <w:rFonts w:ascii="Segoe UI" w:hAnsi="Segoe UI" w:cs="Segoe UI" w:eastAsia="Segoe UI"/>
                <w:color w:val="101820"/>
                <w:sz w:val="18"/>
              </w:rPr>
              <w:t>Trial balance against Collections total</w:t>
            </w:r>
          </w:p>
        </w:tc>
        <w:tc>
          <w:tcPr>
            <w:tcW w:type="dxa" w:w="1960"/>
          </w:tcPr>
          <w:p>
            <w:pPr>
              <w:spacing w:after="20"/>
            </w:pPr>
            <w:r>
              <w:rPr>
                <w:rFonts w:ascii="Segoe UI" w:hAnsi="Segoe UI" w:cs="Segoe UI" w:eastAsia="Segoe UI"/>
                <w:color w:val="101820"/>
                <w:sz w:val="18"/>
              </w:rPr>
              <w:t>Exact</w:t>
            </w:r>
          </w:p>
        </w:tc>
      </w:tr>
      <w:tr>
        <w:tc>
          <w:tcPr>
            <w:tcW w:type="dxa" w:w="2352"/>
          </w:tcPr>
          <w:p>
            <w:pPr>
              <w:spacing w:after="20"/>
            </w:pPr>
            <w:r>
              <w:rPr>
                <w:rFonts w:ascii="Segoe UI" w:hAnsi="Segoe UI" w:cs="Segoe UI" w:eastAsia="Segoe UI"/>
                <w:color w:val="101820"/>
                <w:sz w:val="18"/>
              </w:rPr>
              <w:t>Due to Insurers</w:t>
            </w:r>
          </w:p>
        </w:tc>
        <w:tc>
          <w:tcPr>
            <w:tcW w:type="dxa" w:w="2352"/>
          </w:tcPr>
          <w:p>
            <w:pPr>
              <w:spacing w:after="20"/>
            </w:pPr>
            <w:r>
              <w:rPr>
                <w:rFonts w:ascii="Segoe UI" w:hAnsi="Segoe UI" w:cs="Segoe UI" w:eastAsia="Segoe UI"/>
                <w:color w:val="101820"/>
                <w:sz w:val="18"/>
              </w:rPr>
              <w:t>GL balance per insurer = insurer statements less items in dispute</w:t>
            </w:r>
          </w:p>
        </w:tc>
        <w:tc>
          <w:tcPr>
            <w:tcW w:type="dxa" w:w="2352"/>
          </w:tcPr>
          <w:p>
            <w:pPr>
              <w:spacing w:after="20"/>
            </w:pPr>
            <w:r>
              <w:rPr>
                <w:rFonts w:ascii="Segoe UI" w:hAnsi="Segoe UI" w:cs="Segoe UI" w:eastAsia="Segoe UI"/>
                <w:color w:val="101820"/>
                <w:sz w:val="18"/>
              </w:rPr>
              <w:t>Trial balance; Aged Payables to Insurers; Due to Insurers by Co-insurer</w:t>
            </w:r>
          </w:p>
        </w:tc>
        <w:tc>
          <w:tcPr>
            <w:tcW w:type="dxa" w:w="1960"/>
          </w:tcPr>
          <w:p>
            <w:pPr>
              <w:spacing w:after="20"/>
            </w:pPr>
            <w:r>
              <w:rPr>
                <w:rFonts w:ascii="Segoe UI" w:hAnsi="Segoe UI" w:cs="Segoe UI" w:eastAsia="Segoe UI"/>
                <w:color w:val="101820"/>
                <w:sz w:val="18"/>
              </w:rPr>
              <w:t>Exact, or reconciled list of differences</w:t>
            </w:r>
          </w:p>
        </w:tc>
      </w:tr>
      <w:tr>
        <w:tc>
          <w:tcPr>
            <w:tcW w:type="dxa" w:w="2352"/>
          </w:tcPr>
          <w:p>
            <w:pPr>
              <w:spacing w:after="20"/>
            </w:pPr>
            <w:r>
              <w:rPr>
                <w:rFonts w:ascii="Segoe UI" w:hAnsi="Segoe UI" w:cs="Segoe UI" w:eastAsia="Segoe UI"/>
                <w:color w:val="101820"/>
                <w:sz w:val="18"/>
              </w:rPr>
              <w:t>Bank accounts</w:t>
            </w:r>
          </w:p>
        </w:tc>
        <w:tc>
          <w:tcPr>
            <w:tcW w:type="dxa" w:w="2352"/>
          </w:tcPr>
          <w:p>
            <w:pPr>
              <w:spacing w:after="20"/>
            </w:pPr>
            <w:r>
              <w:rPr>
                <w:rFonts w:ascii="Segoe UI" w:hAnsi="Segoe UI" w:cs="Segoe UI" w:eastAsia="Segoe UI"/>
                <w:color w:val="101820"/>
                <w:sz w:val="18"/>
              </w:rPr>
              <w:t>GL cash balance = bank balance less outstanding items of the old reconciliation</w:t>
            </w:r>
          </w:p>
        </w:tc>
        <w:tc>
          <w:tcPr>
            <w:tcW w:type="dxa" w:w="2352"/>
          </w:tcPr>
          <w:p>
            <w:pPr>
              <w:spacing w:after="20"/>
            </w:pPr>
            <w:r>
              <w:rPr>
                <w:rFonts w:ascii="Segoe UI" w:hAnsi="Segoe UI" w:cs="Segoe UI" w:eastAsia="Segoe UI"/>
                <w:color w:val="101820"/>
                <w:sz w:val="18"/>
              </w:rPr>
              <w:t>Trial balance; bank statements</w:t>
            </w:r>
          </w:p>
        </w:tc>
        <w:tc>
          <w:tcPr>
            <w:tcW w:type="dxa" w:w="1960"/>
          </w:tcPr>
          <w:p>
            <w:pPr>
              <w:spacing w:after="20"/>
            </w:pPr>
            <w:r>
              <w:rPr>
                <w:rFonts w:ascii="Segoe UI" w:hAnsi="Segoe UI" w:cs="Segoe UI" w:eastAsia="Segoe UI"/>
                <w:color w:val="101820"/>
                <w:sz w:val="18"/>
              </w:rPr>
              <w:t>Exact</w:t>
            </w:r>
          </w:p>
        </w:tc>
      </w:tr>
      <w:tr>
        <w:tc>
          <w:tcPr>
            <w:tcW w:type="dxa" w:w="2352"/>
          </w:tcPr>
          <w:p>
            <w:pPr>
              <w:spacing w:after="20"/>
            </w:pPr>
            <w:r>
              <w:rPr>
                <w:rFonts w:ascii="Segoe UI" w:hAnsi="Segoe UI" w:cs="Segoe UI" w:eastAsia="Segoe UI"/>
                <w:color w:val="101820"/>
                <w:sz w:val="18"/>
              </w:rPr>
              <w:t>Leads and quotations</w:t>
            </w:r>
          </w:p>
        </w:tc>
        <w:tc>
          <w:tcPr>
            <w:tcW w:type="dxa" w:w="2352"/>
          </w:tcPr>
          <w:p>
            <w:pPr>
              <w:spacing w:after="20"/>
            </w:pPr>
            <w:r>
              <w:rPr>
                <w:rFonts w:ascii="Segoe UI" w:hAnsi="Segoe UI" w:cs="Segoe UI" w:eastAsia="Segoe UI"/>
                <w:color w:val="101820"/>
                <w:sz w:val="18"/>
              </w:rPr>
              <w:t>Count</w:t>
            </w:r>
          </w:p>
        </w:tc>
        <w:tc>
          <w:tcPr>
            <w:tcW w:type="dxa" w:w="2352"/>
          </w:tcPr>
          <w:p>
            <w:pPr>
              <w:spacing w:after="20"/>
            </w:pPr>
            <w:r>
              <w:rPr>
                <w:rFonts w:ascii="Segoe UI" w:hAnsi="Segoe UI" w:cs="Segoe UI" w:eastAsia="Segoe UI"/>
                <w:color w:val="101820"/>
                <w:sz w:val="18"/>
              </w:rPr>
              <w:t>Prospects and Quotations lists</w:t>
            </w:r>
          </w:p>
        </w:tc>
        <w:tc>
          <w:tcPr>
            <w:tcW w:type="dxa" w:w="1960"/>
          </w:tcPr>
          <w:p>
            <w:pPr>
              <w:spacing w:after="20"/>
            </w:pPr>
            <w:r>
              <w:rPr>
                <w:rFonts w:ascii="Segoe UI" w:hAnsi="Segoe UI" w:cs="Segoe UI" w:eastAsia="Segoe UI"/>
                <w:color w:val="101820"/>
                <w:sz w:val="18"/>
              </w:rPr>
              <w:t>Exact</w:t>
            </w:r>
          </w:p>
        </w:tc>
      </w:tr>
    </w:tbl>
    <w:p>
      <w:pPr>
        <w:spacing w:after="80"/>
      </w:pPr>
    </w:p>
    <w:p>
      <w:pPr>
        <w:pStyle w:val="Heading2"/>
      </w:pPr>
      <w:r>
        <w:rPr>
          <w:rFonts w:ascii="Segoe UI" w:hAnsi="Segoe UI" w:cs="Segoe UI" w:eastAsia="Segoe UI"/>
          <w:b/>
          <w:color w:val="0F4761"/>
          <w:sz w:val="26"/>
        </w:rPr>
        <w:t>7.3  Checks of meaning</w:t>
      </w:r>
    </w:p>
    <w:p>
      <w:pPr>
        <w:spacing w:after="120" w:line="276" w:lineRule="auto"/>
      </w:pPr>
      <w:r>
        <w:rPr>
          <w:rFonts w:ascii="Segoe UI" w:hAnsi="Segoe UI" w:cs="Segoe UI" w:eastAsia="Segoe UI"/>
          <w:color w:val="101820"/>
          <w:sz w:val="21"/>
        </w:rPr>
        <w:t>Counts and totals agree even when data is wrong in the detail, so the key users also check samples:</w:t>
      </w:r>
    </w:p>
    <w:p>
      <w:pPr>
        <w:spacing w:after="60"/>
        <w:numPr>
          <w:ilvl w:val="0"/>
          <w:numId w:val="3"/>
        </w:numPr>
      </w:pPr>
      <w:r>
        <w:rPr>
          <w:rFonts w:ascii="Segoe UI" w:hAnsi="Segoe UI" w:cs="Segoe UI" w:eastAsia="Segoe UI"/>
          <w:color w:val="101820"/>
          <w:sz w:val="21"/>
        </w:rPr>
        <w:t>20 policies per line of business opened on the screen: insured, insurer, dates, sum insured, premium, plate number for motor.</w:t>
      </w:r>
    </w:p>
    <w:p>
      <w:pPr>
        <w:spacing w:after="60"/>
        <w:numPr>
          <w:ilvl w:val="0"/>
          <w:numId w:val="3"/>
        </w:numPr>
      </w:pPr>
      <w:r>
        <w:rPr>
          <w:rFonts w:ascii="Segoe UI" w:hAnsi="Segoe UI" w:cs="Segoe UI" w:eastAsia="Segoe UI"/>
          <w:color w:val="101820"/>
          <w:sz w:val="21"/>
        </w:rPr>
        <w:t>20 open items: policy, bill reference, due date, balance, ageing bucket.</w:t>
      </w:r>
    </w:p>
    <w:p>
      <w:pPr>
        <w:spacing w:after="60"/>
        <w:numPr>
          <w:ilvl w:val="0"/>
          <w:numId w:val="3"/>
        </w:numPr>
      </w:pPr>
      <w:r>
        <w:rPr>
          <w:rFonts w:ascii="Segoe UI" w:hAnsi="Segoe UI" w:cs="Segoe UI" w:eastAsia="Segoe UI"/>
          <w:color w:val="101820"/>
          <w:sz w:val="21"/>
        </w:rPr>
        <w:t>One receipt posted in UAT on a migrated open item (UAT script F1) and a claim registered on a migrated policy without open premium (UAT script C1).</w:t>
      </w:r>
    </w:p>
    <w:p>
      <w:pPr>
        <w:spacing w:after="60"/>
        <w:numPr>
          <w:ilvl w:val="0"/>
          <w:numId w:val="3"/>
        </w:numPr>
      </w:pPr>
      <w:r>
        <w:rPr>
          <w:rFonts w:ascii="Segoe UI" w:hAnsi="Segoe UI" w:cs="Segoe UI" w:eastAsia="Segoe UI"/>
          <w:color w:val="101820"/>
          <w:sz w:val="21"/>
        </w:rPr>
        <w:t>Trial balance reviewed line by line by the Accounting Manager (UAT script F7); the ageing compared bucket by bucket (UAT script F6).</w:t>
      </w:r>
    </w:p>
    <w:p>
      <w:pPr>
        <w:spacing w:after="60"/>
        <w:numPr>
          <w:ilvl w:val="0"/>
          <w:numId w:val="3"/>
        </w:numPr>
      </w:pPr>
      <w:r>
        <w:rPr>
          <w:rFonts w:ascii="Segoe UI" w:hAnsi="Segoe UI" w:cs="Segoe UI" w:eastAsia="Segoe UI"/>
          <w:color w:val="101820"/>
          <w:sz w:val="21"/>
        </w:rPr>
        <w:t>Document numbers: one test document of each series shows the next number set from the old system, including the official receipt series registered with the BIR.</w:t>
      </w:r>
    </w:p>
    <w:p>
      <w:pPr>
        <w:pStyle w:val="Heading2"/>
      </w:pPr>
      <w:r>
        <w:rPr>
          <w:rFonts w:ascii="Segoe UI" w:hAnsi="Segoe UI" w:cs="Segoe UI" w:eastAsia="Segoe UI"/>
          <w:b/>
          <w:color w:val="0F4761"/>
          <w:sz w:val="26"/>
        </w:rPr>
        <w:t>7.4  Reconciliation report</w:t>
      </w:r>
    </w:p>
    <w:p>
      <w:pPr>
        <w:spacing w:after="120" w:line="276" w:lineRule="auto"/>
      </w:pPr>
      <w:r>
        <w:rPr>
          <w:rFonts w:ascii="Segoe UI" w:hAnsi="Segoe UI" w:cs="Segoe UI" w:eastAsia="Segoe UI"/>
          <w:color w:val="101820"/>
          <w:sz w:val="21"/>
        </w:rPr>
        <w:t>Each load produces a reconciliation report: control figures, figures from BrokerVerse, differences with the explanation and the action, and the sign-off of the data owner and, for financial objects, the Accounting Manager.</w:t>
      </w:r>
    </w:p>
    <w:p>
      <w:pPr>
        <w:pStyle w:val="Heading1"/>
        <w:pageBreakBefore/>
      </w:pPr>
      <w:r>
        <w:rPr>
          <w:rFonts w:ascii="Segoe UI" w:hAnsi="Segoe UI" w:cs="Segoe UI" w:eastAsia="Segoe UI"/>
          <w:b/>
          <w:color w:val="0F4761"/>
          <w:sz w:val="32"/>
        </w:rPr>
        <w:t>8.  Mock loads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254"/>
        <w:gridCol w:w="2254"/>
        <w:gridCol w:w="2254"/>
        <w:gridCol w:w="2254"/>
      </w:tblGrid>
      <w:tr>
        <w:trPr>
          <w:tblHeader w:val="true"/>
        </w:trPr>
        <w:tc>
          <w:tcPr>
            <w:tcW w:type="dxa" w:w="2254"/>
            <w:shd w:val="clear" w:color="auto" w:fill="DCE9F7"/>
          </w:tcPr>
          <w:p>
            <w:pPr>
              <w:spacing w:after="20"/>
            </w:pPr>
            <w:r>
              <w:rPr>
                <w:rFonts w:ascii="Segoe UI" w:hAnsi="Segoe UI" w:cs="Segoe UI" w:eastAsia="Segoe UI"/>
                <w:b/>
                <w:color w:val="0F4761"/>
                <w:sz w:val="18"/>
              </w:rPr>
              <w:t>Mock load</w:t>
            </w:r>
          </w:p>
        </w:tc>
        <w:tc>
          <w:tcPr>
            <w:tcW w:type="dxa" w:w="2254"/>
            <w:shd w:val="clear" w:color="auto" w:fill="DCE9F7"/>
          </w:tcPr>
          <w:p>
            <w:pPr>
              <w:spacing w:after="20"/>
            </w:pPr>
            <w:r>
              <w:rPr>
                <w:rFonts w:ascii="Segoe UI" w:hAnsi="Segoe UI" w:cs="Segoe UI" w:eastAsia="Segoe UI"/>
                <w:b/>
                <w:color w:val="0F4761"/>
                <w:sz w:val="18"/>
              </w:rPr>
              <w:t>Purpose</w:t>
            </w:r>
          </w:p>
        </w:tc>
        <w:tc>
          <w:tcPr>
            <w:tcW w:type="dxa" w:w="2254"/>
            <w:shd w:val="clear" w:color="auto" w:fill="DCE9F7"/>
          </w:tcPr>
          <w:p>
            <w:pPr>
              <w:spacing w:after="20"/>
            </w:pPr>
            <w:r>
              <w:rPr>
                <w:rFonts w:ascii="Segoe UI" w:hAnsi="Segoe UI" w:cs="Segoe UI" w:eastAsia="Segoe UI"/>
                <w:b/>
                <w:color w:val="0F4761"/>
                <w:sz w:val="18"/>
              </w:rPr>
              <w:t>Data</w:t>
            </w:r>
          </w:p>
        </w:tc>
        <w:tc>
          <w:tcPr>
            <w:tcW w:type="dxa" w:w="2254"/>
            <w:shd w:val="clear" w:color="auto" w:fill="DCE9F7"/>
          </w:tcPr>
          <w:p>
            <w:pPr>
              <w:spacing w:after="20"/>
            </w:pPr>
            <w:r>
              <w:rPr>
                <w:rFonts w:ascii="Segoe UI" w:hAnsi="Segoe UI" w:cs="Segoe UI" w:eastAsia="Segoe UI"/>
                <w:b/>
                <w:color w:val="0F4761"/>
                <w:sz w:val="18"/>
              </w:rPr>
              <w:t>Exit criteria</w:t>
            </w:r>
          </w:p>
        </w:tc>
      </w:tr>
      <w:tr>
        <w:tc>
          <w:tcPr>
            <w:tcW w:type="dxa" w:w="2254"/>
          </w:tcPr>
          <w:p>
            <w:pPr>
              <w:spacing w:after="20"/>
            </w:pPr>
            <w:r>
              <w:rPr>
                <w:rFonts w:ascii="Segoe UI" w:hAnsi="Segoe UI" w:cs="Segoe UI" w:eastAsia="Segoe UI"/>
                <w:color w:val="101820"/>
                <w:sz w:val="18"/>
              </w:rPr>
              <w:t>Mock 1</w:t>
            </w:r>
          </w:p>
        </w:tc>
        <w:tc>
          <w:tcPr>
            <w:tcW w:type="dxa" w:w="2254"/>
          </w:tcPr>
          <w:p>
            <w:pPr>
              <w:spacing w:after="20"/>
            </w:pPr>
            <w:r>
              <w:rPr>
                <w:rFonts w:ascii="Segoe UI" w:hAnsi="Segoe UI" w:cs="Segoe UI" w:eastAsia="Segoe UI"/>
                <w:color w:val="101820"/>
                <w:sz w:val="18"/>
              </w:rPr>
              <w:t>Prove mapping and templates; find data quality issues</w:t>
            </w:r>
          </w:p>
        </w:tc>
        <w:tc>
          <w:tcPr>
            <w:tcW w:type="dxa" w:w="2254"/>
          </w:tcPr>
          <w:p>
            <w:pPr>
              <w:spacing w:after="20"/>
            </w:pPr>
            <w:r>
              <w:rPr>
                <w:rFonts w:ascii="Segoe UI" w:hAnsi="Segoe UI" w:cs="Segoe UI" w:eastAsia="Segoe UI"/>
                <w:color w:val="101820"/>
                <w:sz w:val="18"/>
              </w:rPr>
              <w:t>Full extract from the old system at a recent date</w:t>
            </w:r>
          </w:p>
        </w:tc>
        <w:tc>
          <w:tcPr>
            <w:tcW w:type="dxa" w:w="2254"/>
          </w:tcPr>
          <w:p>
            <w:pPr>
              <w:spacing w:after="20"/>
            </w:pPr>
            <w:r>
              <w:rPr>
                <w:rFonts w:ascii="Segoe UI" w:hAnsi="Segoe UI" w:cs="Segoe UI" w:eastAsia="Segoe UI"/>
                <w:color w:val="101820"/>
                <w:sz w:val="18"/>
              </w:rPr>
              <w:t>All files load; failures listed and assigned for cleansing</w:t>
            </w:r>
          </w:p>
        </w:tc>
      </w:tr>
      <w:tr>
        <w:tc>
          <w:tcPr>
            <w:tcW w:type="dxa" w:w="2254"/>
          </w:tcPr>
          <w:p>
            <w:pPr>
              <w:spacing w:after="20"/>
            </w:pPr>
            <w:r>
              <w:rPr>
                <w:rFonts w:ascii="Segoe UI" w:hAnsi="Segoe UI" w:cs="Segoe UI" w:eastAsia="Segoe UI"/>
                <w:color w:val="101820"/>
                <w:sz w:val="18"/>
              </w:rPr>
              <w:t>Mock 2</w:t>
            </w:r>
          </w:p>
        </w:tc>
        <w:tc>
          <w:tcPr>
            <w:tcW w:type="dxa" w:w="2254"/>
          </w:tcPr>
          <w:p>
            <w:pPr>
              <w:spacing w:after="20"/>
            </w:pPr>
            <w:r>
              <w:rPr>
                <w:rFonts w:ascii="Segoe UI" w:hAnsi="Segoe UI" w:cs="Segoe UI" w:eastAsia="Segoe UI"/>
                <w:color w:val="101820"/>
                <w:sz w:val="18"/>
              </w:rPr>
              <w:t>Prove cleansing; measure load times; reconcile</w:t>
            </w:r>
          </w:p>
        </w:tc>
        <w:tc>
          <w:tcPr>
            <w:tcW w:type="dxa" w:w="2254"/>
          </w:tcPr>
          <w:p>
            <w:pPr>
              <w:spacing w:after="20"/>
            </w:pPr>
            <w:r>
              <w:rPr>
                <w:rFonts w:ascii="Segoe UI" w:hAnsi="Segoe UI" w:cs="Segoe UI" w:eastAsia="Segoe UI"/>
                <w:color w:val="101820"/>
                <w:sz w:val="18"/>
              </w:rPr>
              <w:t>Fresh extract after cleansing</w:t>
            </w:r>
          </w:p>
        </w:tc>
        <w:tc>
          <w:tcPr>
            <w:tcW w:type="dxa" w:w="2254"/>
          </w:tcPr>
          <w:p>
            <w:pPr>
              <w:spacing w:after="20"/>
            </w:pPr>
            <w:r>
              <w:rPr>
                <w:rFonts w:ascii="Segoe UI" w:hAnsi="Segoe UI" w:cs="Segoe UI" w:eastAsia="Segoe UI"/>
                <w:color w:val="101820"/>
                <w:sz w:val="18"/>
              </w:rPr>
              <w:t>Failures below 1% of rows and explained; all control figures reconcile</w:t>
            </w:r>
          </w:p>
        </w:tc>
      </w:tr>
      <w:tr>
        <w:tc>
          <w:tcPr>
            <w:tcW w:type="dxa" w:w="2254"/>
          </w:tcPr>
          <w:p>
            <w:pPr>
              <w:spacing w:after="20"/>
            </w:pPr>
            <w:r>
              <w:rPr>
                <w:rFonts w:ascii="Segoe UI" w:hAnsi="Segoe UI" w:cs="Segoe UI" w:eastAsia="Segoe UI"/>
                <w:color w:val="101820"/>
                <w:sz w:val="18"/>
              </w:rPr>
              <w:t>Mock 3 (large)</w:t>
            </w:r>
          </w:p>
        </w:tc>
        <w:tc>
          <w:tcPr>
            <w:tcW w:type="dxa" w:w="2254"/>
          </w:tcPr>
          <w:p>
            <w:pPr>
              <w:spacing w:after="20"/>
            </w:pPr>
            <w:r>
              <w:rPr>
                <w:rFonts w:ascii="Segoe UI" w:hAnsi="Segoe UI" w:cs="Segoe UI" w:eastAsia="Segoe UI"/>
                <w:color w:val="101820"/>
                <w:sz w:val="18"/>
              </w:rPr>
              <w:t>Full rehearsal on fresh data</w:t>
            </w:r>
          </w:p>
        </w:tc>
        <w:tc>
          <w:tcPr>
            <w:tcW w:type="dxa" w:w="2254"/>
          </w:tcPr>
          <w:p>
            <w:pPr>
              <w:spacing w:after="20"/>
            </w:pPr>
            <w:r>
              <w:rPr>
                <w:rFonts w:ascii="Segoe UI" w:hAnsi="Segoe UI" w:cs="Segoe UI" w:eastAsia="Segoe UI"/>
                <w:color w:val="101820"/>
                <w:sz w:val="18"/>
              </w:rPr>
              <w:t>Fresh extract at a month-end</w:t>
            </w:r>
          </w:p>
        </w:tc>
        <w:tc>
          <w:tcPr>
            <w:tcW w:type="dxa" w:w="2254"/>
          </w:tcPr>
          <w:p>
            <w:pPr>
              <w:spacing w:after="20"/>
            </w:pPr>
            <w:r>
              <w:rPr>
                <w:rFonts w:ascii="Segoe UI" w:hAnsi="Segoe UI" w:cs="Segoe UI" w:eastAsia="Segoe UI"/>
                <w:color w:val="101820"/>
                <w:sz w:val="18"/>
              </w:rPr>
              <w:t>All control figures reconcile; UAT on migrated data passes</w:t>
            </w:r>
          </w:p>
        </w:tc>
      </w:tr>
      <w:tr>
        <w:tc>
          <w:tcPr>
            <w:tcW w:type="dxa" w:w="2254"/>
          </w:tcPr>
          <w:p>
            <w:pPr>
              <w:spacing w:after="20"/>
            </w:pPr>
            <w:r>
              <w:rPr>
                <w:rFonts w:ascii="Segoe UI" w:hAnsi="Segoe UI" w:cs="Segoe UI" w:eastAsia="Segoe UI"/>
                <w:color w:val="101820"/>
                <w:sz w:val="18"/>
              </w:rPr>
              <w:t>Cutover rehearsal (small: third load; medium: mock 3; large: mock 4)</w:t>
            </w:r>
          </w:p>
        </w:tc>
        <w:tc>
          <w:tcPr>
            <w:tcW w:type="dxa" w:w="2254"/>
          </w:tcPr>
          <w:p>
            <w:pPr>
              <w:spacing w:after="20"/>
            </w:pPr>
            <w:r>
              <w:rPr>
                <w:rFonts w:ascii="Segoe UI" w:hAnsi="Segoe UI" w:cs="Segoe UI" w:eastAsia="Segoe UI"/>
                <w:color w:val="101820"/>
                <w:sz w:val="18"/>
              </w:rPr>
              <w:t>Cutover rehearsal with the cutover timetable, in Pre-Prod</w:t>
            </w:r>
          </w:p>
        </w:tc>
        <w:tc>
          <w:tcPr>
            <w:tcW w:type="dxa" w:w="2254"/>
          </w:tcPr>
          <w:p>
            <w:pPr>
              <w:spacing w:after="20"/>
            </w:pPr>
            <w:r>
              <w:rPr>
                <w:rFonts w:ascii="Segoe UI" w:hAnsi="Segoe UI" w:cs="Segoe UI" w:eastAsia="Segoe UI"/>
                <w:color w:val="101820"/>
                <w:sz w:val="18"/>
              </w:rPr>
              <w:t>Fresh extract</w:t>
            </w:r>
          </w:p>
        </w:tc>
        <w:tc>
          <w:tcPr>
            <w:tcW w:type="dxa" w:w="2254"/>
          </w:tcPr>
          <w:p>
            <w:pPr>
              <w:spacing w:after="20"/>
            </w:pPr>
            <w:r>
              <w:rPr>
                <w:rFonts w:ascii="Segoe UI" w:hAnsi="Segoe UI" w:cs="Segoe UI" w:eastAsia="Segoe UI"/>
                <w:color w:val="101820"/>
                <w:sz w:val="18"/>
              </w:rPr>
              <w:t>Done inside the cutover window; reconciliation signed</w:t>
            </w:r>
          </w:p>
        </w:tc>
      </w:tr>
    </w:tbl>
    <w:p>
      <w:pPr>
        <w:spacing w:after="80"/>
      </w:pPr>
    </w:p>
    <w:p>
      <w:pPr>
        <w:spacing w:after="120" w:line="276" w:lineRule="auto"/>
      </w:pPr>
      <w:r>
        <w:rPr>
          <w:rFonts w:ascii="Segoe UI" w:hAnsi="Segoe UI" w:cs="Segoe UI" w:eastAsia="Segoe UI"/>
          <w:color w:val="101820"/>
          <w:sz w:val="21"/>
        </w:rPr>
        <w:t>Each mock load runs in UAT (small and medium broker) or in SIT and UAT (large broker) on a database reset to reference data plus the agreed configuration. The cutover rehearsal runs in a temporary Pre-Prod restored from a backup of the configured Production environment (Environment Strategy and Production Rollout Plan). The time of each step is recorded and used for the cutover timetable. Small brokers run two mock loads and then the rehearsal.</w:t>
      </w:r>
    </w:p>
    <w:p>
      <w:pPr>
        <w:pStyle w:val="Heading1"/>
        <w:pageBreakBefore/>
      </w:pPr>
      <w:r>
        <w:rPr>
          <w:rFonts w:ascii="Segoe UI" w:hAnsi="Segoe UI" w:cs="Segoe UI" w:eastAsia="Segoe UI"/>
          <w:b/>
          <w:color w:val="0F4761"/>
          <w:sz w:val="32"/>
        </w:rPr>
        <w:t>9.  Cutover</w:t>
      </w:r>
    </w:p>
    <w:p>
      <w:pPr>
        <w:pStyle w:val="Heading2"/>
      </w:pPr>
      <w:r>
        <w:rPr>
          <w:rFonts w:ascii="Segoe UI" w:hAnsi="Segoe UI" w:cs="Segoe UI" w:eastAsia="Segoe UI"/>
          <w:b/>
          <w:color w:val="0F4761"/>
          <w:sz w:val="26"/>
        </w:rPr>
        <w:t>9.1  Cutover timetable (example for a go-live on a Monday)</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372"/>
        <w:gridCol w:w="3795"/>
        <w:gridCol w:w="2847"/>
      </w:tblGrid>
      <w:tr>
        <w:trPr>
          <w:tblHeader w:val="true"/>
        </w:trPr>
        <w:tc>
          <w:tcPr>
            <w:tcW w:type="dxa" w:w="2372"/>
            <w:shd w:val="clear" w:color="auto" w:fill="DCE9F7"/>
          </w:tcPr>
          <w:p>
            <w:pPr>
              <w:spacing w:after="20"/>
            </w:pPr>
            <w:r>
              <w:rPr>
                <w:rFonts w:ascii="Segoe UI" w:hAnsi="Segoe UI" w:cs="Segoe UI" w:eastAsia="Segoe UI"/>
                <w:b/>
                <w:color w:val="0F4761"/>
                <w:sz w:val="18"/>
              </w:rPr>
              <w:t>When</w:t>
            </w:r>
          </w:p>
        </w:tc>
        <w:tc>
          <w:tcPr>
            <w:tcW w:type="dxa" w:w="3795"/>
            <w:shd w:val="clear" w:color="auto" w:fill="DCE9F7"/>
          </w:tcPr>
          <w:p>
            <w:pPr>
              <w:spacing w:after="20"/>
            </w:pPr>
            <w:r>
              <w:rPr>
                <w:rFonts w:ascii="Segoe UI" w:hAnsi="Segoe UI" w:cs="Segoe UI" w:eastAsia="Segoe UI"/>
                <w:b/>
                <w:color w:val="0F4761"/>
                <w:sz w:val="18"/>
              </w:rPr>
              <w:t>Activity</w:t>
            </w:r>
          </w:p>
        </w:tc>
        <w:tc>
          <w:tcPr>
            <w:tcW w:type="dxa" w:w="2847"/>
            <w:shd w:val="clear" w:color="auto" w:fill="DCE9F7"/>
          </w:tcPr>
          <w:p>
            <w:pPr>
              <w:spacing w:after="20"/>
            </w:pPr>
            <w:r>
              <w:rPr>
                <w:rFonts w:ascii="Segoe UI" w:hAnsi="Segoe UI" w:cs="Segoe UI" w:eastAsia="Segoe UI"/>
                <w:b/>
                <w:color w:val="0F4761"/>
                <w:sz w:val="18"/>
              </w:rPr>
              <w:t>Owner</w:t>
            </w:r>
          </w:p>
        </w:tc>
      </w:tr>
      <w:tr>
        <w:tc>
          <w:tcPr>
            <w:tcW w:type="dxa" w:w="2372"/>
          </w:tcPr>
          <w:p>
            <w:pPr>
              <w:spacing w:after="20"/>
            </w:pPr>
            <w:r>
              <w:rPr>
                <w:rFonts w:ascii="Segoe UI" w:hAnsi="Segoe UI" w:cs="Segoe UI" w:eastAsia="Segoe UI"/>
                <w:color w:val="101820"/>
                <w:sz w:val="18"/>
              </w:rPr>
              <w:t>Go-live minus 10 business days</w:t>
            </w:r>
          </w:p>
        </w:tc>
        <w:tc>
          <w:tcPr>
            <w:tcW w:type="dxa" w:w="3795"/>
          </w:tcPr>
          <w:p>
            <w:pPr>
              <w:spacing w:after="20"/>
            </w:pPr>
            <w:r>
              <w:rPr>
                <w:rFonts w:ascii="Segoe UI" w:hAnsi="Segoe UI" w:cs="Segoe UI" w:eastAsia="Segoe UI"/>
                <w:color w:val="101820"/>
                <w:sz w:val="18"/>
              </w:rPr>
              <w:t>Go/no-go checkpoint 1: UAT signed, mock rehearsal reconciled, training done, configuration copied to production</w:t>
            </w:r>
          </w:p>
        </w:tc>
        <w:tc>
          <w:tcPr>
            <w:tcW w:type="dxa" w:w="2847"/>
          </w:tcPr>
          <w:p>
            <w:pPr>
              <w:spacing w:after="20"/>
            </w:pPr>
            <w:r>
              <w:rPr>
                <w:rFonts w:ascii="Segoe UI" w:hAnsi="Segoe UI" w:cs="Segoe UI" w:eastAsia="Segoe UI"/>
                <w:color w:val="101820"/>
                <w:sz w:val="18"/>
              </w:rPr>
              <w:t>Steering committee</w:t>
            </w:r>
          </w:p>
        </w:tc>
      </w:tr>
      <w:tr>
        <w:tc>
          <w:tcPr>
            <w:tcW w:type="dxa" w:w="2372"/>
          </w:tcPr>
          <w:p>
            <w:pPr>
              <w:spacing w:after="20"/>
            </w:pPr>
            <w:r>
              <w:rPr>
                <w:rFonts w:ascii="Segoe UI" w:hAnsi="Segoe UI" w:cs="Segoe UI" w:eastAsia="Segoe UI"/>
                <w:color w:val="101820"/>
                <w:sz w:val="18"/>
              </w:rPr>
              <w:t>Go-live minus 5 business days</w:t>
            </w:r>
          </w:p>
        </w:tc>
        <w:tc>
          <w:tcPr>
            <w:tcW w:type="dxa" w:w="3795"/>
          </w:tcPr>
          <w:p>
            <w:pPr>
              <w:spacing w:after="20"/>
            </w:pPr>
            <w:r>
              <w:rPr>
                <w:rFonts w:ascii="Segoe UI" w:hAnsi="Segoe UI" w:cs="Segoe UI" w:eastAsia="Segoe UI"/>
                <w:color w:val="101820"/>
                <w:sz w:val="18"/>
              </w:rPr>
              <w:t>Communication to users, insurers and banks; production smoke test; users created in production and first sign-in tested</w:t>
            </w:r>
          </w:p>
        </w:tc>
        <w:tc>
          <w:tcPr>
            <w:tcW w:type="dxa" w:w="2847"/>
          </w:tcPr>
          <w:p>
            <w:pPr>
              <w:spacing w:after="20"/>
            </w:pPr>
            <w:r>
              <w:rPr>
                <w:rFonts w:ascii="Segoe UI" w:hAnsi="Segoe UI" w:cs="Segoe UI" w:eastAsia="Segoe UI"/>
                <w:color w:val="101820"/>
                <w:sz w:val="18"/>
              </w:rPr>
              <w:t>Broker PM, System Administrator</w:t>
            </w:r>
          </w:p>
        </w:tc>
      </w:tr>
      <w:tr>
        <w:tc>
          <w:tcPr>
            <w:tcW w:type="dxa" w:w="2372"/>
          </w:tcPr>
          <w:p>
            <w:pPr>
              <w:spacing w:after="20"/>
            </w:pPr>
            <w:r>
              <w:rPr>
                <w:rFonts w:ascii="Segoe UI" w:hAnsi="Segoe UI" w:cs="Segoe UI" w:eastAsia="Segoe UI"/>
                <w:color w:val="101820"/>
                <w:sz w:val="18"/>
              </w:rPr>
              <w:t>Go-live minus 3 business days</w:t>
            </w:r>
          </w:p>
        </w:tc>
        <w:tc>
          <w:tcPr>
            <w:tcW w:type="dxa" w:w="3795"/>
          </w:tcPr>
          <w:p>
            <w:pPr>
              <w:spacing w:after="20"/>
            </w:pPr>
            <w:r>
              <w:rPr>
                <w:rFonts w:ascii="Segoe UI" w:hAnsi="Segoe UI" w:cs="Segoe UI" w:eastAsia="Segoe UI"/>
                <w:color w:val="101820"/>
                <w:sz w:val="18"/>
              </w:rPr>
              <w:t>Masters loaded and reconciled in production (steps 1 to 13); document numbering checked</w:t>
            </w:r>
          </w:p>
        </w:tc>
        <w:tc>
          <w:tcPr>
            <w:tcW w:type="dxa" w:w="2847"/>
          </w:tcPr>
          <w:p>
            <w:pPr>
              <w:spacing w:after="20"/>
            </w:pPr>
            <w:r>
              <w:rPr>
                <w:rFonts w:ascii="Segoe UI" w:hAnsi="Segoe UI" w:cs="Segoe UI" w:eastAsia="Segoe UI"/>
                <w:color w:val="101820"/>
                <w:sz w:val="18"/>
              </w:rPr>
              <w:t>System Administrator, migration lead</w:t>
            </w:r>
          </w:p>
        </w:tc>
      </w:tr>
      <w:tr>
        <w:tc>
          <w:tcPr>
            <w:tcW w:type="dxa" w:w="2372"/>
          </w:tcPr>
          <w:p>
            <w:pPr>
              <w:spacing w:after="20"/>
            </w:pPr>
            <w:r>
              <w:rPr>
                <w:rFonts w:ascii="Segoe UI" w:hAnsi="Segoe UI" w:cs="Segoe UI" w:eastAsia="Segoe UI"/>
                <w:color w:val="101820"/>
                <w:sz w:val="18"/>
              </w:rPr>
              <w:t>Friday, end of day</w:t>
            </w:r>
          </w:p>
        </w:tc>
        <w:tc>
          <w:tcPr>
            <w:tcW w:type="dxa" w:w="3795"/>
          </w:tcPr>
          <w:p>
            <w:pPr>
              <w:spacing w:after="20"/>
            </w:pPr>
            <w:r>
              <w:rPr>
                <w:rFonts w:ascii="Segoe UI" w:hAnsi="Segoe UI" w:cs="Segoe UI" w:eastAsia="Segoe UI"/>
                <w:color w:val="101820"/>
                <w:sz w:val="18"/>
              </w:rPr>
              <w:t>Old system frozen for new transactions; last receipts and vouchers of the day posted there</w:t>
            </w:r>
          </w:p>
        </w:tc>
        <w:tc>
          <w:tcPr>
            <w:tcW w:type="dxa" w:w="2847"/>
          </w:tcPr>
          <w:p>
            <w:pPr>
              <w:spacing w:after="20"/>
            </w:pPr>
            <w:r>
              <w:rPr>
                <w:rFonts w:ascii="Segoe UI" w:hAnsi="Segoe UI" w:cs="Segoe UI" w:eastAsia="Segoe UI"/>
                <w:color w:val="101820"/>
                <w:sz w:val="18"/>
              </w:rPr>
              <w:t>Broker PM</w:t>
            </w:r>
          </w:p>
        </w:tc>
      </w:tr>
      <w:tr>
        <w:tc>
          <w:tcPr>
            <w:tcW w:type="dxa" w:w="2372"/>
          </w:tcPr>
          <w:p>
            <w:pPr>
              <w:spacing w:after="20"/>
            </w:pPr>
            <w:r>
              <w:rPr>
                <w:rFonts w:ascii="Segoe UI" w:hAnsi="Segoe UI" w:cs="Segoe UI" w:eastAsia="Segoe UI"/>
                <w:color w:val="101820"/>
                <w:sz w:val="18"/>
              </w:rPr>
              <w:t>Friday evening</w:t>
            </w:r>
          </w:p>
        </w:tc>
        <w:tc>
          <w:tcPr>
            <w:tcW w:type="dxa" w:w="3795"/>
          </w:tcPr>
          <w:p>
            <w:pPr>
              <w:spacing w:after="20"/>
            </w:pPr>
            <w:r>
              <w:rPr>
                <w:rFonts w:ascii="Segoe UI" w:hAnsi="Segoe UI" w:cs="Segoe UI" w:eastAsia="Segoe UI"/>
                <w:color w:val="101820"/>
                <w:sz w:val="18"/>
              </w:rPr>
              <w:t>Day-end in the old system; extracts: in-force policies, open receivables, trial balance, amounts due to insurers; control figures produced and signed</w:t>
            </w:r>
          </w:p>
        </w:tc>
        <w:tc>
          <w:tcPr>
            <w:tcW w:type="dxa" w:w="2847"/>
          </w:tcPr>
          <w:p>
            <w:pPr>
              <w:spacing w:after="20"/>
            </w:pPr>
            <w:r>
              <w:rPr>
                <w:rFonts w:ascii="Segoe UI" w:hAnsi="Segoe UI" w:cs="Segoe UI" w:eastAsia="Segoe UI"/>
                <w:color w:val="101820"/>
                <w:sz w:val="18"/>
              </w:rPr>
              <w:t>Data owners, Accounting Manager</w:t>
            </w:r>
          </w:p>
        </w:tc>
      </w:tr>
      <w:tr>
        <w:tc>
          <w:tcPr>
            <w:tcW w:type="dxa" w:w="2372"/>
          </w:tcPr>
          <w:p>
            <w:pPr>
              <w:spacing w:after="20"/>
            </w:pPr>
            <w:r>
              <w:rPr>
                <w:rFonts w:ascii="Segoe UI" w:hAnsi="Segoe UI" w:cs="Segoe UI" w:eastAsia="Segoe UI"/>
                <w:color w:val="101820"/>
                <w:sz w:val="18"/>
              </w:rPr>
              <w:t>Saturday</w:t>
            </w:r>
          </w:p>
        </w:tc>
        <w:tc>
          <w:tcPr>
            <w:tcW w:type="dxa" w:w="3795"/>
          </w:tcPr>
          <w:p>
            <w:pPr>
              <w:spacing w:after="20"/>
            </w:pPr>
            <w:r>
              <w:rPr>
                <w:rFonts w:ascii="Segoe UI" w:hAnsi="Segoe UI" w:cs="Segoe UI" w:eastAsia="Segoe UI"/>
                <w:color w:val="101820"/>
                <w:sz w:val="18"/>
              </w:rPr>
              <w:t>Database snapshot of production; load in-force policies, open items, opening balances; reconciliation</w:t>
            </w:r>
          </w:p>
        </w:tc>
        <w:tc>
          <w:tcPr>
            <w:tcW w:type="dxa" w:w="2847"/>
          </w:tcPr>
          <w:p>
            <w:pPr>
              <w:spacing w:after="20"/>
            </w:pPr>
            <w:r>
              <w:rPr>
                <w:rFonts w:ascii="Segoe UI" w:hAnsi="Segoe UI" w:cs="Segoe UI" w:eastAsia="Segoe UI"/>
                <w:color w:val="101820"/>
                <w:sz w:val="18"/>
              </w:rPr>
              <w:t>Migration lead, Accounting</w:t>
            </w:r>
          </w:p>
        </w:tc>
      </w:tr>
      <w:tr>
        <w:tc>
          <w:tcPr>
            <w:tcW w:type="dxa" w:w="2372"/>
          </w:tcPr>
          <w:p>
            <w:pPr>
              <w:spacing w:after="20"/>
            </w:pPr>
            <w:r>
              <w:rPr>
                <w:rFonts w:ascii="Segoe UI" w:hAnsi="Segoe UI" w:cs="Segoe UI" w:eastAsia="Segoe UI"/>
                <w:color w:val="101820"/>
                <w:sz w:val="18"/>
              </w:rPr>
              <w:t>Sunday morning</w:t>
            </w:r>
          </w:p>
        </w:tc>
        <w:tc>
          <w:tcPr>
            <w:tcW w:type="dxa" w:w="3795"/>
          </w:tcPr>
          <w:p>
            <w:pPr>
              <w:spacing w:after="20"/>
            </w:pPr>
            <w:r>
              <w:rPr>
                <w:rFonts w:ascii="Segoe UI" w:hAnsi="Segoe UI" w:cs="Segoe UI" w:eastAsia="Segoe UI"/>
                <w:color w:val="101820"/>
                <w:sz w:val="18"/>
              </w:rPr>
              <w:t>Key user checks of samples; reconciliation reports signed</w:t>
            </w:r>
          </w:p>
        </w:tc>
        <w:tc>
          <w:tcPr>
            <w:tcW w:type="dxa" w:w="2847"/>
          </w:tcPr>
          <w:p>
            <w:pPr>
              <w:spacing w:after="20"/>
            </w:pPr>
            <w:r>
              <w:rPr>
                <w:rFonts w:ascii="Segoe UI" w:hAnsi="Segoe UI" w:cs="Segoe UI" w:eastAsia="Segoe UI"/>
                <w:color w:val="101820"/>
                <w:sz w:val="18"/>
              </w:rPr>
              <w:t>Key users, Accounting Manager</w:t>
            </w:r>
          </w:p>
        </w:tc>
      </w:tr>
      <w:tr>
        <w:tc>
          <w:tcPr>
            <w:tcW w:type="dxa" w:w="2372"/>
          </w:tcPr>
          <w:p>
            <w:pPr>
              <w:spacing w:after="20"/>
            </w:pPr>
            <w:r>
              <w:rPr>
                <w:rFonts w:ascii="Segoe UI" w:hAnsi="Segoe UI" w:cs="Segoe UI" w:eastAsia="Segoe UI"/>
                <w:color w:val="101820"/>
                <w:sz w:val="18"/>
              </w:rPr>
              <w:t>Sunday afternoon</w:t>
            </w:r>
          </w:p>
        </w:tc>
        <w:tc>
          <w:tcPr>
            <w:tcW w:type="dxa" w:w="3795"/>
          </w:tcPr>
          <w:p>
            <w:pPr>
              <w:spacing w:after="20"/>
            </w:pPr>
            <w:r>
              <w:rPr>
                <w:rFonts w:ascii="Segoe UI" w:hAnsi="Segoe UI" w:cs="Segoe UI" w:eastAsia="Segoe UI"/>
                <w:color w:val="101820"/>
                <w:sz w:val="18"/>
              </w:rPr>
              <w:t>Go/no-go checkpoint 2 (final)</w:t>
            </w:r>
          </w:p>
        </w:tc>
        <w:tc>
          <w:tcPr>
            <w:tcW w:type="dxa" w:w="2847"/>
          </w:tcPr>
          <w:p>
            <w:pPr>
              <w:spacing w:after="20"/>
            </w:pPr>
            <w:r>
              <w:rPr>
                <w:rFonts w:ascii="Segoe UI" w:hAnsi="Segoe UI" w:cs="Segoe UI" w:eastAsia="Segoe UI"/>
                <w:color w:val="101820"/>
                <w:sz w:val="18"/>
              </w:rPr>
              <w:t>Steering committee</w:t>
            </w:r>
          </w:p>
        </w:tc>
      </w:tr>
      <w:tr>
        <w:tc>
          <w:tcPr>
            <w:tcW w:type="dxa" w:w="2372"/>
          </w:tcPr>
          <w:p>
            <w:pPr>
              <w:spacing w:after="20"/>
            </w:pPr>
            <w:r>
              <w:rPr>
                <w:rFonts w:ascii="Segoe UI" w:hAnsi="Segoe UI" w:cs="Segoe UI" w:eastAsia="Segoe UI"/>
                <w:color w:val="101820"/>
                <w:sz w:val="18"/>
              </w:rPr>
              <w:t>Sunday evening</w:t>
            </w:r>
          </w:p>
        </w:tc>
        <w:tc>
          <w:tcPr>
            <w:tcW w:type="dxa" w:w="3795"/>
          </w:tcPr>
          <w:p>
            <w:pPr>
              <w:spacing w:after="20"/>
            </w:pPr>
            <w:r>
              <w:rPr>
                <w:rFonts w:ascii="Segoe UI" w:hAnsi="Segoe UI" w:cs="Segoe UI" w:eastAsia="Segoe UI"/>
                <w:color w:val="101820"/>
                <w:sz w:val="18"/>
              </w:rPr>
              <w:t>Old system set to read-only; scheduled jobs and e-mail sending on in BrokerVerse</w:t>
            </w:r>
          </w:p>
        </w:tc>
        <w:tc>
          <w:tcPr>
            <w:tcW w:type="dxa" w:w="2847"/>
          </w:tcPr>
          <w:p>
            <w:pPr>
              <w:spacing w:after="20"/>
            </w:pPr>
            <w:r>
              <w:rPr>
                <w:rFonts w:ascii="Segoe UI" w:hAnsi="Segoe UI" w:cs="Segoe UI" w:eastAsia="Segoe UI"/>
                <w:color w:val="101820"/>
                <w:sz w:val="18"/>
              </w:rPr>
              <w:t>DevOps lead, System Administrator</w:t>
            </w:r>
          </w:p>
        </w:tc>
      </w:tr>
      <w:tr>
        <w:tc>
          <w:tcPr>
            <w:tcW w:type="dxa" w:w="2372"/>
          </w:tcPr>
          <w:p>
            <w:pPr>
              <w:spacing w:after="20"/>
            </w:pPr>
            <w:r>
              <w:rPr>
                <w:rFonts w:ascii="Segoe UI" w:hAnsi="Segoe UI" w:cs="Segoe UI" w:eastAsia="Segoe UI"/>
                <w:color w:val="101820"/>
                <w:sz w:val="18"/>
              </w:rPr>
              <w:t>Monday</w:t>
            </w:r>
          </w:p>
        </w:tc>
        <w:tc>
          <w:tcPr>
            <w:tcW w:type="dxa" w:w="3795"/>
          </w:tcPr>
          <w:p>
            <w:pPr>
              <w:spacing w:after="20"/>
            </w:pPr>
            <w:r>
              <w:rPr>
                <w:rFonts w:ascii="Segoe UI" w:hAnsi="Segoe UI" w:cs="Segoe UI" w:eastAsia="Segoe UI"/>
                <w:color w:val="101820"/>
                <w:sz w:val="18"/>
              </w:rPr>
              <w:t>Go-live; floor support; first receipts, payments and bank imports watched</w:t>
            </w:r>
          </w:p>
        </w:tc>
        <w:tc>
          <w:tcPr>
            <w:tcW w:type="dxa" w:w="2847"/>
          </w:tcPr>
          <w:p>
            <w:pPr>
              <w:spacing w:after="20"/>
            </w:pPr>
            <w:r>
              <w:rPr>
                <w:rFonts w:ascii="Segoe UI" w:hAnsi="Segoe UI" w:cs="Segoe UI" w:eastAsia="Segoe UI"/>
                <w:color w:val="101820"/>
                <w:sz w:val="18"/>
              </w:rPr>
              <w:t>All</w:t>
            </w:r>
          </w:p>
        </w:tc>
      </w:tr>
    </w:tbl>
    <w:p>
      <w:pPr>
        <w:spacing w:after="80"/>
      </w:pPr>
    </w:p>
    <w:p>
      <w:pPr>
        <w:pStyle w:val="Heading2"/>
      </w:pPr>
      <w:r>
        <w:rPr>
          <w:rFonts w:ascii="Segoe UI" w:hAnsi="Segoe UI" w:cs="Segoe UI" w:eastAsia="Segoe UI"/>
          <w:b/>
          <w:color w:val="0F4761"/>
          <w:sz w:val="26"/>
        </w:rPr>
        <w:t>9.2  Cutover checklist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7200"/>
        <w:gridCol w:w="907"/>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7200"/>
            <w:shd w:val="clear" w:color="auto" w:fill="DCE9F7"/>
          </w:tcPr>
          <w:p>
            <w:pPr>
              <w:spacing w:after="20"/>
            </w:pPr>
            <w:r>
              <w:rPr>
                <w:rFonts w:ascii="Segoe UI" w:hAnsi="Segoe UI" w:cs="Segoe UI" w:eastAsia="Segoe UI"/>
                <w:b/>
                <w:color w:val="0F4761"/>
                <w:sz w:val="18"/>
              </w:rPr>
              <w:t>Item</w:t>
            </w:r>
          </w:p>
        </w:tc>
        <w:tc>
          <w:tcPr>
            <w:tcW w:type="dxa" w:w="907"/>
            <w:shd w:val="clear" w:color="auto" w:fill="DCE9F7"/>
          </w:tcPr>
          <w:p>
            <w:pPr>
              <w:spacing w:after="20"/>
            </w:pPr>
            <w:r>
              <w:rPr>
                <w:rFonts w:ascii="Segoe UI" w:hAnsi="Segoe UI" w:cs="Segoe UI" w:eastAsia="Segoe UI"/>
                <w:b/>
                <w:color w:val="0F4761"/>
                <w:sz w:val="18"/>
              </w:rPr>
              <w:t>Done</w:t>
            </w:r>
          </w:p>
        </w:tc>
      </w:tr>
      <w:tr>
        <w:tc>
          <w:tcPr>
            <w:tcW w:type="dxa" w:w="907"/>
          </w:tcPr>
          <w:p>
            <w:pPr>
              <w:spacing w:after="20"/>
            </w:pPr>
            <w:r>
              <w:rPr>
                <w:rFonts w:ascii="Segoe UI" w:hAnsi="Segoe UI" w:cs="Segoe UI" w:eastAsia="Segoe UI"/>
                <w:color w:val="101820"/>
                <w:sz w:val="18"/>
              </w:rPr>
              <w:t>1</w:t>
            </w:r>
          </w:p>
        </w:tc>
        <w:tc>
          <w:tcPr>
            <w:tcW w:type="dxa" w:w="7200"/>
          </w:tcPr>
          <w:p>
            <w:pPr>
              <w:spacing w:after="20"/>
            </w:pPr>
            <w:r>
              <w:rPr>
                <w:rFonts w:ascii="Segoe UI" w:hAnsi="Segoe UI" w:cs="Segoe UI" w:eastAsia="Segoe UI"/>
                <w:color w:val="101820"/>
                <w:sz w:val="18"/>
              </w:rPr>
              <w:t>Production deployed and smoke-tested (</w:t>
            </w:r>
            <w:r>
              <w:rPr>
                <w:rFonts w:ascii="Consolas" w:hAnsi="Consolas" w:cs="Consolas" w:eastAsia="Consolas"/>
                <w:color w:val="101820"/>
                <w:sz w:val="16"/>
              </w:rPr>
              <w:t>deploy/README.md</w:t>
            </w:r>
            <w:r>
              <w:rPr>
                <w:rFonts w:ascii="Segoe UI" w:hAnsi="Segoe UI" w:cs="Segoe UI" w:eastAsia="Segoe UI"/>
                <w:color w:val="101820"/>
                <w:sz w:val="18"/>
              </w:rPr>
              <w:t xml:space="preserve"> section 4); sample data off; backups running and a restore tested</w:t>
            </w:r>
          </w:p>
        </w:tc>
        <w:tc>
          <w:tcPr>
            <w:tcW w:type="dxa" w:w="907"/>
          </w:tcPr>
          <w:p>
            <w:pPr>
              <w:spacing w:after="20"/>
            </w:pPr>
          </w:p>
        </w:tc>
      </w:tr>
      <w:tr>
        <w:tc>
          <w:tcPr>
            <w:tcW w:type="dxa" w:w="907"/>
          </w:tcPr>
          <w:p>
            <w:pPr>
              <w:spacing w:after="20"/>
            </w:pPr>
            <w:r>
              <w:rPr>
                <w:rFonts w:ascii="Segoe UI" w:hAnsi="Segoe UI" w:cs="Segoe UI" w:eastAsia="Segoe UI"/>
                <w:color w:val="101820"/>
                <w:sz w:val="18"/>
              </w:rPr>
              <w:t>2</w:t>
            </w:r>
          </w:p>
        </w:tc>
        <w:tc>
          <w:tcPr>
            <w:tcW w:type="dxa" w:w="7200"/>
          </w:tcPr>
          <w:p>
            <w:pPr>
              <w:spacing w:after="20"/>
            </w:pPr>
            <w:r>
              <w:rPr>
                <w:rFonts w:ascii="Segoe UI" w:hAnsi="Segoe UI" w:cs="Segoe UI" w:eastAsia="Segoe UI"/>
                <w:color w:val="101820"/>
                <w:sz w:val="18"/>
              </w:rPr>
              <w:t>Security settings reviewed; administrator password changed; two-step verification on for the required roles</w:t>
            </w:r>
          </w:p>
        </w:tc>
        <w:tc>
          <w:tcPr>
            <w:tcW w:type="dxa" w:w="907"/>
          </w:tcPr>
          <w:p>
            <w:pPr>
              <w:spacing w:after="20"/>
            </w:pPr>
          </w:p>
        </w:tc>
      </w:tr>
      <w:tr>
        <w:tc>
          <w:tcPr>
            <w:tcW w:type="dxa" w:w="907"/>
          </w:tcPr>
          <w:p>
            <w:pPr>
              <w:spacing w:after="20"/>
            </w:pPr>
            <w:r>
              <w:rPr>
                <w:rFonts w:ascii="Segoe UI" w:hAnsi="Segoe UI" w:cs="Segoe UI" w:eastAsia="Segoe UI"/>
                <w:color w:val="101820"/>
                <w:sz w:val="18"/>
              </w:rPr>
              <w:t>3</w:t>
            </w:r>
          </w:p>
        </w:tc>
        <w:tc>
          <w:tcPr>
            <w:tcW w:type="dxa" w:w="7200"/>
          </w:tcPr>
          <w:p>
            <w:pPr>
              <w:spacing w:after="20"/>
            </w:pPr>
            <w:r>
              <w:rPr>
                <w:rFonts w:ascii="Segoe UI" w:hAnsi="Segoe UI" w:cs="Segoe UI" w:eastAsia="Segoe UI"/>
                <w:color w:val="101820"/>
                <w:sz w:val="18"/>
              </w:rPr>
              <w:t>Company, letterhead and System Settings set; a PDF checked</w:t>
            </w:r>
          </w:p>
        </w:tc>
        <w:tc>
          <w:tcPr>
            <w:tcW w:type="dxa" w:w="907"/>
          </w:tcPr>
          <w:p>
            <w:pPr>
              <w:spacing w:after="20"/>
            </w:pPr>
          </w:p>
        </w:tc>
      </w:tr>
      <w:tr>
        <w:tc>
          <w:tcPr>
            <w:tcW w:type="dxa" w:w="907"/>
          </w:tcPr>
          <w:p>
            <w:pPr>
              <w:spacing w:after="20"/>
            </w:pPr>
            <w:r>
              <w:rPr>
                <w:rFonts w:ascii="Segoe UI" w:hAnsi="Segoe UI" w:cs="Segoe UI" w:eastAsia="Segoe UI"/>
                <w:color w:val="101820"/>
                <w:sz w:val="18"/>
              </w:rPr>
              <w:t>4</w:t>
            </w:r>
          </w:p>
        </w:tc>
        <w:tc>
          <w:tcPr>
            <w:tcW w:type="dxa" w:w="7200"/>
          </w:tcPr>
          <w:p>
            <w:pPr>
              <w:spacing w:after="20"/>
            </w:pPr>
            <w:r>
              <w:rPr>
                <w:rFonts w:ascii="Segoe UI" w:hAnsi="Segoe UI" w:cs="Segoe UI" w:eastAsia="Segoe UI"/>
                <w:color w:val="101820"/>
                <w:sz w:val="18"/>
              </w:rPr>
              <w:t>Users created with the right roles; each user signed in once</w:t>
            </w:r>
          </w:p>
        </w:tc>
        <w:tc>
          <w:tcPr>
            <w:tcW w:type="dxa" w:w="907"/>
          </w:tcPr>
          <w:p>
            <w:pPr>
              <w:spacing w:after="20"/>
            </w:pPr>
          </w:p>
        </w:tc>
      </w:tr>
      <w:tr>
        <w:tc>
          <w:tcPr>
            <w:tcW w:type="dxa" w:w="907"/>
          </w:tcPr>
          <w:p>
            <w:pPr>
              <w:spacing w:after="20"/>
            </w:pPr>
            <w:r>
              <w:rPr>
                <w:rFonts w:ascii="Segoe UI" w:hAnsi="Segoe UI" w:cs="Segoe UI" w:eastAsia="Segoe UI"/>
                <w:color w:val="101820"/>
                <w:sz w:val="18"/>
              </w:rPr>
              <w:t>5</w:t>
            </w:r>
          </w:p>
        </w:tc>
        <w:tc>
          <w:tcPr>
            <w:tcW w:type="dxa" w:w="7200"/>
          </w:tcPr>
          <w:p>
            <w:pPr>
              <w:spacing w:after="20"/>
            </w:pPr>
            <w:r>
              <w:rPr>
                <w:rFonts w:ascii="Segoe UI" w:hAnsi="Segoe UI" w:cs="Segoe UI" w:eastAsia="Segoe UI"/>
                <w:color w:val="101820"/>
                <w:sz w:val="18"/>
              </w:rPr>
              <w:t>Configuration promoted from the accepted UAT environment and compared item by item with the configuration workbook</w:t>
            </w:r>
          </w:p>
        </w:tc>
        <w:tc>
          <w:tcPr>
            <w:tcW w:type="dxa" w:w="907"/>
          </w:tcPr>
          <w:p>
            <w:pPr>
              <w:spacing w:after="20"/>
            </w:pPr>
          </w:p>
        </w:tc>
      </w:tr>
      <w:tr>
        <w:tc>
          <w:tcPr>
            <w:tcW w:type="dxa" w:w="907"/>
          </w:tcPr>
          <w:p>
            <w:pPr>
              <w:spacing w:after="20"/>
            </w:pPr>
            <w:r>
              <w:rPr>
                <w:rFonts w:ascii="Segoe UI" w:hAnsi="Segoe UI" w:cs="Segoe UI" w:eastAsia="Segoe UI"/>
                <w:color w:val="101820"/>
                <w:sz w:val="18"/>
              </w:rPr>
              <w:t>6</w:t>
            </w:r>
          </w:p>
        </w:tc>
        <w:tc>
          <w:tcPr>
            <w:tcW w:type="dxa" w:w="7200"/>
          </w:tcPr>
          <w:p>
            <w:pPr>
              <w:spacing w:after="20"/>
            </w:pPr>
            <w:r>
              <w:rPr>
                <w:rFonts w:ascii="Segoe UI" w:hAnsi="Segoe UI" w:cs="Segoe UI" w:eastAsia="Segoe UI"/>
                <w:color w:val="101820"/>
                <w:sz w:val="18"/>
              </w:rPr>
              <w:t>Tax codes, premium taxes and LGU rates confirmed by the broker's tax adviser</w:t>
            </w:r>
          </w:p>
        </w:tc>
        <w:tc>
          <w:tcPr>
            <w:tcW w:type="dxa" w:w="907"/>
          </w:tcPr>
          <w:p>
            <w:pPr>
              <w:spacing w:after="20"/>
            </w:pPr>
          </w:p>
        </w:tc>
      </w:tr>
      <w:tr>
        <w:tc>
          <w:tcPr>
            <w:tcW w:type="dxa" w:w="907"/>
          </w:tcPr>
          <w:p>
            <w:pPr>
              <w:spacing w:after="20"/>
            </w:pPr>
            <w:r>
              <w:rPr>
                <w:rFonts w:ascii="Segoe UI" w:hAnsi="Segoe UI" w:cs="Segoe UI" w:eastAsia="Segoe UI"/>
                <w:color w:val="101820"/>
                <w:sz w:val="18"/>
              </w:rPr>
              <w:t>7</w:t>
            </w:r>
          </w:p>
        </w:tc>
        <w:tc>
          <w:tcPr>
            <w:tcW w:type="dxa" w:w="7200"/>
          </w:tcPr>
          <w:p>
            <w:pPr>
              <w:spacing w:after="20"/>
            </w:pPr>
            <w:r>
              <w:rPr>
                <w:rFonts w:ascii="Segoe UI" w:hAnsi="Segoe UI" w:cs="Segoe UI" w:eastAsia="Segoe UI"/>
                <w:color w:val="101820"/>
                <w:sz w:val="18"/>
              </w:rPr>
              <w:t>Document numbering set to the last number used plus one; official receipt series matches the BIR registration</w:t>
            </w:r>
          </w:p>
        </w:tc>
        <w:tc>
          <w:tcPr>
            <w:tcW w:type="dxa" w:w="907"/>
          </w:tcPr>
          <w:p>
            <w:pPr>
              <w:spacing w:after="20"/>
            </w:pPr>
          </w:p>
        </w:tc>
      </w:tr>
      <w:tr>
        <w:tc>
          <w:tcPr>
            <w:tcW w:type="dxa" w:w="907"/>
          </w:tcPr>
          <w:p>
            <w:pPr>
              <w:spacing w:after="20"/>
            </w:pPr>
            <w:r>
              <w:rPr>
                <w:rFonts w:ascii="Segoe UI" w:hAnsi="Segoe UI" w:cs="Segoe UI" w:eastAsia="Segoe UI"/>
                <w:color w:val="101820"/>
                <w:sz w:val="18"/>
              </w:rPr>
              <w:t>8</w:t>
            </w:r>
          </w:p>
        </w:tc>
        <w:tc>
          <w:tcPr>
            <w:tcW w:type="dxa" w:w="7200"/>
          </w:tcPr>
          <w:p>
            <w:pPr>
              <w:spacing w:after="20"/>
            </w:pPr>
            <w:r>
              <w:rPr>
                <w:rFonts w:ascii="Segoe UI" w:hAnsi="Segoe UI" w:cs="Segoe UI" w:eastAsia="Segoe UI"/>
                <w:color w:val="101820"/>
                <w:sz w:val="18"/>
              </w:rPr>
              <w:t>E-mail sending on; password reset e-mail received</w:t>
            </w:r>
          </w:p>
        </w:tc>
        <w:tc>
          <w:tcPr>
            <w:tcW w:type="dxa" w:w="907"/>
          </w:tcPr>
          <w:p>
            <w:pPr>
              <w:spacing w:after="20"/>
            </w:pPr>
          </w:p>
        </w:tc>
      </w:tr>
      <w:tr>
        <w:tc>
          <w:tcPr>
            <w:tcW w:type="dxa" w:w="907"/>
          </w:tcPr>
          <w:p>
            <w:pPr>
              <w:spacing w:after="20"/>
            </w:pPr>
            <w:r>
              <w:rPr>
                <w:rFonts w:ascii="Segoe UI" w:hAnsi="Segoe UI" w:cs="Segoe UI" w:eastAsia="Segoe UI"/>
                <w:color w:val="101820"/>
                <w:sz w:val="18"/>
              </w:rPr>
              <w:t>9</w:t>
            </w:r>
          </w:p>
        </w:tc>
        <w:tc>
          <w:tcPr>
            <w:tcW w:type="dxa" w:w="7200"/>
          </w:tcPr>
          <w:p>
            <w:pPr>
              <w:spacing w:after="20"/>
            </w:pPr>
            <w:r>
              <w:rPr>
                <w:rFonts w:ascii="Segoe UI" w:hAnsi="Segoe UI" w:cs="Segoe UI" w:eastAsia="Segoe UI"/>
                <w:color w:val="101820"/>
                <w:sz w:val="18"/>
              </w:rPr>
              <w:t>Payment gateway credentials in the secret store; live test payment done (if used)</w:t>
            </w:r>
          </w:p>
        </w:tc>
        <w:tc>
          <w:tcPr>
            <w:tcW w:type="dxa" w:w="907"/>
          </w:tcPr>
          <w:p>
            <w:pPr>
              <w:spacing w:after="20"/>
            </w:pPr>
          </w:p>
        </w:tc>
      </w:tr>
      <w:tr>
        <w:tc>
          <w:tcPr>
            <w:tcW w:type="dxa" w:w="907"/>
          </w:tcPr>
          <w:p>
            <w:pPr>
              <w:spacing w:after="20"/>
            </w:pPr>
            <w:r>
              <w:rPr>
                <w:rFonts w:ascii="Segoe UI" w:hAnsi="Segoe UI" w:cs="Segoe UI" w:eastAsia="Segoe UI"/>
                <w:color w:val="101820"/>
                <w:sz w:val="18"/>
              </w:rPr>
              <w:t>10</w:t>
            </w:r>
          </w:p>
        </w:tc>
        <w:tc>
          <w:tcPr>
            <w:tcW w:type="dxa" w:w="7200"/>
          </w:tcPr>
          <w:p>
            <w:pPr>
              <w:spacing w:after="20"/>
            </w:pPr>
            <w:r>
              <w:rPr>
                <w:rFonts w:ascii="Segoe UI" w:hAnsi="Segoe UI" w:cs="Segoe UI" w:eastAsia="Segoe UI"/>
                <w:color w:val="101820"/>
                <w:sz w:val="18"/>
              </w:rPr>
              <w:t>Bank accounts with GL cash account, statement format and reconcile-from date set to the go-live date</w:t>
            </w:r>
          </w:p>
        </w:tc>
        <w:tc>
          <w:tcPr>
            <w:tcW w:type="dxa" w:w="907"/>
          </w:tcPr>
          <w:p>
            <w:pPr>
              <w:spacing w:after="20"/>
            </w:pPr>
          </w:p>
        </w:tc>
      </w:tr>
      <w:tr>
        <w:tc>
          <w:tcPr>
            <w:tcW w:type="dxa" w:w="907"/>
          </w:tcPr>
          <w:p>
            <w:pPr>
              <w:spacing w:after="20"/>
            </w:pPr>
            <w:r>
              <w:rPr>
                <w:rFonts w:ascii="Segoe UI" w:hAnsi="Segoe UI" w:cs="Segoe UI" w:eastAsia="Segoe UI"/>
                <w:color w:val="101820"/>
                <w:sz w:val="18"/>
              </w:rPr>
              <w:t>11</w:t>
            </w:r>
          </w:p>
        </w:tc>
        <w:tc>
          <w:tcPr>
            <w:tcW w:type="dxa" w:w="7200"/>
          </w:tcPr>
          <w:p>
            <w:pPr>
              <w:spacing w:after="20"/>
            </w:pPr>
            <w:r>
              <w:rPr>
                <w:rFonts w:ascii="Segoe UI" w:hAnsi="Segoe UI" w:cs="Segoe UI" w:eastAsia="Segoe UI"/>
                <w:color w:val="101820"/>
                <w:sz w:val="18"/>
              </w:rPr>
              <w:t>Schedules reviewed; jobs Accounting wants switched on</w:t>
            </w:r>
          </w:p>
        </w:tc>
        <w:tc>
          <w:tcPr>
            <w:tcW w:type="dxa" w:w="907"/>
          </w:tcPr>
          <w:p>
            <w:pPr>
              <w:spacing w:after="20"/>
            </w:pPr>
          </w:p>
        </w:tc>
      </w:tr>
      <w:tr>
        <w:tc>
          <w:tcPr>
            <w:tcW w:type="dxa" w:w="907"/>
          </w:tcPr>
          <w:p>
            <w:pPr>
              <w:spacing w:after="20"/>
            </w:pPr>
            <w:r>
              <w:rPr>
                <w:rFonts w:ascii="Segoe UI" w:hAnsi="Segoe UI" w:cs="Segoe UI" w:eastAsia="Segoe UI"/>
                <w:color w:val="101820"/>
                <w:sz w:val="18"/>
              </w:rPr>
              <w:t>12</w:t>
            </w:r>
          </w:p>
        </w:tc>
        <w:tc>
          <w:tcPr>
            <w:tcW w:type="dxa" w:w="7200"/>
          </w:tcPr>
          <w:p>
            <w:pPr>
              <w:spacing w:after="20"/>
            </w:pPr>
            <w:r>
              <w:rPr>
                <w:rFonts w:ascii="Segoe UI" w:hAnsi="Segoe UI" w:cs="Segoe UI" w:eastAsia="Segoe UI"/>
                <w:color w:val="101820"/>
                <w:sz w:val="18"/>
              </w:rPr>
              <w:t>Fiscal year and periods set; periods before the go-live date closed</w:t>
            </w:r>
          </w:p>
        </w:tc>
        <w:tc>
          <w:tcPr>
            <w:tcW w:type="dxa" w:w="907"/>
          </w:tcPr>
          <w:p>
            <w:pPr>
              <w:spacing w:after="20"/>
            </w:pPr>
          </w:p>
        </w:tc>
      </w:tr>
      <w:tr>
        <w:tc>
          <w:tcPr>
            <w:tcW w:type="dxa" w:w="907"/>
          </w:tcPr>
          <w:p>
            <w:pPr>
              <w:spacing w:after="20"/>
            </w:pPr>
            <w:r>
              <w:rPr>
                <w:rFonts w:ascii="Segoe UI" w:hAnsi="Segoe UI" w:cs="Segoe UI" w:eastAsia="Segoe UI"/>
                <w:color w:val="101820"/>
                <w:sz w:val="18"/>
              </w:rPr>
              <w:t>13</w:t>
            </w:r>
          </w:p>
        </w:tc>
        <w:tc>
          <w:tcPr>
            <w:tcW w:type="dxa" w:w="7200"/>
          </w:tcPr>
          <w:p>
            <w:pPr>
              <w:spacing w:after="20"/>
            </w:pPr>
            <w:r>
              <w:rPr>
                <w:rFonts w:ascii="Segoe UI" w:hAnsi="Segoe UI" w:cs="Segoe UI" w:eastAsia="Segoe UI"/>
                <w:color w:val="101820"/>
                <w:sz w:val="18"/>
              </w:rPr>
              <w:t>Old system frozen; final extracts and control figures signed</w:t>
            </w:r>
          </w:p>
        </w:tc>
        <w:tc>
          <w:tcPr>
            <w:tcW w:type="dxa" w:w="907"/>
          </w:tcPr>
          <w:p>
            <w:pPr>
              <w:spacing w:after="20"/>
            </w:pPr>
          </w:p>
        </w:tc>
      </w:tr>
      <w:tr>
        <w:tc>
          <w:tcPr>
            <w:tcW w:type="dxa" w:w="907"/>
          </w:tcPr>
          <w:p>
            <w:pPr>
              <w:spacing w:after="20"/>
            </w:pPr>
            <w:r>
              <w:rPr>
                <w:rFonts w:ascii="Segoe UI" w:hAnsi="Segoe UI" w:cs="Segoe UI" w:eastAsia="Segoe UI"/>
                <w:color w:val="101820"/>
                <w:sz w:val="18"/>
              </w:rPr>
              <w:t>14</w:t>
            </w:r>
          </w:p>
        </w:tc>
        <w:tc>
          <w:tcPr>
            <w:tcW w:type="dxa" w:w="7200"/>
          </w:tcPr>
          <w:p>
            <w:pPr>
              <w:spacing w:after="20"/>
            </w:pPr>
            <w:r>
              <w:rPr>
                <w:rFonts w:ascii="Segoe UI" w:hAnsi="Segoe UI" w:cs="Segoe UI" w:eastAsia="Segoe UI"/>
                <w:color w:val="101820"/>
                <w:sz w:val="18"/>
              </w:rPr>
              <w:t>Snapshot of production before the loads</w:t>
            </w:r>
          </w:p>
        </w:tc>
        <w:tc>
          <w:tcPr>
            <w:tcW w:type="dxa" w:w="907"/>
          </w:tcPr>
          <w:p>
            <w:pPr>
              <w:spacing w:after="20"/>
            </w:pPr>
          </w:p>
        </w:tc>
      </w:tr>
      <w:tr>
        <w:tc>
          <w:tcPr>
            <w:tcW w:type="dxa" w:w="907"/>
          </w:tcPr>
          <w:p>
            <w:pPr>
              <w:spacing w:after="20"/>
            </w:pPr>
            <w:r>
              <w:rPr>
                <w:rFonts w:ascii="Segoe UI" w:hAnsi="Segoe UI" w:cs="Segoe UI" w:eastAsia="Segoe UI"/>
                <w:color w:val="101820"/>
                <w:sz w:val="18"/>
              </w:rPr>
              <w:t>15</w:t>
            </w:r>
          </w:p>
        </w:tc>
        <w:tc>
          <w:tcPr>
            <w:tcW w:type="dxa" w:w="7200"/>
          </w:tcPr>
          <w:p>
            <w:pPr>
              <w:spacing w:after="20"/>
            </w:pPr>
            <w:r>
              <w:rPr>
                <w:rFonts w:ascii="Segoe UI" w:hAnsi="Segoe UI" w:cs="Segoe UI" w:eastAsia="Segoe UI"/>
                <w:color w:val="101820"/>
                <w:sz w:val="18"/>
              </w:rPr>
              <w:t>In-force policies loaded and reconciled</w:t>
            </w:r>
          </w:p>
        </w:tc>
        <w:tc>
          <w:tcPr>
            <w:tcW w:type="dxa" w:w="907"/>
          </w:tcPr>
          <w:p>
            <w:pPr>
              <w:spacing w:after="20"/>
            </w:pPr>
          </w:p>
        </w:tc>
      </w:tr>
      <w:tr>
        <w:tc>
          <w:tcPr>
            <w:tcW w:type="dxa" w:w="907"/>
          </w:tcPr>
          <w:p>
            <w:pPr>
              <w:spacing w:after="20"/>
            </w:pPr>
            <w:r>
              <w:rPr>
                <w:rFonts w:ascii="Segoe UI" w:hAnsi="Segoe UI" w:cs="Segoe UI" w:eastAsia="Segoe UI"/>
                <w:color w:val="101820"/>
                <w:sz w:val="18"/>
              </w:rPr>
              <w:t>16</w:t>
            </w:r>
          </w:p>
        </w:tc>
        <w:tc>
          <w:tcPr>
            <w:tcW w:type="dxa" w:w="7200"/>
          </w:tcPr>
          <w:p>
            <w:pPr>
              <w:spacing w:after="20"/>
            </w:pPr>
            <w:r>
              <w:rPr>
                <w:rFonts w:ascii="Segoe UI" w:hAnsi="Segoe UI" w:cs="Segoe UI" w:eastAsia="Segoe UI"/>
                <w:color w:val="101820"/>
                <w:sz w:val="18"/>
              </w:rPr>
              <w:t>Open items loaded and reconciled with the ageing</w:t>
            </w:r>
          </w:p>
        </w:tc>
        <w:tc>
          <w:tcPr>
            <w:tcW w:type="dxa" w:w="907"/>
          </w:tcPr>
          <w:p>
            <w:pPr>
              <w:spacing w:after="20"/>
            </w:pPr>
          </w:p>
        </w:tc>
      </w:tr>
      <w:tr>
        <w:tc>
          <w:tcPr>
            <w:tcW w:type="dxa" w:w="907"/>
          </w:tcPr>
          <w:p>
            <w:pPr>
              <w:spacing w:after="20"/>
            </w:pPr>
            <w:r>
              <w:rPr>
                <w:rFonts w:ascii="Segoe UI" w:hAnsi="Segoe UI" w:cs="Segoe UI" w:eastAsia="Segoe UI"/>
                <w:color w:val="101820"/>
                <w:sz w:val="18"/>
              </w:rPr>
              <w:t>17</w:t>
            </w:r>
          </w:p>
        </w:tc>
        <w:tc>
          <w:tcPr>
            <w:tcW w:type="dxa" w:w="7200"/>
          </w:tcPr>
          <w:p>
            <w:pPr>
              <w:spacing w:after="20"/>
            </w:pPr>
            <w:r>
              <w:rPr>
                <w:rFonts w:ascii="Segoe UI" w:hAnsi="Segoe UI" w:cs="Segoe UI" w:eastAsia="Segoe UI"/>
                <w:color w:val="101820"/>
                <w:sz w:val="18"/>
              </w:rPr>
              <w:t>Opening balances loaded; trial balance agrees; Premiums Receivable equals open items; Due to Insurers reconciled</w:t>
            </w:r>
          </w:p>
        </w:tc>
        <w:tc>
          <w:tcPr>
            <w:tcW w:type="dxa" w:w="907"/>
          </w:tcPr>
          <w:p>
            <w:pPr>
              <w:spacing w:after="20"/>
            </w:pPr>
          </w:p>
        </w:tc>
      </w:tr>
      <w:tr>
        <w:tc>
          <w:tcPr>
            <w:tcW w:type="dxa" w:w="907"/>
          </w:tcPr>
          <w:p>
            <w:pPr>
              <w:spacing w:after="20"/>
            </w:pPr>
            <w:r>
              <w:rPr>
                <w:rFonts w:ascii="Segoe UI" w:hAnsi="Segoe UI" w:cs="Segoe UI" w:eastAsia="Segoe UI"/>
                <w:color w:val="101820"/>
                <w:sz w:val="18"/>
              </w:rPr>
              <w:t>18</w:t>
            </w:r>
          </w:p>
        </w:tc>
        <w:tc>
          <w:tcPr>
            <w:tcW w:type="dxa" w:w="7200"/>
          </w:tcPr>
          <w:p>
            <w:pPr>
              <w:spacing w:after="20"/>
            </w:pPr>
            <w:r>
              <w:rPr>
                <w:rFonts w:ascii="Segoe UI" w:hAnsi="Segoe UI" w:cs="Segoe UI" w:eastAsia="Segoe UI"/>
                <w:color w:val="101820"/>
                <w:sz w:val="18"/>
              </w:rPr>
              <w:t>Key user sample checks passed</w:t>
            </w:r>
          </w:p>
        </w:tc>
        <w:tc>
          <w:tcPr>
            <w:tcW w:type="dxa" w:w="907"/>
          </w:tcPr>
          <w:p>
            <w:pPr>
              <w:spacing w:after="20"/>
            </w:pPr>
          </w:p>
        </w:tc>
      </w:tr>
      <w:tr>
        <w:tc>
          <w:tcPr>
            <w:tcW w:type="dxa" w:w="907"/>
          </w:tcPr>
          <w:p>
            <w:pPr>
              <w:spacing w:after="20"/>
            </w:pPr>
            <w:r>
              <w:rPr>
                <w:rFonts w:ascii="Segoe UI" w:hAnsi="Segoe UI" w:cs="Segoe UI" w:eastAsia="Segoe UI"/>
                <w:color w:val="101820"/>
                <w:sz w:val="18"/>
              </w:rPr>
              <w:t>19</w:t>
            </w:r>
          </w:p>
        </w:tc>
        <w:tc>
          <w:tcPr>
            <w:tcW w:type="dxa" w:w="7200"/>
          </w:tcPr>
          <w:p>
            <w:pPr>
              <w:spacing w:after="20"/>
            </w:pPr>
            <w:r>
              <w:rPr>
                <w:rFonts w:ascii="Segoe UI" w:hAnsi="Segoe UI" w:cs="Segoe UI" w:eastAsia="Segoe UI"/>
                <w:color w:val="101820"/>
                <w:sz w:val="18"/>
              </w:rPr>
              <w:t>Rollback plan confirmed; old system kept available read-only</w:t>
            </w:r>
          </w:p>
        </w:tc>
        <w:tc>
          <w:tcPr>
            <w:tcW w:type="dxa" w:w="907"/>
          </w:tcPr>
          <w:p>
            <w:pPr>
              <w:spacing w:after="20"/>
            </w:pPr>
          </w:p>
        </w:tc>
      </w:tr>
      <w:tr>
        <w:tc>
          <w:tcPr>
            <w:tcW w:type="dxa" w:w="907"/>
          </w:tcPr>
          <w:p>
            <w:pPr>
              <w:spacing w:after="20"/>
            </w:pPr>
            <w:r>
              <w:rPr>
                <w:rFonts w:ascii="Segoe UI" w:hAnsi="Segoe UI" w:cs="Segoe UI" w:eastAsia="Segoe UI"/>
                <w:color w:val="101820"/>
                <w:sz w:val="18"/>
              </w:rPr>
              <w:t>20</w:t>
            </w:r>
          </w:p>
        </w:tc>
        <w:tc>
          <w:tcPr>
            <w:tcW w:type="dxa" w:w="7200"/>
          </w:tcPr>
          <w:p>
            <w:pPr>
              <w:spacing w:after="20"/>
            </w:pPr>
            <w:r>
              <w:rPr>
                <w:rFonts w:ascii="Segoe UI" w:hAnsi="Segoe UI" w:cs="Segoe UI" w:eastAsia="Segoe UI"/>
                <w:color w:val="101820"/>
                <w:sz w:val="18"/>
              </w:rPr>
              <w:t>Go decision recorded in the minutes</w:t>
            </w:r>
          </w:p>
        </w:tc>
        <w:tc>
          <w:tcPr>
            <w:tcW w:type="dxa" w:w="907"/>
          </w:tcPr>
          <w:p>
            <w:pPr>
              <w:spacing w:after="20"/>
            </w:pPr>
          </w:p>
        </w:tc>
      </w:tr>
    </w:tbl>
    <w:p>
      <w:pPr>
        <w:spacing w:after="80"/>
      </w:pPr>
    </w:p>
    <w:p>
      <w:pPr>
        <w:pStyle w:val="Heading2"/>
      </w:pPr>
      <w:r>
        <w:rPr>
          <w:rFonts w:ascii="Segoe UI" w:hAnsi="Segoe UI" w:cs="Segoe UI" w:eastAsia="Segoe UI"/>
          <w:b/>
          <w:color w:val="0F4761"/>
          <w:sz w:val="26"/>
        </w:rPr>
        <w:t>9.3  Go/no-go criteria</w:t>
      </w:r>
    </w:p>
    <w:p>
      <w:pPr>
        <w:spacing w:after="120" w:line="276" w:lineRule="auto"/>
      </w:pPr>
      <w:r>
        <w:rPr>
          <w:rFonts w:ascii="Segoe UI" w:hAnsi="Segoe UI" w:cs="Segoe UI" w:eastAsia="Segoe UI"/>
          <w:color w:val="101820"/>
          <w:sz w:val="21"/>
        </w:rPr>
        <w:t>Go-live goes ahead only when all of these are met:</w:t>
      </w:r>
    </w:p>
    <w:p>
      <w:pPr>
        <w:spacing w:after="60"/>
        <w:numPr>
          <w:ilvl w:val="0"/>
          <w:numId w:val="3"/>
        </w:numPr>
      </w:pPr>
      <w:r>
        <w:rPr>
          <w:rFonts w:ascii="Segoe UI" w:hAnsi="Segoe UI" w:cs="Segoe UI" w:eastAsia="Segoe UI"/>
          <w:color w:val="101820"/>
          <w:sz w:val="21"/>
        </w:rPr>
        <w:t>UAT signed off by each process owner; no open severity 1 or 2 defect.</w:t>
      </w:r>
    </w:p>
    <w:p>
      <w:pPr>
        <w:spacing w:after="60"/>
        <w:numPr>
          <w:ilvl w:val="0"/>
          <w:numId w:val="3"/>
        </w:numPr>
      </w:pPr>
      <w:r>
        <w:rPr>
          <w:rFonts w:ascii="Segoe UI" w:hAnsi="Segoe UI" w:cs="Segoe UI" w:eastAsia="Segoe UI"/>
          <w:color w:val="101820"/>
          <w:sz w:val="21"/>
        </w:rPr>
        <w:t>Final load reconciled: policy, open item and trial balance control figures agree exactly, or each difference is explained and accepted in writing by the Accounting Manager.</w:t>
      </w:r>
    </w:p>
    <w:p>
      <w:pPr>
        <w:spacing w:after="60"/>
        <w:numPr>
          <w:ilvl w:val="0"/>
          <w:numId w:val="3"/>
        </w:numPr>
      </w:pPr>
      <w:r>
        <w:rPr>
          <w:rFonts w:ascii="Segoe UI" w:hAnsi="Segoe UI" w:cs="Segoe UI" w:eastAsia="Segoe UI"/>
          <w:color w:val="101820"/>
          <w:sz w:val="21"/>
        </w:rPr>
        <w:t>All users trained in their role and able to sign in; System Administrator and key users ready for first-line support.</w:t>
      </w:r>
    </w:p>
    <w:p>
      <w:pPr>
        <w:spacing w:after="60"/>
        <w:numPr>
          <w:ilvl w:val="0"/>
          <w:numId w:val="3"/>
        </w:numPr>
      </w:pPr>
      <w:r>
        <w:rPr>
          <w:rFonts w:ascii="Segoe UI" w:hAnsi="Segoe UI" w:cs="Segoe UI" w:eastAsia="Segoe UI"/>
          <w:color w:val="101820"/>
          <w:sz w:val="21"/>
        </w:rPr>
        <w:t>Production checks of the cutover checklist done.</w:t>
      </w:r>
    </w:p>
    <w:p>
      <w:pPr>
        <w:spacing w:after="60"/>
        <w:numPr>
          <w:ilvl w:val="0"/>
          <w:numId w:val="3"/>
        </w:numPr>
      </w:pPr>
      <w:r>
        <w:rPr>
          <w:rFonts w:ascii="Segoe UI" w:hAnsi="Segoe UI" w:cs="Segoe UI" w:eastAsia="Segoe UI"/>
          <w:color w:val="101820"/>
          <w:sz w:val="21"/>
        </w:rPr>
        <w:t>Hypercare team and support contacts in place for the first week.</w:t>
      </w:r>
    </w:p>
    <w:p>
      <w:pPr>
        <w:spacing w:after="60"/>
        <w:numPr>
          <w:ilvl w:val="0"/>
          <w:numId w:val="3"/>
        </w:numPr>
      </w:pPr>
      <w:r>
        <w:rPr>
          <w:rFonts w:ascii="Segoe UI" w:hAnsi="Segoe UI" w:cs="Segoe UI" w:eastAsia="Segoe UI"/>
          <w:color w:val="101820"/>
          <w:sz w:val="21"/>
        </w:rPr>
        <w:t>Rollback plan confirmed and the old system available.</w:t>
      </w:r>
    </w:p>
    <w:p>
      <w:pPr>
        <w:spacing w:after="120" w:line="276" w:lineRule="auto"/>
      </w:pPr>
      <w:r>
        <w:rPr>
          <w:rFonts w:ascii="Segoe UI" w:hAnsi="Segoe UI" w:cs="Segoe UI" w:eastAsia="Segoe UI"/>
          <w:color w:val="101820"/>
          <w:sz w:val="21"/>
        </w:rPr>
        <w:t>The steering committee decides. A no-go names the reason, the actions and the new date.</w:t>
      </w:r>
    </w:p>
    <w:p>
      <w:pPr>
        <w:pStyle w:val="Heading1"/>
        <w:pageBreakBefore/>
      </w:pPr>
      <w:r>
        <w:rPr>
          <w:rFonts w:ascii="Segoe UI" w:hAnsi="Segoe UI" w:cs="Segoe UI" w:eastAsia="Segoe UI"/>
          <w:b/>
          <w:color w:val="0F4761"/>
          <w:sz w:val="32"/>
        </w:rPr>
        <w:t>10.  Rollback</w:t>
      </w:r>
    </w:p>
    <w:p>
      <w:pPr>
        <w:pStyle w:val="Heading2"/>
      </w:pPr>
      <w:r>
        <w:rPr>
          <w:rFonts w:ascii="Segoe UI" w:hAnsi="Segoe UI" w:cs="Segoe UI" w:eastAsia="Segoe UI"/>
          <w:b/>
          <w:color w:val="0F4761"/>
          <w:sz w:val="26"/>
        </w:rPr>
        <w:t>10.1  When</w:t>
      </w:r>
    </w:p>
    <w:p>
      <w:pPr>
        <w:spacing w:after="120" w:line="276" w:lineRule="auto"/>
      </w:pPr>
      <w:r>
        <w:rPr>
          <w:rFonts w:ascii="Segoe UI" w:hAnsi="Segoe UI" w:cs="Segoe UI" w:eastAsia="Segoe UI"/>
          <w:color w:val="101820"/>
          <w:sz w:val="21"/>
        </w:rPr>
        <w:t>Rollback is considered when, before or during the first business days, a severity 1 issue makes BrokerVerse unusable for a core process (official receipts, policy issue, remittance) and no workaround is possible within the agreed time, or the final reconciliation cannot be agreed. The steering committee decides. The last point at which rollback is planned is the end of the first business week; after that the issue is handled by fix forward, because transactions entered in BrokerVerse would have to be re-entered in the old system.</w:t>
      </w:r>
    </w:p>
    <w:p>
      <w:pPr>
        <w:pStyle w:val="Heading2"/>
      </w:pPr>
      <w:r>
        <w:rPr>
          <w:rFonts w:ascii="Segoe UI" w:hAnsi="Segoe UI" w:cs="Segoe UI" w:eastAsia="Segoe UI"/>
          <w:b/>
          <w:color w:val="0F4761"/>
          <w:sz w:val="26"/>
        </w:rPr>
        <w:t>10.2  How</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Situation</w:t>
            </w:r>
          </w:p>
        </w:tc>
        <w:tc>
          <w:tcPr>
            <w:tcW w:type="dxa" w:w="4507"/>
            <w:shd w:val="clear" w:color="auto" w:fill="DCE9F7"/>
          </w:tcPr>
          <w:p>
            <w:pPr>
              <w:spacing w:after="20"/>
            </w:pPr>
            <w:r>
              <w:rPr>
                <w:rFonts w:ascii="Segoe UI" w:hAnsi="Segoe UI" w:cs="Segoe UI" w:eastAsia="Segoe UI"/>
                <w:b/>
                <w:color w:val="0F4761"/>
                <w:sz w:val="18"/>
              </w:rPr>
              <w:t>Action</w:t>
            </w:r>
          </w:p>
        </w:tc>
      </w:tr>
      <w:tr>
        <w:tc>
          <w:tcPr>
            <w:tcW w:type="dxa" w:w="4507"/>
          </w:tcPr>
          <w:p>
            <w:pPr>
              <w:spacing w:after="20"/>
            </w:pPr>
            <w:r>
              <w:rPr>
                <w:rFonts w:ascii="Segoe UI" w:hAnsi="Segoe UI" w:cs="Segoe UI" w:eastAsia="Segoe UI"/>
                <w:color w:val="101820"/>
                <w:sz w:val="18"/>
              </w:rPr>
              <w:t>Before go-live (failed final load or reconciliation)</w:t>
            </w:r>
          </w:p>
        </w:tc>
        <w:tc>
          <w:tcPr>
            <w:tcW w:type="dxa" w:w="4507"/>
          </w:tcPr>
          <w:p>
            <w:pPr>
              <w:spacing w:after="20"/>
            </w:pPr>
            <w:r>
              <w:rPr>
                <w:rFonts w:ascii="Segoe UI" w:hAnsi="Segoe UI" w:cs="Segoe UI" w:eastAsia="Segoe UI"/>
                <w:color w:val="101820"/>
                <w:sz w:val="18"/>
              </w:rPr>
              <w:t>Restore the production snapshot taken before the loads, fix the data, reload; or declare a no-go and keep working in the old system, which was only frozen</w:t>
            </w:r>
          </w:p>
        </w:tc>
      </w:tr>
      <w:tr>
        <w:tc>
          <w:tcPr>
            <w:tcW w:type="dxa" w:w="4507"/>
          </w:tcPr>
          <w:p>
            <w:pPr>
              <w:spacing w:after="20"/>
            </w:pPr>
            <w:r>
              <w:rPr>
                <w:rFonts w:ascii="Segoe UI" w:hAnsi="Segoe UI" w:cs="Segoe UI" w:eastAsia="Segoe UI"/>
                <w:color w:val="101820"/>
                <w:sz w:val="18"/>
              </w:rPr>
              <w:t>After go-live, within the rollback window</w:t>
            </w:r>
          </w:p>
        </w:tc>
        <w:tc>
          <w:tcPr>
            <w:tcW w:type="dxa" w:w="4507"/>
          </w:tcPr>
          <w:p>
            <w:pPr>
              <w:spacing w:after="20"/>
            </w:pPr>
            <w:r>
              <w:rPr>
                <w:rFonts w:ascii="Segoe UI" w:hAnsi="Segoe UI" w:cs="Segoe UI" w:eastAsia="Segoe UI"/>
                <w:color w:val="101820"/>
                <w:sz w:val="18"/>
              </w:rPr>
              <w:t>Unfreeze the old system; re-enter there the transactions made in BrokerVerse since go-live (receipts, vouchers, policies), using BrokerVerse reports (Receipts Register, Production Register, Journal) as the list; restore the BrokerVerse snapshot for the next attempt</w:t>
            </w:r>
          </w:p>
        </w:tc>
      </w:tr>
      <w:tr>
        <w:tc>
          <w:tcPr>
            <w:tcW w:type="dxa" w:w="4507"/>
          </w:tcPr>
          <w:p>
            <w:pPr>
              <w:spacing w:after="20"/>
            </w:pPr>
            <w:r>
              <w:rPr>
                <w:rFonts w:ascii="Segoe UI" w:hAnsi="Segoe UI" w:cs="Segoe UI" w:eastAsia="Segoe UI"/>
                <w:color w:val="101820"/>
                <w:sz w:val="18"/>
              </w:rPr>
              <w:t>Application release problem</w:t>
            </w:r>
          </w:p>
        </w:tc>
        <w:tc>
          <w:tcPr>
            <w:tcW w:type="dxa" w:w="4507"/>
          </w:tcPr>
          <w:p>
            <w:pPr>
              <w:spacing w:after="20"/>
            </w:pPr>
            <w:r>
              <w:rPr>
                <w:rFonts w:ascii="Segoe UI" w:hAnsi="Segoe UI" w:cs="Segoe UI" w:eastAsia="Segoe UI"/>
                <w:color w:val="101820"/>
                <w:sz w:val="18"/>
              </w:rPr>
              <w:t>Redeploy the previous back-end image and front-end build (</w:t>
            </w:r>
            <w:r>
              <w:rPr>
                <w:rFonts w:ascii="Consolas" w:hAnsi="Consolas" w:cs="Consolas" w:eastAsia="Consolas"/>
                <w:color w:val="101820"/>
                <w:sz w:val="16"/>
              </w:rPr>
              <w:t>deploy/README.md</w:t>
            </w:r>
            <w:r>
              <w:rPr>
                <w:rFonts w:ascii="Segoe UI" w:hAnsi="Segoe UI" w:cs="Segoe UI" w:eastAsia="Segoe UI"/>
                <w:color w:val="101820"/>
                <w:sz w:val="18"/>
              </w:rPr>
              <w:t xml:space="preserve"> section 8); migrations only add, so the previous version runs on the database</w:t>
            </w:r>
          </w:p>
        </w:tc>
      </w:tr>
    </w:tbl>
    <w:p>
      <w:pPr>
        <w:spacing w:after="80"/>
      </w:pPr>
    </w:p>
    <w:p>
      <w:pPr>
        <w:spacing w:after="120" w:line="276" w:lineRule="auto"/>
      </w:pPr>
      <w:r>
        <w:rPr>
          <w:rFonts w:ascii="Segoe UI" w:hAnsi="Segoe UI" w:cs="Segoe UI" w:eastAsia="Segoe UI"/>
          <w:color w:val="101820"/>
          <w:sz w:val="21"/>
        </w:rPr>
        <w:t>Data entered in BrokerVerse during the rollback window is listed daily so that a rollback can be carried out. The old system stays available read-only until the broker accepts BrokerVerse at hypercare exit, and stays readable for reference and audit afterwards for the period the broker's record-keeping rules require.</w:t>
      </w:r>
    </w:p>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11.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No open items at the time of issue</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