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Plan for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Plan for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Implementation Approach</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Implementation Approach</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SteerCo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Steering committee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Chart of accounts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TTT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Train the trainer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spacing w:after="120" w:line="276" w:lineRule="auto"/>
      </w:pPr>
      <w:r>
        <w:rPr>
          <w:rFonts w:ascii="Segoe UI" w:hAnsi="Segoe UI" w:cs="Segoe UI" w:eastAsia="Segoe UI"/>
          <w:color w:val="101820"/>
          <w:sz w:val="21"/>
        </w:rPr>
        <w:t xml:space="preserve">The companion workbook </w:t>
      </w:r>
      <w:r>
        <w:rPr>
          <w:rFonts w:ascii="Consolas" w:hAnsi="Consolas" w:cs="Consolas" w:eastAsia="Consolas"/>
          <w:color w:val="101820"/>
          <w:sz w:val="19"/>
        </w:rPr>
        <w:t>BrokerVerse_Implementation_Plan.xlsx</w:t>
      </w:r>
      <w:r>
        <w:rPr>
          <w:rFonts w:ascii="Segoe UI" w:hAnsi="Segoe UI" w:cs="Segoe UI" w:eastAsia="Segoe UI"/>
          <w:color w:val="101820"/>
          <w:sz w:val="21"/>
        </w:rPr>
        <w:t xml:space="preserve"> holds the three timelines as Gantt charts and the full RACI matrix.</w:t>
      </w:r>
    </w:p>
    <w:p>
      <w:pPr>
        <w:pStyle w:val="Heading2"/>
      </w:pPr>
      <w:r>
        <w:rPr>
          <w:rFonts w:ascii="Segoe UI" w:hAnsi="Segoe UI" w:cs="Segoe UI" w:eastAsia="Segoe UI"/>
          <w:b/>
          <w:color w:val="0F4761"/>
          <w:sz w:val="26"/>
        </w:rPr>
        <w:t>3.2  Audience</w:t>
      </w:r>
    </w:p>
    <w:p>
      <w:pPr>
        <w:spacing w:after="120" w:line="276" w:lineRule="auto"/>
      </w:pPr>
      <w:r>
        <w:rPr>
          <w:rFonts w:ascii="Segoe UI" w:hAnsi="Segoe UI" w:cs="Segoe UI" w:eastAsia="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pPr>
      <w:r>
        <w:rPr>
          <w:rFonts w:ascii="Segoe UI" w:hAnsi="Segoe UI" w:cs="Segoe UI" w:eastAsia="Segoe UI"/>
          <w:b/>
          <w:color w:val="0F4761"/>
          <w:sz w:val="26"/>
        </w:rPr>
        <w:t>3.3  Related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BrokerVerse Data Migration and Cutover Plan</w:t>
            </w:r>
          </w:p>
        </w:tc>
        <w:tc>
          <w:tcPr>
            <w:tcW w:type="dxa" w:w="4507"/>
          </w:tcPr>
          <w:p>
            <w:pPr>
              <w:spacing w:after="20"/>
            </w:pPr>
            <w:r>
              <w:rPr>
                <w:rFonts w:ascii="Segoe UI" w:hAnsi="Segoe UI" w:cs="Segoe UI" w:eastAsia="Segoe UI"/>
                <w:color w:val="101820"/>
                <w:sz w:val="18"/>
              </w:rPr>
              <w:t>Data objects, templates, load sequence, reconciliation, cutover and rollback</w:t>
            </w:r>
          </w:p>
        </w:tc>
      </w:tr>
      <w:tr>
        <w:tc>
          <w:tcPr>
            <w:tcW w:type="dxa" w:w="4507"/>
          </w:tcPr>
          <w:p>
            <w:pPr>
              <w:spacing w:after="20"/>
            </w:pPr>
            <w:r>
              <w:rPr>
                <w:rFonts w:ascii="Segoe UI" w:hAnsi="Segoe UI" w:cs="Segoe UI" w:eastAsia="Segoe UI"/>
                <w:color w:val="101820"/>
                <w:sz w:val="18"/>
              </w:rPr>
              <w:t>BrokerVerse Training Plan</w:t>
            </w:r>
          </w:p>
        </w:tc>
        <w:tc>
          <w:tcPr>
            <w:tcW w:type="dxa" w:w="4507"/>
          </w:tcPr>
          <w:p>
            <w:pPr>
              <w:spacing w:after="20"/>
            </w:pPr>
            <w:r>
              <w:rPr>
                <w:rFonts w:ascii="Segoe UI" w:hAnsi="Segoe UI" w:cs="Segoe UI" w:eastAsia="Segoe UI"/>
                <w:color w:val="101820"/>
                <w:sz w:val="18"/>
              </w:rPr>
              <w:t>Training per role, curriculum, train-the-trainer, assessment</w:t>
            </w:r>
          </w:p>
        </w:tc>
      </w:tr>
      <w:tr>
        <w:tc>
          <w:tcPr>
            <w:tcW w:type="dxa" w:w="4507"/>
          </w:tcPr>
          <w:p>
            <w:pPr>
              <w:spacing w:after="20"/>
            </w:pPr>
            <w:r>
              <w:rPr>
                <w:rFonts w:ascii="Segoe UI" w:hAnsi="Segoe UI" w:cs="Segoe UI" w:eastAsia="Segoe UI"/>
                <w:color w:val="101820"/>
                <w:sz w:val="18"/>
              </w:rPr>
              <w:t>BrokerVerse Production Support Approach and Standards</w:t>
            </w:r>
          </w:p>
        </w:tc>
        <w:tc>
          <w:tcPr>
            <w:tcW w:type="dxa" w:w="4507"/>
          </w:tcPr>
          <w:p>
            <w:pPr>
              <w:spacing w:after="20"/>
            </w:pPr>
            <w:r>
              <w:rPr>
                <w:rFonts w:ascii="Segoe UI" w:hAnsi="Segoe UI" w:cs="Segoe UI" w:eastAsia="Segoe UI"/>
                <w:color w:val="101820"/>
                <w:sz w:val="18"/>
              </w:rPr>
              <w:t>Support after hypercare</w:t>
            </w:r>
          </w:p>
        </w:tc>
      </w:tr>
      <w:tr>
        <w:tc>
          <w:tcPr>
            <w:tcW w:type="dxa" w:w="4507"/>
          </w:tcPr>
          <w:p>
            <w:pPr>
              <w:spacing w:after="20"/>
            </w:pPr>
            <w:r>
              <w:rPr>
                <w:rFonts w:ascii="Segoe UI" w:hAnsi="Segoe UI" w:cs="Segoe UI" w:eastAsia="Segoe UI"/>
                <w:color w:val="101820"/>
                <w:sz w:val="18"/>
              </w:rPr>
              <w:t>BrokerVerse Philippine Regulatory Compliance Matrix</w:t>
            </w:r>
          </w:p>
        </w:tc>
        <w:tc>
          <w:tcPr>
            <w:tcW w:type="dxa" w:w="4507"/>
          </w:tcPr>
          <w:p>
            <w:pPr>
              <w:spacing w:after="20"/>
            </w:pPr>
            <w:r>
              <w:rPr>
                <w:rFonts w:ascii="Segoe UI" w:hAnsi="Segoe UI" w:cs="Segoe UI" w:eastAsia="Segoe UI"/>
                <w:color w:val="101820"/>
                <w:sz w:val="18"/>
              </w:rPr>
              <w:t>How the system supports the broker's obligations</w:t>
            </w:r>
          </w:p>
        </w:tc>
      </w:tr>
      <w:tr>
        <w:tc>
          <w:tcPr>
            <w:tcW w:type="dxa" w:w="4507"/>
          </w:tcPr>
          <w:p>
            <w:pPr>
              <w:spacing w:after="20"/>
            </w:pPr>
            <w:r>
              <w:rPr>
                <w:rFonts w:ascii="Segoe UI" w:hAnsi="Segoe UI" w:cs="Segoe UI" w:eastAsia="Segoe UI"/>
                <w:color w:val="101820"/>
                <w:sz w:val="18"/>
              </w:rPr>
              <w:t>BrokerVerse User Manual (</w:t>
            </w:r>
            <w:r>
              <w:rPr>
                <w:rFonts w:ascii="Consolas" w:hAnsi="Consolas" w:cs="Consolas" w:eastAsia="Consolas"/>
                <w:color w:val="101820"/>
                <w:sz w:val="16"/>
              </w:rPr>
              <w:t>docs/package/05_Delivery</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Every screen, for every role</w:t>
            </w:r>
          </w:p>
        </w:tc>
      </w:tr>
      <w:tr>
        <w:tc>
          <w:tcPr>
            <w:tcW w:type="dxa" w:w="4507"/>
          </w:tcPr>
          <w:p>
            <w:pPr>
              <w:spacing w:after="20"/>
            </w:pPr>
            <w:r>
              <w:rPr>
                <w:rFonts w:ascii="Segoe UI" w:hAnsi="Segoe UI" w:cs="Segoe UI" w:eastAsia="Segoe UI"/>
                <w:color w:val="101820"/>
                <w:sz w:val="18"/>
              </w:rPr>
              <w:t>Go-live data set-up (</w:t>
            </w:r>
            <w:r>
              <w:rPr>
                <w:rFonts w:ascii="Consolas" w:hAnsi="Consolas" w:cs="Consolas" w:eastAsia="Consolas"/>
                <w:color w:val="101820"/>
                <w:sz w:val="16"/>
              </w:rPr>
              <w:t>docs/onboarding/GO_LIVE_DATA_SETUP.md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The order of set-up from company to first month-end</w:t>
            </w:r>
          </w:p>
        </w:tc>
      </w:tr>
      <w:tr>
        <w:tc>
          <w:tcPr>
            <w:tcW w:type="dxa" w:w="4507"/>
          </w:tcPr>
          <w:p>
            <w:pPr>
              <w:spacing w:after="20"/>
            </w:pPr>
            <w:r>
              <w:rPr>
                <w:rFonts w:ascii="Segoe UI" w:hAnsi="Segoe UI" w:cs="Segoe UI" w:eastAsia="Segoe UI"/>
                <w:color w:val="101820"/>
                <w:sz w:val="18"/>
              </w:rPr>
              <w:t>User acceptance test scripts (</w:t>
            </w:r>
            <w:r>
              <w:rPr>
                <w:rFonts w:ascii="Consolas" w:hAnsi="Consolas" w:cs="Consolas" w:eastAsia="Consolas"/>
                <w:color w:val="101820"/>
                <w:sz w:val="16"/>
              </w:rPr>
              <w:t>docs/onboarding/UAT_SCRIPTS.md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5 to 8 scenarios per role</w:t>
            </w:r>
          </w:p>
        </w:tc>
      </w:tr>
      <w:tr>
        <w:tc>
          <w:tcPr>
            <w:tcW w:type="dxa" w:w="4507"/>
          </w:tcPr>
          <w:p>
            <w:pPr>
              <w:spacing w:after="20"/>
            </w:pPr>
            <w:r>
              <w:rPr>
                <w:rFonts w:ascii="Segoe UI" w:hAnsi="Segoe UI" w:cs="Segoe UI" w:eastAsia="Segoe UI"/>
                <w:color w:val="101820"/>
                <w:sz w:val="18"/>
              </w:rPr>
              <w:t>Deployment checklist (</w:t>
            </w: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Servers, database, secrets, e-mail, health checks, rollback</w:t>
            </w:r>
          </w:p>
        </w:tc>
      </w:tr>
    </w:tbl>
    <w:p>
      <w:pPr>
        <w:pStyle w:val="Heading1"/>
        <w:pageBreakBefore/>
      </w:pPr>
      <w:r>
        <w:rPr>
          <w:rFonts w:ascii="Segoe UI" w:hAnsi="Segoe UI" w:cs="Segoe UI" w:eastAsia="Segoe UI"/>
          <w:b/>
          <w:color w:val="0F4761"/>
          <w:sz w:val="32"/>
        </w:rPr>
        <w:t>4.  Implementation approach</w:t>
      </w:r>
    </w:p>
    <w:p>
      <w:pPr>
        <w:pStyle w:val="Heading2"/>
      </w:pPr>
      <w:r>
        <w:rPr>
          <w:rFonts w:ascii="Segoe UI" w:hAnsi="Segoe UI" w:cs="Segoe UI" w:eastAsia="Segoe UI"/>
          <w:b/>
          <w:color w:val="0F4761"/>
          <w:sz w:val="26"/>
        </w:rPr>
        <w:t>4.1  Configure, do not customise</w:t>
      </w:r>
    </w:p>
    <w:p>
      <w:pPr>
        <w:spacing w:after="120" w:line="276" w:lineRule="auto"/>
      </w:pPr>
      <w:r>
        <w:rPr>
          <w:rFonts w:ascii="Segoe UI" w:hAnsi="Segoe UI" w:cs="Segoe UI" w:eastAsia="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spacing w:after="120" w:line="276" w:lineRule="auto"/>
      </w:pPr>
      <w:r>
        <w:rPr>
          <w:rFonts w:ascii="Segoe UI" w:hAnsi="Segoe UI" w:cs="Segoe UI" w:eastAsia="Segoe UI"/>
          <w:color w:val="101820"/>
          <w:sz w:val="21"/>
        </w:rPr>
        <w:t>What the broker can set without code: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Area</w:t>
            </w:r>
          </w:p>
        </w:tc>
        <w:tc>
          <w:tcPr>
            <w:tcW w:type="dxa" w:w="4507"/>
            <w:shd w:val="clear" w:color="auto" w:fill="DCE9F7"/>
          </w:tcPr>
          <w:p>
            <w:pPr>
              <w:spacing w:after="20"/>
            </w:pPr>
            <w:r>
              <w:rPr>
                <w:rFonts w:ascii="Segoe UI" w:hAnsi="Segoe UI" w:cs="Segoe UI" w:eastAsia="Segoe UI"/>
                <w:b/>
                <w:color w:val="0F4761"/>
                <w:sz w:val="18"/>
              </w:rPr>
              <w:t>Where in BrokerVerse</w:t>
            </w:r>
          </w:p>
        </w:tc>
      </w:tr>
      <w:tr>
        <w:tc>
          <w:tcPr>
            <w:tcW w:type="dxa" w:w="4507"/>
          </w:tcPr>
          <w:p>
            <w:pPr>
              <w:spacing w:after="20"/>
            </w:pPr>
            <w:r>
              <w:rPr>
                <w:rFonts w:ascii="Segoe UI" w:hAnsi="Segoe UI" w:cs="Segoe UI" w:eastAsia="Segoe UI"/>
                <w:color w:val="101820"/>
                <w:sz w:val="18"/>
              </w:rPr>
              <w:t>Company, letterhead, branches, departments</w:t>
            </w:r>
          </w:p>
        </w:tc>
        <w:tc>
          <w:tcPr>
            <w:tcW w:type="dxa" w:w="4507"/>
          </w:tcPr>
          <w:p>
            <w:pPr>
              <w:spacing w:after="20"/>
            </w:pPr>
            <w:r>
              <w:rPr>
                <w:rFonts w:ascii="Segoe UI" w:hAnsi="Segoe UI" w:cs="Segoe UI" w:eastAsia="Segoe UI"/>
                <w:color w:val="101820"/>
                <w:sz w:val="18"/>
              </w:rPr>
              <w:t>Master &gt; Generals &gt; Organization; Master &gt; System Settings</w:t>
            </w:r>
          </w:p>
        </w:tc>
      </w:tr>
      <w:tr>
        <w:tc>
          <w:tcPr>
            <w:tcW w:type="dxa" w:w="4507"/>
          </w:tcPr>
          <w:p>
            <w:pPr>
              <w:spacing w:after="20"/>
            </w:pPr>
            <w:r>
              <w:rPr>
                <w:rFonts w:ascii="Segoe UI" w:hAnsi="Segoe UI" w:cs="Segoe UI" w:eastAsia="Segoe UI"/>
                <w:color w:val="101820"/>
                <w:sz w:val="18"/>
              </w:rPr>
              <w:t>Users and the seven delivered roles</w:t>
            </w:r>
          </w:p>
        </w:tc>
        <w:tc>
          <w:tcPr>
            <w:tcW w:type="dxa" w:w="4507"/>
          </w:tcPr>
          <w:p>
            <w:pPr>
              <w:spacing w:after="20"/>
            </w:pPr>
            <w:r>
              <w:rPr>
                <w:rFonts w:ascii="Segoe UI" w:hAnsi="Segoe UI" w:cs="Segoe UI" w:eastAsia="Segoe UI"/>
                <w:color w:val="101820"/>
                <w:sz w:val="18"/>
              </w:rPr>
              <w:t>Master &gt; Generals &gt; User Management (User, Role, User Access Matrix, Authority Matrix, Delegations, Segregation of Duties, Access Reviews)</w:t>
            </w:r>
          </w:p>
        </w:tc>
      </w:tr>
      <w:tr>
        <w:tc>
          <w:tcPr>
            <w:tcW w:type="dxa" w:w="4507"/>
          </w:tcPr>
          <w:p>
            <w:pPr>
              <w:spacing w:after="20"/>
            </w:pPr>
            <w:r>
              <w:rPr>
                <w:rFonts w:ascii="Segoe UI" w:hAnsi="Segoe UI" w:cs="Segoe UI" w:eastAsia="Segoe UI"/>
                <w:color w:val="101820"/>
                <w:sz w:val="18"/>
              </w:rPr>
              <w:t>Insurers, credit and remittance terms, billing mode</w:t>
            </w:r>
          </w:p>
        </w:tc>
        <w:tc>
          <w:tcPr>
            <w:tcW w:type="dxa" w:w="4507"/>
          </w:tcPr>
          <w:p>
            <w:pPr>
              <w:spacing w:after="20"/>
            </w:pPr>
            <w:r>
              <w:rPr>
                <w:rFonts w:ascii="Segoe UI" w:hAnsi="Segoe UI" w:cs="Segoe UI" w:eastAsia="Segoe UI"/>
                <w:color w:val="101820"/>
                <w:sz w:val="18"/>
              </w:rPr>
              <w:t>Master &gt; Generals &gt; Insurance Management &gt; Insurance Company</w:t>
            </w:r>
          </w:p>
        </w:tc>
      </w:tr>
      <w:tr>
        <w:tc>
          <w:tcPr>
            <w:tcW w:type="dxa" w:w="4507"/>
          </w:tcPr>
          <w:p>
            <w:pPr>
              <w:spacing w:after="20"/>
            </w:pPr>
            <w:r>
              <w:rPr>
                <w:rFonts w:ascii="Segoe UI" w:hAnsi="Segoe UI" w:cs="Segoe UI" w:eastAsia="Segoe UI"/>
                <w:color w:val="101820"/>
                <w:sz w:val="18"/>
              </w:rPr>
              <w:t>Lines of business, products, covers, vehicles</w:t>
            </w:r>
          </w:p>
        </w:tc>
        <w:tc>
          <w:tcPr>
            <w:tcW w:type="dxa" w:w="4507"/>
          </w:tcPr>
          <w:p>
            <w:pPr>
              <w:spacing w:after="20"/>
            </w:pPr>
            <w:r>
              <w:rPr>
                <w:rFonts w:ascii="Segoe UI" w:hAnsi="Segoe UI" w:cs="Segoe UI" w:eastAsia="Segoe UI"/>
                <w:color w:val="101820"/>
                <w:sz w:val="18"/>
              </w:rPr>
              <w:t>Master &gt; Generals &gt; Insurance Management</w:t>
            </w:r>
          </w:p>
        </w:tc>
      </w:tr>
      <w:tr>
        <w:tc>
          <w:tcPr>
            <w:tcW w:type="dxa" w:w="4507"/>
          </w:tcPr>
          <w:p>
            <w:pPr>
              <w:spacing w:after="20"/>
            </w:pPr>
            <w:r>
              <w:rPr>
                <w:rFonts w:ascii="Segoe UI" w:hAnsi="Segoe UI" w:cs="Segoe UI" w:eastAsia="Segoe UI"/>
                <w:color w:val="101820"/>
                <w:sz w:val="18"/>
              </w:rPr>
              <w:t>Product templates, motor tariff (CTPL and Auto Passenger PA), rating, acceptance rules</w:t>
            </w:r>
          </w:p>
        </w:tc>
        <w:tc>
          <w:tcPr>
            <w:tcW w:type="dxa" w:w="4507"/>
          </w:tcPr>
          <w:p>
            <w:pPr>
              <w:spacing w:after="20"/>
            </w:pPr>
            <w:r>
              <w:rPr>
                <w:rFonts w:ascii="Segoe UI" w:hAnsi="Segoe UI" w:cs="Segoe UI" w:eastAsia="Segoe UI"/>
                <w:color w:val="101820"/>
                <w:sz w:val="18"/>
              </w:rPr>
              <w:t>Product Configurator</w:t>
            </w:r>
          </w:p>
        </w:tc>
      </w:tr>
      <w:tr>
        <w:tc>
          <w:tcPr>
            <w:tcW w:type="dxa" w:w="4507"/>
          </w:tcPr>
          <w:p>
            <w:pPr>
              <w:spacing w:after="20"/>
            </w:pPr>
            <w:r>
              <w:rPr>
                <w:rFonts w:ascii="Segoe UI" w:hAnsi="Segoe UI" w:cs="Segoe UI" w:eastAsia="Segoe UI"/>
                <w:color w:val="101820"/>
                <w:sz w:val="18"/>
              </w:rPr>
              <w:t>Commission rates and referrer sharing</w:t>
            </w:r>
          </w:p>
        </w:tc>
        <w:tc>
          <w:tcPr>
            <w:tcW w:type="dxa" w:w="4507"/>
          </w:tcPr>
          <w:p>
            <w:pPr>
              <w:spacing w:after="20"/>
            </w:pPr>
            <w:r>
              <w:rPr>
                <w:rFonts w:ascii="Segoe UI" w:hAnsi="Segoe UI" w:cs="Segoe UI" w:eastAsia="Segoe UI"/>
                <w:color w:val="101820"/>
                <w:sz w:val="18"/>
              </w:rPr>
              <w:t>Master &gt; Finance &gt; Commission Rate Matrix</w:t>
            </w:r>
          </w:p>
        </w:tc>
      </w:tr>
      <w:tr>
        <w:tc>
          <w:tcPr>
            <w:tcW w:type="dxa" w:w="4507"/>
          </w:tcPr>
          <w:p>
            <w:pPr>
              <w:spacing w:after="20"/>
            </w:pPr>
            <w:r>
              <w:rPr>
                <w:rFonts w:ascii="Segoe UI" w:hAnsi="Segoe UI" w:cs="Segoe UI" w:eastAsia="Segoe UI"/>
                <w:color w:val="101820"/>
                <w:sz w:val="18"/>
              </w:rPr>
              <w:t>Premium taxes and LGU rates, tax codes with BIR ATC</w:t>
            </w:r>
          </w:p>
        </w:tc>
        <w:tc>
          <w:tcPr>
            <w:tcW w:type="dxa" w:w="4507"/>
          </w:tcPr>
          <w:p>
            <w:pPr>
              <w:spacing w:after="20"/>
            </w:pPr>
            <w:r>
              <w:rPr>
                <w:rFonts w:ascii="Segoe UI" w:hAnsi="Segoe UI" w:cs="Segoe UI" w:eastAsia="Segoe UI"/>
                <w:color w:val="101820"/>
                <w:sz w:val="18"/>
              </w:rPr>
              <w:t>Master &gt; Finance &gt; Premium Taxes &amp; LGU Rates; Master &gt; Finance &gt; Taxation</w:t>
            </w:r>
          </w:p>
        </w:tc>
      </w:tr>
      <w:tr>
        <w:tc>
          <w:tcPr>
            <w:tcW w:type="dxa" w:w="4507"/>
          </w:tcPr>
          <w:p>
            <w:pPr>
              <w:spacing w:after="20"/>
            </w:pPr>
            <w:r>
              <w:rPr>
                <w:rFonts w:ascii="Segoe UI" w:hAnsi="Segoe UI" w:cs="Segoe UI" w:eastAsia="Segoe UI"/>
                <w:color w:val="101820"/>
                <w:sz w:val="18"/>
              </w:rPr>
              <w:t>Chart of accounts, account determination, posting rules</w:t>
            </w:r>
          </w:p>
        </w:tc>
        <w:tc>
          <w:tcPr>
            <w:tcW w:type="dxa" w:w="4507"/>
          </w:tcPr>
          <w:p>
            <w:pPr>
              <w:spacing w:after="20"/>
            </w:pPr>
            <w:r>
              <w:rPr>
                <w:rFonts w:ascii="Segoe UI" w:hAnsi="Segoe UI" w:cs="Segoe UI" w:eastAsia="Segoe UI"/>
                <w:color w:val="101820"/>
                <w:sz w:val="18"/>
              </w:rPr>
              <w:t>Master &gt; Finance &gt; Main Account, Sub Account, Account Determination, Posting Rules, Configuration Approvals</w:t>
            </w:r>
          </w:p>
        </w:tc>
      </w:tr>
      <w:tr>
        <w:tc>
          <w:tcPr>
            <w:tcW w:type="dxa" w:w="4507"/>
          </w:tcPr>
          <w:p>
            <w:pPr>
              <w:spacing w:after="20"/>
            </w:pPr>
            <w:r>
              <w:rPr>
                <w:rFonts w:ascii="Segoe UI" w:hAnsi="Segoe UI" w:cs="Segoe UI" w:eastAsia="Segoe UI"/>
                <w:color w:val="101820"/>
                <w:sz w:val="18"/>
              </w:rPr>
              <w:t>Document numbering (61 series)</w:t>
            </w:r>
          </w:p>
        </w:tc>
        <w:tc>
          <w:tcPr>
            <w:tcW w:type="dxa" w:w="4507"/>
          </w:tcPr>
          <w:p>
            <w:pPr>
              <w:spacing w:after="20"/>
            </w:pPr>
            <w:r>
              <w:rPr>
                <w:rFonts w:ascii="Segoe UI" w:hAnsi="Segoe UI" w:cs="Segoe UI" w:eastAsia="Segoe UI"/>
                <w:color w:val="101820"/>
                <w:sz w:val="18"/>
              </w:rPr>
              <w:t>Master &gt; Document Numbering</w:t>
            </w:r>
          </w:p>
        </w:tc>
      </w:tr>
      <w:tr>
        <w:tc>
          <w:tcPr>
            <w:tcW w:type="dxa" w:w="4507"/>
          </w:tcPr>
          <w:p>
            <w:pPr>
              <w:spacing w:after="20"/>
            </w:pPr>
            <w:r>
              <w:rPr>
                <w:rFonts w:ascii="Segoe UI" w:hAnsi="Segoe UI" w:cs="Segoe UI" w:eastAsia="Segoe UI"/>
                <w:color w:val="101820"/>
                <w:sz w:val="18"/>
              </w:rPr>
              <w:t>Business rules, limits, maker-checker switches, security policy, e-mail texts</w:t>
            </w:r>
          </w:p>
        </w:tc>
        <w:tc>
          <w:tcPr>
            <w:tcW w:type="dxa" w:w="4507"/>
          </w:tcPr>
          <w:p>
            <w:pPr>
              <w:spacing w:after="20"/>
            </w:pPr>
            <w:r>
              <w:rPr>
                <w:rFonts w:ascii="Segoe UI" w:hAnsi="Segoe UI" w:cs="Segoe UI" w:eastAsia="Segoe UI"/>
                <w:color w:val="101820"/>
                <w:sz w:val="18"/>
              </w:rPr>
              <w:t>Master &gt; Configuration</w:t>
            </w:r>
          </w:p>
        </w:tc>
      </w:tr>
      <w:tr>
        <w:tc>
          <w:tcPr>
            <w:tcW w:type="dxa" w:w="4507"/>
          </w:tcPr>
          <w:p>
            <w:pPr>
              <w:spacing w:after="20"/>
            </w:pPr>
            <w:r>
              <w:rPr>
                <w:rFonts w:ascii="Segoe UI" w:hAnsi="Segoe UI" w:cs="Segoe UI" w:eastAsia="Segoe UI"/>
                <w:color w:val="101820"/>
                <w:sz w:val="18"/>
              </w:rPr>
              <w:t>Scheduled jobs</w:t>
            </w:r>
          </w:p>
        </w:tc>
        <w:tc>
          <w:tcPr>
            <w:tcW w:type="dxa" w:w="4507"/>
          </w:tcPr>
          <w:p>
            <w:pPr>
              <w:spacing w:after="20"/>
            </w:pPr>
            <w:r>
              <w:rPr>
                <w:rFonts w:ascii="Segoe UI" w:hAnsi="Segoe UI" w:cs="Segoe UI" w:eastAsia="Segoe UI"/>
                <w:color w:val="101820"/>
                <w:sz w:val="18"/>
              </w:rPr>
              <w:t>Master &gt; Schedules</w:t>
            </w:r>
          </w:p>
        </w:tc>
      </w:tr>
      <w:tr>
        <w:tc>
          <w:tcPr>
            <w:tcW w:type="dxa" w:w="4507"/>
          </w:tcPr>
          <w:p>
            <w:pPr>
              <w:spacing w:after="20"/>
            </w:pPr>
            <w:r>
              <w:rPr>
                <w:rFonts w:ascii="Segoe UI" w:hAnsi="Segoe UI" w:cs="Segoe UI" w:eastAsia="Segoe UI"/>
                <w:color w:val="101820"/>
                <w:sz w:val="18"/>
              </w:rPr>
              <w:t>Banks, bank accounts, statement formats, transaction types</w:t>
            </w:r>
          </w:p>
        </w:tc>
        <w:tc>
          <w:tcPr>
            <w:tcW w:type="dxa" w:w="4507"/>
          </w:tcPr>
          <w:p>
            <w:pPr>
              <w:spacing w:after="20"/>
            </w:pPr>
            <w:r>
              <w:rPr>
                <w:rFonts w:ascii="Segoe UI" w:hAnsi="Segoe UI" w:cs="Segoe UI" w:eastAsia="Segoe UI"/>
                <w:color w:val="101820"/>
                <w:sz w:val="18"/>
              </w:rPr>
              <w:t>Master &gt; Finance &gt; Bank, Bank Statement Formats, Bank Transaction Types</w:t>
            </w:r>
          </w:p>
        </w:tc>
      </w:tr>
      <w:tr>
        <w:tc>
          <w:tcPr>
            <w:tcW w:type="dxa" w:w="4507"/>
          </w:tcPr>
          <w:p>
            <w:pPr>
              <w:spacing w:after="20"/>
            </w:pPr>
            <w:r>
              <w:rPr>
                <w:rFonts w:ascii="Segoe UI" w:hAnsi="Segoe UI" w:cs="Segoe UI" w:eastAsia="Segoe UI"/>
                <w:color w:val="101820"/>
                <w:sz w:val="18"/>
              </w:rPr>
              <w:t>Payment gateways</w:t>
            </w:r>
          </w:p>
        </w:tc>
        <w:tc>
          <w:tcPr>
            <w:tcW w:type="dxa" w:w="4507"/>
          </w:tcPr>
          <w:p>
            <w:pPr>
              <w:spacing w:after="20"/>
            </w:pPr>
            <w:r>
              <w:rPr>
                <w:rFonts w:ascii="Segoe UI" w:hAnsi="Segoe UI" w:cs="Segoe UI" w:eastAsia="Segoe UI"/>
                <w:color w:val="101820"/>
                <w:sz w:val="18"/>
              </w:rPr>
              <w:t>Master &gt; Finance &gt; Payment Gateways</w:t>
            </w:r>
          </w:p>
        </w:tc>
      </w:tr>
    </w:tbl>
    <w:p>
      <w:pPr>
        <w:spacing w:after="80"/>
      </w:pPr>
    </w:p>
    <w:p>
      <w:pPr>
        <w:spacing w:after="120" w:line="276" w:lineRule="auto"/>
      </w:pPr>
      <w:r>
        <w:rPr>
          <w:rFonts w:ascii="Segoe UI" w:hAnsi="Segoe UI" w:cs="Segoe UI" w:eastAsia="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pPr>
      <w:r>
        <w:rPr>
          <w:rFonts w:ascii="Segoe UI" w:hAnsi="Segoe UI" w:cs="Segoe UI" w:eastAsia="Segoe UI"/>
          <w:b/>
          <w:color w:val="0F4761"/>
          <w:sz w:val="26"/>
        </w:rPr>
        <w:t>4.2  Principles</w:t>
      </w:r>
    </w:p>
    <w:p>
      <w:pPr>
        <w:spacing w:after="60"/>
        <w:numPr>
          <w:ilvl w:val="0"/>
          <w:numId w:val="3"/>
        </w:numPr>
      </w:pPr>
      <w:r>
        <w:rPr>
          <w:rFonts w:ascii="Segoe UI" w:hAnsi="Segoe UI" w:cs="Segoe UI" w:eastAsia="Segoe UI"/>
          <w:b/>
          <w:color w:val="101820"/>
          <w:sz w:val="21"/>
        </w:rPr>
        <w:t>Product first.</w:t>
      </w:r>
      <w:r>
        <w:rPr>
          <w:rFonts w:ascii="Segoe UI" w:hAnsi="Segoe UI" w:cs="Segoe UI" w:eastAsia="Segoe UI"/>
          <w:color w:val="101820"/>
          <w:sz w:val="21"/>
        </w:rPr>
        <w:t xml:space="preserve"> The process walk-throughs use the delivered screens with the broker's own examples. The broker adapts a procedure before anyone asks for a change.</w:t>
      </w:r>
    </w:p>
    <w:p>
      <w:pPr>
        <w:spacing w:after="60"/>
        <w:numPr>
          <w:ilvl w:val="0"/>
          <w:numId w:val="3"/>
        </w:numPr>
      </w:pPr>
      <w:r>
        <w:rPr>
          <w:rFonts w:ascii="Segoe UI" w:hAnsi="Segoe UI" w:cs="Segoe UI" w:eastAsia="Segoe UI"/>
          <w:b/>
          <w:color w:val="101820"/>
          <w:sz w:val="21"/>
        </w:rPr>
        <w:t>Data drives the timeline.</w:t>
      </w:r>
      <w:r>
        <w:rPr>
          <w:rFonts w:ascii="Segoe UI" w:hAnsi="Segoe UI" w:cs="Segoe UI" w:eastAsia="Segoe UI"/>
          <w:color w:val="101820"/>
          <w:sz w:val="21"/>
        </w:rPr>
        <w:t xml:space="preserve"> Most of the effort sits with the broker's data: insurer agreements, commission rates, the chart of accounts, in-force policies, open receivables and the trial balance. Requests for data go out in week 1.</w:t>
      </w:r>
    </w:p>
    <w:p>
      <w:pPr>
        <w:spacing w:after="60"/>
        <w:numPr>
          <w:ilvl w:val="0"/>
          <w:numId w:val="3"/>
        </w:numPr>
      </w:pPr>
      <w:r>
        <w:rPr>
          <w:rFonts w:ascii="Segoe UI" w:hAnsi="Segoe UI" w:cs="Segoe UI" w:eastAsia="Segoe UI"/>
          <w:b/>
          <w:color w:val="101820"/>
          <w:sz w:val="21"/>
        </w:rPr>
        <w:t>Key users own the result.</w:t>
      </w:r>
      <w:r>
        <w:rPr>
          <w:rFonts w:ascii="Segoe UI" w:hAnsi="Segoe UI" w:cs="Segoe UI" w:eastAsia="Segoe UI"/>
          <w:color w:val="101820"/>
          <w:sz w:val="21"/>
        </w:rPr>
        <w:t xml:space="preserve"> Each team names one key user who takes part in discovery, tests the configuration, runs the UAT scripts and trains the team.</w:t>
      </w:r>
    </w:p>
    <w:p>
      <w:pPr>
        <w:spacing w:after="60"/>
        <w:numPr>
          <w:ilvl w:val="0"/>
          <w:numId w:val="3"/>
        </w:numPr>
      </w:pPr>
      <w:r>
        <w:rPr>
          <w:rFonts w:ascii="Segoe UI" w:hAnsi="Segoe UI" w:cs="Segoe UI" w:eastAsia="Segoe UI"/>
          <w:b/>
          <w:color w:val="101820"/>
          <w:sz w:val="21"/>
        </w:rPr>
        <w:t>Repeatable loads.</w:t>
      </w:r>
      <w:r>
        <w:rPr>
          <w:rFonts w:ascii="Segoe UI" w:hAnsi="Segoe UI" w:cs="Segoe UI" w:eastAsia="Segoe UI"/>
          <w:color w:val="101820"/>
          <w:sz w:val="21"/>
        </w:rPr>
        <w:t xml:space="preserve"> Every data load uses the delivered upload templates (</w:t>
      </w:r>
      <w:r>
        <w:rPr>
          <w:rFonts w:ascii="Consolas" w:hAnsi="Consolas" w:cs="Consolas" w:eastAsia="Consolas"/>
          <w:color w:val="101820"/>
          <w:sz w:val="19"/>
        </w:rPr>
        <w:t>docs/package/05_Delivery/Upload_Templates</w:t>
      </w:r>
      <w:r>
        <w:rPr>
          <w:rFonts w:ascii="Segoe UI" w:hAnsi="Segoe UI" w:cs="Segoe UI" w:eastAsia="Segoe UI"/>
          <w:color w:val="101820"/>
          <w:sz w:val="21"/>
        </w:rPr>
        <w:t>) and is rehearsed at least twice before cutover.</w:t>
      </w:r>
    </w:p>
    <w:p>
      <w:pPr>
        <w:spacing w:after="60"/>
        <w:numPr>
          <w:ilvl w:val="0"/>
          <w:numId w:val="3"/>
        </w:numPr>
      </w:pPr>
      <w:r>
        <w:rPr>
          <w:rFonts w:ascii="Segoe UI" w:hAnsi="Segoe UI" w:cs="Segoe UI" w:eastAsia="Segoe UI"/>
          <w:b/>
          <w:color w:val="101820"/>
          <w:sz w:val="21"/>
        </w:rPr>
        <w:t>Evidence for every acceptance.</w:t>
      </w:r>
      <w:r>
        <w:rPr>
          <w:rFonts w:ascii="Segoe UI" w:hAnsi="Segoe UI" w:cs="Segoe UI" w:eastAsia="Segoe UI"/>
          <w:color w:val="101820"/>
          <w:sz w:val="21"/>
        </w:rPr>
        <w:t xml:space="preserve"> Each phase ends with named deliverables and acceptance criteria (chapter 11). Sign-off is written.</w:t>
      </w:r>
    </w:p>
    <w:p>
      <w:pPr>
        <w:pStyle w:val="Heading2"/>
      </w:pPr>
      <w:r>
        <w:rPr>
          <w:rFonts w:ascii="Segoe UI" w:hAnsi="Segoe UI" w:cs="Segoe UI" w:eastAsia="Segoe UI"/>
          <w:b/>
          <w:color w:val="0F4761"/>
          <w:sz w:val="26"/>
        </w:rPr>
        <w:t>4.3  Implementation sizes</w:t>
      </w:r>
    </w:p>
    <w:p>
      <w:pPr>
        <w:spacing w:after="120" w:line="276" w:lineRule="auto"/>
      </w:pPr>
      <w:r>
        <w:rPr>
          <w:rFonts w:ascii="Segoe UI" w:hAnsi="Segoe UI" w:cs="Segoe UI" w:eastAsia="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248"/>
        <w:gridCol w:w="2859"/>
      </w:tblGrid>
      <w:tr>
        <w:trPr>
          <w:tblHeader w:val="true"/>
        </w:trPr>
        <w:tc>
          <w:tcPr>
            <w:tcW w:type="dxa" w:w="907"/>
            <w:shd w:val="clear" w:color="auto" w:fill="DCE9F7"/>
          </w:tcPr>
          <w:p>
            <w:pPr>
              <w:spacing w:after="20"/>
            </w:pPr>
            <w:r>
              <w:rPr>
                <w:rFonts w:ascii="Segoe UI" w:hAnsi="Segoe UI" w:cs="Segoe UI" w:eastAsia="Segoe UI"/>
                <w:b/>
                <w:color w:val="0F4761"/>
                <w:sz w:val="18"/>
              </w:rPr>
              <w:t>Size</w:t>
            </w:r>
          </w:p>
        </w:tc>
        <w:tc>
          <w:tcPr>
            <w:tcW w:type="dxa" w:w="5248"/>
            <w:shd w:val="clear" w:color="auto" w:fill="DCE9F7"/>
          </w:tcPr>
          <w:p>
            <w:pPr>
              <w:spacing w:after="20"/>
            </w:pPr>
            <w:r>
              <w:rPr>
                <w:rFonts w:ascii="Segoe UI" w:hAnsi="Segoe UI" w:cs="Segoe UI" w:eastAsia="Segoe UI"/>
                <w:b/>
                <w:color w:val="0F4761"/>
                <w:sz w:val="18"/>
              </w:rPr>
              <w:t>Typical profile (assumption)</w:t>
            </w:r>
          </w:p>
        </w:tc>
        <w:tc>
          <w:tcPr>
            <w:tcW w:type="dxa" w:w="2859"/>
            <w:shd w:val="clear" w:color="auto" w:fill="DCE9F7"/>
          </w:tcPr>
          <w:p>
            <w:pPr>
              <w:spacing w:after="20"/>
            </w:pPr>
            <w:r>
              <w:rPr>
                <w:rFonts w:ascii="Segoe UI" w:hAnsi="Segoe UI" w:cs="Segoe UI" w:eastAsia="Segoe UI"/>
                <w:b/>
                <w:color w:val="0F4761"/>
                <w:sz w:val="18"/>
              </w:rPr>
              <w:t>Duration to hypercare exit</w:t>
            </w:r>
          </w:p>
        </w:tc>
      </w:tr>
      <w:tr>
        <w:tc>
          <w:tcPr>
            <w:tcW w:type="dxa" w:w="907"/>
          </w:tcPr>
          <w:p>
            <w:pPr>
              <w:spacing w:after="20"/>
            </w:pPr>
            <w:r>
              <w:rPr>
                <w:rFonts w:ascii="Segoe UI" w:hAnsi="Segoe UI" w:cs="Segoe UI" w:eastAsia="Segoe UI"/>
                <w:color w:val="101820"/>
                <w:sz w:val="18"/>
              </w:rPr>
              <w:t>Small</w:t>
            </w:r>
          </w:p>
        </w:tc>
        <w:tc>
          <w:tcPr>
            <w:tcW w:type="dxa" w:w="5248"/>
          </w:tcPr>
          <w:p>
            <w:pPr>
              <w:spacing w:after="20"/>
            </w:pPr>
            <w:r>
              <w:rPr>
                <w:rFonts w:ascii="Segoe UI" w:hAnsi="Segoe UI" w:cs="Segoe UI" w:eastAsia="Segoe UI"/>
                <w:color w:val="101820"/>
                <w:sz w:val="18"/>
              </w:rPr>
              <w:t>One office, up to 25 users, up to 10 insurers, up to 5,000 in-force policies, one or two bank accounts</w:t>
            </w:r>
          </w:p>
        </w:tc>
        <w:tc>
          <w:tcPr>
            <w:tcW w:type="dxa" w:w="2859"/>
          </w:tcPr>
          <w:p>
            <w:pPr>
              <w:spacing w:after="20"/>
            </w:pPr>
            <w:r>
              <w:rPr>
                <w:rFonts w:ascii="Segoe UI" w:hAnsi="Segoe UI" w:cs="Segoe UI" w:eastAsia="Segoe UI"/>
                <w:color w:val="101820"/>
                <w:sz w:val="18"/>
              </w:rPr>
              <w:t>8 weeks</w:t>
            </w:r>
          </w:p>
        </w:tc>
      </w:tr>
      <w:tr>
        <w:tc>
          <w:tcPr>
            <w:tcW w:type="dxa" w:w="907"/>
          </w:tcPr>
          <w:p>
            <w:pPr>
              <w:spacing w:after="20"/>
            </w:pPr>
            <w:r>
              <w:rPr>
                <w:rFonts w:ascii="Segoe UI" w:hAnsi="Segoe UI" w:cs="Segoe UI" w:eastAsia="Segoe UI"/>
                <w:color w:val="101820"/>
                <w:sz w:val="18"/>
              </w:rPr>
              <w:t>Medium</w:t>
            </w:r>
          </w:p>
        </w:tc>
        <w:tc>
          <w:tcPr>
            <w:tcW w:type="dxa" w:w="5248"/>
          </w:tcPr>
          <w:p>
            <w:pPr>
              <w:spacing w:after="20"/>
            </w:pPr>
            <w:r>
              <w:rPr>
                <w:rFonts w:ascii="Segoe UI" w:hAnsi="Segoe UI" w:cs="Segoe UI" w:eastAsia="Segoe UI"/>
                <w:color w:val="101820"/>
                <w:sz w:val="18"/>
              </w:rPr>
              <w:t>Up to 3 offices, 26 to 100 users, up to 25 insurers, up to 25,000 in-force policies, co-insurance in use</w:t>
            </w:r>
          </w:p>
        </w:tc>
        <w:tc>
          <w:tcPr>
            <w:tcW w:type="dxa" w:w="2859"/>
          </w:tcPr>
          <w:p>
            <w:pPr>
              <w:spacing w:after="20"/>
            </w:pPr>
            <w:r>
              <w:rPr>
                <w:rFonts w:ascii="Segoe UI" w:hAnsi="Segoe UI" w:cs="Segoe UI" w:eastAsia="Segoe UI"/>
                <w:color w:val="101820"/>
                <w:sz w:val="18"/>
              </w:rPr>
              <w:t>12 weeks</w:t>
            </w:r>
          </w:p>
        </w:tc>
      </w:tr>
      <w:tr>
        <w:tc>
          <w:tcPr>
            <w:tcW w:type="dxa" w:w="907"/>
          </w:tcPr>
          <w:p>
            <w:pPr>
              <w:spacing w:after="20"/>
            </w:pPr>
            <w:r>
              <w:rPr>
                <w:rFonts w:ascii="Segoe UI" w:hAnsi="Segoe UI" w:cs="Segoe UI" w:eastAsia="Segoe UI"/>
                <w:color w:val="101820"/>
                <w:sz w:val="18"/>
              </w:rPr>
              <w:t>Large</w:t>
            </w:r>
          </w:p>
        </w:tc>
        <w:tc>
          <w:tcPr>
            <w:tcW w:type="dxa" w:w="5248"/>
          </w:tcPr>
          <w:p>
            <w:pPr>
              <w:spacing w:after="20"/>
            </w:pPr>
            <w:r>
              <w:rPr>
                <w:rFonts w:ascii="Segoe UI" w:hAnsi="Segoe UI" w:cs="Segoe UI" w:eastAsia="Segoe UI"/>
                <w:color w:val="101820"/>
                <w:sz w:val="18"/>
              </w:rPr>
              <w:t>More than 3 offices, more than 100 users, many insurers, more than 25,000 in-force policies, several bank accounts and referrer networks</w:t>
            </w:r>
          </w:p>
        </w:tc>
        <w:tc>
          <w:tcPr>
            <w:tcW w:type="dxa" w:w="2859"/>
          </w:tcPr>
          <w:p>
            <w:pPr>
              <w:spacing w:after="20"/>
            </w:pPr>
            <w:r>
              <w:rPr>
                <w:rFonts w:ascii="Segoe UI" w:hAnsi="Segoe UI" w:cs="Segoe UI" w:eastAsia="Segoe UI"/>
                <w:color w:val="101820"/>
                <w:sz w:val="18"/>
              </w:rPr>
              <w:t>16 to 20 weeks</w:t>
            </w:r>
          </w:p>
        </w:tc>
      </w:tr>
    </w:tbl>
    <w:p>
      <w:pPr>
        <w:spacing w:after="80"/>
      </w:pPr>
    </w:p>
    <w:p>
      <w:pPr>
        <w:spacing w:after="120" w:line="276" w:lineRule="auto"/>
      </w:pPr>
      <w:r>
        <w:rPr>
          <w:rFonts w:ascii="Segoe UI" w:hAnsi="Segoe UI" w:cs="Segoe UI" w:eastAsia="Segoe UI"/>
          <w:color w:val="101820"/>
          <w:sz w:val="21"/>
        </w:rPr>
        <w:t>An import file holds at most 20,000 data rows (</w:t>
      </w:r>
      <w:r>
        <w:rPr>
          <w:rFonts w:ascii="Consolas" w:hAnsi="Consolas" w:cs="Consolas" w:eastAsia="Consolas"/>
          <w:color w:val="101820"/>
          <w:sz w:val="19"/>
        </w:rPr>
        <w:t>IMPORT_MAX_ROWS</w:t>
      </w:r>
      <w:r>
        <w:rPr>
          <w:rFonts w:ascii="Segoe UI" w:hAnsi="Segoe UI" w:cs="Segoe UI" w:eastAsia="Segoe UI"/>
          <w:color w:val="101820"/>
          <w:sz w:val="21"/>
        </w:rPr>
        <w:t>). Larger books are loaded in several files, which the large plan allows for.</w:t>
      </w:r>
    </w:p>
    <w:p>
      <w:pPr>
        <w:pStyle w:val="Heading1"/>
        <w:pageBreakBefore/>
      </w:pPr>
      <w:r>
        <w:rPr>
          <w:rFonts w:ascii="Segoe UI" w:hAnsi="Segoe UI" w:cs="Segoe UI" w:eastAsia="Segoe UI"/>
          <w:b/>
          <w:color w:val="0F4761"/>
          <w:sz w:val="32"/>
        </w:rPr>
        <w:t>5.  Phases</w:t>
      </w:r>
    </w:p>
    <w:p>
      <w:pPr>
        <w:pStyle w:val="Heading2"/>
      </w:pPr>
      <w:r>
        <w:rPr>
          <w:rFonts w:ascii="Segoe UI" w:hAnsi="Segoe UI" w:cs="Segoe UI" w:eastAsia="Segoe UI"/>
          <w:b/>
          <w:color w:val="0F4761"/>
          <w:sz w:val="26"/>
        </w:rPr>
        <w:t>5.1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58"/>
        <w:gridCol w:w="54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658"/>
            <w:shd w:val="clear" w:color="auto" w:fill="DCE9F7"/>
          </w:tcPr>
          <w:p>
            <w:pPr>
              <w:spacing w:after="20"/>
            </w:pPr>
            <w:r>
              <w:rPr>
                <w:rFonts w:ascii="Segoe UI" w:hAnsi="Segoe UI" w:cs="Segoe UI" w:eastAsia="Segoe UI"/>
                <w:b/>
                <w:color w:val="0F4761"/>
                <w:sz w:val="18"/>
              </w:rPr>
              <w:t>Phase</w:t>
            </w:r>
          </w:p>
        </w:tc>
        <w:tc>
          <w:tcPr>
            <w:tcW w:type="dxa" w:w="5449"/>
            <w:shd w:val="clear" w:color="auto" w:fill="DCE9F7"/>
          </w:tcPr>
          <w:p>
            <w:pPr>
              <w:spacing w:after="20"/>
            </w:pPr>
            <w:r>
              <w:rPr>
                <w:rFonts w:ascii="Segoe UI" w:hAnsi="Segoe UI" w:cs="Segoe UI" w:eastAsia="Segoe UI"/>
                <w:b/>
                <w:color w:val="0F4761"/>
                <w:sz w:val="18"/>
              </w:rPr>
              <w:t>What happens</w:t>
            </w:r>
          </w:p>
        </w:tc>
      </w:tr>
      <w:tr>
        <w:tc>
          <w:tcPr>
            <w:tcW w:type="dxa" w:w="907"/>
          </w:tcPr>
          <w:p>
            <w:pPr>
              <w:spacing w:after="20"/>
            </w:pPr>
            <w:r>
              <w:rPr>
                <w:rFonts w:ascii="Segoe UI" w:hAnsi="Segoe UI" w:cs="Segoe UI" w:eastAsia="Segoe UI"/>
                <w:color w:val="101820"/>
                <w:sz w:val="18"/>
              </w:rPr>
              <w:t>1</w:t>
            </w:r>
          </w:p>
        </w:tc>
        <w:tc>
          <w:tcPr>
            <w:tcW w:type="dxa" w:w="2658"/>
          </w:tcPr>
          <w:p>
            <w:pPr>
              <w:spacing w:after="20"/>
            </w:pPr>
            <w:r>
              <w:rPr>
                <w:rFonts w:ascii="Segoe UI" w:hAnsi="Segoe UI" w:cs="Segoe UI" w:eastAsia="Segoe UI"/>
                <w:color w:val="101820"/>
                <w:sz w:val="18"/>
              </w:rPr>
              <w:t>Mobilisation</w:t>
            </w:r>
          </w:p>
        </w:tc>
        <w:tc>
          <w:tcPr>
            <w:tcW w:type="dxa" w:w="5449"/>
          </w:tcPr>
          <w:p>
            <w:pPr>
              <w:spacing w:after="20"/>
            </w:pPr>
            <w:r>
              <w:rPr>
                <w:rFonts w:ascii="Segoe UI" w:hAnsi="Segoe UI" w:cs="Segoe UI" w:eastAsia="Segoe UI"/>
                <w:color w:val="101820"/>
                <w:sz w:val="18"/>
              </w:rPr>
              <w:t>Kick-off, team and governance, plan confirmed, data requests issued, environments ordered</w:t>
            </w:r>
          </w:p>
        </w:tc>
      </w:tr>
      <w:tr>
        <w:tc>
          <w:tcPr>
            <w:tcW w:type="dxa" w:w="907"/>
          </w:tcPr>
          <w:p>
            <w:pPr>
              <w:spacing w:after="20"/>
            </w:pPr>
            <w:r>
              <w:rPr>
                <w:rFonts w:ascii="Segoe UI" w:hAnsi="Segoe UI" w:cs="Segoe UI" w:eastAsia="Segoe UI"/>
                <w:color w:val="101820"/>
                <w:sz w:val="18"/>
              </w:rPr>
              <w:t>2</w:t>
            </w:r>
          </w:p>
        </w:tc>
        <w:tc>
          <w:tcPr>
            <w:tcW w:type="dxa" w:w="2658"/>
          </w:tcPr>
          <w:p>
            <w:pPr>
              <w:spacing w:after="20"/>
            </w:pPr>
            <w:r>
              <w:rPr>
                <w:rFonts w:ascii="Segoe UI" w:hAnsi="Segoe UI" w:cs="Segoe UI" w:eastAsia="Segoe UI"/>
                <w:color w:val="101820"/>
                <w:sz w:val="18"/>
              </w:rPr>
              <w:t>Discovery and fit-gap</w:t>
            </w:r>
          </w:p>
        </w:tc>
        <w:tc>
          <w:tcPr>
            <w:tcW w:type="dxa" w:w="5449"/>
          </w:tcPr>
          <w:p>
            <w:pPr>
              <w:spacing w:after="20"/>
            </w:pPr>
            <w:r>
              <w:rPr>
                <w:rFonts w:ascii="Segoe UI" w:hAnsi="Segoe UI" w:cs="Segoe UI" w:eastAsia="Segoe UI"/>
                <w:color w:val="101820"/>
                <w:sz w:val="18"/>
              </w:rPr>
              <w:t>Walk-through of each process on the delivered system; configuration decisions; fit-gap register limited to configuration</w:t>
            </w:r>
          </w:p>
        </w:tc>
      </w:tr>
      <w:tr>
        <w:tc>
          <w:tcPr>
            <w:tcW w:type="dxa" w:w="907"/>
          </w:tcPr>
          <w:p>
            <w:pPr>
              <w:spacing w:after="20"/>
            </w:pPr>
            <w:r>
              <w:rPr>
                <w:rFonts w:ascii="Segoe UI" w:hAnsi="Segoe UI" w:cs="Segoe UI" w:eastAsia="Segoe UI"/>
                <w:color w:val="101820"/>
                <w:sz w:val="18"/>
              </w:rPr>
              <w:t>3</w:t>
            </w:r>
          </w:p>
        </w:tc>
        <w:tc>
          <w:tcPr>
            <w:tcW w:type="dxa" w:w="2658"/>
          </w:tcPr>
          <w:p>
            <w:pPr>
              <w:spacing w:after="20"/>
            </w:pPr>
            <w:r>
              <w:rPr>
                <w:rFonts w:ascii="Segoe UI" w:hAnsi="Segoe UI" w:cs="Segoe UI" w:eastAsia="Segoe UI"/>
                <w:color w:val="101820"/>
                <w:sz w:val="18"/>
              </w:rPr>
              <w:t>Environment set-up</w:t>
            </w:r>
          </w:p>
        </w:tc>
        <w:tc>
          <w:tcPr>
            <w:tcW w:type="dxa" w:w="5449"/>
          </w:tcPr>
          <w:p>
            <w:pPr>
              <w:spacing w:after="20"/>
            </w:pPr>
            <w:r>
              <w:rPr>
                <w:rFonts w:ascii="Segoe UI" w:hAnsi="Segoe UI" w:cs="Segoe UI" w:eastAsia="Segoe UI"/>
                <w:color w:val="101820"/>
                <w:sz w:val="18"/>
              </w:rPr>
              <w:t>Environment set of the broker size (Dev, UAT and Production; SIT as well for a large broker), e-mail account, backups, monitoring</w:t>
            </w:r>
          </w:p>
        </w:tc>
      </w:tr>
      <w:tr>
        <w:tc>
          <w:tcPr>
            <w:tcW w:type="dxa" w:w="907"/>
          </w:tcPr>
          <w:p>
            <w:pPr>
              <w:spacing w:after="20"/>
            </w:pPr>
            <w:r>
              <w:rPr>
                <w:rFonts w:ascii="Segoe UI" w:hAnsi="Segoe UI" w:cs="Segoe UI" w:eastAsia="Segoe UI"/>
                <w:color w:val="101820"/>
                <w:sz w:val="18"/>
              </w:rPr>
              <w:t>4</w:t>
            </w:r>
          </w:p>
        </w:tc>
        <w:tc>
          <w:tcPr>
            <w:tcW w:type="dxa" w:w="2658"/>
          </w:tcPr>
          <w:p>
            <w:pPr>
              <w:spacing w:after="20"/>
            </w:pPr>
            <w:r>
              <w:rPr>
                <w:rFonts w:ascii="Segoe UI" w:hAnsi="Segoe UI" w:cs="Segoe UI" w:eastAsia="Segoe UI"/>
                <w:color w:val="101820"/>
                <w:sz w:val="18"/>
              </w:rPr>
              <w:t>Configuration</w:t>
            </w:r>
          </w:p>
        </w:tc>
        <w:tc>
          <w:tcPr>
            <w:tcW w:type="dxa" w:w="5449"/>
          </w:tcPr>
          <w:p>
            <w:pPr>
              <w:spacing w:after="20"/>
            </w:pPr>
            <w:r>
              <w:rPr>
                <w:rFonts w:ascii="Segoe UI" w:hAnsi="Segoe UI" w:cs="Segoe UI" w:eastAsia="Segoe UI"/>
                <w:color w:val="101820"/>
                <w:sz w:val="18"/>
              </w:rPr>
              <w:t>Masters, products and rates, numbering, chart of accounts, posting rules, approvals, security</w:t>
            </w:r>
          </w:p>
        </w:tc>
      </w:tr>
      <w:tr>
        <w:tc>
          <w:tcPr>
            <w:tcW w:type="dxa" w:w="907"/>
          </w:tcPr>
          <w:p>
            <w:pPr>
              <w:spacing w:after="20"/>
            </w:pPr>
            <w:r>
              <w:rPr>
                <w:rFonts w:ascii="Segoe UI" w:hAnsi="Segoe UI" w:cs="Segoe UI" w:eastAsia="Segoe UI"/>
                <w:color w:val="101820"/>
                <w:sz w:val="18"/>
              </w:rPr>
              <w:t>5</w:t>
            </w:r>
          </w:p>
        </w:tc>
        <w:tc>
          <w:tcPr>
            <w:tcW w:type="dxa" w:w="2658"/>
          </w:tcPr>
          <w:p>
            <w:pPr>
              <w:spacing w:after="20"/>
            </w:pPr>
            <w:r>
              <w:rPr>
                <w:rFonts w:ascii="Segoe UI" w:hAnsi="Segoe UI" w:cs="Segoe UI" w:eastAsia="Segoe UI"/>
                <w:color w:val="101820"/>
                <w:sz w:val="18"/>
              </w:rPr>
              <w:t>Data migration</w:t>
            </w:r>
          </w:p>
        </w:tc>
        <w:tc>
          <w:tcPr>
            <w:tcW w:type="dxa" w:w="5449"/>
          </w:tcPr>
          <w:p>
            <w:pPr>
              <w:spacing w:after="20"/>
            </w:pPr>
            <w:r>
              <w:rPr>
                <w:rFonts w:ascii="Segoe UI" w:hAnsi="Segoe UI" w:cs="Segoe UI" w:eastAsia="Segoe UI"/>
                <w:color w:val="101820"/>
                <w:sz w:val="18"/>
              </w:rPr>
              <w:t>Extraction by the broker, mapping to the templates, mock loads, reconciliation</w:t>
            </w:r>
          </w:p>
        </w:tc>
      </w:tr>
      <w:tr>
        <w:tc>
          <w:tcPr>
            <w:tcW w:type="dxa" w:w="907"/>
          </w:tcPr>
          <w:p>
            <w:pPr>
              <w:spacing w:after="20"/>
            </w:pPr>
            <w:r>
              <w:rPr>
                <w:rFonts w:ascii="Segoe UI" w:hAnsi="Segoe UI" w:cs="Segoe UI" w:eastAsia="Segoe UI"/>
                <w:color w:val="101820"/>
                <w:sz w:val="18"/>
              </w:rPr>
              <w:t>6</w:t>
            </w:r>
          </w:p>
        </w:tc>
        <w:tc>
          <w:tcPr>
            <w:tcW w:type="dxa" w:w="2658"/>
          </w:tcPr>
          <w:p>
            <w:pPr>
              <w:spacing w:after="20"/>
            </w:pPr>
            <w:r>
              <w:rPr>
                <w:rFonts w:ascii="Segoe UI" w:hAnsi="Segoe UI" w:cs="Segoe UI" w:eastAsia="Segoe UI"/>
                <w:color w:val="101820"/>
                <w:sz w:val="18"/>
              </w:rPr>
              <w:t>Integrations</w:t>
            </w:r>
          </w:p>
        </w:tc>
        <w:tc>
          <w:tcPr>
            <w:tcW w:type="dxa" w:w="5449"/>
          </w:tcPr>
          <w:p>
            <w:pPr>
              <w:spacing w:after="20"/>
            </w:pPr>
            <w:r>
              <w:rPr>
                <w:rFonts w:ascii="Segoe UI" w:hAnsi="Segoe UI" w:cs="Segoe UI" w:eastAsia="Segoe UI"/>
                <w:color w:val="101820"/>
                <w:sz w:val="18"/>
              </w:rPr>
              <w:t>E-mail, bank statement files, payment gateway</w:t>
            </w:r>
          </w:p>
        </w:tc>
      </w:tr>
      <w:tr>
        <w:tc>
          <w:tcPr>
            <w:tcW w:type="dxa" w:w="907"/>
          </w:tcPr>
          <w:p>
            <w:pPr>
              <w:spacing w:after="20"/>
            </w:pPr>
            <w:r>
              <w:rPr>
                <w:rFonts w:ascii="Segoe UI" w:hAnsi="Segoe UI" w:cs="Segoe UI" w:eastAsia="Segoe UI"/>
                <w:color w:val="101820"/>
                <w:sz w:val="18"/>
              </w:rPr>
              <w:t>7</w:t>
            </w:r>
          </w:p>
        </w:tc>
        <w:tc>
          <w:tcPr>
            <w:tcW w:type="dxa" w:w="2658"/>
          </w:tcPr>
          <w:p>
            <w:pPr>
              <w:spacing w:after="20"/>
            </w:pPr>
            <w:r>
              <w:rPr>
                <w:rFonts w:ascii="Segoe UI" w:hAnsi="Segoe UI" w:cs="Segoe UI" w:eastAsia="Segoe UI"/>
                <w:color w:val="101820"/>
                <w:sz w:val="18"/>
              </w:rPr>
              <w:t>Training</w:t>
            </w:r>
          </w:p>
        </w:tc>
        <w:tc>
          <w:tcPr>
            <w:tcW w:type="dxa" w:w="5449"/>
          </w:tcPr>
          <w:p>
            <w:pPr>
              <w:spacing w:after="20"/>
            </w:pPr>
            <w:r>
              <w:rPr>
                <w:rFonts w:ascii="Segoe UI" w:hAnsi="Segoe UI" w:cs="Segoe UI" w:eastAsia="Segoe UI"/>
                <w:color w:val="101820"/>
                <w:sz w:val="18"/>
              </w:rPr>
              <w:t>Train-the-trainer for key users, then end-user training per role</w:t>
            </w:r>
          </w:p>
        </w:tc>
      </w:tr>
      <w:tr>
        <w:tc>
          <w:tcPr>
            <w:tcW w:type="dxa" w:w="907"/>
          </w:tcPr>
          <w:p>
            <w:pPr>
              <w:spacing w:after="20"/>
            </w:pPr>
            <w:r>
              <w:rPr>
                <w:rFonts w:ascii="Segoe UI" w:hAnsi="Segoe UI" w:cs="Segoe UI" w:eastAsia="Segoe UI"/>
                <w:color w:val="101820"/>
                <w:sz w:val="18"/>
              </w:rPr>
              <w:t>8</w:t>
            </w:r>
          </w:p>
        </w:tc>
        <w:tc>
          <w:tcPr>
            <w:tcW w:type="dxa" w:w="2658"/>
          </w:tcPr>
          <w:p>
            <w:pPr>
              <w:spacing w:after="20"/>
            </w:pPr>
            <w:r>
              <w:rPr>
                <w:rFonts w:ascii="Segoe UI" w:hAnsi="Segoe UI" w:cs="Segoe UI" w:eastAsia="Segoe UI"/>
                <w:color w:val="101820"/>
                <w:sz w:val="18"/>
              </w:rPr>
              <w:t>System integration test</w:t>
            </w:r>
          </w:p>
        </w:tc>
        <w:tc>
          <w:tcPr>
            <w:tcW w:type="dxa" w:w="5449"/>
          </w:tcPr>
          <w:p>
            <w:pPr>
              <w:spacing w:after="20"/>
            </w:pPr>
            <w:r>
              <w:rPr>
                <w:rFonts w:ascii="Segoe UI" w:hAnsi="Segoe UI" w:cs="Segoe UI" w:eastAsia="Segoe UI"/>
                <w:color w:val="101820"/>
                <w:sz w:val="18"/>
              </w:rPr>
              <w:t>End-to-end runs across roles with the configured data</w:t>
            </w:r>
          </w:p>
        </w:tc>
      </w:tr>
      <w:tr>
        <w:tc>
          <w:tcPr>
            <w:tcW w:type="dxa" w:w="907"/>
          </w:tcPr>
          <w:p>
            <w:pPr>
              <w:spacing w:after="20"/>
            </w:pPr>
            <w:r>
              <w:rPr>
                <w:rFonts w:ascii="Segoe UI" w:hAnsi="Segoe UI" w:cs="Segoe UI" w:eastAsia="Segoe UI"/>
                <w:color w:val="101820"/>
                <w:sz w:val="18"/>
              </w:rPr>
              <w:t>9</w:t>
            </w:r>
          </w:p>
        </w:tc>
        <w:tc>
          <w:tcPr>
            <w:tcW w:type="dxa" w:w="2658"/>
          </w:tcPr>
          <w:p>
            <w:pPr>
              <w:spacing w:after="20"/>
            </w:pPr>
            <w:r>
              <w:rPr>
                <w:rFonts w:ascii="Segoe UI" w:hAnsi="Segoe UI" w:cs="Segoe UI" w:eastAsia="Segoe UI"/>
                <w:color w:val="101820"/>
                <w:sz w:val="18"/>
              </w:rPr>
              <w:t>User acceptance test</w:t>
            </w:r>
          </w:p>
        </w:tc>
        <w:tc>
          <w:tcPr>
            <w:tcW w:type="dxa" w:w="5449"/>
          </w:tcPr>
          <w:p>
            <w:pPr>
              <w:spacing w:after="20"/>
            </w:pPr>
            <w:r>
              <w:rPr>
                <w:rFonts w:ascii="Segoe UI" w:hAnsi="Segoe UI" w:cs="Segoe UI" w:eastAsia="Segoe UI"/>
                <w:color w:val="101820"/>
                <w:sz w:val="18"/>
              </w:rPr>
              <w:t>Key users run the UAT scripts with the broker's own data</w:t>
            </w:r>
          </w:p>
        </w:tc>
      </w:tr>
      <w:tr>
        <w:tc>
          <w:tcPr>
            <w:tcW w:type="dxa" w:w="907"/>
          </w:tcPr>
          <w:p>
            <w:pPr>
              <w:spacing w:after="20"/>
            </w:pPr>
            <w:r>
              <w:rPr>
                <w:rFonts w:ascii="Segoe UI" w:hAnsi="Segoe UI" w:cs="Segoe UI" w:eastAsia="Segoe UI"/>
                <w:color w:val="101820"/>
                <w:sz w:val="18"/>
              </w:rPr>
              <w:t>10</w:t>
            </w:r>
          </w:p>
        </w:tc>
        <w:tc>
          <w:tcPr>
            <w:tcW w:type="dxa" w:w="2658"/>
          </w:tcPr>
          <w:p>
            <w:pPr>
              <w:spacing w:after="20"/>
            </w:pPr>
            <w:r>
              <w:rPr>
                <w:rFonts w:ascii="Segoe UI" w:hAnsi="Segoe UI" w:cs="Segoe UI" w:eastAsia="Segoe UI"/>
                <w:color w:val="101820"/>
                <w:sz w:val="18"/>
              </w:rPr>
              <w:t>Cutover</w:t>
            </w:r>
          </w:p>
        </w:tc>
        <w:tc>
          <w:tcPr>
            <w:tcW w:type="dxa" w:w="5449"/>
          </w:tcPr>
          <w:p>
            <w:pPr>
              <w:spacing w:after="20"/>
            </w:pPr>
            <w:r>
              <w:rPr>
                <w:rFonts w:ascii="Segoe UI" w:hAnsi="Segoe UI" w:cs="Segoe UI" w:eastAsia="Segoe UI"/>
                <w:color w:val="101820"/>
                <w:sz w:val="18"/>
              </w:rPr>
              <w:t>Final extract, final loads, reconciliation, go/no-go</w:t>
            </w:r>
          </w:p>
        </w:tc>
      </w:tr>
      <w:tr>
        <w:tc>
          <w:tcPr>
            <w:tcW w:type="dxa" w:w="907"/>
          </w:tcPr>
          <w:p>
            <w:pPr>
              <w:spacing w:after="20"/>
            </w:pPr>
            <w:r>
              <w:rPr>
                <w:rFonts w:ascii="Segoe UI" w:hAnsi="Segoe UI" w:cs="Segoe UI" w:eastAsia="Segoe UI"/>
                <w:color w:val="101820"/>
                <w:sz w:val="18"/>
              </w:rPr>
              <w:t>11</w:t>
            </w:r>
          </w:p>
        </w:tc>
        <w:tc>
          <w:tcPr>
            <w:tcW w:type="dxa" w:w="2658"/>
          </w:tcPr>
          <w:p>
            <w:pPr>
              <w:spacing w:after="20"/>
            </w:pPr>
            <w:r>
              <w:rPr>
                <w:rFonts w:ascii="Segoe UI" w:hAnsi="Segoe UI" w:cs="Segoe UI" w:eastAsia="Segoe UI"/>
                <w:color w:val="101820"/>
                <w:sz w:val="18"/>
              </w:rPr>
              <w:t>Go-live</w:t>
            </w:r>
          </w:p>
        </w:tc>
        <w:tc>
          <w:tcPr>
            <w:tcW w:type="dxa" w:w="5449"/>
          </w:tcPr>
          <w:p>
            <w:pPr>
              <w:spacing w:after="20"/>
            </w:pPr>
            <w:r>
              <w:rPr>
                <w:rFonts w:ascii="Segoe UI" w:hAnsi="Segoe UI" w:cs="Segoe UI" w:eastAsia="Segoe UI"/>
                <w:color w:val="101820"/>
                <w:sz w:val="18"/>
              </w:rPr>
              <w:t>First day of transactions in BrokerVerse</w:t>
            </w:r>
          </w:p>
        </w:tc>
      </w:tr>
      <w:tr>
        <w:tc>
          <w:tcPr>
            <w:tcW w:type="dxa" w:w="907"/>
          </w:tcPr>
          <w:p>
            <w:pPr>
              <w:spacing w:after="20"/>
            </w:pPr>
            <w:r>
              <w:rPr>
                <w:rFonts w:ascii="Segoe UI" w:hAnsi="Segoe UI" w:cs="Segoe UI" w:eastAsia="Segoe UI"/>
                <w:color w:val="101820"/>
                <w:sz w:val="18"/>
              </w:rPr>
              <w:t>12</w:t>
            </w:r>
          </w:p>
        </w:tc>
        <w:tc>
          <w:tcPr>
            <w:tcW w:type="dxa" w:w="2658"/>
          </w:tcPr>
          <w:p>
            <w:pPr>
              <w:spacing w:after="20"/>
            </w:pPr>
            <w:r>
              <w:rPr>
                <w:rFonts w:ascii="Segoe UI" w:hAnsi="Segoe UI" w:cs="Segoe UI" w:eastAsia="Segoe UI"/>
                <w:color w:val="101820"/>
                <w:sz w:val="18"/>
              </w:rPr>
              <w:t>Hypercare</w:t>
            </w:r>
          </w:p>
        </w:tc>
        <w:tc>
          <w:tcPr>
            <w:tcW w:type="dxa" w:w="5449"/>
          </w:tcPr>
          <w:p>
            <w:pPr>
              <w:spacing w:after="20"/>
            </w:pPr>
            <w:r>
              <w:rPr>
                <w:rFonts w:ascii="Segoe UI" w:hAnsi="Segoe UI" w:cs="Segoe UI" w:eastAsia="Segoe UI"/>
                <w:color w:val="101820"/>
                <w:sz w:val="18"/>
              </w:rPr>
              <w:t>Close support by the project team until the first month-end close is done</w:t>
            </w:r>
          </w:p>
        </w:tc>
      </w:tr>
    </w:tbl>
    <w:p>
      <w:pPr>
        <w:spacing w:after="80"/>
      </w:pPr>
    </w:p>
    <w:p>
      <w:pPr>
        <w:pStyle w:val="Heading2"/>
      </w:pPr>
      <w:r>
        <w:rPr>
          <w:rFonts w:ascii="Segoe UI" w:hAnsi="Segoe UI" w:cs="Segoe UI" w:eastAsia="Segoe UI"/>
          <w:b/>
          <w:color w:val="0F4761"/>
          <w:sz w:val="26"/>
        </w:rPr>
        <w:t>5.2  Mobilisation</w:t>
      </w:r>
    </w:p>
    <w:p>
      <w:pPr>
        <w:spacing w:after="60"/>
        <w:numPr>
          <w:ilvl w:val="0"/>
          <w:numId w:val="3"/>
        </w:numPr>
      </w:pPr>
      <w:r>
        <w:rPr>
          <w:rFonts w:ascii="Segoe UI" w:hAnsi="Segoe UI" w:cs="Segoe UI" w:eastAsia="Segoe UI"/>
          <w:color w:val="101820"/>
          <w:sz w:val="21"/>
        </w:rPr>
        <w:t>Kick-off meeting with the sponsor, the broker's project manager, the key users and the iorta TechNXT team.</w:t>
      </w:r>
    </w:p>
    <w:p>
      <w:pPr>
        <w:spacing w:after="60"/>
        <w:numPr>
          <w:ilvl w:val="0"/>
          <w:numId w:val="3"/>
        </w:numPr>
      </w:pPr>
      <w:r>
        <w:rPr>
          <w:rFonts w:ascii="Segoe UI" w:hAnsi="Segoe UI" w:cs="Segoe UI" w:eastAsia="Segoe UI"/>
          <w:color w:val="101820"/>
          <w:sz w:val="21"/>
        </w:rPr>
        <w:t>Confirm the implementation size, the plan, the go-live date and the hypercare window.</w:t>
      </w:r>
    </w:p>
    <w:p>
      <w:pPr>
        <w:spacing w:after="60"/>
        <w:numPr>
          <w:ilvl w:val="0"/>
          <w:numId w:val="3"/>
        </w:numPr>
      </w:pPr>
      <w:r>
        <w:rPr>
          <w:rFonts w:ascii="Segoe UI" w:hAnsi="Segoe UI" w:cs="Segoe UI" w:eastAsia="Segoe UI"/>
          <w:color w:val="101820"/>
          <w:sz w:val="21"/>
        </w:rPr>
        <w:t>Set up the steering committee, the weekly status meeting and the RAID log (chapter 10).</w:t>
      </w:r>
    </w:p>
    <w:p>
      <w:pPr>
        <w:spacing w:after="60"/>
        <w:numPr>
          <w:ilvl w:val="0"/>
          <w:numId w:val="3"/>
        </w:numPr>
      </w:pPr>
      <w:r>
        <w:rPr>
          <w:rFonts w:ascii="Segoe UI" w:hAnsi="Segoe UI" w:cs="Segoe UI" w:eastAsia="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spacing w:after="60"/>
        <w:numPr>
          <w:ilvl w:val="0"/>
          <w:numId w:val="3"/>
        </w:numPr>
      </w:pPr>
      <w:r>
        <w:rPr>
          <w:rFonts w:ascii="Segoe UI" w:hAnsi="Segoe UI" w:cs="Segoe UI" w:eastAsia="Segoe UI"/>
          <w:color w:val="101820"/>
          <w:sz w:val="21"/>
        </w:rPr>
        <w:t>Order the environments (phase 3).</w:t>
      </w:r>
    </w:p>
    <w:p>
      <w:pPr>
        <w:pStyle w:val="Heading2"/>
      </w:pPr>
      <w:r>
        <w:rPr>
          <w:rFonts w:ascii="Segoe UI" w:hAnsi="Segoe UI" w:cs="Segoe UI" w:eastAsia="Segoe UI"/>
          <w:b/>
          <w:color w:val="0F4761"/>
          <w:sz w:val="26"/>
        </w:rPr>
        <w:t>5.3  Discovery and fit-gap</w:t>
      </w:r>
    </w:p>
    <w:p>
      <w:pPr>
        <w:spacing w:after="120" w:line="276" w:lineRule="auto"/>
      </w:pPr>
      <w:r>
        <w:rPr>
          <w:rFonts w:ascii="Segoe UI" w:hAnsi="Segoe UI" w:cs="Segoe UI" w:eastAsia="Segoe UI"/>
          <w:color w:val="101820"/>
          <w:sz w:val="21"/>
        </w:rPr>
        <w:t>Discovery is limited to configuration. Each workshop shows the delivered screens with the broker's own examples and records the decisions in the configuration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42"/>
        <w:gridCol w:w="2642"/>
        <w:gridCol w:w="3730"/>
      </w:tblGrid>
      <w:tr>
        <w:trPr>
          <w:tblHeader w:val="true"/>
        </w:trPr>
        <w:tc>
          <w:tcPr>
            <w:tcW w:type="dxa" w:w="2642"/>
            <w:shd w:val="clear" w:color="auto" w:fill="DCE9F7"/>
          </w:tcPr>
          <w:p>
            <w:pPr>
              <w:spacing w:after="20"/>
            </w:pPr>
            <w:r>
              <w:rPr>
                <w:rFonts w:ascii="Segoe UI" w:hAnsi="Segoe UI" w:cs="Segoe UI" w:eastAsia="Segoe UI"/>
                <w:b/>
                <w:color w:val="0F4761"/>
                <w:sz w:val="18"/>
              </w:rPr>
              <w:t>Workshop</w:t>
            </w:r>
          </w:p>
        </w:tc>
        <w:tc>
          <w:tcPr>
            <w:tcW w:type="dxa" w:w="2642"/>
            <w:shd w:val="clear" w:color="auto" w:fill="DCE9F7"/>
          </w:tcPr>
          <w:p>
            <w:pPr>
              <w:spacing w:after="20"/>
            </w:pPr>
            <w:r>
              <w:rPr>
                <w:rFonts w:ascii="Segoe UI" w:hAnsi="Segoe UI" w:cs="Segoe UI" w:eastAsia="Segoe UI"/>
                <w:b/>
                <w:color w:val="0F4761"/>
                <w:sz w:val="18"/>
              </w:rPr>
              <w:t>Participants</w:t>
            </w:r>
          </w:p>
        </w:tc>
        <w:tc>
          <w:tcPr>
            <w:tcW w:type="dxa" w:w="3730"/>
            <w:shd w:val="clear" w:color="auto" w:fill="DCE9F7"/>
          </w:tcPr>
          <w:p>
            <w:pPr>
              <w:spacing w:after="20"/>
            </w:pPr>
            <w:r>
              <w:rPr>
                <w:rFonts w:ascii="Segoe UI" w:hAnsi="Segoe UI" w:cs="Segoe UI" w:eastAsia="Segoe UI"/>
                <w:b/>
                <w:color w:val="0F4761"/>
                <w:sz w:val="18"/>
              </w:rPr>
              <w:t>Decisions recorded</w:t>
            </w:r>
          </w:p>
        </w:tc>
      </w:tr>
      <w:tr>
        <w:tc>
          <w:tcPr>
            <w:tcW w:type="dxa" w:w="2642"/>
          </w:tcPr>
          <w:p>
            <w:pPr>
              <w:spacing w:after="20"/>
            </w:pPr>
            <w:r>
              <w:rPr>
                <w:rFonts w:ascii="Segoe UI" w:hAnsi="Segoe UI" w:cs="Segoe UI" w:eastAsia="Segoe UI"/>
                <w:color w:val="101820"/>
                <w:sz w:val="18"/>
              </w:rPr>
              <w:t>Organisation and access</w:t>
            </w:r>
          </w:p>
        </w:tc>
        <w:tc>
          <w:tcPr>
            <w:tcW w:type="dxa" w:w="2642"/>
          </w:tcPr>
          <w:p>
            <w:pPr>
              <w:spacing w:after="20"/>
            </w:pPr>
            <w:r>
              <w:rPr>
                <w:rFonts w:ascii="Segoe UI" w:hAnsi="Segoe UI" w:cs="Segoe UI" w:eastAsia="Segoe UI"/>
                <w:color w:val="101820"/>
                <w:sz w:val="18"/>
              </w:rPr>
              <w:t>Sponsor, System Administrator</w:t>
            </w:r>
          </w:p>
        </w:tc>
        <w:tc>
          <w:tcPr>
            <w:tcW w:type="dxa" w:w="3730"/>
          </w:tcPr>
          <w:p>
            <w:pPr>
              <w:spacing w:after="20"/>
            </w:pPr>
            <w:r>
              <w:rPr>
                <w:rFonts w:ascii="Segoe UI" w:hAnsi="Segoe UI" w:cs="Segoe UI" w:eastAsia="Segoe UI"/>
                <w:color w:val="101820"/>
                <w:sz w:val="18"/>
              </w:rPr>
              <w:t>Companies, branches, departments, users per role, two-step verification roles, security policy</w:t>
            </w:r>
          </w:p>
        </w:tc>
      </w:tr>
      <w:tr>
        <w:tc>
          <w:tcPr>
            <w:tcW w:type="dxa" w:w="2642"/>
          </w:tcPr>
          <w:p>
            <w:pPr>
              <w:spacing w:after="20"/>
            </w:pPr>
            <w:r>
              <w:rPr>
                <w:rFonts w:ascii="Segoe UI" w:hAnsi="Segoe UI" w:cs="Segoe UI" w:eastAsia="Segoe UI"/>
                <w:color w:val="101820"/>
                <w:sz w:val="18"/>
              </w:rPr>
              <w:t>Sales and placement</w:t>
            </w:r>
          </w:p>
        </w:tc>
        <w:tc>
          <w:tcPr>
            <w:tcW w:type="dxa" w:w="2642"/>
          </w:tcPr>
          <w:p>
            <w:pPr>
              <w:spacing w:after="20"/>
            </w:pPr>
            <w:r>
              <w:rPr>
                <w:rFonts w:ascii="Segoe UI" w:hAnsi="Segoe UI" w:cs="Segoe UI" w:eastAsia="Segoe UI"/>
                <w:color w:val="101820"/>
                <w:sz w:val="18"/>
              </w:rPr>
              <w:t>Sales &amp; Marketing, Processing Team</w:t>
            </w:r>
          </w:p>
        </w:tc>
        <w:tc>
          <w:tcPr>
            <w:tcW w:type="dxa" w:w="3730"/>
          </w:tcPr>
          <w:p>
            <w:pPr>
              <w:spacing w:after="20"/>
            </w:pPr>
            <w:r>
              <w:rPr>
                <w:rFonts w:ascii="Segoe UI" w:hAnsi="Segoe UI" w:cs="Segoe UI" w:eastAsia="Segoe UI"/>
                <w:color w:val="101820"/>
                <w:sz w:val="18"/>
              </w:rPr>
              <w:t>Placement journey per line (</w:t>
            </w:r>
            <w:r>
              <w:rPr>
                <w:rFonts w:ascii="Consolas" w:hAnsi="Consolas" w:cs="Consolas" w:eastAsia="Consolas"/>
                <w:color w:val="101820"/>
                <w:sz w:val="16"/>
              </w:rPr>
              <w:t>placement.journey</w:t>
            </w:r>
            <w:r>
              <w:rPr>
                <w:rFonts w:ascii="Segoe UI" w:hAnsi="Segoe UI" w:cs="Segoe UI" w:eastAsia="Segoe UI"/>
                <w:color w:val="101820"/>
                <w:sz w:val="18"/>
              </w:rPr>
              <w:t>), quotation validity, maker-checker on quotations, product templates in use</w:t>
            </w:r>
          </w:p>
        </w:tc>
      </w:tr>
      <w:tr>
        <w:tc>
          <w:tcPr>
            <w:tcW w:type="dxa" w:w="2642"/>
          </w:tcPr>
          <w:p>
            <w:pPr>
              <w:spacing w:after="20"/>
            </w:pPr>
            <w:r>
              <w:rPr>
                <w:rFonts w:ascii="Segoe UI" w:hAnsi="Segoe UI" w:cs="Segoe UI" w:eastAsia="Segoe UI"/>
                <w:color w:val="101820"/>
                <w:sz w:val="18"/>
              </w:rPr>
              <w:t>Policy servicing and renewals</w:t>
            </w:r>
          </w:p>
        </w:tc>
        <w:tc>
          <w:tcPr>
            <w:tcW w:type="dxa" w:w="2642"/>
          </w:tcPr>
          <w:p>
            <w:pPr>
              <w:spacing w:after="20"/>
            </w:pPr>
            <w:r>
              <w:rPr>
                <w:rFonts w:ascii="Segoe UI" w:hAnsi="Segoe UI" w:cs="Segoe UI" w:eastAsia="Segoe UI"/>
                <w:color w:val="101820"/>
                <w:sz w:val="18"/>
              </w:rPr>
              <w:t>Operations, Processing Team</w:t>
            </w:r>
          </w:p>
        </w:tc>
        <w:tc>
          <w:tcPr>
            <w:tcW w:type="dxa" w:w="3730"/>
          </w:tcPr>
          <w:p>
            <w:pPr>
              <w:spacing w:after="20"/>
            </w:pPr>
            <w:r>
              <w:rPr>
                <w:rFonts w:ascii="Segoe UI" w:hAnsi="Segoe UI" w:cs="Segoe UI" w:eastAsia="Segoe UI"/>
                <w:color w:val="101820"/>
                <w:sz w:val="18"/>
              </w:rPr>
              <w:t>Endorsement handling, renewal timetable (pipeline 90 days, notices at 60, 30 and 15 days), renewal maker-checker</w:t>
            </w:r>
          </w:p>
        </w:tc>
      </w:tr>
      <w:tr>
        <w:tc>
          <w:tcPr>
            <w:tcW w:type="dxa" w:w="2642"/>
          </w:tcPr>
          <w:p>
            <w:pPr>
              <w:spacing w:after="20"/>
            </w:pPr>
            <w:r>
              <w:rPr>
                <w:rFonts w:ascii="Segoe UI" w:hAnsi="Segoe UI" w:cs="Segoe UI" w:eastAsia="Segoe UI"/>
                <w:color w:val="101820"/>
                <w:sz w:val="18"/>
              </w:rPr>
              <w:t>Claims</w:t>
            </w:r>
          </w:p>
        </w:tc>
        <w:tc>
          <w:tcPr>
            <w:tcW w:type="dxa" w:w="2642"/>
          </w:tcPr>
          <w:p>
            <w:pPr>
              <w:spacing w:after="20"/>
            </w:pPr>
            <w:r>
              <w:rPr>
                <w:rFonts w:ascii="Segoe UI" w:hAnsi="Segoe UI" w:cs="Segoe UI" w:eastAsia="Segoe UI"/>
                <w:color w:val="101820"/>
                <w:sz w:val="18"/>
              </w:rPr>
              <w:t>Claims</w:t>
            </w:r>
          </w:p>
        </w:tc>
        <w:tc>
          <w:tcPr>
            <w:tcW w:type="dxa" w:w="3730"/>
          </w:tcPr>
          <w:p>
            <w:pPr>
              <w:spacing w:after="20"/>
            </w:pPr>
            <w:r>
              <w:rPr>
                <w:rFonts w:ascii="Segoe UI" w:hAnsi="Segoe UI" w:cs="Segoe UI" w:eastAsia="Segoe UI"/>
                <w:color w:val="101820"/>
                <w:sz w:val="18"/>
              </w:rPr>
              <w:t>Claims controls (</w:t>
            </w:r>
            <w:r>
              <w:rPr>
                <w:rFonts w:ascii="Consolas" w:hAnsi="Consolas" w:cs="Consolas" w:eastAsia="Consolas"/>
                <w:color w:val="101820"/>
                <w:sz w:val="16"/>
              </w:rPr>
              <w:t>claims.block_unpaid_premium</w:t>
            </w:r>
            <w:r>
              <w:rPr>
                <w:rFonts w:ascii="Segoe UI" w:hAnsi="Segoe UI" w:cs="Segoe UI" w:eastAsia="Segoe UI"/>
                <w:color w:val="101820"/>
                <w:sz w:val="18"/>
              </w:rPr>
              <w:t>, settlement maker-checker, SLA days), claim letters</w:t>
            </w:r>
          </w:p>
        </w:tc>
      </w:tr>
      <w:tr>
        <w:tc>
          <w:tcPr>
            <w:tcW w:type="dxa" w:w="2642"/>
          </w:tcPr>
          <w:p>
            <w:pPr>
              <w:spacing w:after="20"/>
            </w:pPr>
            <w:r>
              <w:rPr>
                <w:rFonts w:ascii="Segoe UI" w:hAnsi="Segoe UI" w:cs="Segoe UI" w:eastAsia="Segoe UI"/>
                <w:color w:val="101820"/>
                <w:sz w:val="18"/>
              </w:rPr>
              <w:t>Billing, collection and remittance</w:t>
            </w:r>
          </w:p>
        </w:tc>
        <w:tc>
          <w:tcPr>
            <w:tcW w:type="dxa" w:w="2642"/>
          </w:tcPr>
          <w:p>
            <w:pPr>
              <w:spacing w:after="20"/>
            </w:pPr>
            <w:r>
              <w:rPr>
                <w:rFonts w:ascii="Segoe UI" w:hAnsi="Segoe UI" w:cs="Segoe UI" w:eastAsia="Segoe UI"/>
                <w:color w:val="101820"/>
                <w:sz w:val="18"/>
              </w:rPr>
              <w:t>Accounting, Accounting Manager</w:t>
            </w:r>
          </w:p>
        </w:tc>
        <w:tc>
          <w:tcPr>
            <w:tcW w:type="dxa" w:w="3730"/>
          </w:tcPr>
          <w:p>
            <w:pPr>
              <w:spacing w:after="20"/>
            </w:pPr>
            <w:r>
              <w:rPr>
                <w:rFonts w:ascii="Segoe UI" w:hAnsi="Segoe UI" w:cs="Segoe UI" w:eastAsia="Segoe UI"/>
                <w:color w:val="101820"/>
                <w:sz w:val="18"/>
              </w:rPr>
              <w:t>Billing mode per insurer, premium payment warranty days, remittance terms, remittance approval levels, direct bill settings</w:t>
            </w:r>
          </w:p>
        </w:tc>
      </w:tr>
      <w:tr>
        <w:tc>
          <w:tcPr>
            <w:tcW w:type="dxa" w:w="2642"/>
          </w:tcPr>
          <w:p>
            <w:pPr>
              <w:spacing w:after="20"/>
            </w:pPr>
            <w:r>
              <w:rPr>
                <w:rFonts w:ascii="Segoe UI" w:hAnsi="Segoe UI" w:cs="Segoe UI" w:eastAsia="Segoe UI"/>
                <w:color w:val="101820"/>
                <w:sz w:val="18"/>
              </w:rPr>
              <w:t>Commission and incentives</w:t>
            </w:r>
          </w:p>
        </w:tc>
        <w:tc>
          <w:tcPr>
            <w:tcW w:type="dxa" w:w="2642"/>
          </w:tcPr>
          <w:p>
            <w:pPr>
              <w:spacing w:after="20"/>
            </w:pPr>
            <w:r>
              <w:rPr>
                <w:rFonts w:ascii="Segoe UI" w:hAnsi="Segoe UI" w:cs="Segoe UI" w:eastAsia="Segoe UI"/>
                <w:color w:val="101820"/>
                <w:sz w:val="18"/>
              </w:rPr>
              <w:t>Accounting, Sales &amp; Marketing</w:t>
            </w:r>
          </w:p>
        </w:tc>
        <w:tc>
          <w:tcPr>
            <w:tcW w:type="dxa" w:w="3730"/>
          </w:tcPr>
          <w:p>
            <w:pPr>
              <w:spacing w:after="20"/>
            </w:pPr>
            <w:r>
              <w:rPr>
                <w:rFonts w:ascii="Segoe UI" w:hAnsi="Segoe UI" w:cs="Segoe UI" w:eastAsia="Segoe UI"/>
                <w:color w:val="101820"/>
                <w:sz w:val="18"/>
              </w:rPr>
              <w:t>Commission rules, rate matrix, referrer withholding rates, payout conditions</w:t>
            </w:r>
          </w:p>
        </w:tc>
      </w:tr>
      <w:tr>
        <w:tc>
          <w:tcPr>
            <w:tcW w:type="dxa" w:w="2642"/>
          </w:tcPr>
          <w:p>
            <w:pPr>
              <w:spacing w:after="20"/>
            </w:pPr>
            <w:r>
              <w:rPr>
                <w:rFonts w:ascii="Segoe UI" w:hAnsi="Segoe UI" w:cs="Segoe UI" w:eastAsia="Segoe UI"/>
                <w:color w:val="101820"/>
                <w:sz w:val="18"/>
              </w:rPr>
              <w:t>Ledger and close</w:t>
            </w:r>
          </w:p>
        </w:tc>
        <w:tc>
          <w:tcPr>
            <w:tcW w:type="dxa" w:w="2642"/>
          </w:tcPr>
          <w:p>
            <w:pPr>
              <w:spacing w:after="20"/>
            </w:pPr>
            <w:r>
              <w:rPr>
                <w:rFonts w:ascii="Segoe UI" w:hAnsi="Segoe UI" w:cs="Segoe UI" w:eastAsia="Segoe UI"/>
                <w:color w:val="101820"/>
                <w:sz w:val="18"/>
              </w:rPr>
              <w:t>Accounting Manager</w:t>
            </w:r>
          </w:p>
        </w:tc>
        <w:tc>
          <w:tcPr>
            <w:tcW w:type="dxa" w:w="3730"/>
          </w:tcPr>
          <w:p>
            <w:pPr>
              <w:spacing w:after="20"/>
            </w:pPr>
            <w:r>
              <w:rPr>
                <w:rFonts w:ascii="Segoe UI" w:hAnsi="Segoe UI" w:cs="Segoe UI" w:eastAsia="Segoe UI"/>
                <w:color w:val="101820"/>
                <w:sz w:val="18"/>
              </w:rPr>
              <w:t>Chart of accounts, account determination, posting rules, fiscal year, close checklist, period control, bank reconciliation</w:t>
            </w:r>
          </w:p>
        </w:tc>
      </w:tr>
      <w:tr>
        <w:tc>
          <w:tcPr>
            <w:tcW w:type="dxa" w:w="2642"/>
          </w:tcPr>
          <w:p>
            <w:pPr>
              <w:spacing w:after="20"/>
            </w:pPr>
            <w:r>
              <w:rPr>
                <w:rFonts w:ascii="Segoe UI" w:hAnsi="Segoe UI" w:cs="Segoe UI" w:eastAsia="Segoe UI"/>
                <w:color w:val="101820"/>
                <w:sz w:val="18"/>
              </w:rPr>
              <w:t>Tax</w:t>
            </w:r>
          </w:p>
        </w:tc>
        <w:tc>
          <w:tcPr>
            <w:tcW w:type="dxa" w:w="2642"/>
          </w:tcPr>
          <w:p>
            <w:pPr>
              <w:spacing w:after="20"/>
            </w:pPr>
            <w:r>
              <w:rPr>
                <w:rFonts w:ascii="Segoe UI" w:hAnsi="Segoe UI" w:cs="Segoe UI" w:eastAsia="Segoe UI"/>
                <w:color w:val="101820"/>
                <w:sz w:val="18"/>
              </w:rPr>
              <w:t>Accounting Manager, tax adviser</w:t>
            </w:r>
          </w:p>
        </w:tc>
        <w:tc>
          <w:tcPr>
            <w:tcW w:type="dxa" w:w="3730"/>
          </w:tcPr>
          <w:p>
            <w:pPr>
              <w:spacing w:after="20"/>
            </w:pPr>
            <w:r>
              <w:rPr>
                <w:rFonts w:ascii="Segoe UI" w:hAnsi="Segoe UI" w:cs="Segoe UI" w:eastAsia="Segoe UI"/>
                <w:color w:val="101820"/>
                <w:sz w:val="18"/>
              </w:rPr>
              <w:t>Tax codes and ATC, premium taxes and LGU rates, BIR settings for the forms</w:t>
            </w:r>
          </w:p>
        </w:tc>
      </w:tr>
    </w:tbl>
    <w:p>
      <w:pPr>
        <w:spacing w:after="80"/>
      </w:pPr>
    </w:p>
    <w:p>
      <w:pPr>
        <w:spacing w:after="120" w:line="276" w:lineRule="auto"/>
      </w:pPr>
      <w:r>
        <w:rPr>
          <w:rFonts w:ascii="Segoe UI" w:hAnsi="Segoe UI" w:cs="Segoe UI" w:eastAsia="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pPr>
      <w:r>
        <w:rPr>
          <w:rFonts w:ascii="Segoe UI" w:hAnsi="Segoe UI" w:cs="Segoe UI" w:eastAsia="Segoe UI"/>
          <w:b/>
          <w:color w:val="0F4761"/>
          <w:sz w:val="26"/>
        </w:rPr>
        <w:t>5.4  Environment set-up</w:t>
      </w:r>
    </w:p>
    <w:p>
      <w:pPr>
        <w:spacing w:after="60"/>
        <w:numPr>
          <w:ilvl w:val="0"/>
          <w:numId w:val="3"/>
        </w:numPr>
      </w:pPr>
      <w:r>
        <w:rPr>
          <w:rFonts w:ascii="Segoe UI" w:hAnsi="Segoe UI" w:cs="Segoe UI" w:eastAsia="Segoe UI"/>
          <w:color w:val="101820"/>
          <w:sz w:val="21"/>
        </w:rPr>
        <w:t xml:space="preserve">iorta TechNXT provisions the environment set of the broker size following </w:t>
      </w:r>
      <w:r>
        <w:rPr>
          <w:rFonts w:ascii="Consolas" w:hAnsi="Consolas" w:cs="Consolas" w:eastAsia="Consolas"/>
          <w:color w:val="101820"/>
          <w:sz w:val="19"/>
        </w:rPr>
        <w:t>deploy/README.md</w:t>
      </w:r>
      <w:r>
        <w:rPr>
          <w:rFonts w:ascii="Segoe UI" w:hAnsi="Segoe UI" w:cs="Segoe UI" w:eastAsia="Segoe UI"/>
          <w:color w:val="101820"/>
          <w:sz w:val="21"/>
        </w:rPr>
        <w:t xml:space="preserve"> and the Environment Strategy and Production Rollout Plan: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3863"/>
        <w:gridCol w:w="3863"/>
      </w:tblGrid>
      <w:tr>
        <w:trPr>
          <w:tblHeader w:val="true"/>
        </w:trPr>
        <w:tc>
          <w:tcPr>
            <w:tcW w:type="dxa" w:w="1288"/>
            <w:shd w:val="clear" w:color="auto" w:fill="DCE9F7"/>
          </w:tcPr>
          <w:p>
            <w:pPr>
              <w:spacing w:after="20"/>
            </w:pPr>
            <w:r>
              <w:rPr>
                <w:rFonts w:ascii="Segoe UI" w:hAnsi="Segoe UI" w:cs="Segoe UI" w:eastAsia="Segoe UI"/>
                <w:b/>
                <w:color w:val="0F4761"/>
                <w:sz w:val="18"/>
              </w:rPr>
              <w:t>Broker size</w:t>
            </w:r>
          </w:p>
        </w:tc>
        <w:tc>
          <w:tcPr>
            <w:tcW w:type="dxa" w:w="3863"/>
            <w:shd w:val="clear" w:color="auto" w:fill="DCE9F7"/>
          </w:tcPr>
          <w:p>
            <w:pPr>
              <w:spacing w:after="20"/>
            </w:pPr>
            <w:r>
              <w:rPr>
                <w:rFonts w:ascii="Segoe UI" w:hAnsi="Segoe UI" w:cs="Segoe UI" w:eastAsia="Segoe UI"/>
                <w:b/>
                <w:color w:val="0F4761"/>
                <w:sz w:val="18"/>
              </w:rPr>
              <w:t>Environments</w:t>
            </w:r>
          </w:p>
        </w:tc>
        <w:tc>
          <w:tcPr>
            <w:tcW w:type="dxa" w:w="3863"/>
            <w:shd w:val="clear" w:color="auto" w:fill="DCE9F7"/>
          </w:tcPr>
          <w:p>
            <w:pPr>
              <w:spacing w:after="20"/>
            </w:pPr>
            <w:r>
              <w:rPr>
                <w:rFonts w:ascii="Segoe UI" w:hAnsi="Segoe UI" w:cs="Segoe UI" w:eastAsia="Segoe UI"/>
                <w:b/>
                <w:color w:val="0F4761"/>
                <w:sz w:val="18"/>
              </w:rPr>
              <w:t>Use</w:t>
            </w:r>
          </w:p>
        </w:tc>
      </w:tr>
      <w:tr>
        <w:tc>
          <w:tcPr>
            <w:tcW w:type="dxa" w:w="1288"/>
          </w:tcPr>
          <w:p>
            <w:pPr>
              <w:spacing w:after="20"/>
            </w:pPr>
            <w:r>
              <w:rPr>
                <w:rFonts w:ascii="Segoe UI" w:hAnsi="Segoe UI" w:cs="Segoe UI" w:eastAsia="Segoe UI"/>
                <w:color w:val="101820"/>
                <w:sz w:val="18"/>
              </w:rPr>
              <w:t>Small and medium</w:t>
            </w:r>
          </w:p>
        </w:tc>
        <w:tc>
          <w:tcPr>
            <w:tcW w:type="dxa" w:w="3863"/>
          </w:tcPr>
          <w:p>
            <w:pPr>
              <w:spacing w:after="20"/>
            </w:pPr>
            <w:r>
              <w:rPr>
                <w:rFonts w:ascii="Segoe UI" w:hAnsi="Segoe UI" w:cs="Segoe UI" w:eastAsia="Segoe UI"/>
                <w:color w:val="101820"/>
                <w:sz w:val="18"/>
              </w:rPr>
              <w:t>Dev, UAT, Production</w:t>
            </w:r>
          </w:p>
        </w:tc>
        <w:tc>
          <w:tcPr>
            <w:tcW w:type="dxa" w:w="3863"/>
          </w:tcPr>
          <w:p>
            <w:pPr>
              <w:spacing w:after="20"/>
            </w:pPr>
            <w:r>
              <w:rPr>
                <w:rFonts w:ascii="Segoe UI" w:hAnsi="Segoe UI" w:cs="Segoe UI" w:eastAsia="Segoe UI"/>
                <w:color w:val="101820"/>
                <w:sz w:val="18"/>
              </w:rPr>
              <w:t>Configuration and system integration test in Dev (synthetic data only); mock loads, training and UAT in UAT</w:t>
            </w:r>
          </w:p>
        </w:tc>
      </w:tr>
      <w:tr>
        <w:tc>
          <w:tcPr>
            <w:tcW w:type="dxa" w:w="1288"/>
          </w:tcPr>
          <w:p>
            <w:pPr>
              <w:spacing w:after="20"/>
            </w:pPr>
            <w:r>
              <w:rPr>
                <w:rFonts w:ascii="Segoe UI" w:hAnsi="Segoe UI" w:cs="Segoe UI" w:eastAsia="Segoe UI"/>
                <w:color w:val="101820"/>
                <w:sz w:val="18"/>
              </w:rPr>
              <w:t>Large</w:t>
            </w:r>
          </w:p>
        </w:tc>
        <w:tc>
          <w:tcPr>
            <w:tcW w:type="dxa" w:w="3863"/>
          </w:tcPr>
          <w:p>
            <w:pPr>
              <w:spacing w:after="20"/>
            </w:pPr>
            <w:r>
              <w:rPr>
                <w:rFonts w:ascii="Segoe UI" w:hAnsi="Segoe UI" w:cs="Segoe UI" w:eastAsia="Segoe UI"/>
                <w:color w:val="101820"/>
                <w:sz w:val="18"/>
              </w:rPr>
              <w:t>Dev, SIT, UAT, Production with high availability</w:t>
            </w:r>
          </w:p>
        </w:tc>
        <w:tc>
          <w:tcPr>
            <w:tcW w:type="dxa" w:w="3863"/>
          </w:tcPr>
          <w:p>
            <w:pPr>
              <w:spacing w:after="20"/>
            </w:pPr>
            <w:r>
              <w:rPr>
                <w:rFonts w:ascii="Segoe UI" w:hAnsi="Segoe UI" w:cs="Segoe UI" w:eastAsia="Segoe UI"/>
                <w:color w:val="101820"/>
                <w:sz w:val="18"/>
              </w:rPr>
              <w:t>Development and integration in Dev; configuration, system integration test and the first mock loads in SIT; later mock loads, training and UAT in UAT</w:t>
            </w:r>
          </w:p>
        </w:tc>
      </w:tr>
      <w:tr>
        <w:tc>
          <w:tcPr>
            <w:tcW w:type="dxa" w:w="1288"/>
          </w:tcPr>
          <w:p>
            <w:pPr>
              <w:spacing w:after="20"/>
            </w:pPr>
            <w:r>
              <w:rPr>
                <w:rFonts w:ascii="Segoe UI" w:hAnsi="Segoe UI" w:cs="Segoe UI" w:eastAsia="Segoe UI"/>
                <w:color w:val="101820"/>
                <w:sz w:val="18"/>
              </w:rPr>
              <w:t>Every size</w:t>
            </w:r>
          </w:p>
        </w:tc>
        <w:tc>
          <w:tcPr>
            <w:tcW w:type="dxa" w:w="3863"/>
          </w:tcPr>
          <w:p>
            <w:pPr>
              <w:spacing w:after="20"/>
            </w:pPr>
            <w:r>
              <w:rPr>
                <w:rFonts w:ascii="Segoe UI" w:hAnsi="Segoe UI" w:cs="Segoe UI" w:eastAsia="Segoe UI"/>
                <w:color w:val="101820"/>
                <w:sz w:val="18"/>
              </w:rPr>
              <w:t>Pre-Prod, temporary</w:t>
            </w:r>
          </w:p>
        </w:tc>
        <w:tc>
          <w:tcPr>
            <w:tcW w:type="dxa" w:w="3863"/>
          </w:tcPr>
          <w:p>
            <w:pPr>
              <w:spacing w:after="20"/>
            </w:pPr>
            <w:r>
              <w:rPr>
                <w:rFonts w:ascii="Segoe UI" w:hAnsi="Segoe UI" w:cs="Segoe UI" w:eastAsia="Segoe UI"/>
                <w:color w:val="101820"/>
                <w:sz w:val="18"/>
              </w:rPr>
              <w:t>Created from a Production backup for the cutover rehearsal in the last two weeks before go-live; removed after hypercare</w:t>
            </w:r>
          </w:p>
        </w:tc>
      </w:tr>
    </w:tbl>
    <w:p>
      <w:pPr>
        <w:spacing w:after="80"/>
      </w:pPr>
    </w:p>
    <w:p>
      <w:pPr>
        <w:spacing w:after="60"/>
        <w:numPr>
          <w:ilvl w:val="0"/>
          <w:numId w:val="3"/>
        </w:numPr>
      </w:pPr>
      <w:r>
        <w:rPr>
          <w:rFonts w:ascii="Segoe UI" w:hAnsi="Segoe UI" w:cs="Segoe UI" w:eastAsia="Segoe UI"/>
          <w:color w:val="101820"/>
          <w:sz w:val="21"/>
        </w:rPr>
        <w:t>Assumption: iorta TechNXT hosts the environments on AWS in region ap-southeast-1, priced per environment in the Rate Card; a broker-hosted installation is a separate option and provides the same set.</w:t>
      </w:r>
    </w:p>
    <w:p>
      <w:pPr>
        <w:spacing w:after="60"/>
        <w:numPr>
          <w:ilvl w:val="0"/>
          <w:numId w:val="3"/>
        </w:numPr>
      </w:pPr>
      <w:r>
        <w:rPr>
          <w:rFonts w:ascii="Segoe UI" w:hAnsi="Segoe UI" w:cs="Segoe UI" w:eastAsia="Segoe UI"/>
          <w:color w:val="101820"/>
          <w:sz w:val="21"/>
        </w:rPr>
        <w:t>Production starts with reference data only (</w:t>
      </w:r>
      <w:r>
        <w:rPr>
          <w:rFonts w:ascii="Consolas" w:hAnsi="Consolas" w:cs="Consolas" w:eastAsia="Consolas"/>
          <w:color w:val="101820"/>
          <w:sz w:val="19"/>
        </w:rPr>
        <w:t>SEED_SAMPLE_DATA=false</w:t>
      </w:r>
      <w:r>
        <w:rPr>
          <w:rFonts w:ascii="Segoe UI" w:hAnsi="Segoe UI" w:cs="Segoe UI" w:eastAsia="Segoe UI"/>
          <w:color w:val="101820"/>
          <w:sz w:val="21"/>
        </w:rPr>
        <w:t>). Dev and UAT may carry the delivered sample data for training until the first mock load.</w:t>
      </w:r>
    </w:p>
    <w:p>
      <w:pPr>
        <w:spacing w:after="60"/>
        <w:numPr>
          <w:ilvl w:val="0"/>
          <w:numId w:val="3"/>
        </w:numPr>
      </w:pPr>
      <w:r>
        <w:rPr>
          <w:rFonts w:ascii="Segoe UI" w:hAnsi="Segoe UI" w:cs="Segoe UI" w:eastAsia="Segoe UI"/>
          <w:color w:val="101820"/>
          <w:sz w:val="21"/>
        </w:rPr>
        <w:t>Database time zone Asia/Manila, daily database snapshots with at least 30 days' retention, backup of the upload volume and the encryption key, a restore test before go-live.</w:t>
      </w:r>
    </w:p>
    <w:p>
      <w:pPr>
        <w:spacing w:after="60"/>
        <w:numPr>
          <w:ilvl w:val="0"/>
          <w:numId w:val="3"/>
        </w:numPr>
      </w:pPr>
      <w:r>
        <w:rPr>
          <w:rFonts w:ascii="Segoe UI" w:hAnsi="Segoe UI" w:cs="Segoe UI" w:eastAsia="Segoe UI"/>
          <w:color w:val="101820"/>
          <w:sz w:val="21"/>
        </w:rPr>
        <w:t>Health checks (</w:t>
      </w:r>
      <w:r>
        <w:rPr>
          <w:rFonts w:ascii="Consolas" w:hAnsi="Consolas" w:cs="Consolas" w:eastAsia="Consolas"/>
          <w:color w:val="101820"/>
          <w:sz w:val="19"/>
        </w:rPr>
        <w:t>/api/health</w:t>
      </w:r>
      <w:r>
        <w:rPr>
          <w:rFonts w:ascii="Segoe UI" w:hAnsi="Segoe UI" w:cs="Segoe UI" w:eastAsia="Segoe UI"/>
          <w:color w:val="101820"/>
          <w:sz w:val="21"/>
        </w:rPr>
        <w:t xml:space="preserve">, </w:t>
      </w:r>
      <w:r>
        <w:rPr>
          <w:rFonts w:ascii="Consolas" w:hAnsi="Consolas" w:cs="Consolas" w:eastAsia="Consolas"/>
          <w:color w:val="101820"/>
          <w:sz w:val="19"/>
        </w:rPr>
        <w:t>/api/health/live</w:t>
      </w:r>
      <w:r>
        <w:rPr>
          <w:rFonts w:ascii="Segoe UI" w:hAnsi="Segoe UI" w:cs="Segoe UI" w:eastAsia="Segoe UI"/>
          <w:color w:val="101820"/>
          <w:sz w:val="21"/>
        </w:rPr>
        <w:t>) wired to the load balancer and monitoring.</w:t>
      </w:r>
    </w:p>
    <w:p>
      <w:pPr>
        <w:spacing w:after="60"/>
        <w:numPr>
          <w:ilvl w:val="0"/>
          <w:numId w:val="3"/>
        </w:numPr>
      </w:pPr>
      <w:r>
        <w:rPr>
          <w:rFonts w:ascii="Segoe UI" w:hAnsi="Segoe UI" w:cs="Segoe UI" w:eastAsia="Segoe UI"/>
          <w:color w:val="101820"/>
          <w:sz w:val="21"/>
        </w:rPr>
        <w:t>SMTP mailbox for outgoing e-mail.</w:t>
      </w:r>
    </w:p>
    <w:p>
      <w:pPr>
        <w:spacing w:after="60"/>
        <w:numPr>
          <w:ilvl w:val="0"/>
          <w:numId w:val="3"/>
        </w:numPr>
      </w:pPr>
      <w:r>
        <w:rPr>
          <w:rFonts w:ascii="Segoe UI" w:hAnsi="Segoe UI" w:cs="Segoe UI" w:eastAsia="Segoe UI"/>
          <w:color w:val="101820"/>
          <w:sz w:val="21"/>
        </w:rPr>
        <w:t>Smoke test of section 4 of the deployment checklist on each environment.</w:t>
      </w:r>
    </w:p>
    <w:p>
      <w:pPr>
        <w:pStyle w:val="Heading2"/>
      </w:pPr>
      <w:r>
        <w:rPr>
          <w:rFonts w:ascii="Segoe UI" w:hAnsi="Segoe UI" w:cs="Segoe UI" w:eastAsia="Segoe UI"/>
          <w:b/>
          <w:color w:val="0F4761"/>
          <w:sz w:val="26"/>
        </w:rPr>
        <w:t>5.5  Configuration</w:t>
      </w:r>
    </w:p>
    <w:p>
      <w:pPr>
        <w:spacing w:after="120" w:line="276" w:lineRule="auto"/>
      </w:pPr>
      <w:r>
        <w:rPr>
          <w:rFonts w:ascii="Segoe UI" w:hAnsi="Segoe UI" w:cs="Segoe UI" w:eastAsia="Segoe UI"/>
          <w:color w:val="101820"/>
          <w:sz w:val="21"/>
        </w:rPr>
        <w:t xml:space="preserve">Configuration follows the order of </w:t>
      </w:r>
      <w:r>
        <w:rPr>
          <w:rFonts w:ascii="Consolas" w:hAnsi="Consolas" w:cs="Consolas" w:eastAsia="Consolas"/>
          <w:color w:val="101820"/>
          <w:sz w:val="19"/>
        </w:rPr>
        <w:t>GO_LIVE_DATA_SETUP.md</w:t>
      </w:r>
      <w:r>
        <w:rPr>
          <w:rFonts w:ascii="Segoe UI" w:hAnsi="Segoe UI" w:cs="Segoe UI" w:eastAsia="Segoe UI"/>
          <w:color w:val="101820"/>
          <w:sz w:val="21"/>
        </w:rPr>
        <w:t>, steps 1 to 10, first in Dev (small and medium broker) or SIT (large broker), and is promoted to UAT with the configuration workbook. Once frozen and accepted in UAT, the same values are applied to production, by upload where a template exists and on the screen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Item</w:t>
            </w:r>
          </w:p>
        </w:tc>
        <w:tc>
          <w:tcPr>
            <w:tcW w:type="dxa" w:w="3005"/>
            <w:shd w:val="clear" w:color="auto" w:fill="DCE9F7"/>
          </w:tcPr>
          <w:p>
            <w:pPr>
              <w:spacing w:after="20"/>
            </w:pPr>
            <w:r>
              <w:rPr>
                <w:rFonts w:ascii="Segoe UI" w:hAnsi="Segoe UI" w:cs="Segoe UI" w:eastAsia="Segoe UI"/>
                <w:b/>
                <w:color w:val="0F4761"/>
                <w:sz w:val="18"/>
              </w:rPr>
              <w:t>Screen</w:t>
            </w:r>
          </w:p>
        </w:tc>
        <w:tc>
          <w:tcPr>
            <w:tcW w:type="dxa" w:w="3005"/>
            <w:shd w:val="clear" w:color="auto" w:fill="DCE9F7"/>
          </w:tcPr>
          <w:p>
            <w:pPr>
              <w:spacing w:after="20"/>
            </w:pPr>
            <w:r>
              <w:rPr>
                <w:rFonts w:ascii="Segoe UI" w:hAnsi="Segoe UI" w:cs="Segoe UI" w:eastAsia="Segoe UI"/>
                <w:b/>
                <w:color w:val="0F4761"/>
                <w:sz w:val="18"/>
              </w:rPr>
              <w:t>Template</w:t>
            </w:r>
          </w:p>
        </w:tc>
      </w:tr>
      <w:tr>
        <w:tc>
          <w:tcPr>
            <w:tcW w:type="dxa" w:w="3005"/>
          </w:tcPr>
          <w:p>
            <w:pPr>
              <w:spacing w:after="20"/>
            </w:pPr>
            <w:r>
              <w:rPr>
                <w:rFonts w:ascii="Segoe UI" w:hAnsi="Segoe UI" w:cs="Segoe UI" w:eastAsia="Segoe UI"/>
                <w:color w:val="101820"/>
                <w:sz w:val="18"/>
              </w:rPr>
              <w:t>Company and letterhead, system name and logo</w:t>
            </w:r>
          </w:p>
        </w:tc>
        <w:tc>
          <w:tcPr>
            <w:tcW w:type="dxa" w:w="3005"/>
          </w:tcPr>
          <w:p>
            <w:pPr>
              <w:spacing w:after="20"/>
            </w:pPr>
            <w:r>
              <w:rPr>
                <w:rFonts w:ascii="Segoe UI" w:hAnsi="Segoe UI" w:cs="Segoe UI" w:eastAsia="Segoe UI"/>
                <w:color w:val="101820"/>
                <w:sz w:val="18"/>
              </w:rPr>
              <w:t>Master &gt; Generals &gt; Organization &gt; Company; Master &gt; System Settings</w:t>
            </w:r>
          </w:p>
        </w:tc>
        <w:tc>
          <w:tcPr>
            <w:tcW w:type="dxa" w:w="3005"/>
          </w:tcPr>
          <w:p>
            <w:pPr>
              <w:spacing w:after="20"/>
            </w:pPr>
            <w:r>
              <w:rPr>
                <w:rFonts w:ascii="Consolas" w:hAnsi="Consolas" w:cs="Consolas" w:eastAsia="Consolas"/>
                <w:color w:val="101820"/>
                <w:sz w:val="16"/>
              </w:rPr>
              <w:t>Company_Upload_Template.xlsx</w:t>
            </w:r>
          </w:p>
        </w:tc>
      </w:tr>
      <w:tr>
        <w:tc>
          <w:tcPr>
            <w:tcW w:type="dxa" w:w="3005"/>
          </w:tcPr>
          <w:p>
            <w:pPr>
              <w:spacing w:after="20"/>
            </w:pPr>
            <w:r>
              <w:rPr>
                <w:rFonts w:ascii="Segoe UI" w:hAnsi="Segoe UI" w:cs="Segoe UI" w:eastAsia="Segoe UI"/>
                <w:color w:val="101820"/>
                <w:sz w:val="18"/>
              </w:rPr>
              <w:t>Branches, departments</w:t>
            </w:r>
          </w:p>
        </w:tc>
        <w:tc>
          <w:tcPr>
            <w:tcW w:type="dxa" w:w="3005"/>
          </w:tcPr>
          <w:p>
            <w:pPr>
              <w:spacing w:after="20"/>
            </w:pPr>
            <w:r>
              <w:rPr>
                <w:rFonts w:ascii="Segoe UI" w:hAnsi="Segoe UI" w:cs="Segoe UI" w:eastAsia="Segoe UI"/>
                <w:color w:val="101820"/>
                <w:sz w:val="18"/>
              </w:rPr>
              <w:t>Master &gt; Generals &gt; Organization &gt; Branch</w:t>
            </w:r>
          </w:p>
        </w:tc>
        <w:tc>
          <w:tcPr>
            <w:tcW w:type="dxa" w:w="3005"/>
          </w:tcPr>
          <w:p>
            <w:pPr>
              <w:spacing w:after="20"/>
            </w:pPr>
            <w:r>
              <w:rPr>
                <w:rFonts w:ascii="Consolas" w:hAnsi="Consolas" w:cs="Consolas" w:eastAsia="Consolas"/>
                <w:color w:val="101820"/>
                <w:sz w:val="16"/>
              </w:rPr>
              <w:t>Branch_…</w:t>
            </w:r>
            <w:r>
              <w:rPr>
                <w:rFonts w:ascii="Segoe UI" w:hAnsi="Segoe UI" w:cs="Segoe UI" w:eastAsia="Segoe UI"/>
                <w:color w:val="101820"/>
                <w:sz w:val="18"/>
              </w:rPr>
              <w:t xml:space="preserve">, </w:t>
            </w:r>
            <w:r>
              <w:rPr>
                <w:rFonts w:ascii="Consolas" w:hAnsi="Consolas" w:cs="Consolas" w:eastAsia="Consolas"/>
                <w:color w:val="101820"/>
                <w:sz w:val="16"/>
              </w:rPr>
              <w:t>Department_Upload_Template.xlsx</w:t>
            </w:r>
          </w:p>
        </w:tc>
      </w:tr>
      <w:tr>
        <w:tc>
          <w:tcPr>
            <w:tcW w:type="dxa" w:w="3005"/>
          </w:tcPr>
          <w:p>
            <w:pPr>
              <w:spacing w:after="20"/>
            </w:pPr>
            <w:r>
              <w:rPr>
                <w:rFonts w:ascii="Segoe UI" w:hAnsi="Segoe UI" w:cs="Segoe UI" w:eastAsia="Segoe UI"/>
                <w:color w:val="101820"/>
                <w:sz w:val="18"/>
              </w:rPr>
              <w:t>Users and roles, security settings</w:t>
            </w:r>
          </w:p>
        </w:tc>
        <w:tc>
          <w:tcPr>
            <w:tcW w:type="dxa" w:w="3005"/>
          </w:tcPr>
          <w:p>
            <w:pPr>
              <w:spacing w:after="20"/>
            </w:pPr>
            <w:r>
              <w:rPr>
                <w:rFonts w:ascii="Segoe UI" w:hAnsi="Segoe UI" w:cs="Segoe UI" w:eastAsia="Segoe UI"/>
                <w:color w:val="101820"/>
                <w:sz w:val="18"/>
              </w:rPr>
              <w:t>Master &gt; Generals &gt; User Management &gt; User; Master &gt; Configuration &gt; Security &amp; Access</w:t>
            </w:r>
          </w:p>
        </w:tc>
        <w:tc>
          <w:tcPr>
            <w:tcW w:type="dxa" w:w="3005"/>
          </w:tcPr>
          <w:p>
            <w:pPr>
              <w:spacing w:after="20"/>
            </w:pPr>
            <w:r>
              <w:rPr>
                <w:rFonts w:ascii="Consolas" w:hAnsi="Consolas" w:cs="Consolas" w:eastAsia="Consolas"/>
                <w:color w:val="101820"/>
                <w:sz w:val="16"/>
              </w:rPr>
              <w:t>Users_Provisioning_Template.xlsx</w:t>
            </w:r>
          </w:p>
        </w:tc>
      </w:tr>
      <w:tr>
        <w:tc>
          <w:tcPr>
            <w:tcW w:type="dxa" w:w="3005"/>
          </w:tcPr>
          <w:p>
            <w:pPr>
              <w:spacing w:after="20"/>
            </w:pPr>
            <w:r>
              <w:rPr>
                <w:rFonts w:ascii="Segoe UI" w:hAnsi="Segoe UI" w:cs="Segoe UI" w:eastAsia="Segoe UI"/>
                <w:color w:val="101820"/>
                <w:sz w:val="18"/>
              </w:rPr>
              <w:t>Insurers, credit and remittance terms</w:t>
            </w:r>
          </w:p>
        </w:tc>
        <w:tc>
          <w:tcPr>
            <w:tcW w:type="dxa" w:w="3005"/>
          </w:tcPr>
          <w:p>
            <w:pPr>
              <w:spacing w:after="20"/>
            </w:pPr>
            <w:r>
              <w:rPr>
                <w:rFonts w:ascii="Segoe UI" w:hAnsi="Segoe UI" w:cs="Segoe UI" w:eastAsia="Segoe UI"/>
                <w:color w:val="101820"/>
                <w:sz w:val="18"/>
              </w:rPr>
              <w:t>Master &gt; Generals &gt; Insurance Management &gt; Insurance Company</w:t>
            </w:r>
          </w:p>
        </w:tc>
        <w:tc>
          <w:tcPr>
            <w:tcW w:type="dxa" w:w="3005"/>
          </w:tcPr>
          <w:p>
            <w:pPr>
              <w:spacing w:after="20"/>
            </w:pPr>
            <w:r>
              <w:rPr>
                <w:rFonts w:ascii="Consolas" w:hAnsi="Consolas" w:cs="Consolas" w:eastAsia="Consolas"/>
                <w:color w:val="101820"/>
                <w:sz w:val="16"/>
              </w:rPr>
              <w:t>Insurance_Company_Upload_Template.xlsx</w:t>
            </w:r>
          </w:p>
        </w:tc>
      </w:tr>
      <w:tr>
        <w:tc>
          <w:tcPr>
            <w:tcW w:type="dxa" w:w="3005"/>
          </w:tcPr>
          <w:p>
            <w:pPr>
              <w:spacing w:after="20"/>
            </w:pPr>
            <w:r>
              <w:rPr>
                <w:rFonts w:ascii="Segoe UI" w:hAnsi="Segoe UI" w:cs="Segoe UI" w:eastAsia="Segoe UI"/>
                <w:color w:val="101820"/>
                <w:sz w:val="18"/>
              </w:rPr>
              <w:t>Commission</w:t>
            </w:r>
          </w:p>
        </w:tc>
        <w:tc>
          <w:tcPr>
            <w:tcW w:type="dxa" w:w="3005"/>
          </w:tcPr>
          <w:p>
            <w:pPr>
              <w:spacing w:after="20"/>
            </w:pPr>
            <w:r>
              <w:rPr>
                <w:rFonts w:ascii="Segoe UI" w:hAnsi="Segoe UI" w:cs="Segoe UI" w:eastAsia="Segoe UI"/>
                <w:color w:val="101820"/>
                <w:sz w:val="18"/>
              </w:rPr>
              <w:t>Master &gt; Finance &gt; Commission Rate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Lines of business, products, policy types, covers, vehicles</w:t>
            </w:r>
          </w:p>
        </w:tc>
        <w:tc>
          <w:tcPr>
            <w:tcW w:type="dxa" w:w="3005"/>
          </w:tcPr>
          <w:p>
            <w:pPr>
              <w:spacing w:after="20"/>
            </w:pPr>
            <w:r>
              <w:rPr>
                <w:rFonts w:ascii="Segoe UI" w:hAnsi="Segoe UI" w:cs="Segoe UI" w:eastAsia="Segoe UI"/>
                <w:color w:val="101820"/>
                <w:sz w:val="18"/>
              </w:rPr>
              <w:t>Master &gt; Generals &gt; Insurance Management</w:t>
            </w:r>
          </w:p>
        </w:tc>
        <w:tc>
          <w:tcPr>
            <w:tcW w:type="dxa" w:w="3005"/>
          </w:tcPr>
          <w:p>
            <w:pPr>
              <w:spacing w:after="20"/>
            </w:pPr>
            <w:r>
              <w:rPr>
                <w:rFonts w:ascii="Consolas" w:hAnsi="Consolas" w:cs="Consolas" w:eastAsia="Consolas"/>
                <w:color w:val="101820"/>
                <w:sz w:val="16"/>
              </w:rPr>
              <w:t>Line_of_Business_…</w:t>
            </w:r>
            <w:r>
              <w:rPr>
                <w:rFonts w:ascii="Segoe UI" w:hAnsi="Segoe UI" w:cs="Segoe UI" w:eastAsia="Segoe UI"/>
                <w:color w:val="101820"/>
                <w:sz w:val="18"/>
              </w:rPr>
              <w:t xml:space="preserve">, </w:t>
            </w:r>
            <w:r>
              <w:rPr>
                <w:rFonts w:ascii="Consolas" w:hAnsi="Consolas" w:cs="Consolas" w:eastAsia="Consolas"/>
                <w:color w:val="101820"/>
                <w:sz w:val="16"/>
              </w:rPr>
              <w:t>Product_…</w:t>
            </w:r>
            <w:r>
              <w:rPr>
                <w:rFonts w:ascii="Segoe UI" w:hAnsi="Segoe UI" w:cs="Segoe UI" w:eastAsia="Segoe UI"/>
                <w:color w:val="101820"/>
                <w:sz w:val="18"/>
              </w:rPr>
              <w:t xml:space="preserve">, </w:t>
            </w:r>
            <w:r>
              <w:rPr>
                <w:rFonts w:ascii="Consolas" w:hAnsi="Consolas" w:cs="Consolas" w:eastAsia="Consolas"/>
                <w:color w:val="101820"/>
                <w:sz w:val="16"/>
              </w:rPr>
              <w:t>Policy_Type_…</w:t>
            </w:r>
            <w:r>
              <w:rPr>
                <w:rFonts w:ascii="Segoe UI" w:hAnsi="Segoe UI" w:cs="Segoe UI" w:eastAsia="Segoe UI"/>
                <w:color w:val="101820"/>
                <w:sz w:val="18"/>
              </w:rPr>
              <w:t xml:space="preserve">, </w:t>
            </w:r>
            <w:r>
              <w:rPr>
                <w:rFonts w:ascii="Consolas" w:hAnsi="Consolas" w:cs="Consolas" w:eastAsia="Consolas"/>
                <w:color w:val="101820"/>
                <w:sz w:val="16"/>
              </w:rPr>
              <w:t>Cover_…</w:t>
            </w:r>
            <w:r>
              <w:rPr>
                <w:rFonts w:ascii="Segoe UI" w:hAnsi="Segoe UI" w:cs="Segoe UI" w:eastAsia="Segoe UI"/>
                <w:color w:val="101820"/>
                <w:sz w:val="18"/>
              </w:rPr>
              <w:t xml:space="preserve">, </w:t>
            </w:r>
            <w:r>
              <w:rPr>
                <w:rFonts w:ascii="Consolas" w:hAnsi="Consolas" w:cs="Consolas" w:eastAsia="Consolas"/>
                <w:color w:val="101820"/>
                <w:sz w:val="16"/>
              </w:rPr>
              <w:t>Vehicle_…</w:t>
            </w:r>
            <w:r>
              <w:rPr>
                <w:rFonts w:ascii="Segoe UI" w:hAnsi="Segoe UI" w:cs="Segoe UI" w:eastAsia="Segoe UI"/>
                <w:color w:val="101820"/>
                <w:sz w:val="18"/>
              </w:rPr>
              <w:t xml:space="preserve"> templates</w:t>
            </w:r>
          </w:p>
        </w:tc>
      </w:tr>
      <w:tr>
        <w:tc>
          <w:tcPr>
            <w:tcW w:type="dxa" w:w="3005"/>
          </w:tcPr>
          <w:p>
            <w:pPr>
              <w:spacing w:after="20"/>
            </w:pPr>
            <w:r>
              <w:rPr>
                <w:rFonts w:ascii="Segoe UI" w:hAnsi="Segoe UI" w:cs="Segoe UI" w:eastAsia="Segoe UI"/>
                <w:color w:val="101820"/>
                <w:sz w:val="18"/>
              </w:rPr>
              <w:t>Product templates, motor tariff, rating, acceptance rules</w:t>
            </w:r>
          </w:p>
        </w:tc>
        <w:tc>
          <w:tcPr>
            <w:tcW w:type="dxa" w:w="3005"/>
          </w:tcPr>
          <w:p>
            <w:pPr>
              <w:spacing w:after="20"/>
            </w:pPr>
            <w:r>
              <w:rPr>
                <w:rFonts w:ascii="Segoe UI" w:hAnsi="Segoe UI" w:cs="Segoe UI" w:eastAsia="Segoe UI"/>
                <w:color w:val="101820"/>
                <w:sz w:val="18"/>
              </w:rPr>
              <w:t>Product Configurator (approval limits: Master &gt; Generals &gt; User Management &gt; Authority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Tax codes, premium taxes and LGU rates</w:t>
            </w:r>
          </w:p>
        </w:tc>
        <w:tc>
          <w:tcPr>
            <w:tcW w:type="dxa" w:w="3005"/>
          </w:tcPr>
          <w:p>
            <w:pPr>
              <w:spacing w:after="20"/>
            </w:pPr>
            <w:r>
              <w:rPr>
                <w:rFonts w:ascii="Segoe UI" w:hAnsi="Segoe UI" w:cs="Segoe UI" w:eastAsia="Segoe UI"/>
                <w:color w:val="101820"/>
                <w:sz w:val="18"/>
              </w:rPr>
              <w:t>Master &gt; Finance &gt; Taxation; Premium Taxes &amp; LGU Rates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Chart of accounts</w:t>
            </w:r>
          </w:p>
        </w:tc>
        <w:tc>
          <w:tcPr>
            <w:tcW w:type="dxa" w:w="3005"/>
          </w:tcPr>
          <w:p>
            <w:pPr>
              <w:spacing w:after="20"/>
            </w:pPr>
            <w:r>
              <w:rPr>
                <w:rFonts w:ascii="Segoe UI" w:hAnsi="Segoe UI" w:cs="Segoe UI" w:eastAsia="Segoe UI"/>
                <w:color w:val="101820"/>
                <w:sz w:val="18"/>
              </w:rPr>
              <w:t>Master &gt; Finance &gt; Main Account, Sub Account</w:t>
            </w:r>
          </w:p>
        </w:tc>
        <w:tc>
          <w:tcPr>
            <w:tcW w:type="dxa" w:w="3005"/>
          </w:tcPr>
          <w:p>
            <w:pPr>
              <w:spacing w:after="20"/>
            </w:pPr>
            <w:r>
              <w:rPr>
                <w:rFonts w:ascii="Consolas" w:hAnsi="Consolas" w:cs="Consolas" w:eastAsia="Consolas"/>
                <w:color w:val="101820"/>
                <w:sz w:val="16"/>
              </w:rPr>
              <w:t>Chart_of_Accounts_Upload_Template.xlsx</w:t>
            </w:r>
          </w:p>
        </w:tc>
      </w:tr>
      <w:tr>
        <w:tc>
          <w:tcPr>
            <w:tcW w:type="dxa" w:w="3005"/>
          </w:tcPr>
          <w:p>
            <w:pPr>
              <w:spacing w:after="20"/>
            </w:pPr>
            <w:r>
              <w:rPr>
                <w:rFonts w:ascii="Segoe UI" w:hAnsi="Segoe UI" w:cs="Segoe UI" w:eastAsia="Segoe UI"/>
                <w:color w:val="101820"/>
                <w:sz w:val="18"/>
              </w:rPr>
              <w:t>Account determination and posting rules</w:t>
            </w:r>
          </w:p>
        </w:tc>
        <w:tc>
          <w:tcPr>
            <w:tcW w:type="dxa" w:w="3005"/>
          </w:tcPr>
          <w:p>
            <w:pPr>
              <w:spacing w:after="20"/>
            </w:pPr>
            <w:r>
              <w:rPr>
                <w:rFonts w:ascii="Segoe UI" w:hAnsi="Segoe UI" w:cs="Segoe UI" w:eastAsia="Segoe UI"/>
                <w:color w:val="101820"/>
                <w:sz w:val="18"/>
              </w:rPr>
              <w:t>Master &gt; Finance &gt; Account Determination, Posting Rules (Simulate), Configuration Approvals</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Banks, bank accounts, signatories</w:t>
            </w:r>
          </w:p>
        </w:tc>
        <w:tc>
          <w:tcPr>
            <w:tcW w:type="dxa" w:w="3005"/>
          </w:tcPr>
          <w:p>
            <w:pPr>
              <w:spacing w:after="20"/>
            </w:pPr>
            <w:r>
              <w:rPr>
                <w:rFonts w:ascii="Segoe UI" w:hAnsi="Segoe UI" w:cs="Segoe UI" w:eastAsia="Segoe UI"/>
                <w:color w:val="101820"/>
                <w:sz w:val="18"/>
              </w:rPr>
              <w:t>Master &gt; Finance &gt; Bank; Insurance Management &gt; Signatories</w:t>
            </w:r>
          </w:p>
        </w:tc>
        <w:tc>
          <w:tcPr>
            <w:tcW w:type="dxa" w:w="3005"/>
          </w:tcPr>
          <w:p>
            <w:pPr>
              <w:spacing w:after="20"/>
            </w:pPr>
            <w:r>
              <w:rPr>
                <w:rFonts w:ascii="Consolas" w:hAnsi="Consolas" w:cs="Consolas" w:eastAsia="Consolas"/>
                <w:color w:val="101820"/>
                <w:sz w:val="16"/>
              </w:rPr>
              <w:t>Bank_…</w:t>
            </w:r>
            <w:r>
              <w:rPr>
                <w:rFonts w:ascii="Segoe UI" w:hAnsi="Segoe UI" w:cs="Segoe UI" w:eastAsia="Segoe UI"/>
                <w:color w:val="101820"/>
                <w:sz w:val="18"/>
              </w:rPr>
              <w:t xml:space="preserve">, </w:t>
            </w:r>
            <w:r>
              <w:rPr>
                <w:rFonts w:ascii="Consolas" w:hAnsi="Consolas" w:cs="Consolas" w:eastAsia="Consolas"/>
                <w:color w:val="101820"/>
                <w:sz w:val="16"/>
              </w:rPr>
              <w:t>Bank_Account_…</w:t>
            </w:r>
            <w:r>
              <w:rPr>
                <w:rFonts w:ascii="Segoe UI" w:hAnsi="Segoe UI" w:cs="Segoe UI" w:eastAsia="Segoe UI"/>
                <w:color w:val="101820"/>
                <w:sz w:val="18"/>
              </w:rPr>
              <w:t xml:space="preserve">, </w:t>
            </w:r>
            <w:r>
              <w:rPr>
                <w:rFonts w:ascii="Consolas" w:hAnsi="Consolas" w:cs="Consolas" w:eastAsia="Consolas"/>
                <w:color w:val="101820"/>
                <w:sz w:val="16"/>
              </w:rPr>
              <w:t>Signatories_Upload_Template.xlsx</w:t>
            </w:r>
          </w:p>
        </w:tc>
      </w:tr>
      <w:tr>
        <w:tc>
          <w:tcPr>
            <w:tcW w:type="dxa" w:w="3005"/>
          </w:tcPr>
          <w:p>
            <w:pPr>
              <w:spacing w:after="20"/>
            </w:pPr>
            <w:r>
              <w:rPr>
                <w:rFonts w:ascii="Segoe UI" w:hAnsi="Segoe UI" w:cs="Segoe UI" w:eastAsia="Segoe UI"/>
                <w:color w:val="101820"/>
                <w:sz w:val="18"/>
              </w:rPr>
              <w:t>Document numbering</w:t>
            </w:r>
          </w:p>
        </w:tc>
        <w:tc>
          <w:tcPr>
            <w:tcW w:type="dxa" w:w="3005"/>
          </w:tcPr>
          <w:p>
            <w:pPr>
              <w:spacing w:after="20"/>
            </w:pPr>
            <w:r>
              <w:rPr>
                <w:rFonts w:ascii="Segoe UI" w:hAnsi="Segoe UI" w:cs="Segoe UI" w:eastAsia="Segoe UI"/>
                <w:color w:val="101820"/>
                <w:sz w:val="18"/>
              </w:rPr>
              <w:t>Master &gt; Document Numbering</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Approvals and maker-checker</w:t>
            </w:r>
          </w:p>
        </w:tc>
        <w:tc>
          <w:tcPr>
            <w:tcW w:type="dxa" w:w="3005"/>
          </w:tcPr>
          <w:p>
            <w:pPr>
              <w:spacing w:after="20"/>
            </w:pPr>
            <w:r>
              <w:rPr>
                <w:rFonts w:ascii="Segoe UI" w:hAnsi="Segoe UI" w:cs="Segoe UI" w:eastAsia="Segoe UI"/>
                <w:color w:val="101820"/>
                <w:sz w:val="18"/>
              </w:rPr>
              <w:t>Master &gt; Configuration (switches and remittance approval levels); User Management &gt; Authority Matrix</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E-mail texts, notification recipients</w:t>
            </w:r>
          </w:p>
        </w:tc>
        <w:tc>
          <w:tcPr>
            <w:tcW w:type="dxa" w:w="3005"/>
          </w:tcPr>
          <w:p>
            <w:pPr>
              <w:spacing w:after="20"/>
            </w:pPr>
            <w:r>
              <w:rPr>
                <w:rFonts w:ascii="Segoe UI" w:hAnsi="Segoe UI" w:cs="Segoe UI" w:eastAsia="Segoe UI"/>
                <w:color w:val="101820"/>
                <w:sz w:val="18"/>
              </w:rPr>
              <w:t>Master &gt; Configuration</w:t>
            </w:r>
          </w:p>
        </w:tc>
        <w:tc>
          <w:tcPr>
            <w:tcW w:type="dxa" w:w="3005"/>
          </w:tcPr>
          <w:p>
            <w:pPr>
              <w:spacing w:after="20"/>
            </w:pPr>
            <w:r>
              <w:rPr>
                <w:rFonts w:ascii="Segoe UI" w:hAnsi="Segoe UI" w:cs="Segoe UI" w:eastAsia="Segoe UI"/>
                <w:color w:val="101820"/>
                <w:sz w:val="18"/>
              </w:rPr>
              <w:t>On screen</w:t>
            </w:r>
          </w:p>
        </w:tc>
      </w:tr>
      <w:tr>
        <w:tc>
          <w:tcPr>
            <w:tcW w:type="dxa" w:w="3005"/>
          </w:tcPr>
          <w:p>
            <w:pPr>
              <w:spacing w:after="20"/>
            </w:pPr>
            <w:r>
              <w:rPr>
                <w:rFonts w:ascii="Segoe UI" w:hAnsi="Segoe UI" w:cs="Segoe UI" w:eastAsia="Segoe UI"/>
                <w:color w:val="101820"/>
                <w:sz w:val="18"/>
              </w:rPr>
              <w:t>Scheduled jobs</w:t>
            </w:r>
          </w:p>
        </w:tc>
        <w:tc>
          <w:tcPr>
            <w:tcW w:type="dxa" w:w="3005"/>
          </w:tcPr>
          <w:p>
            <w:pPr>
              <w:spacing w:after="20"/>
            </w:pPr>
            <w:r>
              <w:rPr>
                <w:rFonts w:ascii="Segoe UI" w:hAnsi="Segoe UI" w:cs="Segoe UI" w:eastAsia="Segoe UI"/>
                <w:color w:val="101820"/>
                <w:sz w:val="18"/>
              </w:rPr>
              <w:t>Master &gt; Schedules</w:t>
            </w:r>
          </w:p>
        </w:tc>
        <w:tc>
          <w:tcPr>
            <w:tcW w:type="dxa" w:w="3005"/>
          </w:tcPr>
          <w:p>
            <w:pPr>
              <w:spacing w:after="20"/>
            </w:pPr>
            <w:r>
              <w:rPr>
                <w:rFonts w:ascii="Segoe UI" w:hAnsi="Segoe UI" w:cs="Segoe UI" w:eastAsia="Segoe UI"/>
                <w:color w:val="101820"/>
                <w:sz w:val="18"/>
              </w:rPr>
              <w:t>On screen</w:t>
            </w:r>
          </w:p>
        </w:tc>
      </w:tr>
    </w:tbl>
    <w:p>
      <w:pPr>
        <w:spacing w:after="80"/>
      </w:pPr>
    </w:p>
    <w:p>
      <w:pPr>
        <w:spacing w:after="120" w:line="276" w:lineRule="auto"/>
      </w:pPr>
      <w:r>
        <w:rPr>
          <w:rFonts w:ascii="Segoe UI" w:hAnsi="Segoe UI" w:cs="Segoe UI" w:eastAsia="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pPr>
      <w:r>
        <w:rPr>
          <w:rFonts w:ascii="Segoe UI" w:hAnsi="Segoe UI" w:cs="Segoe UI" w:eastAsia="Segoe UI"/>
          <w:b/>
          <w:color w:val="0F4761"/>
          <w:sz w:val="26"/>
        </w:rPr>
        <w:t>5.6  Data migration</w:t>
      </w:r>
    </w:p>
    <w:p>
      <w:pPr>
        <w:spacing w:after="120" w:line="276" w:lineRule="auto"/>
      </w:pPr>
      <w:r>
        <w:rPr>
          <w:rFonts w:ascii="Segoe UI" w:hAnsi="Segoe UI" w:cs="Segoe UI" w:eastAsia="Segoe UI"/>
          <w:color w:val="101820"/>
          <w:sz w:val="21"/>
        </w:rPr>
        <w:t>The detail is in the Data Migration and Cutover Plan. In outline:</w:t>
      </w:r>
    </w:p>
    <w:p>
      <w:pPr>
        <w:spacing w:after="60"/>
        <w:numPr>
          <w:ilvl w:val="0"/>
          <w:numId w:val="3"/>
        </w:numPr>
      </w:pPr>
      <w:r>
        <w:rPr>
          <w:rFonts w:ascii="Segoe UI" w:hAnsi="Segoe UI" w:cs="Segoe UI" w:eastAsia="Segoe UI"/>
          <w:color w:val="101820"/>
          <w:sz w:val="21"/>
        </w:rPr>
        <w:t>Masters, in-force policies and clients, open premium receivables, GL opening balances (which carry the amounts due to insurers), and optionally leads and quotations in progress.</w:t>
      </w:r>
    </w:p>
    <w:p>
      <w:pPr>
        <w:spacing w:after="60"/>
        <w:numPr>
          <w:ilvl w:val="0"/>
          <w:numId w:val="3"/>
        </w:numPr>
      </w:pPr>
      <w:r>
        <w:rPr>
          <w:rFonts w:ascii="Segoe UI" w:hAnsi="Segoe UI" w:cs="Segoe UI" w:eastAsia="Segoe UI"/>
          <w:color w:val="101820"/>
          <w:sz w:val="21"/>
        </w:rPr>
        <w:t>The broker extracts and cleanses the data; iorta TechNXT advises on mapping, runs the loads with the broker and checks the results.</w:t>
      </w:r>
    </w:p>
    <w:p>
      <w:pPr>
        <w:spacing w:after="60"/>
        <w:numPr>
          <w:ilvl w:val="0"/>
          <w:numId w:val="3"/>
        </w:numPr>
      </w:pPr>
      <w:r>
        <w:rPr>
          <w:rFonts w:ascii="Segoe UI" w:hAnsi="Segoe UI" w:cs="Segoe UI" w:eastAsia="Segoe UI"/>
          <w:color w:val="101820"/>
          <w:sz w:val="21"/>
        </w:rPr>
        <w:t>Mock loads in UAT (small and medium) or SIT and UAT (large), each reconciled on counts and totals: two for small brokers, followed by the cutover rehearsal as a third load; three for medium brokers and four for large brokers, the last one being the cutover rehearsal. The cutover rehearsal always runs in the temporary Pre-Prod.</w:t>
      </w:r>
    </w:p>
    <w:p>
      <w:pPr>
        <w:pStyle w:val="Heading2"/>
      </w:pPr>
      <w:r>
        <w:rPr>
          <w:rFonts w:ascii="Segoe UI" w:hAnsi="Segoe UI" w:cs="Segoe UI" w:eastAsia="Segoe UI"/>
          <w:b/>
          <w:color w:val="0F4761"/>
          <w:sz w:val="26"/>
        </w:rPr>
        <w:t>5.7  Integrations</w:t>
      </w:r>
    </w:p>
    <w:p>
      <w:pPr>
        <w:spacing w:after="120" w:line="276" w:lineRule="auto"/>
      </w:pPr>
      <w:r>
        <w:rPr>
          <w:rFonts w:ascii="Segoe UI" w:hAnsi="Segoe UI" w:cs="Segoe UI" w:eastAsia="Segoe UI"/>
          <w:color w:val="101820"/>
          <w:sz w:val="21"/>
        </w:rPr>
        <w:t>The OOTB integrations are configured, not built.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Integration</w:t>
            </w:r>
          </w:p>
        </w:tc>
        <w:tc>
          <w:tcPr>
            <w:tcW w:type="dxa" w:w="3730"/>
            <w:shd w:val="clear" w:color="auto" w:fill="DCE9F7"/>
          </w:tcPr>
          <w:p>
            <w:pPr>
              <w:spacing w:after="20"/>
            </w:pPr>
            <w:r>
              <w:rPr>
                <w:rFonts w:ascii="Segoe UI" w:hAnsi="Segoe UI" w:cs="Segoe UI" w:eastAsia="Segoe UI"/>
                <w:b/>
                <w:color w:val="0F4761"/>
                <w:sz w:val="18"/>
              </w:rPr>
              <w:t>What is delivered</w:t>
            </w:r>
          </w:p>
        </w:tc>
        <w:tc>
          <w:tcPr>
            <w:tcW w:type="dxa" w:w="3730"/>
            <w:shd w:val="clear" w:color="auto" w:fill="DCE9F7"/>
          </w:tcPr>
          <w:p>
            <w:pPr>
              <w:spacing w:after="20"/>
            </w:pPr>
            <w:r>
              <w:rPr>
                <w:rFonts w:ascii="Segoe UI" w:hAnsi="Segoe UI" w:cs="Segoe UI" w:eastAsia="Segoe UI"/>
                <w:b/>
                <w:color w:val="0F4761"/>
                <w:sz w:val="18"/>
              </w:rPr>
              <w:t>Implementation work</w:t>
            </w:r>
          </w:p>
        </w:tc>
      </w:tr>
      <w:tr>
        <w:tc>
          <w:tcPr>
            <w:tcW w:type="dxa" w:w="1554"/>
          </w:tcPr>
          <w:p>
            <w:pPr>
              <w:spacing w:after="20"/>
            </w:pPr>
            <w:r>
              <w:rPr>
                <w:rFonts w:ascii="Segoe UI" w:hAnsi="Segoe UI" w:cs="Segoe UI" w:eastAsia="Segoe UI"/>
                <w:color w:val="101820"/>
                <w:sz w:val="18"/>
              </w:rPr>
              <w:t>E-mail</w:t>
            </w:r>
          </w:p>
        </w:tc>
        <w:tc>
          <w:tcPr>
            <w:tcW w:type="dxa" w:w="3730"/>
          </w:tcPr>
          <w:p>
            <w:pPr>
              <w:spacing w:after="20"/>
            </w:pPr>
            <w:r>
              <w:rPr>
                <w:rFonts w:ascii="Segoe UI" w:hAnsi="Segoe UI" w:cs="Segoe UI" w:eastAsia="Segoe UI"/>
                <w:color w:val="101820"/>
                <w:sz w:val="18"/>
              </w:rPr>
              <w:t>Outgoing mail through an SMTP mailbox (</w:t>
            </w:r>
            <w:r>
              <w:rPr>
                <w:rFonts w:ascii="Consolas" w:hAnsi="Consolas" w:cs="Consolas" w:eastAsia="Consolas"/>
                <w:color w:val="101820"/>
                <w:sz w:val="16"/>
              </w:rPr>
              <w:t>SMTP_URL</w:t>
            </w:r>
            <w:r>
              <w:rPr>
                <w:rFonts w:ascii="Segoe UI" w:hAnsi="Segoe UI" w:cs="Segoe UI" w:eastAsia="Segoe UI"/>
                <w:color w:val="101820"/>
                <w:sz w:val="18"/>
              </w:rPr>
              <w:t>), queued in the E-mail Outbox and sent every 5 minutes; texts and recipients in Master &gt; Configuration</w:t>
            </w:r>
          </w:p>
        </w:tc>
        <w:tc>
          <w:tcPr>
            <w:tcW w:type="dxa" w:w="3730"/>
          </w:tcPr>
          <w:p>
            <w:pPr>
              <w:spacing w:after="20"/>
            </w:pPr>
            <w:r>
              <w:rPr>
                <w:rFonts w:ascii="Segoe UI" w:hAnsi="Segoe UI" w:cs="Segoe UI" w:eastAsia="Segoe UI"/>
                <w:color w:val="101820"/>
                <w:sz w:val="18"/>
              </w:rPr>
              <w:t>Mailbox and credentials from the broker, sender name, texts, test of password reset and quotation approval link</w:t>
            </w:r>
          </w:p>
        </w:tc>
      </w:tr>
      <w:tr>
        <w:tc>
          <w:tcPr>
            <w:tcW w:type="dxa" w:w="1554"/>
          </w:tcPr>
          <w:p>
            <w:pPr>
              <w:spacing w:after="20"/>
            </w:pPr>
            <w:r>
              <w:rPr>
                <w:rFonts w:ascii="Segoe UI" w:hAnsi="Segoe UI" w:cs="Segoe UI" w:eastAsia="Segoe UI"/>
                <w:color w:val="101820"/>
                <w:sz w:val="18"/>
              </w:rPr>
              <w:t>Bank statement files</w:t>
            </w:r>
          </w:p>
        </w:tc>
        <w:tc>
          <w:tcPr>
            <w:tcW w:type="dxa" w:w="3730"/>
          </w:tcPr>
          <w:p>
            <w:pPr>
              <w:spacing w:after="20"/>
            </w:pPr>
            <w:r>
              <w:rPr>
                <w:rFonts w:ascii="Segoe UI" w:hAnsi="Segoe UI" w:cs="Segoe UI" w:eastAsia="Segoe UI"/>
                <w:color w:val="101820"/>
                <w:sz w:val="18"/>
              </w:rPr>
              <w:t>Statement import in Accounts &gt; Bank Reconciliation with the delivered formats BDO-SAMPLE, BPI-SAMPLE, MBT-SAMPLE and GENERIC; remittance bank transactions import (CSV)</w:t>
            </w:r>
          </w:p>
        </w:tc>
        <w:tc>
          <w:tcPr>
            <w:tcW w:type="dxa" w:w="3730"/>
          </w:tcPr>
          <w:p>
            <w:pPr>
              <w:spacing w:after="20"/>
            </w:pPr>
            <w:r>
              <w:rPr>
                <w:rFonts w:ascii="Segoe UI" w:hAnsi="Segoe UI" w:cs="Segoe UI" w:eastAsia="Segoe UI"/>
                <w:color w:val="101820"/>
                <w:sz w:val="18"/>
              </w:rPr>
              <w:t>One sample statement per bank account; adjust the format columns in Master &gt; Finance &gt; Bank Statement Formats if a bank's export differs</w:t>
            </w:r>
          </w:p>
        </w:tc>
      </w:tr>
      <w:tr>
        <w:tc>
          <w:tcPr>
            <w:tcW w:type="dxa" w:w="1554"/>
          </w:tcPr>
          <w:p>
            <w:pPr>
              <w:spacing w:after="20"/>
            </w:pPr>
            <w:r>
              <w:rPr>
                <w:rFonts w:ascii="Segoe UI" w:hAnsi="Segoe UI" w:cs="Segoe UI" w:eastAsia="Segoe UI"/>
                <w:color w:val="101820"/>
                <w:sz w:val="18"/>
              </w:rPr>
              <w:t>Payment gateway</w:t>
            </w:r>
          </w:p>
        </w:tc>
        <w:tc>
          <w:tcPr>
            <w:tcW w:type="dxa" w:w="3730"/>
          </w:tcPr>
          <w:p>
            <w:pPr>
              <w:spacing w:after="20"/>
            </w:pPr>
            <w:r>
              <w:rPr>
                <w:rFonts w:ascii="Segoe UI" w:hAnsi="Segoe UI" w:cs="Segoe UI" w:eastAsia="Segoe UI"/>
                <w:color w:val="101820"/>
                <w:sz w:val="18"/>
              </w:rPr>
              <w:t>Payment links with the providers PayMongo and Dragonpay, plus a sandbox provider; a confirmed payment posts the official receipt</w:t>
            </w:r>
          </w:p>
        </w:tc>
        <w:tc>
          <w:tcPr>
            <w:tcW w:type="dxa" w:w="3730"/>
          </w:tcPr>
          <w:p>
            <w:pPr>
              <w:spacing w:after="20"/>
            </w:pPr>
            <w:r>
              <w:rPr>
                <w:rFonts w:ascii="Segoe UI" w:hAnsi="Segoe UI" w:cs="Segoe UI" w:eastAsia="Segoe UI"/>
                <w:color w:val="101820"/>
                <w:sz w:val="18"/>
              </w:rPr>
              <w:t>The broker's merchant account and credentials (kept in the secret store), notification address registered with the provider, sandbox test then a live test payment</w:t>
            </w:r>
          </w:p>
        </w:tc>
      </w:tr>
    </w:tbl>
    <w:p>
      <w:pPr>
        <w:spacing w:after="80"/>
      </w:pPr>
    </w:p>
    <w:p>
      <w:pPr>
        <w:spacing w:after="120" w:line="276" w:lineRule="auto"/>
      </w:pPr>
      <w:r>
        <w:rPr>
          <w:rFonts w:ascii="Segoe UI" w:hAnsi="Segoe UI" w:cs="Segoe UI" w:eastAsia="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pPr>
      <w:r>
        <w:rPr>
          <w:rFonts w:ascii="Segoe UI" w:hAnsi="Segoe UI" w:cs="Segoe UI" w:eastAsia="Segoe UI"/>
          <w:b/>
          <w:color w:val="0F4761"/>
          <w:sz w:val="26"/>
        </w:rPr>
        <w:t>5.8  Training</w:t>
      </w:r>
    </w:p>
    <w:p>
      <w:pPr>
        <w:spacing w:after="120" w:line="276" w:lineRule="auto"/>
      </w:pPr>
      <w:r>
        <w:rPr>
          <w:rFonts w:ascii="Segoe UI" w:hAnsi="Segoe UI" w:cs="Segoe UI" w:eastAsia="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ascii="Consolas" w:hAnsi="Consolas" w:cs="Consolas" w:eastAsia="Consolas"/>
          <w:color w:val="101820"/>
          <w:sz w:val="19"/>
        </w:rPr>
        <w:t>docs/decks</w:t>
      </w:r>
      <w:r>
        <w:rPr>
          <w:rFonts w:ascii="Segoe UI" w:hAnsi="Segoe UI" w:cs="Segoe UI" w:eastAsia="Segoe UI"/>
          <w:color w:val="101820"/>
          <w:sz w:val="21"/>
        </w:rPr>
        <w:t>.</w:t>
      </w:r>
    </w:p>
    <w:p>
      <w:pPr>
        <w:pStyle w:val="Heading2"/>
      </w:pPr>
      <w:r>
        <w:rPr>
          <w:rFonts w:ascii="Segoe UI" w:hAnsi="Segoe UI" w:cs="Segoe UI" w:eastAsia="Segoe UI"/>
          <w:b/>
          <w:color w:val="0F4761"/>
          <w:sz w:val="26"/>
        </w:rPr>
        <w:t>5.9  System integration test</w:t>
      </w:r>
    </w:p>
    <w:p>
      <w:pPr>
        <w:spacing w:after="120" w:line="276" w:lineRule="auto"/>
      </w:pPr>
      <w:r>
        <w:rPr>
          <w:rFonts w:ascii="Segoe UI" w:hAnsi="Segoe UI" w:cs="Segoe UI" w:eastAsia="Segoe UI"/>
          <w:color w:val="101820"/>
          <w:sz w:val="21"/>
        </w:rPr>
        <w:t xml:space="preserve">iorta TechNXT runs the end-to-end flows across all roles with the configured masters: in Dev with synthetic data for a small or medium broker, in SIT with the migrated data of the latest mock load for a large broker. The test follows the end-to-end plan in </w:t>
      </w:r>
      <w:r>
        <w:rPr>
          <w:rFonts w:ascii="Consolas" w:hAnsi="Consolas" w:cs="Consolas" w:eastAsia="Consolas"/>
          <w:color w:val="101820"/>
          <w:sz w:val="19"/>
        </w:rPr>
        <w:t>docs/e2e/E2E_TEST_PLAN.md</w:t>
      </w:r>
      <w:r>
        <w:rPr>
          <w:rFonts w:ascii="Segoe UI" w:hAnsi="Segoe UI" w:cs="Segoe UI" w:eastAsia="Segoe UI"/>
          <w:color w:val="101820"/>
          <w:sz w:val="21"/>
        </w:rPr>
        <w:t xml:space="preserve"> (one motor policy through its whole life, plus a co-insured placement and the month-end close) and the scripted scenario </w:t>
      </w:r>
      <w:r>
        <w:rPr>
          <w:rFonts w:ascii="Consolas" w:hAnsi="Consolas" w:cs="Consolas" w:eastAsia="Consolas"/>
          <w:color w:val="101820"/>
          <w:sz w:val="19"/>
        </w:rPr>
        <w:t>backend/scripts/uat-scenario.js</w:t>
      </w:r>
      <w:r>
        <w:rPr>
          <w:rFonts w:ascii="Segoe UI" w:hAnsi="Segoe UI" w:cs="Segoe UI" w:eastAsia="Segoe UI"/>
          <w:color w:val="101820"/>
          <w:sz w:val="21"/>
        </w:rPr>
        <w:t>, which drives the full broking cycle through the API with one user per role. Defects are logged with the request ID shown in error messages.</w:t>
      </w:r>
    </w:p>
    <w:p>
      <w:pPr>
        <w:pStyle w:val="Heading2"/>
      </w:pPr>
      <w:r>
        <w:rPr>
          <w:rFonts w:ascii="Segoe UI" w:hAnsi="Segoe UI" w:cs="Segoe UI" w:eastAsia="Segoe UI"/>
          <w:b/>
          <w:color w:val="0F4761"/>
          <w:sz w:val="26"/>
        </w:rPr>
        <w:t>5.10  User acceptance test</w:t>
      </w:r>
    </w:p>
    <w:p>
      <w:pPr>
        <w:spacing w:after="120" w:line="276" w:lineRule="auto"/>
      </w:pPr>
      <w:r>
        <w:rPr>
          <w:rFonts w:ascii="Segoe UI" w:hAnsi="Segoe UI" w:cs="Segoe UI" w:eastAsia="Segoe UI"/>
          <w:color w:val="101820"/>
          <w:sz w:val="21"/>
        </w:rPr>
        <w:t xml:space="preserve">Key users run </w:t>
      </w:r>
      <w:r>
        <w:rPr>
          <w:rFonts w:ascii="Consolas" w:hAnsi="Consolas" w:cs="Consolas" w:eastAsia="Consolas"/>
          <w:color w:val="101820"/>
          <w:sz w:val="19"/>
        </w:rPr>
        <w:t>docs/onboarding/UAT_SCRIPTS.md</w:t>
      </w:r>
      <w:r>
        <w:rPr>
          <w:rFonts w:ascii="Segoe UI" w:hAnsi="Segoe UI" w:cs="Segoe UI" w:eastAsia="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pPr>
      <w:r>
        <w:rPr>
          <w:rFonts w:ascii="Segoe UI" w:hAnsi="Segoe UI" w:cs="Segoe UI" w:eastAsia="Segoe UI"/>
          <w:b/>
          <w:color w:val="0F4761"/>
          <w:sz w:val="26"/>
        </w:rPr>
        <w:t>5.11  Cutover and go-live</w:t>
      </w:r>
    </w:p>
    <w:p>
      <w:pPr>
        <w:spacing w:after="120" w:line="276" w:lineRule="auto"/>
      </w:pPr>
      <w:r>
        <w:rPr>
          <w:rFonts w:ascii="Segoe UI" w:hAnsi="Segoe UI" w:cs="Segoe UI" w:eastAsia="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pPr>
      <w:r>
        <w:rPr>
          <w:rFonts w:ascii="Segoe UI" w:hAnsi="Segoe UI" w:cs="Segoe UI" w:eastAsia="Segoe UI"/>
          <w:b/>
          <w:color w:val="0F4761"/>
          <w:sz w:val="26"/>
        </w:rPr>
        <w:t>5.12  Hypercare</w:t>
      </w:r>
    </w:p>
    <w:p>
      <w:pPr>
        <w:spacing w:after="120" w:line="276" w:lineRule="auto"/>
      </w:pPr>
      <w:r>
        <w:rPr>
          <w:rFonts w:ascii="Segoe UI" w:hAnsi="Segoe UI" w:cs="Segoe UI" w:eastAsia="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p>
    <w:p>
      <w:pPr>
        <w:pStyle w:val="Heading1"/>
        <w:pageBreakBefore/>
      </w:pPr>
      <w:r>
        <w:rPr>
          <w:rFonts w:ascii="Segoe UI" w:hAnsi="Segoe UI" w:cs="Segoe UI" w:eastAsia="Segoe UI"/>
          <w:b/>
          <w:color w:val="0F4761"/>
          <w:sz w:val="32"/>
        </w:rPr>
        <w:t>6.  Timeline: small broker (8 weeks)</w:t>
      </w:r>
    </w:p>
    <w:p>
      <w:pPr>
        <w:spacing w:after="120" w:line="276" w:lineRule="auto"/>
      </w:pPr>
      <w:r>
        <w:rPr>
          <w:rFonts w:ascii="Segoe UI" w:hAnsi="Segoe UI" w:cs="Segoe UI" w:eastAsia="Segoe UI"/>
          <w:color w:val="101820"/>
          <w:sz w:val="21"/>
        </w:rPr>
        <w:t>Go-live is at the start of week 7. Hypercare runs in weeks 7 and 8.</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set up; data requests issued; Dev and UAT provisioned; discovery workshops start</w:t>
            </w:r>
          </w:p>
        </w:tc>
        <w:tc>
          <w:tcPr>
            <w:tcW w:type="dxa" w:w="4039"/>
          </w:tcPr>
          <w:p>
            <w:pPr>
              <w:spacing w:after="20"/>
            </w:pPr>
            <w:r>
              <w:rPr>
                <w:rFonts w:ascii="Segoe UI" w:hAnsi="Segoe UI" w:cs="Segoe UI" w:eastAsia="Segoe UI"/>
                <w:color w:val="101820"/>
                <w:sz w:val="18"/>
              </w:rPr>
              <w:t>Kick-off held; plan and go-live date confirmed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Discovery and fit-gap completed; production environment provisioned; configuration of company, branches, users, insurers, commission</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Configuration of products, motor tariff, taxes, chart of accounts, account determination, posting rules, numbering, approvals; e-mail set-up; bank statement formats; configuration promoted from Dev to UAT; mock load 1 in UAT</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Configuration completed; payment gateway sandbox test; SIT in Dev; train-the-trainer for key users</w:t>
            </w:r>
          </w:p>
        </w:tc>
        <w:tc>
          <w:tcPr>
            <w:tcW w:type="dxa" w:w="4039"/>
          </w:tcPr>
          <w:p>
            <w:pPr>
              <w:spacing w:after="20"/>
            </w:pPr>
            <w:r>
              <w:rPr>
                <w:rFonts w:ascii="Segoe UI" w:hAnsi="Segoe UI" w:cs="Segoe UI" w:eastAsia="Segoe UI"/>
                <w:color w:val="101820"/>
                <w:sz w:val="18"/>
              </w:rPr>
              <w:t>SIT exit report; configuration frozen for UAT</w:t>
            </w: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UAT with the UAT scripts; end-user training; configuration fixes; mock load 2 in UAT; release and frozen configuration promoted to production; production smoke test; Pre-Prod created from a production backup</w:t>
            </w:r>
          </w:p>
        </w:tc>
        <w:tc>
          <w:tcPr>
            <w:tcW w:type="dxa" w:w="4039"/>
          </w:tcPr>
          <w:p>
            <w:pPr>
              <w:spacing w:after="20"/>
            </w:pPr>
            <w:r>
              <w:rPr>
                <w:rFonts w:ascii="Segoe UI" w:hAnsi="Segoe UI" w:cs="Segoe UI" w:eastAsia="Segoe UI"/>
                <w:color w:val="101820"/>
                <w:sz w:val="18"/>
              </w:rPr>
              <w:t>Mock load 2 reconciled; trained users listed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UAT sign-off; cutover rehearsal in Pre-Prod; go/no-go; cutover at the close of the last day of week 6</w:t>
            </w:r>
          </w:p>
        </w:tc>
        <w:tc>
          <w:tcPr>
            <w:tcW w:type="dxa" w:w="4039"/>
          </w:tcPr>
          <w:p>
            <w:pPr>
              <w:spacing w:after="20"/>
            </w:pPr>
            <w:r>
              <w:rPr>
                <w:rFonts w:ascii="Segoe UI" w:hAnsi="Segoe UI" w:cs="Segoe UI" w:eastAsia="Segoe UI"/>
                <w:color w:val="101820"/>
                <w:sz w:val="18"/>
              </w:rPr>
              <w:t>UAT sign-off; rehearsal reconciled; go decision</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Go-live; daily hypercare check-ins; first official receipts, remittances and bank imports watched</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Hypercare; weekly review; knowledge transfer to support; handover; Pre-Prod removed</w:t>
            </w:r>
          </w:p>
        </w:tc>
        <w:tc>
          <w:tcPr>
            <w:tcW w:type="dxa" w:w="4039"/>
          </w:tcPr>
          <w:p>
            <w:pPr>
              <w:spacing w:after="20"/>
            </w:pPr>
            <w:r>
              <w:rPr>
                <w:rFonts w:ascii="Segoe UI" w:hAnsi="Segoe UI" w:cs="Segoe UI" w:eastAsia="Segoe UI"/>
                <w:color w:val="101820"/>
                <w:sz w:val="18"/>
              </w:rPr>
              <w:t>Hypercare exit and handover (or extension to the first month-end)</w:t>
            </w:r>
          </w:p>
        </w:tc>
      </w:tr>
    </w:tbl>
    <w:p>
      <w:pPr>
        <w:pStyle w:val="Heading1"/>
        <w:pageBreakBefore/>
      </w:pPr>
      <w:r>
        <w:rPr>
          <w:rFonts w:ascii="Segoe UI" w:hAnsi="Segoe UI" w:cs="Segoe UI" w:eastAsia="Segoe UI"/>
          <w:b/>
          <w:color w:val="0F4761"/>
          <w:sz w:val="32"/>
        </w:rPr>
        <w:t>7.  Timeline: medium broker (12 weeks)</w:t>
      </w:r>
    </w:p>
    <w:p>
      <w:pPr>
        <w:spacing w:after="120" w:line="276" w:lineRule="auto"/>
      </w:pPr>
      <w:r>
        <w:rPr>
          <w:rFonts w:ascii="Segoe UI" w:hAnsi="Segoe UI" w:cs="Segoe UI" w:eastAsia="Segoe UI"/>
          <w:color w:val="101820"/>
          <w:sz w:val="21"/>
        </w:rPr>
        <w:t>Go-live is at the start of week 10. Hypercare runs in weeks 10 to 12.</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data requests; Dev and UAT provisioned</w:t>
            </w:r>
          </w:p>
        </w:tc>
        <w:tc>
          <w:tcPr>
            <w:tcW w:type="dxa" w:w="4039"/>
          </w:tcPr>
          <w:p>
            <w:pPr>
              <w:spacing w:after="20"/>
            </w:pPr>
            <w:r>
              <w:rPr>
                <w:rFonts w:ascii="Segoe UI" w:hAnsi="Segoe UI" w:cs="Segoe UI" w:eastAsia="Segoe UI"/>
                <w:color w:val="101820"/>
                <w:sz w:val="18"/>
              </w:rPr>
              <w:t>Kick-off held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Discovery workshops (organisation, sales and placement, servicing, claims); production environment provisioned</w:t>
            </w:r>
          </w:p>
        </w:tc>
        <w:tc>
          <w:tcPr>
            <w:tcW w:type="dxa" w:w="4039"/>
          </w:tcPr>
          <w:p>
            <w:pPr>
              <w:spacing w:after="20"/>
            </w:pPr>
            <w:r>
              <w:rPr>
                <w:rFonts w:ascii="Segoe UI" w:hAnsi="Segoe UI" w:cs="Segoe UI" w:eastAsia="Segoe UI"/>
                <w:color w:val="101820"/>
                <w:sz w:val="18"/>
              </w:rPr>
              <w:t>Environments ready</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Discovery workshops (billing, remittance, commission, ledger, tax); fit-gap register; configuration of organisation, users, insurers</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Configuration of products, product templates, motor tariff, commission, taxes; data mapping to templates</w:t>
            </w:r>
          </w:p>
        </w:tc>
        <w:tc>
          <w:tcPr>
            <w:tcW w:type="dxa" w:w="4039"/>
          </w:tcPr>
          <w:p>
            <w:pPr>
              <w:spacing w:after="20"/>
            </w:pPr>
            <w:r>
              <w:rPr>
                <w:rFonts w:ascii="Segoe UI" w:hAnsi="Segoe UI" w:cs="Segoe UI" w:eastAsia="Segoe UI"/>
                <w:color w:val="101820"/>
                <w:sz w:val="18"/>
              </w:rPr>
              <w:t>Data mapping agreed</w:t>
            </w: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Configuration of chart of accounts, account determination, posting rules, numbering, approvals, schedules; e-mail; configuration promoted from Dev to UAT; mock load 1 in UAT</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Configuration completed; bank statement formats; payment gateway sandbox; SIT cycle 1 in Dev</w:t>
            </w:r>
          </w:p>
        </w:tc>
        <w:tc>
          <w:tcPr>
            <w:tcW w:type="dxa" w:w="4039"/>
          </w:tcPr>
          <w:p>
            <w:pPr>
              <w:spacing w:after="20"/>
            </w:pPr>
            <w:r>
              <w:rPr>
                <w:rFonts w:ascii="Segoe UI" w:hAnsi="Segoe UI" w:cs="Segoe UI" w:eastAsia="Segoe UI"/>
                <w:color w:val="101820"/>
                <w:sz w:val="18"/>
              </w:rPr>
              <w:t>Configuration complete</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SIT cycle 2 in Dev; mock load 2 in UAT; train-the-trainer for key users</w:t>
            </w:r>
          </w:p>
        </w:tc>
        <w:tc>
          <w:tcPr>
            <w:tcW w:type="dxa" w:w="4039"/>
          </w:tcPr>
          <w:p>
            <w:pPr>
              <w:spacing w:after="20"/>
            </w:pPr>
            <w:r>
              <w:rPr>
                <w:rFonts w:ascii="Segoe UI" w:hAnsi="Segoe UI" w:cs="Segoe UI" w:eastAsia="Segoe UI"/>
                <w:color w:val="101820"/>
                <w:sz w:val="18"/>
              </w:rPr>
              <w:t>SIT exit report; mock load 2 reconciled</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UAT cycle 1; end-user training starts; release and frozen configuration promoted to production; production smoke test</w:t>
            </w:r>
          </w:p>
        </w:tc>
        <w:tc>
          <w:tcPr>
            <w:tcW w:type="dxa" w:w="4039"/>
          </w:tcPr>
          <w:p>
            <w:pPr>
              <w:spacing w:after="20"/>
            </w:pPr>
            <w:r>
              <w:rPr>
                <w:rFonts w:ascii="Segoe UI" w:hAnsi="Segoe UI" w:cs="Segoe UI" w:eastAsia="Segoe UI"/>
                <w:color w:val="101820"/>
                <w:sz w:val="18"/>
              </w:rPr>
              <w:t>UAT cycle 1 results</w:t>
            </w:r>
          </w:p>
        </w:tc>
      </w:tr>
      <w:tr>
        <w:tc>
          <w:tcPr>
            <w:tcW w:type="dxa" w:w="907"/>
          </w:tcPr>
          <w:p>
            <w:pPr>
              <w:spacing w:after="20"/>
            </w:pPr>
            <w:r>
              <w:rPr>
                <w:rFonts w:ascii="Segoe UI" w:hAnsi="Segoe UI" w:cs="Segoe UI" w:eastAsia="Segoe UI"/>
                <w:color w:val="101820"/>
                <w:sz w:val="18"/>
              </w:rPr>
              <w:t>9</w:t>
            </w:r>
          </w:p>
        </w:tc>
        <w:tc>
          <w:tcPr>
            <w:tcW w:type="dxa" w:w="4068"/>
          </w:tcPr>
          <w:p>
            <w:pPr>
              <w:spacing w:after="20"/>
            </w:pPr>
            <w:r>
              <w:rPr>
                <w:rFonts w:ascii="Segoe UI" w:hAnsi="Segoe UI" w:cs="Segoe UI" w:eastAsia="Segoe UI"/>
                <w:color w:val="101820"/>
                <w:sz w:val="18"/>
              </w:rPr>
              <w:t>UAT cycle 2 and sign-off; end-user training completed; Pre-Prod created from a production backup; mock load 3 as the cutover rehearsal in Pre-Prod; go/no-go; cutover at the close of week 9</w:t>
            </w:r>
          </w:p>
        </w:tc>
        <w:tc>
          <w:tcPr>
            <w:tcW w:type="dxa" w:w="4039"/>
          </w:tcPr>
          <w:p>
            <w:pPr>
              <w:spacing w:after="20"/>
            </w:pPr>
            <w:r>
              <w:rPr>
                <w:rFonts w:ascii="Segoe UI" w:hAnsi="Segoe UI" w:cs="Segoe UI" w:eastAsia="Segoe UI"/>
                <w:color w:val="101820"/>
                <w:sz w:val="18"/>
              </w:rPr>
              <w:t>UAT sign-off; go decision</w:t>
            </w:r>
          </w:p>
        </w:tc>
      </w:tr>
      <w:tr>
        <w:tc>
          <w:tcPr>
            <w:tcW w:type="dxa" w:w="907"/>
          </w:tcPr>
          <w:p>
            <w:pPr>
              <w:spacing w:after="20"/>
            </w:pPr>
            <w:r>
              <w:rPr>
                <w:rFonts w:ascii="Segoe UI" w:hAnsi="Segoe UI" w:cs="Segoe UI" w:eastAsia="Segoe UI"/>
                <w:color w:val="101820"/>
                <w:sz w:val="18"/>
              </w:rPr>
              <w:t>10</w:t>
            </w:r>
          </w:p>
        </w:tc>
        <w:tc>
          <w:tcPr>
            <w:tcW w:type="dxa" w:w="4068"/>
          </w:tcPr>
          <w:p>
            <w:pPr>
              <w:spacing w:after="20"/>
            </w:pPr>
            <w:r>
              <w:rPr>
                <w:rFonts w:ascii="Segoe UI" w:hAnsi="Segoe UI" w:cs="Segoe UI" w:eastAsia="Segoe UI"/>
                <w:color w:val="101820"/>
                <w:sz w:val="18"/>
              </w:rPr>
              <w:t>Go-live; daily hypercare check-ins</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11</w:t>
            </w:r>
          </w:p>
        </w:tc>
        <w:tc>
          <w:tcPr>
            <w:tcW w:type="dxa" w:w="4068"/>
          </w:tcPr>
          <w:p>
            <w:pPr>
              <w:spacing w:after="20"/>
            </w:pPr>
            <w:r>
              <w:rPr>
                <w:rFonts w:ascii="Segoe UI" w:hAnsi="Segoe UI" w:cs="Segoe UI" w:eastAsia="Segoe UI"/>
                <w:color w:val="101820"/>
                <w:sz w:val="18"/>
              </w:rPr>
              <w:t>Hypercare; first remittance run and bank reconciliations</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12</w:t>
            </w:r>
          </w:p>
        </w:tc>
        <w:tc>
          <w:tcPr>
            <w:tcW w:type="dxa" w:w="4068"/>
          </w:tcPr>
          <w:p>
            <w:pPr>
              <w:spacing w:after="20"/>
            </w:pPr>
            <w:r>
              <w:rPr>
                <w:rFonts w:ascii="Segoe UI" w:hAnsi="Segoe UI" w:cs="Segoe UI" w:eastAsia="Segoe UI"/>
                <w:color w:val="101820"/>
                <w:sz w:val="18"/>
              </w:rPr>
              <w:t>Hypercare; first month-end close supported where it falls; knowledge transfer; handover; Pre-Prod removed</w:t>
            </w:r>
          </w:p>
        </w:tc>
        <w:tc>
          <w:tcPr>
            <w:tcW w:type="dxa" w:w="4039"/>
          </w:tcPr>
          <w:p>
            <w:pPr>
              <w:spacing w:after="20"/>
            </w:pPr>
            <w:r>
              <w:rPr>
                <w:rFonts w:ascii="Segoe UI" w:hAnsi="Segoe UI" w:cs="Segoe UI" w:eastAsia="Segoe UI"/>
                <w:color w:val="101820"/>
                <w:sz w:val="18"/>
              </w:rPr>
              <w:t>Hypercare exit and handover</w:t>
            </w:r>
          </w:p>
        </w:tc>
      </w:tr>
    </w:tbl>
    <w:p>
      <w:pPr>
        <w:pStyle w:val="Heading1"/>
        <w:pageBreakBefore/>
      </w:pPr>
      <w:r>
        <w:rPr>
          <w:rFonts w:ascii="Segoe UI" w:hAnsi="Segoe UI" w:cs="Segoe UI" w:eastAsia="Segoe UI"/>
          <w:b/>
          <w:color w:val="0F4761"/>
          <w:sz w:val="32"/>
        </w:rPr>
        <w:t>8.  Timeline: large broker (16 to 20 weeks)</w:t>
      </w:r>
    </w:p>
    <w:p>
      <w:pPr>
        <w:spacing w:after="120" w:line="276" w:lineRule="auto"/>
      </w:pPr>
      <w:r>
        <w:rPr>
          <w:rFonts w:ascii="Segoe UI" w:hAnsi="Segoe UI" w:cs="Segoe UI" w:eastAsia="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8"/>
        <w:gridCol w:w="4039"/>
      </w:tblGrid>
      <w:tr>
        <w:trPr>
          <w:tblHeader w:val="true"/>
        </w:trPr>
        <w:tc>
          <w:tcPr>
            <w:tcW w:type="dxa" w:w="907"/>
            <w:shd w:val="clear" w:color="auto" w:fill="DCE9F7"/>
          </w:tcPr>
          <w:p>
            <w:pPr>
              <w:spacing w:after="20"/>
            </w:pPr>
            <w:r>
              <w:rPr>
                <w:rFonts w:ascii="Segoe UI" w:hAnsi="Segoe UI" w:cs="Segoe UI" w:eastAsia="Segoe UI"/>
                <w:b/>
                <w:color w:val="0F4761"/>
                <w:sz w:val="18"/>
              </w:rPr>
              <w:t>Week</w:t>
            </w:r>
          </w:p>
        </w:tc>
        <w:tc>
          <w:tcPr>
            <w:tcW w:type="dxa" w:w="4068"/>
            <w:shd w:val="clear" w:color="auto" w:fill="DCE9F7"/>
          </w:tcPr>
          <w:p>
            <w:pPr>
              <w:spacing w:after="20"/>
            </w:pPr>
            <w:r>
              <w:rPr>
                <w:rFonts w:ascii="Segoe UI" w:hAnsi="Segoe UI" w:cs="Segoe UI" w:eastAsia="Segoe UI"/>
                <w:b/>
                <w:color w:val="0F4761"/>
                <w:sz w:val="18"/>
              </w:rPr>
              <w:t>Activities</w:t>
            </w:r>
          </w:p>
        </w:tc>
        <w:tc>
          <w:tcPr>
            <w:tcW w:type="dxa" w:w="4039"/>
            <w:shd w:val="clear" w:color="auto" w:fill="DCE9F7"/>
          </w:tcPr>
          <w:p>
            <w:pPr>
              <w:spacing w:after="20"/>
            </w:pPr>
            <w:r>
              <w:rPr>
                <w:rFonts w:ascii="Segoe UI" w:hAnsi="Segoe UI" w:cs="Segoe UI" w:eastAsia="Segoe UI"/>
                <w:b/>
                <w:color w:val="0F4761"/>
                <w:sz w:val="18"/>
              </w:rPr>
              <w:t>Milestones</w:t>
            </w:r>
          </w:p>
        </w:tc>
      </w:tr>
      <w:tr>
        <w:tc>
          <w:tcPr>
            <w:tcW w:type="dxa" w:w="907"/>
          </w:tcPr>
          <w:p>
            <w:pPr>
              <w:spacing w:after="20"/>
            </w:pPr>
            <w:r>
              <w:rPr>
                <w:rFonts w:ascii="Segoe UI" w:hAnsi="Segoe UI" w:cs="Segoe UI" w:eastAsia="Segoe UI"/>
                <w:color w:val="101820"/>
                <w:sz w:val="18"/>
              </w:rPr>
              <w:t>1</w:t>
            </w:r>
          </w:p>
        </w:tc>
        <w:tc>
          <w:tcPr>
            <w:tcW w:type="dxa" w:w="4068"/>
          </w:tcPr>
          <w:p>
            <w:pPr>
              <w:spacing w:after="20"/>
            </w:pPr>
            <w:r>
              <w:rPr>
                <w:rFonts w:ascii="Segoe UI" w:hAnsi="Segoe UI" w:cs="Segoe UI" w:eastAsia="Segoe UI"/>
                <w:color w:val="101820"/>
                <w:sz w:val="18"/>
              </w:rPr>
              <w:t>Kick-off; governance; data requests; Dev, SIT, UAT and production environments ordered</w:t>
            </w:r>
          </w:p>
        </w:tc>
        <w:tc>
          <w:tcPr>
            <w:tcW w:type="dxa" w:w="4039"/>
          </w:tcPr>
          <w:p>
            <w:pPr>
              <w:spacing w:after="20"/>
            </w:pPr>
            <w:r>
              <w:rPr>
                <w:rFonts w:ascii="Segoe UI" w:hAnsi="Segoe UI" w:cs="Segoe UI" w:eastAsia="Segoe UI"/>
                <w:color w:val="101820"/>
                <w:sz w:val="18"/>
              </w:rPr>
              <w:t>Kick-off held</w:t>
            </w:r>
          </w:p>
        </w:tc>
      </w:tr>
      <w:tr>
        <w:tc>
          <w:tcPr>
            <w:tcW w:type="dxa" w:w="907"/>
          </w:tcPr>
          <w:p>
            <w:pPr>
              <w:spacing w:after="20"/>
            </w:pPr>
            <w:r>
              <w:rPr>
                <w:rFonts w:ascii="Segoe UI" w:hAnsi="Segoe UI" w:cs="Segoe UI" w:eastAsia="Segoe UI"/>
                <w:color w:val="101820"/>
                <w:sz w:val="18"/>
              </w:rPr>
              <w:t>2</w:t>
            </w:r>
          </w:p>
        </w:tc>
        <w:tc>
          <w:tcPr>
            <w:tcW w:type="dxa" w:w="4068"/>
          </w:tcPr>
          <w:p>
            <w:pPr>
              <w:spacing w:after="20"/>
            </w:pPr>
            <w:r>
              <w:rPr>
                <w:rFonts w:ascii="Segoe UI" w:hAnsi="Segoe UI" w:cs="Segoe UI" w:eastAsia="Segoe UI"/>
                <w:color w:val="101820"/>
                <w:sz w:val="18"/>
              </w:rPr>
              <w:t>Mobilisation completed; Dev and SIT provisioned; discovery starts (organisation and access)</w:t>
            </w:r>
          </w:p>
        </w:tc>
        <w:tc>
          <w:tcPr>
            <w:tcW w:type="dxa" w:w="4039"/>
          </w:tcPr>
          <w:p>
            <w:pPr>
              <w:spacing w:after="20"/>
            </w:pPr>
            <w:r>
              <w:rPr>
                <w:rFonts w:ascii="Segoe UI" w:hAnsi="Segoe UI" w:cs="Segoe UI" w:eastAsia="Segoe UI"/>
                <w:color w:val="101820"/>
                <w:sz w:val="18"/>
              </w:rPr>
              <w:t>Plan baselined</w:t>
            </w:r>
          </w:p>
        </w:tc>
      </w:tr>
      <w:tr>
        <w:tc>
          <w:tcPr>
            <w:tcW w:type="dxa" w:w="907"/>
          </w:tcPr>
          <w:p>
            <w:pPr>
              <w:spacing w:after="20"/>
            </w:pPr>
            <w:r>
              <w:rPr>
                <w:rFonts w:ascii="Segoe UI" w:hAnsi="Segoe UI" w:cs="Segoe UI" w:eastAsia="Segoe UI"/>
                <w:color w:val="101820"/>
                <w:sz w:val="18"/>
              </w:rPr>
              <w:t>3</w:t>
            </w:r>
          </w:p>
        </w:tc>
        <w:tc>
          <w:tcPr>
            <w:tcW w:type="dxa" w:w="4068"/>
          </w:tcPr>
          <w:p>
            <w:pPr>
              <w:spacing w:after="20"/>
            </w:pPr>
            <w:r>
              <w:rPr>
                <w:rFonts w:ascii="Segoe UI" w:hAnsi="Segoe UI" w:cs="Segoe UI" w:eastAsia="Segoe UI"/>
                <w:color w:val="101820"/>
                <w:sz w:val="18"/>
              </w:rPr>
              <w:t>Discovery: sales, placement, co-insurance, servicing, claims, renewals; UAT and the production environment provisioned</w:t>
            </w:r>
          </w:p>
        </w:tc>
        <w:tc>
          <w:tcPr>
            <w:tcW w:type="dxa" w:w="4039"/>
          </w:tcPr>
          <w:p>
            <w:pPr>
              <w:spacing w:after="20"/>
            </w:pPr>
            <w:r>
              <w:rPr>
                <w:rFonts w:ascii="Segoe UI" w:hAnsi="Segoe UI" w:cs="Segoe UI" w:eastAsia="Segoe UI"/>
                <w:color w:val="101820"/>
                <w:sz w:val="18"/>
              </w:rPr>
              <w:t>Environments ready</w:t>
            </w:r>
          </w:p>
        </w:tc>
      </w:tr>
      <w:tr>
        <w:tc>
          <w:tcPr>
            <w:tcW w:type="dxa" w:w="907"/>
          </w:tcPr>
          <w:p>
            <w:pPr>
              <w:spacing w:after="20"/>
            </w:pPr>
            <w:r>
              <w:rPr>
                <w:rFonts w:ascii="Segoe UI" w:hAnsi="Segoe UI" w:cs="Segoe UI" w:eastAsia="Segoe UI"/>
                <w:color w:val="101820"/>
                <w:sz w:val="18"/>
              </w:rPr>
              <w:t>4</w:t>
            </w:r>
          </w:p>
        </w:tc>
        <w:tc>
          <w:tcPr>
            <w:tcW w:type="dxa" w:w="4068"/>
          </w:tcPr>
          <w:p>
            <w:pPr>
              <w:spacing w:after="20"/>
            </w:pPr>
            <w:r>
              <w:rPr>
                <w:rFonts w:ascii="Segoe UI" w:hAnsi="Segoe UI" w:cs="Segoe UI" w:eastAsia="Segoe UI"/>
                <w:color w:val="101820"/>
                <w:sz w:val="18"/>
              </w:rPr>
              <w:t>Discovery: billing, remittance, direct bill, commission and incentives, ledger, close, tax; configuration of organisation and users starts</w:t>
            </w:r>
          </w:p>
        </w:tc>
        <w:tc>
          <w:tcPr>
            <w:tcW w:type="dxa" w:w="4039"/>
          </w:tcPr>
          <w:p>
            <w:pPr>
              <w:spacing w:after="20"/>
            </w:pPr>
          </w:p>
        </w:tc>
      </w:tr>
      <w:tr>
        <w:tc>
          <w:tcPr>
            <w:tcW w:type="dxa" w:w="907"/>
          </w:tcPr>
          <w:p>
            <w:pPr>
              <w:spacing w:after="20"/>
            </w:pPr>
            <w:r>
              <w:rPr>
                <w:rFonts w:ascii="Segoe UI" w:hAnsi="Segoe UI" w:cs="Segoe UI" w:eastAsia="Segoe UI"/>
                <w:color w:val="101820"/>
                <w:sz w:val="18"/>
              </w:rPr>
              <w:t>5</w:t>
            </w:r>
          </w:p>
        </w:tc>
        <w:tc>
          <w:tcPr>
            <w:tcW w:type="dxa" w:w="4068"/>
          </w:tcPr>
          <w:p>
            <w:pPr>
              <w:spacing w:after="20"/>
            </w:pPr>
            <w:r>
              <w:rPr>
                <w:rFonts w:ascii="Segoe UI" w:hAnsi="Segoe UI" w:cs="Segoe UI" w:eastAsia="Segoe UI"/>
                <w:color w:val="101820"/>
                <w:sz w:val="18"/>
              </w:rPr>
              <w:t>Fit-gap register completed; configuration of insurers, commission, products</w:t>
            </w:r>
          </w:p>
        </w:tc>
        <w:tc>
          <w:tcPr>
            <w:tcW w:type="dxa" w:w="4039"/>
          </w:tcPr>
          <w:p>
            <w:pPr>
              <w:spacing w:after="20"/>
            </w:pPr>
            <w:r>
              <w:rPr>
                <w:rFonts w:ascii="Segoe UI" w:hAnsi="Segoe UI" w:cs="Segoe UI" w:eastAsia="Segoe UI"/>
                <w:color w:val="101820"/>
                <w:sz w:val="18"/>
              </w:rPr>
              <w:t>Configuration workbook and fit-gap register signed</w:t>
            </w:r>
          </w:p>
        </w:tc>
      </w:tr>
      <w:tr>
        <w:tc>
          <w:tcPr>
            <w:tcW w:type="dxa" w:w="907"/>
          </w:tcPr>
          <w:p>
            <w:pPr>
              <w:spacing w:after="20"/>
            </w:pPr>
            <w:r>
              <w:rPr>
                <w:rFonts w:ascii="Segoe UI" w:hAnsi="Segoe UI" w:cs="Segoe UI" w:eastAsia="Segoe UI"/>
                <w:color w:val="101820"/>
                <w:sz w:val="18"/>
              </w:rPr>
              <w:t>6</w:t>
            </w:r>
          </w:p>
        </w:tc>
        <w:tc>
          <w:tcPr>
            <w:tcW w:type="dxa" w:w="4068"/>
          </w:tcPr>
          <w:p>
            <w:pPr>
              <w:spacing w:after="20"/>
            </w:pPr>
            <w:r>
              <w:rPr>
                <w:rFonts w:ascii="Segoe UI" w:hAnsi="Segoe UI" w:cs="Segoe UI" w:eastAsia="Segoe UI"/>
                <w:color w:val="101820"/>
                <w:sz w:val="18"/>
              </w:rPr>
              <w:t>Configuration of product templates, motor tariff, rating, acceptance rules; data mapping; e-mail set-up</w:t>
            </w:r>
          </w:p>
        </w:tc>
        <w:tc>
          <w:tcPr>
            <w:tcW w:type="dxa" w:w="4039"/>
          </w:tcPr>
          <w:p>
            <w:pPr>
              <w:spacing w:after="20"/>
            </w:pPr>
            <w:r>
              <w:rPr>
                <w:rFonts w:ascii="Segoe UI" w:hAnsi="Segoe UI" w:cs="Segoe UI" w:eastAsia="Segoe UI"/>
                <w:color w:val="101820"/>
                <w:sz w:val="18"/>
              </w:rPr>
              <w:t>Data mapping agreed</w:t>
            </w:r>
          </w:p>
        </w:tc>
      </w:tr>
      <w:tr>
        <w:tc>
          <w:tcPr>
            <w:tcW w:type="dxa" w:w="907"/>
          </w:tcPr>
          <w:p>
            <w:pPr>
              <w:spacing w:after="20"/>
            </w:pPr>
            <w:r>
              <w:rPr>
                <w:rFonts w:ascii="Segoe UI" w:hAnsi="Segoe UI" w:cs="Segoe UI" w:eastAsia="Segoe UI"/>
                <w:color w:val="101820"/>
                <w:sz w:val="18"/>
              </w:rPr>
              <w:t>7</w:t>
            </w:r>
          </w:p>
        </w:tc>
        <w:tc>
          <w:tcPr>
            <w:tcW w:type="dxa" w:w="4068"/>
          </w:tcPr>
          <w:p>
            <w:pPr>
              <w:spacing w:after="20"/>
            </w:pPr>
            <w:r>
              <w:rPr>
                <w:rFonts w:ascii="Segoe UI" w:hAnsi="Segoe UI" w:cs="Segoe UI" w:eastAsia="Segoe UI"/>
                <w:color w:val="101820"/>
                <w:sz w:val="18"/>
              </w:rPr>
              <w:t>Configuration of chart of accounts, account determination, posting rules, numbering; mock load 1 in SIT</w:t>
            </w:r>
          </w:p>
        </w:tc>
        <w:tc>
          <w:tcPr>
            <w:tcW w:type="dxa" w:w="4039"/>
          </w:tcPr>
          <w:p>
            <w:pPr>
              <w:spacing w:after="20"/>
            </w:pPr>
            <w:r>
              <w:rPr>
                <w:rFonts w:ascii="Segoe UI" w:hAnsi="Segoe UI" w:cs="Segoe UI" w:eastAsia="Segoe UI"/>
                <w:color w:val="101820"/>
                <w:sz w:val="18"/>
              </w:rPr>
              <w:t>Mock load 1 reconciled</w:t>
            </w:r>
          </w:p>
        </w:tc>
      </w:tr>
      <w:tr>
        <w:tc>
          <w:tcPr>
            <w:tcW w:type="dxa" w:w="907"/>
          </w:tcPr>
          <w:p>
            <w:pPr>
              <w:spacing w:after="20"/>
            </w:pPr>
            <w:r>
              <w:rPr>
                <w:rFonts w:ascii="Segoe UI" w:hAnsi="Segoe UI" w:cs="Segoe UI" w:eastAsia="Segoe UI"/>
                <w:color w:val="101820"/>
                <w:sz w:val="18"/>
              </w:rPr>
              <w:t>8</w:t>
            </w:r>
          </w:p>
        </w:tc>
        <w:tc>
          <w:tcPr>
            <w:tcW w:type="dxa" w:w="4068"/>
          </w:tcPr>
          <w:p>
            <w:pPr>
              <w:spacing w:after="20"/>
            </w:pPr>
            <w:r>
              <w:rPr>
                <w:rFonts w:ascii="Segoe UI" w:hAnsi="Segoe UI" w:cs="Segoe UI" w:eastAsia="Segoe UI"/>
                <w:color w:val="101820"/>
                <w:sz w:val="18"/>
              </w:rPr>
              <w:t>Configuration of approvals, authority matrix, schedules, bank accounts and statement formats; payment gateway sandbox</w:t>
            </w:r>
          </w:p>
        </w:tc>
        <w:tc>
          <w:tcPr>
            <w:tcW w:type="dxa" w:w="4039"/>
          </w:tcPr>
          <w:p>
            <w:pPr>
              <w:spacing w:after="20"/>
            </w:pPr>
          </w:p>
        </w:tc>
      </w:tr>
      <w:tr>
        <w:tc>
          <w:tcPr>
            <w:tcW w:type="dxa" w:w="907"/>
          </w:tcPr>
          <w:p>
            <w:pPr>
              <w:spacing w:after="20"/>
            </w:pPr>
            <w:r>
              <w:rPr>
                <w:rFonts w:ascii="Segoe UI" w:hAnsi="Segoe UI" w:cs="Segoe UI" w:eastAsia="Segoe UI"/>
                <w:color w:val="101820"/>
                <w:sz w:val="18"/>
              </w:rPr>
              <w:t>9</w:t>
            </w:r>
          </w:p>
        </w:tc>
        <w:tc>
          <w:tcPr>
            <w:tcW w:type="dxa" w:w="4068"/>
          </w:tcPr>
          <w:p>
            <w:pPr>
              <w:spacing w:after="20"/>
            </w:pPr>
            <w:r>
              <w:rPr>
                <w:rFonts w:ascii="Segoe UI" w:hAnsi="Segoe UI" w:cs="Segoe UI" w:eastAsia="Segoe UI"/>
                <w:color w:val="101820"/>
                <w:sz w:val="18"/>
              </w:rPr>
              <w:t>Configuration completed; SIT cycle 1</w:t>
            </w:r>
          </w:p>
        </w:tc>
        <w:tc>
          <w:tcPr>
            <w:tcW w:type="dxa" w:w="4039"/>
          </w:tcPr>
          <w:p>
            <w:pPr>
              <w:spacing w:after="20"/>
            </w:pPr>
            <w:r>
              <w:rPr>
                <w:rFonts w:ascii="Segoe UI" w:hAnsi="Segoe UI" w:cs="Segoe UI" w:eastAsia="Segoe UI"/>
                <w:color w:val="101820"/>
                <w:sz w:val="18"/>
              </w:rPr>
              <w:t>Configuration complete</w:t>
            </w:r>
          </w:p>
        </w:tc>
      </w:tr>
      <w:tr>
        <w:tc>
          <w:tcPr>
            <w:tcW w:type="dxa" w:w="907"/>
          </w:tcPr>
          <w:p>
            <w:pPr>
              <w:spacing w:after="20"/>
            </w:pPr>
            <w:r>
              <w:rPr>
                <w:rFonts w:ascii="Segoe UI" w:hAnsi="Segoe UI" w:cs="Segoe UI" w:eastAsia="Segoe UI"/>
                <w:color w:val="101820"/>
                <w:sz w:val="18"/>
              </w:rPr>
              <w:t>10</w:t>
            </w:r>
          </w:p>
        </w:tc>
        <w:tc>
          <w:tcPr>
            <w:tcW w:type="dxa" w:w="4068"/>
          </w:tcPr>
          <w:p>
            <w:pPr>
              <w:spacing w:after="20"/>
            </w:pPr>
            <w:r>
              <w:rPr>
                <w:rFonts w:ascii="Segoe UI" w:hAnsi="Segoe UI" w:cs="Segoe UI" w:eastAsia="Segoe UI"/>
                <w:color w:val="101820"/>
                <w:sz w:val="18"/>
              </w:rPr>
              <w:t>SIT cycle 2; mock load 2 in SIT; train-the-trainer starts</w:t>
            </w:r>
          </w:p>
        </w:tc>
        <w:tc>
          <w:tcPr>
            <w:tcW w:type="dxa" w:w="4039"/>
          </w:tcPr>
          <w:p>
            <w:pPr>
              <w:spacing w:after="20"/>
            </w:pPr>
            <w:r>
              <w:rPr>
                <w:rFonts w:ascii="Segoe UI" w:hAnsi="Segoe UI" w:cs="Segoe UI" w:eastAsia="Segoe UI"/>
                <w:color w:val="101820"/>
                <w:sz w:val="18"/>
              </w:rPr>
              <w:t>Mock load 2 reconciled</w:t>
            </w:r>
          </w:p>
        </w:tc>
      </w:tr>
      <w:tr>
        <w:tc>
          <w:tcPr>
            <w:tcW w:type="dxa" w:w="907"/>
          </w:tcPr>
          <w:p>
            <w:pPr>
              <w:spacing w:after="20"/>
            </w:pPr>
            <w:r>
              <w:rPr>
                <w:rFonts w:ascii="Segoe UI" w:hAnsi="Segoe UI" w:cs="Segoe UI" w:eastAsia="Segoe UI"/>
                <w:color w:val="101820"/>
                <w:sz w:val="18"/>
              </w:rPr>
              <w:t>11</w:t>
            </w:r>
          </w:p>
        </w:tc>
        <w:tc>
          <w:tcPr>
            <w:tcW w:type="dxa" w:w="4068"/>
          </w:tcPr>
          <w:p>
            <w:pPr>
              <w:spacing w:after="20"/>
            </w:pPr>
            <w:r>
              <w:rPr>
                <w:rFonts w:ascii="Segoe UI" w:hAnsi="Segoe UI" w:cs="Segoe UI" w:eastAsia="Segoe UI"/>
                <w:color w:val="101820"/>
                <w:sz w:val="18"/>
              </w:rPr>
              <w:t>SIT exit; configuration promoted from SIT to UAT; train-the-trainer completed; UAT preparation with broker-specific scenarios</w:t>
            </w:r>
          </w:p>
        </w:tc>
        <w:tc>
          <w:tcPr>
            <w:tcW w:type="dxa" w:w="4039"/>
          </w:tcPr>
          <w:p>
            <w:pPr>
              <w:spacing w:after="20"/>
            </w:pPr>
            <w:r>
              <w:rPr>
                <w:rFonts w:ascii="Segoe UI" w:hAnsi="Segoe UI" w:cs="Segoe UI" w:eastAsia="Segoe UI"/>
                <w:color w:val="101820"/>
                <w:sz w:val="18"/>
              </w:rPr>
              <w:t>SIT exit report</w:t>
            </w:r>
          </w:p>
        </w:tc>
      </w:tr>
      <w:tr>
        <w:tc>
          <w:tcPr>
            <w:tcW w:type="dxa" w:w="907"/>
          </w:tcPr>
          <w:p>
            <w:pPr>
              <w:spacing w:after="20"/>
            </w:pPr>
            <w:r>
              <w:rPr>
                <w:rFonts w:ascii="Segoe UI" w:hAnsi="Segoe UI" w:cs="Segoe UI" w:eastAsia="Segoe UI"/>
                <w:color w:val="101820"/>
                <w:sz w:val="18"/>
              </w:rPr>
              <w:t>12</w:t>
            </w:r>
          </w:p>
        </w:tc>
        <w:tc>
          <w:tcPr>
            <w:tcW w:type="dxa" w:w="4068"/>
          </w:tcPr>
          <w:p>
            <w:pPr>
              <w:spacing w:after="20"/>
            </w:pPr>
            <w:r>
              <w:rPr>
                <w:rFonts w:ascii="Segoe UI" w:hAnsi="Segoe UI" w:cs="Segoe UI" w:eastAsia="Segoe UI"/>
                <w:color w:val="101820"/>
                <w:sz w:val="18"/>
              </w:rPr>
              <w:t>UAT cycle 1; end-user training (head office)</w:t>
            </w:r>
          </w:p>
        </w:tc>
        <w:tc>
          <w:tcPr>
            <w:tcW w:type="dxa" w:w="4039"/>
          </w:tcPr>
          <w:p>
            <w:pPr>
              <w:spacing w:after="20"/>
            </w:pPr>
            <w:r>
              <w:rPr>
                <w:rFonts w:ascii="Segoe UI" w:hAnsi="Segoe UI" w:cs="Segoe UI" w:eastAsia="Segoe UI"/>
                <w:color w:val="101820"/>
                <w:sz w:val="18"/>
              </w:rPr>
              <w:t>UAT cycle 1 results</w:t>
            </w:r>
          </w:p>
        </w:tc>
      </w:tr>
      <w:tr>
        <w:tc>
          <w:tcPr>
            <w:tcW w:type="dxa" w:w="907"/>
          </w:tcPr>
          <w:p>
            <w:pPr>
              <w:spacing w:after="20"/>
            </w:pPr>
            <w:r>
              <w:rPr>
                <w:rFonts w:ascii="Segoe UI" w:hAnsi="Segoe UI" w:cs="Segoe UI" w:eastAsia="Segoe UI"/>
                <w:color w:val="101820"/>
                <w:sz w:val="18"/>
              </w:rPr>
              <w:t>13</w:t>
            </w:r>
          </w:p>
        </w:tc>
        <w:tc>
          <w:tcPr>
            <w:tcW w:type="dxa" w:w="4068"/>
          </w:tcPr>
          <w:p>
            <w:pPr>
              <w:spacing w:after="20"/>
            </w:pPr>
            <w:r>
              <w:rPr>
                <w:rFonts w:ascii="Segoe UI" w:hAnsi="Segoe UI" w:cs="Segoe UI" w:eastAsia="Segoe UI"/>
                <w:color w:val="101820"/>
                <w:sz w:val="18"/>
              </w:rPr>
              <w:t>UAT cycle 2; mock load 3 in UAT; end-user training (branches); release and frozen configuration promoted to production; production smoke test</w:t>
            </w:r>
          </w:p>
        </w:tc>
        <w:tc>
          <w:tcPr>
            <w:tcW w:type="dxa" w:w="4039"/>
          </w:tcPr>
          <w:p>
            <w:pPr>
              <w:spacing w:after="20"/>
            </w:pPr>
            <w:r>
              <w:rPr>
                <w:rFonts w:ascii="Segoe UI" w:hAnsi="Segoe UI" w:cs="Segoe UI" w:eastAsia="Segoe UI"/>
                <w:color w:val="101820"/>
                <w:sz w:val="18"/>
              </w:rPr>
              <w:t>UAT sign-off</w:t>
            </w:r>
          </w:p>
        </w:tc>
      </w:tr>
      <w:tr>
        <w:tc>
          <w:tcPr>
            <w:tcW w:type="dxa" w:w="907"/>
          </w:tcPr>
          <w:p>
            <w:pPr>
              <w:spacing w:after="20"/>
            </w:pPr>
            <w:r>
              <w:rPr>
                <w:rFonts w:ascii="Segoe UI" w:hAnsi="Segoe UI" w:cs="Segoe UI" w:eastAsia="Segoe UI"/>
                <w:color w:val="101820"/>
                <w:sz w:val="18"/>
              </w:rPr>
              <w:t>14</w:t>
            </w:r>
          </w:p>
        </w:tc>
        <w:tc>
          <w:tcPr>
            <w:tcW w:type="dxa" w:w="4068"/>
          </w:tcPr>
          <w:p>
            <w:pPr>
              <w:spacing w:after="20"/>
            </w:pPr>
            <w:r>
              <w:rPr>
                <w:rFonts w:ascii="Segoe UI" w:hAnsi="Segoe UI" w:cs="Segoe UI" w:eastAsia="Segoe UI"/>
                <w:color w:val="101820"/>
                <w:sz w:val="18"/>
              </w:rPr>
              <w:t>Pre-Prod created from a production backup; mock load 4 as the cutover rehearsal in Pre-Prod; go/no-go; cutover at the close of week 14</w:t>
            </w:r>
          </w:p>
        </w:tc>
        <w:tc>
          <w:tcPr>
            <w:tcW w:type="dxa" w:w="4039"/>
          </w:tcPr>
          <w:p>
            <w:pPr>
              <w:spacing w:after="20"/>
            </w:pPr>
            <w:r>
              <w:rPr>
                <w:rFonts w:ascii="Segoe UI" w:hAnsi="Segoe UI" w:cs="Segoe UI" w:eastAsia="Segoe UI"/>
                <w:color w:val="101820"/>
                <w:sz w:val="18"/>
              </w:rPr>
              <w:t>Go decision</w:t>
            </w:r>
          </w:p>
        </w:tc>
      </w:tr>
      <w:tr>
        <w:tc>
          <w:tcPr>
            <w:tcW w:type="dxa" w:w="907"/>
          </w:tcPr>
          <w:p>
            <w:pPr>
              <w:spacing w:after="20"/>
            </w:pPr>
            <w:r>
              <w:rPr>
                <w:rFonts w:ascii="Segoe UI" w:hAnsi="Segoe UI" w:cs="Segoe UI" w:eastAsia="Segoe UI"/>
                <w:color w:val="101820"/>
                <w:sz w:val="18"/>
              </w:rPr>
              <w:t>15</w:t>
            </w:r>
          </w:p>
        </w:tc>
        <w:tc>
          <w:tcPr>
            <w:tcW w:type="dxa" w:w="4068"/>
          </w:tcPr>
          <w:p>
            <w:pPr>
              <w:spacing w:after="20"/>
            </w:pPr>
            <w:r>
              <w:rPr>
                <w:rFonts w:ascii="Segoe UI" w:hAnsi="Segoe UI" w:cs="Segoe UI" w:eastAsia="Segoe UI"/>
                <w:color w:val="101820"/>
                <w:sz w:val="18"/>
              </w:rPr>
              <w:t>Go-live; daily hypercare check-ins at head office; floor walkers in the branches</w:t>
            </w:r>
          </w:p>
        </w:tc>
        <w:tc>
          <w:tcPr>
            <w:tcW w:type="dxa" w:w="4039"/>
          </w:tcPr>
          <w:p>
            <w:pPr>
              <w:spacing w:after="20"/>
            </w:pPr>
            <w:r>
              <w:rPr>
                <w:rFonts w:ascii="Segoe UI" w:hAnsi="Segoe UI" w:cs="Segoe UI" w:eastAsia="Segoe UI"/>
                <w:color w:val="101820"/>
                <w:sz w:val="18"/>
              </w:rPr>
              <w:t>Go-live</w:t>
            </w:r>
          </w:p>
        </w:tc>
      </w:tr>
      <w:tr>
        <w:tc>
          <w:tcPr>
            <w:tcW w:type="dxa" w:w="907"/>
          </w:tcPr>
          <w:p>
            <w:pPr>
              <w:spacing w:after="20"/>
            </w:pPr>
            <w:r>
              <w:rPr>
                <w:rFonts w:ascii="Segoe UI" w:hAnsi="Segoe UI" w:cs="Segoe UI" w:eastAsia="Segoe UI"/>
                <w:color w:val="101820"/>
                <w:sz w:val="18"/>
              </w:rPr>
              <w:t>16</w:t>
            </w:r>
          </w:p>
        </w:tc>
        <w:tc>
          <w:tcPr>
            <w:tcW w:type="dxa" w:w="4068"/>
          </w:tcPr>
          <w:p>
            <w:pPr>
              <w:spacing w:after="20"/>
            </w:pPr>
            <w:r>
              <w:rPr>
                <w:rFonts w:ascii="Segoe UI" w:hAnsi="Segoe UI" w:cs="Segoe UI" w:eastAsia="Segoe UI"/>
                <w:color w:val="101820"/>
                <w:sz w:val="18"/>
              </w:rPr>
              <w:t>Hypercare; first remittance runs and bank reconciliations across all bank accounts</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17</w:t>
            </w:r>
          </w:p>
        </w:tc>
        <w:tc>
          <w:tcPr>
            <w:tcW w:type="dxa" w:w="4068"/>
          </w:tcPr>
          <w:p>
            <w:pPr>
              <w:spacing w:after="20"/>
            </w:pPr>
            <w:r>
              <w:rPr>
                <w:rFonts w:ascii="Segoe UI" w:hAnsi="Segoe UI" w:cs="Segoe UI" w:eastAsia="Segoe UI"/>
                <w:color w:val="101820"/>
                <w:sz w:val="18"/>
              </w:rPr>
              <w:t>Hypercare; collection, commission payout and renewal cycles watched</w:t>
            </w:r>
          </w:p>
        </w:tc>
        <w:tc>
          <w:tcPr>
            <w:tcW w:type="dxa" w:w="4039"/>
          </w:tcPr>
          <w:p>
            <w:pPr>
              <w:spacing w:after="20"/>
            </w:pPr>
            <w:r>
              <w:rPr>
                <w:rFonts w:ascii="Segoe UI" w:hAnsi="Segoe UI" w:cs="Segoe UI" w:eastAsia="Segoe UI"/>
                <w:color w:val="101820"/>
                <w:sz w:val="18"/>
              </w:rPr>
              <w:t>Weekly hypercare review</w:t>
            </w:r>
          </w:p>
        </w:tc>
      </w:tr>
      <w:tr>
        <w:tc>
          <w:tcPr>
            <w:tcW w:type="dxa" w:w="907"/>
          </w:tcPr>
          <w:p>
            <w:pPr>
              <w:spacing w:after="20"/>
            </w:pPr>
            <w:r>
              <w:rPr>
                <w:rFonts w:ascii="Segoe UI" w:hAnsi="Segoe UI" w:cs="Segoe UI" w:eastAsia="Segoe UI"/>
                <w:color w:val="101820"/>
                <w:sz w:val="18"/>
              </w:rPr>
              <w:t>18</w:t>
            </w:r>
          </w:p>
        </w:tc>
        <w:tc>
          <w:tcPr>
            <w:tcW w:type="dxa" w:w="4068"/>
          </w:tcPr>
          <w:p>
            <w:pPr>
              <w:spacing w:after="20"/>
            </w:pPr>
            <w:r>
              <w:rPr>
                <w:rFonts w:ascii="Segoe UI" w:hAnsi="Segoe UI" w:cs="Segoe UI" w:eastAsia="Segoe UI"/>
                <w:color w:val="101820"/>
                <w:sz w:val="18"/>
              </w:rPr>
              <w:t>Hypercare; first month-end close supported (timing depends on the go-live date)</w:t>
            </w:r>
          </w:p>
        </w:tc>
        <w:tc>
          <w:tcPr>
            <w:tcW w:type="dxa" w:w="4039"/>
          </w:tcPr>
          <w:p>
            <w:pPr>
              <w:spacing w:after="20"/>
            </w:pPr>
            <w:r>
              <w:rPr>
                <w:rFonts w:ascii="Segoe UI" w:hAnsi="Segoe UI" w:cs="Segoe UI" w:eastAsia="Segoe UI"/>
                <w:color w:val="101820"/>
                <w:sz w:val="18"/>
              </w:rPr>
              <w:t>First close completed</w:t>
            </w:r>
          </w:p>
        </w:tc>
      </w:tr>
      <w:tr>
        <w:tc>
          <w:tcPr>
            <w:tcW w:type="dxa" w:w="907"/>
          </w:tcPr>
          <w:p>
            <w:pPr>
              <w:spacing w:after="20"/>
            </w:pPr>
            <w:r>
              <w:rPr>
                <w:rFonts w:ascii="Segoe UI" w:hAnsi="Segoe UI" w:cs="Segoe UI" w:eastAsia="Segoe UI"/>
                <w:color w:val="101820"/>
                <w:sz w:val="18"/>
              </w:rPr>
              <w:t>19</w:t>
            </w:r>
          </w:p>
        </w:tc>
        <w:tc>
          <w:tcPr>
            <w:tcW w:type="dxa" w:w="4068"/>
          </w:tcPr>
          <w:p>
            <w:pPr>
              <w:spacing w:after="20"/>
            </w:pPr>
            <w:r>
              <w:rPr>
                <w:rFonts w:ascii="Segoe UI" w:hAnsi="Segoe UI" w:cs="Segoe UI" w:eastAsia="Segoe UI"/>
                <w:color w:val="101820"/>
                <w:sz w:val="18"/>
              </w:rPr>
              <w:t>Hypercare; BIR working papers of the first month; settings review after the first close</w:t>
            </w:r>
          </w:p>
        </w:tc>
        <w:tc>
          <w:tcPr>
            <w:tcW w:type="dxa" w:w="4039"/>
          </w:tcPr>
          <w:p>
            <w:pPr>
              <w:spacing w:after="20"/>
            </w:pPr>
            <w:r>
              <w:rPr>
                <w:rFonts w:ascii="Segoe UI" w:hAnsi="Segoe UI" w:cs="Segoe UI" w:eastAsia="Segoe UI"/>
                <w:color w:val="101820"/>
                <w:sz w:val="18"/>
              </w:rPr>
              <w:t>Settings review held</w:t>
            </w:r>
          </w:p>
        </w:tc>
      </w:tr>
      <w:tr>
        <w:tc>
          <w:tcPr>
            <w:tcW w:type="dxa" w:w="907"/>
          </w:tcPr>
          <w:p>
            <w:pPr>
              <w:spacing w:after="20"/>
            </w:pPr>
            <w:r>
              <w:rPr>
                <w:rFonts w:ascii="Segoe UI" w:hAnsi="Segoe UI" w:cs="Segoe UI" w:eastAsia="Segoe UI"/>
                <w:color w:val="101820"/>
                <w:sz w:val="18"/>
              </w:rPr>
              <w:t>20</w:t>
            </w:r>
          </w:p>
        </w:tc>
        <w:tc>
          <w:tcPr>
            <w:tcW w:type="dxa" w:w="4068"/>
          </w:tcPr>
          <w:p>
            <w:pPr>
              <w:spacing w:after="20"/>
            </w:pPr>
            <w:r>
              <w:rPr>
                <w:rFonts w:ascii="Segoe UI" w:hAnsi="Segoe UI" w:cs="Segoe UI" w:eastAsia="Segoe UI"/>
                <w:color w:val="101820"/>
                <w:sz w:val="18"/>
              </w:rPr>
              <w:t>Knowledge transfer; handover to production support; Pre-Prod removed</w:t>
            </w:r>
          </w:p>
        </w:tc>
        <w:tc>
          <w:tcPr>
            <w:tcW w:type="dxa" w:w="4039"/>
          </w:tcPr>
          <w:p>
            <w:pPr>
              <w:spacing w:after="20"/>
            </w:pPr>
            <w:r>
              <w:rPr>
                <w:rFonts w:ascii="Segoe UI" w:hAnsi="Segoe UI" w:cs="Segoe UI" w:eastAsia="Segoe UI"/>
                <w:color w:val="101820"/>
                <w:sz w:val="18"/>
              </w:rPr>
              <w:t>Hypercare exit and handover</w:t>
            </w:r>
          </w:p>
        </w:tc>
      </w:tr>
    </w:tbl>
    <w:p>
      <w:pPr>
        <w:spacing w:after="80"/>
      </w:pPr>
    </w:p>
    <w:p>
      <w:pPr>
        <w:spacing w:after="120" w:line="276" w:lineRule="auto"/>
      </w:pPr>
      <w:r>
        <w:rPr>
          <w:rFonts w:ascii="Segoe UI" w:hAnsi="Segoe UI" w:cs="Segoe UI" w:eastAsia="Segoe UI"/>
          <w:color w:val="101820"/>
          <w:sz w:val="21"/>
        </w:rPr>
        <w:t>A large broker with one office cluster and a simple product mix can follow a 16-week variant: discovery ends in week 4, configuration in week 8, three mock loads (the last one as the cutover rehearsal in Pre-Prod), go-live at the start of week 13 and hypercare in weeks 13 to 16 (extended to the first month-end close if needed).</w:t>
      </w:r>
    </w:p>
    <w:p>
      <w:pPr>
        <w:pStyle w:val="Heading1"/>
        <w:pageBreakBefore/>
      </w:pPr>
      <w:r>
        <w:rPr>
          <w:rFonts w:ascii="Segoe UI" w:hAnsi="Segoe UI" w:cs="Segoe UI" w:eastAsia="Segoe UI"/>
          <w:b/>
          <w:color w:val="0F4761"/>
          <w:sz w:val="32"/>
        </w:rPr>
        <w:t>9.  Roles and responsibilities</w:t>
      </w:r>
    </w:p>
    <w:p>
      <w:pPr>
        <w:pStyle w:val="Heading2"/>
      </w:pPr>
      <w:r>
        <w:rPr>
          <w:rFonts w:ascii="Segoe UI" w:hAnsi="Segoe UI" w:cs="Segoe UI" w:eastAsia="Segoe UI"/>
          <w:b/>
          <w:color w:val="0F4761"/>
          <w:sz w:val="26"/>
        </w:rPr>
        <w:t>9.1  Project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6"/>
        <w:gridCol w:w="1317"/>
        <w:gridCol w:w="4862"/>
      </w:tblGrid>
      <w:tr>
        <w:trPr>
          <w:tblHeader w:val="true"/>
        </w:trPr>
        <w:tc>
          <w:tcPr>
            <w:tcW w:type="dxa" w:w="2836"/>
            <w:shd w:val="clear" w:color="auto" w:fill="DCE9F7"/>
          </w:tcPr>
          <w:p>
            <w:pPr>
              <w:spacing w:after="20"/>
            </w:pPr>
            <w:r>
              <w:rPr>
                <w:rFonts w:ascii="Segoe UI" w:hAnsi="Segoe UI" w:cs="Segoe UI" w:eastAsia="Segoe UI"/>
                <w:b/>
                <w:color w:val="0F4761"/>
                <w:sz w:val="18"/>
              </w:rPr>
              <w:t>Role</w:t>
            </w:r>
          </w:p>
        </w:tc>
        <w:tc>
          <w:tcPr>
            <w:tcW w:type="dxa" w:w="1317"/>
            <w:shd w:val="clear" w:color="auto" w:fill="DCE9F7"/>
          </w:tcPr>
          <w:p>
            <w:pPr>
              <w:spacing w:after="20"/>
            </w:pPr>
            <w:r>
              <w:rPr>
                <w:rFonts w:ascii="Segoe UI" w:hAnsi="Segoe UI" w:cs="Segoe UI" w:eastAsia="Segoe UI"/>
                <w:b/>
                <w:color w:val="0F4761"/>
                <w:sz w:val="18"/>
              </w:rPr>
              <w:t>Party</w:t>
            </w:r>
          </w:p>
        </w:tc>
        <w:tc>
          <w:tcPr>
            <w:tcW w:type="dxa" w:w="4862"/>
            <w:shd w:val="clear" w:color="auto" w:fill="DCE9F7"/>
          </w:tcPr>
          <w:p>
            <w:pPr>
              <w:spacing w:after="20"/>
            </w:pPr>
            <w:r>
              <w:rPr>
                <w:rFonts w:ascii="Segoe UI" w:hAnsi="Segoe UI" w:cs="Segoe UI" w:eastAsia="Segoe UI"/>
                <w:b/>
                <w:color w:val="0F4761"/>
                <w:sz w:val="18"/>
              </w:rPr>
              <w:t>Responsibilities</w:t>
            </w:r>
          </w:p>
        </w:tc>
      </w:tr>
      <w:tr>
        <w:tc>
          <w:tcPr>
            <w:tcW w:type="dxa" w:w="2836"/>
          </w:tcPr>
          <w:p>
            <w:pPr>
              <w:spacing w:after="20"/>
            </w:pPr>
            <w:r>
              <w:rPr>
                <w:rFonts w:ascii="Segoe UI" w:hAnsi="Segoe UI" w:cs="Segoe UI" w:eastAsia="Segoe UI"/>
                <w:color w:val="101820"/>
                <w:sz w:val="18"/>
              </w:rPr>
              <w:t>Project sponsor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Chairs the steering committee; approves scope, change requests, go/no-go</w:t>
            </w:r>
          </w:p>
        </w:tc>
      </w:tr>
      <w:tr>
        <w:tc>
          <w:tcPr>
            <w:tcW w:type="dxa" w:w="2836"/>
          </w:tcPr>
          <w:p>
            <w:pPr>
              <w:spacing w:after="20"/>
            </w:pPr>
            <w:r>
              <w:rPr>
                <w:rFonts w:ascii="Segoe UI" w:hAnsi="Segoe UI" w:cs="Segoe UI" w:eastAsia="Segoe UI"/>
                <w:color w:val="101820"/>
                <w:sz w:val="18"/>
              </w:rPr>
              <w:t>Project manager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Plans the broker's work, obtains data and decisions, runs UAT and training logistics</w:t>
            </w:r>
          </w:p>
        </w:tc>
      </w:tr>
      <w:tr>
        <w:tc>
          <w:tcPr>
            <w:tcW w:type="dxa" w:w="2836"/>
          </w:tcPr>
          <w:p>
            <w:pPr>
              <w:spacing w:after="20"/>
            </w:pPr>
            <w:r>
              <w:rPr>
                <w:rFonts w:ascii="Segoe UI" w:hAnsi="Segoe UI" w:cs="Segoe UI" w:eastAsia="Segoe UI"/>
                <w:color w:val="101820"/>
                <w:sz w:val="18"/>
              </w:rPr>
              <w:t>Process owners and key users</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One per team; take part in discovery, decide configuration, test, train their team</w:t>
            </w:r>
          </w:p>
        </w:tc>
      </w:tr>
      <w:tr>
        <w:tc>
          <w:tcPr>
            <w:tcW w:type="dxa" w:w="2836"/>
          </w:tcPr>
          <w:p>
            <w:pPr>
              <w:spacing w:after="20"/>
            </w:pPr>
            <w:r>
              <w:rPr>
                <w:rFonts w:ascii="Segoe UI" w:hAnsi="Segoe UI" w:cs="Segoe UI" w:eastAsia="Segoe UI"/>
                <w:color w:val="101820"/>
                <w:sz w:val="18"/>
              </w:rPr>
              <w:t>System Administrator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Users, roles, masters and settings after go-live; second line of support</w:t>
            </w:r>
          </w:p>
        </w:tc>
      </w:tr>
      <w:tr>
        <w:tc>
          <w:tcPr>
            <w:tcW w:type="dxa" w:w="2836"/>
          </w:tcPr>
          <w:p>
            <w:pPr>
              <w:spacing w:after="20"/>
            </w:pPr>
            <w:r>
              <w:rPr>
                <w:rFonts w:ascii="Segoe UI" w:hAnsi="Segoe UI" w:cs="Segoe UI" w:eastAsia="Segoe UI"/>
                <w:color w:val="101820"/>
                <w:sz w:val="18"/>
              </w:rPr>
              <w:t>Accounting Manager</w:t>
            </w:r>
          </w:p>
        </w:tc>
        <w:tc>
          <w:tcPr>
            <w:tcW w:type="dxa" w:w="1317"/>
          </w:tcPr>
          <w:p>
            <w:pPr>
              <w:spacing w:after="20"/>
            </w:pPr>
            <w:r>
              <w:rPr>
                <w:rFonts w:ascii="Segoe UI" w:hAnsi="Segoe UI" w:cs="Segoe UI" w:eastAsia="Segoe UI"/>
                <w:color w:val="101820"/>
                <w:sz w:val="18"/>
              </w:rPr>
              <w:t>Broker</w:t>
            </w:r>
          </w:p>
        </w:tc>
        <w:tc>
          <w:tcPr>
            <w:tcW w:type="dxa" w:w="4862"/>
          </w:tcPr>
          <w:p>
            <w:pPr>
              <w:spacing w:after="20"/>
            </w:pPr>
            <w:r>
              <w:rPr>
                <w:rFonts w:ascii="Segoe UI" w:hAnsi="Segoe UI" w:cs="Segoe UI" w:eastAsia="Segoe UI"/>
                <w:color w:val="101820"/>
                <w:sz w:val="18"/>
              </w:rPr>
              <w:t>Chart of accounts, posting rules, tax set-up, opening balances, close; signs off financial reconciliation</w:t>
            </w:r>
          </w:p>
        </w:tc>
      </w:tr>
      <w:tr>
        <w:tc>
          <w:tcPr>
            <w:tcW w:type="dxa" w:w="2836"/>
          </w:tcPr>
          <w:p>
            <w:pPr>
              <w:spacing w:after="20"/>
            </w:pPr>
            <w:r>
              <w:rPr>
                <w:rFonts w:ascii="Segoe UI" w:hAnsi="Segoe UI" w:cs="Segoe UI" w:eastAsia="Segoe UI"/>
                <w:color w:val="101820"/>
                <w:sz w:val="18"/>
              </w:rPr>
              <w:t>Project manager</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Plan, RAID log, status reports, steering committee papers, coordination of the iorta TechNXT team</w:t>
            </w:r>
          </w:p>
        </w:tc>
      </w:tr>
      <w:tr>
        <w:tc>
          <w:tcPr>
            <w:tcW w:type="dxa" w:w="2836"/>
          </w:tcPr>
          <w:p>
            <w:pPr>
              <w:spacing w:after="20"/>
            </w:pPr>
            <w:r>
              <w:rPr>
                <w:rFonts w:ascii="Segoe UI" w:hAnsi="Segoe UI" w:cs="Segoe UI" w:eastAsia="Segoe UI"/>
                <w:color w:val="101820"/>
                <w:sz w:val="18"/>
              </w:rPr>
              <w:t>Functional consultants</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Discovery, configuration, data mapping, SIT, training of key users, UAT support</w:t>
            </w:r>
          </w:p>
        </w:tc>
      </w:tr>
      <w:tr>
        <w:tc>
          <w:tcPr>
            <w:tcW w:type="dxa" w:w="2836"/>
          </w:tcPr>
          <w:p>
            <w:pPr>
              <w:spacing w:after="20"/>
            </w:pPr>
            <w:r>
              <w:rPr>
                <w:rFonts w:ascii="Segoe UI" w:hAnsi="Segoe UI" w:cs="Segoe UI" w:eastAsia="Segoe UI"/>
                <w:color w:val="101820"/>
                <w:sz w:val="18"/>
              </w:rPr>
              <w:t>Technical and DevOps lead</w:t>
            </w:r>
          </w:p>
        </w:tc>
        <w:tc>
          <w:tcPr>
            <w:tcW w:type="dxa" w:w="1317"/>
          </w:tcPr>
          <w:p>
            <w:pPr>
              <w:spacing w:after="20"/>
            </w:pPr>
            <w:r>
              <w:rPr>
                <w:rFonts w:ascii="Segoe UI" w:hAnsi="Segoe UI" w:cs="Segoe UI" w:eastAsia="Segoe UI"/>
                <w:color w:val="101820"/>
                <w:sz w:val="18"/>
              </w:rPr>
              <w:t>iorta TechNXT</w:t>
            </w:r>
          </w:p>
        </w:tc>
        <w:tc>
          <w:tcPr>
            <w:tcW w:type="dxa" w:w="4862"/>
          </w:tcPr>
          <w:p>
            <w:pPr>
              <w:spacing w:after="20"/>
            </w:pPr>
            <w:r>
              <w:rPr>
                <w:rFonts w:ascii="Segoe UI" w:hAnsi="Segoe UI" w:cs="Segoe UI" w:eastAsia="Segoe UI"/>
                <w:color w:val="101820"/>
                <w:sz w:val="18"/>
              </w:rPr>
              <w:t>Environments, e-mail, payment gateway, backups, monitoring, data loads, cutover execution</w:t>
            </w:r>
          </w:p>
        </w:tc>
      </w:tr>
    </w:tbl>
    <w:p>
      <w:pPr>
        <w:spacing w:after="80"/>
      </w:pPr>
    </w:p>
    <w:p>
      <w:pPr>
        <w:pStyle w:val="Heading2"/>
      </w:pPr>
      <w:r>
        <w:rPr>
          <w:rFonts w:ascii="Segoe UI" w:hAnsi="Segoe UI" w:cs="Segoe UI" w:eastAsia="Segoe UI"/>
          <w:b/>
          <w:color w:val="0F4761"/>
          <w:sz w:val="26"/>
        </w:rPr>
        <w:t>9.2  RACI</w:t>
      </w:r>
    </w:p>
    <w:p>
      <w:pPr>
        <w:spacing w:after="120" w:line="276" w:lineRule="auto"/>
      </w:pPr>
      <w:r>
        <w:rPr>
          <w:rFonts w:ascii="Segoe UI" w:hAnsi="Segoe UI" w:cs="Segoe UI" w:eastAsia="Segoe UI"/>
          <w:color w:val="101820"/>
          <w:sz w:val="21"/>
        </w:rPr>
        <w:t>R = Responsible, A = Accountable, C = Consulted, I = Informed. The full matrix with each activity is in the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00"/>
        <w:gridCol w:w="1254"/>
        <w:gridCol w:w="1411"/>
        <w:gridCol w:w="1646"/>
        <w:gridCol w:w="1803"/>
      </w:tblGrid>
      <w:tr>
        <w:trPr>
          <w:tblHeader w:val="true"/>
        </w:trPr>
        <w:tc>
          <w:tcPr>
            <w:tcW w:type="dxa" w:w="2900"/>
            <w:shd w:val="clear" w:color="auto" w:fill="DCE9F7"/>
          </w:tcPr>
          <w:p>
            <w:pPr>
              <w:spacing w:after="20"/>
            </w:pPr>
            <w:r>
              <w:rPr>
                <w:rFonts w:ascii="Segoe UI" w:hAnsi="Segoe UI" w:cs="Segoe UI" w:eastAsia="Segoe UI"/>
                <w:b/>
                <w:color w:val="0F4761"/>
                <w:sz w:val="16"/>
              </w:rPr>
              <w:t>Activity</w:t>
            </w:r>
          </w:p>
        </w:tc>
        <w:tc>
          <w:tcPr>
            <w:tcW w:type="dxa" w:w="1254"/>
            <w:shd w:val="clear" w:color="auto" w:fill="DCE9F7"/>
          </w:tcPr>
          <w:p>
            <w:pPr>
              <w:spacing w:after="20"/>
            </w:pPr>
            <w:r>
              <w:rPr>
                <w:rFonts w:ascii="Segoe UI" w:hAnsi="Segoe UI" w:cs="Segoe UI" w:eastAsia="Segoe UI"/>
                <w:b/>
                <w:color w:val="0F4761"/>
                <w:sz w:val="16"/>
              </w:rPr>
              <w:t>iorta TechNXT PM</w:t>
            </w:r>
          </w:p>
        </w:tc>
        <w:tc>
          <w:tcPr>
            <w:tcW w:type="dxa" w:w="1411"/>
            <w:shd w:val="clear" w:color="auto" w:fill="DCE9F7"/>
          </w:tcPr>
          <w:p>
            <w:pPr>
              <w:spacing w:after="20"/>
            </w:pPr>
            <w:r>
              <w:rPr>
                <w:rFonts w:ascii="Segoe UI" w:hAnsi="Segoe UI" w:cs="Segoe UI" w:eastAsia="Segoe UI"/>
                <w:b/>
                <w:color w:val="0F4761"/>
                <w:sz w:val="16"/>
              </w:rPr>
              <w:t>iorta TechNXT team</w:t>
            </w:r>
          </w:p>
        </w:tc>
        <w:tc>
          <w:tcPr>
            <w:tcW w:type="dxa" w:w="1646"/>
            <w:shd w:val="clear" w:color="auto" w:fill="DCE9F7"/>
          </w:tcPr>
          <w:p>
            <w:pPr>
              <w:spacing w:after="20"/>
            </w:pPr>
            <w:r>
              <w:rPr>
                <w:rFonts w:ascii="Segoe UI" w:hAnsi="Segoe UI" w:cs="Segoe UI" w:eastAsia="Segoe UI"/>
                <w:b/>
                <w:color w:val="0F4761"/>
                <w:sz w:val="16"/>
              </w:rPr>
              <w:t>Broker sponsor and PM</w:t>
            </w:r>
          </w:p>
        </w:tc>
        <w:tc>
          <w:tcPr>
            <w:tcW w:type="dxa" w:w="1803"/>
            <w:shd w:val="clear" w:color="auto" w:fill="DCE9F7"/>
          </w:tcPr>
          <w:p>
            <w:pPr>
              <w:spacing w:after="20"/>
            </w:pPr>
            <w:r>
              <w:rPr>
                <w:rFonts w:ascii="Segoe UI" w:hAnsi="Segoe UI" w:cs="Segoe UI" w:eastAsia="Segoe UI"/>
                <w:b/>
                <w:color w:val="0F4761"/>
                <w:sz w:val="16"/>
              </w:rPr>
              <w:t>Broker key users and IT</w:t>
            </w:r>
          </w:p>
        </w:tc>
      </w:tr>
      <w:tr>
        <w:tc>
          <w:tcPr>
            <w:tcW w:type="dxa" w:w="2900"/>
          </w:tcPr>
          <w:p>
            <w:pPr>
              <w:spacing w:after="20"/>
            </w:pPr>
            <w:r>
              <w:rPr>
                <w:rFonts w:ascii="Segoe UI" w:hAnsi="Segoe UI" w:cs="Segoe UI" w:eastAsia="Segoe UI"/>
                <w:color w:val="101820"/>
                <w:sz w:val="16"/>
              </w:rPr>
              <w:t>Project plan and governance</w:t>
            </w:r>
          </w:p>
        </w:tc>
        <w:tc>
          <w:tcPr>
            <w:tcW w:type="dxa" w:w="1254"/>
          </w:tcPr>
          <w:p>
            <w:pPr>
              <w:spacing w:after="20"/>
            </w:pPr>
            <w:r>
              <w:rPr>
                <w:rFonts w:ascii="Segoe UI" w:hAnsi="Segoe UI" w:cs="Segoe UI" w:eastAsia="Segoe UI"/>
                <w:color w:val="101820"/>
                <w:sz w:val="16"/>
              </w:rPr>
              <w:t>R</w:t>
            </w:r>
          </w:p>
        </w:tc>
        <w:tc>
          <w:tcPr>
            <w:tcW w:type="dxa" w:w="1411"/>
          </w:tcPr>
          <w:p>
            <w:pPr>
              <w:spacing w:after="20"/>
            </w:pPr>
            <w:r>
              <w:rPr>
                <w:rFonts w:ascii="Segoe UI" w:hAnsi="Segoe UI" w:cs="Segoe UI" w:eastAsia="Segoe UI"/>
                <w:color w:val="101820"/>
                <w:sz w:val="16"/>
              </w:rPr>
              <w:t>Consultants C</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I</w:t>
            </w:r>
          </w:p>
          <w:p>
            <w:r>
              <w:rPr>
                <w:rFonts w:ascii="Segoe UI" w:hAnsi="Segoe UI" w:cs="Segoe UI" w:eastAsia="Segoe UI"/>
                <w:color w:val="101820"/>
                <w:sz w:val="16"/>
              </w:rPr>
              <w:t>IT I</w:t>
            </w:r>
          </w:p>
        </w:tc>
      </w:tr>
      <w:tr>
        <w:tc>
          <w:tcPr>
            <w:tcW w:type="dxa" w:w="2900"/>
          </w:tcPr>
          <w:p>
            <w:pPr>
              <w:spacing w:after="20"/>
            </w:pPr>
            <w:r>
              <w:rPr>
                <w:rFonts w:ascii="Segoe UI" w:hAnsi="Segoe UI" w:cs="Segoe UI" w:eastAsia="Segoe UI"/>
                <w:color w:val="101820"/>
                <w:sz w:val="16"/>
              </w:rPr>
              <w:t>Data request and extraction</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Discovery workshops</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Configuration decisions</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Configuration in the system</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Environments, backups, monitoring</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Data cleansing</w:t>
            </w:r>
          </w:p>
        </w:tc>
        <w:tc>
          <w:tcPr>
            <w:tcW w:type="dxa" w:w="1254"/>
          </w:tcPr>
          <w:p>
            <w:pPr>
              <w:spacing w:after="20"/>
            </w:pPr>
            <w:r>
              <w:rPr>
                <w:rFonts w:ascii="Segoe UI" w:hAnsi="Segoe UI" w:cs="Segoe UI" w:eastAsia="Segoe UI"/>
                <w:color w:val="101820"/>
                <w:sz w:val="16"/>
              </w:rPr>
              <w:t>I</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Mock loads and reconciliation</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E-mail, bank formats, payment gateway</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System integration test</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I</w:t>
            </w:r>
          </w:p>
        </w:tc>
        <w:tc>
          <w:tcPr>
            <w:tcW w:type="dxa" w:w="1803"/>
          </w:tcPr>
          <w:p>
            <w:pPr>
              <w:spacing w:after="20"/>
            </w:pPr>
            <w:r>
              <w:rPr>
                <w:rFonts w:ascii="Segoe UI" w:hAnsi="Segoe UI" w:cs="Segoe UI" w:eastAsia="Segoe UI"/>
                <w:color w:val="101820"/>
                <w:sz w:val="16"/>
              </w:rPr>
              <w:t>Key users C</w:t>
            </w:r>
          </w:p>
        </w:tc>
      </w:tr>
      <w:tr>
        <w:tc>
          <w:tcPr>
            <w:tcW w:type="dxa" w:w="2900"/>
          </w:tcPr>
          <w:p>
            <w:pPr>
              <w:spacing w:after="20"/>
            </w:pPr>
            <w:r>
              <w:rPr>
                <w:rFonts w:ascii="Segoe UI" w:hAnsi="Segoe UI" w:cs="Segoe UI" w:eastAsia="Segoe UI"/>
                <w:color w:val="101820"/>
                <w:sz w:val="16"/>
              </w:rPr>
              <w:t>UAT execution and sign-off</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Train-the-trainer</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End-user training</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tc>
        <w:tc>
          <w:tcPr>
            <w:tcW w:type="dxa" w:w="1646"/>
          </w:tcPr>
          <w:p>
            <w:pPr>
              <w:spacing w:after="20"/>
            </w:pPr>
            <w:r>
              <w:rPr>
                <w:rFonts w:ascii="Segoe UI" w:hAnsi="Segoe UI" w:cs="Segoe UI" w:eastAsia="Segoe UI"/>
                <w:color w:val="101820"/>
                <w:sz w:val="16"/>
              </w:rPr>
              <w:t>PM A</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Cutover execution</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R</w:t>
            </w:r>
          </w:p>
        </w:tc>
      </w:tr>
      <w:tr>
        <w:tc>
          <w:tcPr>
            <w:tcW w:type="dxa" w:w="2900"/>
          </w:tcPr>
          <w:p>
            <w:pPr>
              <w:spacing w:after="20"/>
            </w:pPr>
            <w:r>
              <w:rPr>
                <w:rFonts w:ascii="Segoe UI" w:hAnsi="Segoe UI" w:cs="Segoe UI" w:eastAsia="Segoe UI"/>
                <w:color w:val="101820"/>
                <w:sz w:val="16"/>
              </w:rPr>
              <w:t>Go/no-go decision</w:t>
            </w:r>
          </w:p>
        </w:tc>
        <w:tc>
          <w:tcPr>
            <w:tcW w:type="dxa" w:w="1254"/>
          </w:tcPr>
          <w:p>
            <w:pPr>
              <w:spacing w:after="20"/>
            </w:pPr>
            <w:r>
              <w:rPr>
                <w:rFonts w:ascii="Segoe UI" w:hAnsi="Segoe UI" w:cs="Segoe UI" w:eastAsia="Segoe UI"/>
                <w:color w:val="101820"/>
                <w:sz w:val="16"/>
              </w:rPr>
              <w:t>C</w:t>
            </w:r>
          </w:p>
        </w:tc>
        <w:tc>
          <w:tcPr>
            <w:tcW w:type="dxa" w:w="1411"/>
          </w:tcPr>
          <w:p>
            <w:pPr>
              <w:spacing w:after="20"/>
            </w:pPr>
            <w:r>
              <w:rPr>
                <w:rFonts w:ascii="Segoe UI" w:hAnsi="Segoe UI" w:cs="Segoe UI" w:eastAsia="Segoe UI"/>
                <w:color w:val="101820"/>
                <w:sz w:val="16"/>
              </w:rPr>
              <w:t>Consultants C</w:t>
            </w:r>
          </w:p>
          <w:p>
            <w:r>
              <w:rPr>
                <w:rFonts w:ascii="Segoe UI" w:hAnsi="Segoe UI" w:cs="Segoe UI" w:eastAsia="Segoe UI"/>
                <w:color w:val="101820"/>
                <w:sz w:val="16"/>
              </w:rPr>
              <w:t>Technical C</w:t>
            </w:r>
          </w:p>
        </w:tc>
        <w:tc>
          <w:tcPr>
            <w:tcW w:type="dxa" w:w="1646"/>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Hypercare</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R</w:t>
            </w:r>
          </w:p>
        </w:tc>
        <w:tc>
          <w:tcPr>
            <w:tcW w:type="dxa" w:w="1803"/>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C</w:t>
            </w:r>
          </w:p>
        </w:tc>
      </w:tr>
      <w:tr>
        <w:tc>
          <w:tcPr>
            <w:tcW w:type="dxa" w:w="2900"/>
          </w:tcPr>
          <w:p>
            <w:pPr>
              <w:spacing w:after="20"/>
            </w:pPr>
            <w:r>
              <w:rPr>
                <w:rFonts w:ascii="Segoe UI" w:hAnsi="Segoe UI" w:cs="Segoe UI" w:eastAsia="Segoe UI"/>
                <w:color w:val="101820"/>
                <w:sz w:val="16"/>
              </w:rPr>
              <w:t>Handover to production support</w:t>
            </w:r>
          </w:p>
        </w:tc>
        <w:tc>
          <w:tcPr>
            <w:tcW w:type="dxa" w:w="1254"/>
          </w:tcPr>
          <w:p>
            <w:pPr>
              <w:spacing w:after="20"/>
            </w:pPr>
            <w:r>
              <w:rPr>
                <w:rFonts w:ascii="Segoe UI" w:hAnsi="Segoe UI" w:cs="Segoe UI" w:eastAsia="Segoe UI"/>
                <w:color w:val="101820"/>
                <w:sz w:val="16"/>
              </w:rPr>
              <w:t>A</w:t>
            </w:r>
          </w:p>
        </w:tc>
        <w:tc>
          <w:tcPr>
            <w:tcW w:type="dxa" w:w="1411"/>
          </w:tcPr>
          <w:p>
            <w:pPr>
              <w:spacing w:after="20"/>
            </w:pPr>
            <w:r>
              <w:rPr>
                <w:rFonts w:ascii="Segoe UI" w:hAnsi="Segoe UI" w:cs="Segoe UI" w:eastAsia="Segoe UI"/>
                <w:color w:val="101820"/>
                <w:sz w:val="16"/>
              </w:rPr>
              <w:t>Consultants R</w:t>
            </w:r>
          </w:p>
          <w:p>
            <w:r>
              <w:rPr>
                <w:rFonts w:ascii="Segoe UI" w:hAnsi="Segoe UI" w:cs="Segoe UI" w:eastAsia="Segoe UI"/>
                <w:color w:val="101820"/>
                <w:sz w:val="16"/>
              </w:rPr>
              <w:t>Technical R</w:t>
            </w:r>
          </w:p>
        </w:tc>
        <w:tc>
          <w:tcPr>
            <w:tcW w:type="dxa" w:w="1646"/>
          </w:tcPr>
          <w:p>
            <w:pPr>
              <w:spacing w:after="20"/>
            </w:pPr>
            <w:r>
              <w:rPr>
                <w:rFonts w:ascii="Segoe UI" w:hAnsi="Segoe UI" w:cs="Segoe UI" w:eastAsia="Segoe UI"/>
                <w:color w:val="101820"/>
                <w:sz w:val="16"/>
              </w:rPr>
              <w:t>PM C</w:t>
            </w:r>
          </w:p>
        </w:tc>
        <w:tc>
          <w:tcPr>
            <w:tcW w:type="dxa" w:w="1803"/>
          </w:tcPr>
          <w:p>
            <w:pPr>
              <w:spacing w:after="20"/>
            </w:pPr>
            <w:r>
              <w:rPr>
                <w:rFonts w:ascii="Segoe UI" w:hAnsi="Segoe UI" w:cs="Segoe UI" w:eastAsia="Segoe UI"/>
                <w:color w:val="101820"/>
                <w:sz w:val="16"/>
              </w:rPr>
              <w:t>IT R</w:t>
            </w:r>
          </w:p>
        </w:tc>
      </w:tr>
    </w:tbl>
    <w:p>
      <w:pPr>
        <w:pStyle w:val="Heading1"/>
        <w:pageBreakBefore/>
      </w:pPr>
      <w:r>
        <w:rPr>
          <w:rFonts w:ascii="Segoe UI" w:hAnsi="Segoe UI" w:cs="Segoe UI" w:eastAsia="Segoe UI"/>
          <w:b/>
          <w:color w:val="0F4761"/>
          <w:sz w:val="32"/>
        </w:rPr>
        <w:t>10.  Governance</w:t>
      </w:r>
    </w:p>
    <w:p>
      <w:pPr>
        <w:pStyle w:val="Heading2"/>
      </w:pPr>
      <w:r>
        <w:rPr>
          <w:rFonts w:ascii="Segoe UI" w:hAnsi="Segoe UI" w:cs="Segoe UI" w:eastAsia="Segoe UI"/>
          <w:b/>
          <w:color w:val="0F4761"/>
          <w:sz w:val="26"/>
        </w:rPr>
        <w:t>10.1  Steering committee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7591"/>
      </w:tblGrid>
      <w:tr>
        <w:trPr>
          <w:tblHeader w:val="true"/>
        </w:trPr>
        <w:tc>
          <w:tcPr>
            <w:tcW w:type="dxa" w:w="1423"/>
            <w:shd w:val="clear" w:color="auto" w:fill="DCE9F7"/>
          </w:tcPr>
          <w:p>
            <w:pPr>
              <w:spacing w:after="20"/>
            </w:pPr>
            <w:r>
              <w:rPr>
                <w:rFonts w:ascii="Segoe UI" w:hAnsi="Segoe UI" w:cs="Segoe UI" w:eastAsia="Segoe UI"/>
                <w:b/>
                <w:color w:val="0F4761"/>
                <w:sz w:val="18"/>
              </w:rPr>
              <w:t>Item</w:t>
            </w:r>
          </w:p>
        </w:tc>
        <w:tc>
          <w:tcPr>
            <w:tcW w:type="dxa" w:w="7591"/>
            <w:shd w:val="clear" w:color="auto" w:fill="DCE9F7"/>
          </w:tcPr>
          <w:p>
            <w:pPr>
              <w:spacing w:after="20"/>
            </w:pPr>
            <w:r>
              <w:rPr>
                <w:rFonts w:ascii="Segoe UI" w:hAnsi="Segoe UI" w:cs="Segoe UI" w:eastAsia="Segoe UI"/>
                <w:b/>
                <w:color w:val="0F4761"/>
                <w:sz w:val="18"/>
              </w:rPr>
              <w:t>Detail</w:t>
            </w:r>
          </w:p>
        </w:tc>
      </w:tr>
      <w:tr>
        <w:tc>
          <w:tcPr>
            <w:tcW w:type="dxa" w:w="1423"/>
          </w:tcPr>
          <w:p>
            <w:pPr>
              <w:spacing w:after="20"/>
            </w:pPr>
            <w:r>
              <w:rPr>
                <w:rFonts w:ascii="Segoe UI" w:hAnsi="Segoe UI" w:cs="Segoe UI" w:eastAsia="Segoe UI"/>
                <w:color w:val="101820"/>
                <w:sz w:val="18"/>
              </w:rPr>
              <w:t>Members</w:t>
            </w:r>
          </w:p>
        </w:tc>
        <w:tc>
          <w:tcPr>
            <w:tcW w:type="dxa" w:w="7591"/>
          </w:tcPr>
          <w:p>
            <w:pPr>
              <w:spacing w:after="20"/>
            </w:pPr>
            <w:r>
              <w:rPr>
                <w:rFonts w:ascii="Segoe UI" w:hAnsi="Segoe UI" w:cs="Segoe UI" w:eastAsia="Segoe UI"/>
                <w:color w:val="101820"/>
                <w:sz w:val="18"/>
              </w:rPr>
              <w:t>Broker sponsor (chair), broker project manager, Accounting Manager, a business head; iorta TechNXT account manager and project manager</w:t>
            </w:r>
          </w:p>
        </w:tc>
      </w:tr>
      <w:tr>
        <w:tc>
          <w:tcPr>
            <w:tcW w:type="dxa" w:w="1423"/>
          </w:tcPr>
          <w:p>
            <w:pPr>
              <w:spacing w:after="20"/>
            </w:pPr>
            <w:r>
              <w:rPr>
                <w:rFonts w:ascii="Segoe UI" w:hAnsi="Segoe UI" w:cs="Segoe UI" w:eastAsia="Segoe UI"/>
                <w:color w:val="101820"/>
                <w:sz w:val="18"/>
              </w:rPr>
              <w:t>Frequency</w:t>
            </w:r>
          </w:p>
        </w:tc>
        <w:tc>
          <w:tcPr>
            <w:tcW w:type="dxa" w:w="7591"/>
          </w:tcPr>
          <w:p>
            <w:pPr>
              <w:spacing w:after="20"/>
            </w:pPr>
            <w:r>
              <w:rPr>
                <w:rFonts w:ascii="Segoe UI" w:hAnsi="Segoe UI" w:cs="Segoe UI" w:eastAsia="Segoe UI"/>
                <w:color w:val="101820"/>
                <w:sz w:val="18"/>
              </w:rPr>
              <w:t>Every two weeks, plus a meeting for each go/no-go</w:t>
            </w:r>
          </w:p>
        </w:tc>
      </w:tr>
      <w:tr>
        <w:tc>
          <w:tcPr>
            <w:tcW w:type="dxa" w:w="1423"/>
          </w:tcPr>
          <w:p>
            <w:pPr>
              <w:spacing w:after="20"/>
            </w:pPr>
            <w:r>
              <w:rPr>
                <w:rFonts w:ascii="Segoe UI" w:hAnsi="Segoe UI" w:cs="Segoe UI" w:eastAsia="Segoe UI"/>
                <w:color w:val="101820"/>
                <w:sz w:val="18"/>
              </w:rPr>
              <w:t>Inputs</w:t>
            </w:r>
          </w:p>
        </w:tc>
        <w:tc>
          <w:tcPr>
            <w:tcW w:type="dxa" w:w="7591"/>
          </w:tcPr>
          <w:p>
            <w:pPr>
              <w:spacing w:after="20"/>
            </w:pPr>
            <w:r>
              <w:rPr>
                <w:rFonts w:ascii="Segoe UI" w:hAnsi="Segoe UI" w:cs="Segoe UI" w:eastAsia="Segoe UI"/>
                <w:color w:val="101820"/>
                <w:sz w:val="18"/>
              </w:rPr>
              <w:t>Status report, milestone tracker, RAID log extract, change requests for decision</w:t>
            </w:r>
          </w:p>
        </w:tc>
      </w:tr>
      <w:tr>
        <w:tc>
          <w:tcPr>
            <w:tcW w:type="dxa" w:w="1423"/>
          </w:tcPr>
          <w:p>
            <w:pPr>
              <w:spacing w:after="20"/>
            </w:pPr>
            <w:r>
              <w:rPr>
                <w:rFonts w:ascii="Segoe UI" w:hAnsi="Segoe UI" w:cs="Segoe UI" w:eastAsia="Segoe UI"/>
                <w:color w:val="101820"/>
                <w:sz w:val="18"/>
              </w:rPr>
              <w:t>Decisions</w:t>
            </w:r>
          </w:p>
        </w:tc>
        <w:tc>
          <w:tcPr>
            <w:tcW w:type="dxa" w:w="7591"/>
          </w:tcPr>
          <w:p>
            <w:pPr>
              <w:spacing w:after="20"/>
            </w:pPr>
            <w:r>
              <w:rPr>
                <w:rFonts w:ascii="Segoe UI" w:hAnsi="Segoe UI" w:cs="Segoe UI" w:eastAsia="Segoe UI"/>
                <w:color w:val="101820"/>
                <w:sz w:val="18"/>
              </w:rPr>
              <w:t>Scope, change requests, plan changes, phase acceptance, go/no-go, hypercare exit</w:t>
            </w:r>
          </w:p>
        </w:tc>
      </w:tr>
    </w:tbl>
    <w:p>
      <w:pPr>
        <w:spacing w:after="80"/>
      </w:pPr>
    </w:p>
    <w:p>
      <w:pPr>
        <w:pStyle w:val="Heading2"/>
      </w:pPr>
      <w:r>
        <w:rPr>
          <w:rFonts w:ascii="Segoe UI" w:hAnsi="Segoe UI" w:cs="Segoe UI" w:eastAsia="Segoe UI"/>
          <w:b/>
          <w:color w:val="0F4761"/>
          <w:sz w:val="26"/>
        </w:rPr>
        <w:t>10.2  Weekly status</w:t>
      </w:r>
    </w:p>
    <w:p>
      <w:pPr>
        <w:spacing w:after="120" w:line="276" w:lineRule="auto"/>
      </w:pPr>
      <w:r>
        <w:rPr>
          <w:rFonts w:ascii="Segoe UI" w:hAnsi="Segoe UI" w:cs="Segoe UI" w:eastAsia="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pPr>
      <w:r>
        <w:rPr>
          <w:rFonts w:ascii="Segoe UI" w:hAnsi="Segoe UI" w:cs="Segoe UI" w:eastAsia="Segoe UI"/>
          <w:b/>
          <w:color w:val="0F4761"/>
          <w:sz w:val="26"/>
        </w:rPr>
        <w:t>10.3  RAID log</w:t>
      </w:r>
    </w:p>
    <w:p>
      <w:pPr>
        <w:spacing w:after="120" w:line="276" w:lineRule="auto"/>
      </w:pPr>
      <w:r>
        <w:rPr>
          <w:rFonts w:ascii="Segoe UI" w:hAnsi="Segoe UI" w:cs="Segoe UI" w:eastAsia="Segoe UI"/>
          <w:color w:val="101820"/>
          <w:sz w:val="21"/>
        </w:rPr>
        <w:t>One shared log of risks, assumptions, issues and dependencies, kept by the iorta TechNXT project manager and reviewed in every weekly status meeting.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Field</w:t>
            </w:r>
          </w:p>
        </w:tc>
        <w:tc>
          <w:tcPr>
            <w:tcW w:type="dxa" w:w="6458"/>
            <w:shd w:val="clear" w:color="auto" w:fill="DCE9F7"/>
          </w:tcPr>
          <w:p>
            <w:pPr>
              <w:spacing w:after="20"/>
            </w:pPr>
            <w:r>
              <w:rPr>
                <w:rFonts w:ascii="Segoe UI" w:hAnsi="Segoe UI" w:cs="Segoe UI" w:eastAsia="Segoe UI"/>
                <w:b/>
                <w:color w:val="0F4761"/>
                <w:sz w:val="18"/>
              </w:rPr>
              <w:t>Content</w:t>
            </w:r>
          </w:p>
        </w:tc>
      </w:tr>
      <w:tr>
        <w:tc>
          <w:tcPr>
            <w:tcW w:type="dxa" w:w="2556"/>
          </w:tcPr>
          <w:p>
            <w:pPr>
              <w:spacing w:after="20"/>
            </w:pPr>
            <w:r>
              <w:rPr>
                <w:rFonts w:ascii="Segoe UI" w:hAnsi="Segoe UI" w:cs="Segoe UI" w:eastAsia="Segoe UI"/>
                <w:color w:val="101820"/>
                <w:sz w:val="18"/>
              </w:rPr>
              <w:t>ID, type</w:t>
            </w:r>
          </w:p>
        </w:tc>
        <w:tc>
          <w:tcPr>
            <w:tcW w:type="dxa" w:w="6458"/>
          </w:tcPr>
          <w:p>
            <w:pPr>
              <w:spacing w:after="20"/>
            </w:pPr>
            <w:r>
              <w:rPr>
                <w:rFonts w:ascii="Segoe UI" w:hAnsi="Segoe UI" w:cs="Segoe UI" w:eastAsia="Segoe UI"/>
                <w:color w:val="101820"/>
                <w:sz w:val="18"/>
              </w:rPr>
              <w:t>R, A, I or D with a running number</w:t>
            </w:r>
          </w:p>
        </w:tc>
      </w:tr>
      <w:tr>
        <w:tc>
          <w:tcPr>
            <w:tcW w:type="dxa" w:w="2556"/>
          </w:tcPr>
          <w:p>
            <w:pPr>
              <w:spacing w:after="20"/>
            </w:pPr>
            <w:r>
              <w:rPr>
                <w:rFonts w:ascii="Segoe UI" w:hAnsi="Segoe UI" w:cs="Segoe UI" w:eastAsia="Segoe UI"/>
                <w:color w:val="101820"/>
                <w:sz w:val="18"/>
              </w:rPr>
              <w:t>Description</w:t>
            </w:r>
          </w:p>
        </w:tc>
        <w:tc>
          <w:tcPr>
            <w:tcW w:type="dxa" w:w="6458"/>
          </w:tcPr>
          <w:p>
            <w:pPr>
              <w:spacing w:after="20"/>
            </w:pPr>
            <w:r>
              <w:rPr>
                <w:rFonts w:ascii="Segoe UI" w:hAnsi="Segoe UI" w:cs="Segoe UI" w:eastAsia="Segoe UI"/>
                <w:color w:val="101820"/>
                <w:sz w:val="18"/>
              </w:rPr>
              <w:t>What it is and its effect on scope, time or quality</w:t>
            </w:r>
          </w:p>
        </w:tc>
      </w:tr>
      <w:tr>
        <w:tc>
          <w:tcPr>
            <w:tcW w:type="dxa" w:w="2556"/>
          </w:tcPr>
          <w:p>
            <w:pPr>
              <w:spacing w:after="20"/>
            </w:pPr>
            <w:r>
              <w:rPr>
                <w:rFonts w:ascii="Segoe UI" w:hAnsi="Segoe UI" w:cs="Segoe UI" w:eastAsia="Segoe UI"/>
                <w:color w:val="101820"/>
                <w:sz w:val="18"/>
              </w:rPr>
              <w:t>Owner</w:t>
            </w:r>
          </w:p>
        </w:tc>
        <w:tc>
          <w:tcPr>
            <w:tcW w:type="dxa" w:w="6458"/>
          </w:tcPr>
          <w:p>
            <w:pPr>
              <w:spacing w:after="20"/>
            </w:pPr>
            <w:r>
              <w:rPr>
                <w:rFonts w:ascii="Segoe UI" w:hAnsi="Segoe UI" w:cs="Segoe UI" w:eastAsia="Segoe UI"/>
                <w:color w:val="101820"/>
                <w:sz w:val="18"/>
              </w:rPr>
              <w:t>One named person</w:t>
            </w:r>
          </w:p>
        </w:tc>
      </w:tr>
      <w:tr>
        <w:tc>
          <w:tcPr>
            <w:tcW w:type="dxa" w:w="2556"/>
          </w:tcPr>
          <w:p>
            <w:pPr>
              <w:spacing w:after="20"/>
            </w:pPr>
            <w:r>
              <w:rPr>
                <w:rFonts w:ascii="Segoe UI" w:hAnsi="Segoe UI" w:cs="Segoe UI" w:eastAsia="Segoe UI"/>
                <w:color w:val="101820"/>
                <w:sz w:val="18"/>
              </w:rPr>
              <w:t>Rating</w:t>
            </w:r>
          </w:p>
        </w:tc>
        <w:tc>
          <w:tcPr>
            <w:tcW w:type="dxa" w:w="6458"/>
          </w:tcPr>
          <w:p>
            <w:pPr>
              <w:spacing w:after="20"/>
            </w:pPr>
            <w:r>
              <w:rPr>
                <w:rFonts w:ascii="Segoe UI" w:hAnsi="Segoe UI" w:cs="Segoe UI" w:eastAsia="Segoe UI"/>
                <w:color w:val="101820"/>
                <w:sz w:val="18"/>
              </w:rPr>
              <w:t>High, medium or low (probability and impact for risks)</w:t>
            </w:r>
          </w:p>
        </w:tc>
      </w:tr>
      <w:tr>
        <w:tc>
          <w:tcPr>
            <w:tcW w:type="dxa" w:w="2556"/>
          </w:tcPr>
          <w:p>
            <w:pPr>
              <w:spacing w:after="20"/>
            </w:pPr>
            <w:r>
              <w:rPr>
                <w:rFonts w:ascii="Segoe UI" w:hAnsi="Segoe UI" w:cs="Segoe UI" w:eastAsia="Segoe UI"/>
                <w:color w:val="101820"/>
                <w:sz w:val="18"/>
              </w:rPr>
              <w:t>Action and due date</w:t>
            </w:r>
          </w:p>
        </w:tc>
        <w:tc>
          <w:tcPr>
            <w:tcW w:type="dxa" w:w="6458"/>
          </w:tcPr>
          <w:p>
            <w:pPr>
              <w:spacing w:after="20"/>
            </w:pPr>
            <w:r>
              <w:rPr>
                <w:rFonts w:ascii="Segoe UI" w:hAnsi="Segoe UI" w:cs="Segoe UI" w:eastAsia="Segoe UI"/>
                <w:color w:val="101820"/>
                <w:sz w:val="18"/>
              </w:rPr>
              <w:t>Mitigation or resolution and when</w:t>
            </w:r>
          </w:p>
        </w:tc>
      </w:tr>
      <w:tr>
        <w:tc>
          <w:tcPr>
            <w:tcW w:type="dxa" w:w="2556"/>
          </w:tcPr>
          <w:p>
            <w:pPr>
              <w:spacing w:after="20"/>
            </w:pPr>
            <w:r>
              <w:rPr>
                <w:rFonts w:ascii="Segoe UI" w:hAnsi="Segoe UI" w:cs="Segoe UI" w:eastAsia="Segoe UI"/>
                <w:color w:val="101820"/>
                <w:sz w:val="18"/>
              </w:rPr>
              <w:t>Status</w:t>
            </w:r>
          </w:p>
        </w:tc>
        <w:tc>
          <w:tcPr>
            <w:tcW w:type="dxa" w:w="6458"/>
          </w:tcPr>
          <w:p>
            <w:pPr>
              <w:spacing w:after="20"/>
            </w:pPr>
            <w:r>
              <w:rPr>
                <w:rFonts w:ascii="Segoe UI" w:hAnsi="Segoe UI" w:cs="Segoe UI" w:eastAsia="Segoe UI"/>
                <w:color w:val="101820"/>
                <w:sz w:val="18"/>
              </w:rPr>
              <w:t>Open, in progress, closed; closure date</w:t>
            </w:r>
          </w:p>
        </w:tc>
      </w:tr>
    </w:tbl>
    <w:p>
      <w:pPr>
        <w:spacing w:after="80"/>
      </w:pPr>
    </w:p>
    <w:p>
      <w:pPr>
        <w:spacing w:after="120" w:line="276" w:lineRule="auto"/>
      </w:pPr>
      <w:r>
        <w:rPr>
          <w:rFonts w:ascii="Segoe UI" w:hAnsi="Segoe UI" w:cs="Segoe UI" w:eastAsia="Segoe UI"/>
          <w:color w:val="101820"/>
          <w:sz w:val="21"/>
        </w:rPr>
        <w:t>Items rated high go to the steering committee.</w:t>
      </w:r>
    </w:p>
    <w:p>
      <w:pPr>
        <w:pStyle w:val="Heading1"/>
        <w:pageBreakBefore/>
      </w:pPr>
      <w:r>
        <w:rPr>
          <w:rFonts w:ascii="Segoe UI" w:hAnsi="Segoe UI" w:cs="Segoe UI" w:eastAsia="Segoe UI"/>
          <w:b/>
          <w:color w:val="0F4761"/>
          <w:sz w:val="32"/>
        </w:rPr>
        <w:t>11.  Deliverables and acceptance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Phase</w:t>
            </w:r>
          </w:p>
        </w:tc>
        <w:tc>
          <w:tcPr>
            <w:tcW w:type="dxa" w:w="3698"/>
            <w:shd w:val="clear" w:color="auto" w:fill="DCE9F7"/>
          </w:tcPr>
          <w:p>
            <w:pPr>
              <w:spacing w:after="20"/>
            </w:pPr>
            <w:r>
              <w:rPr>
                <w:rFonts w:ascii="Segoe UI" w:hAnsi="Segoe UI" w:cs="Segoe UI" w:eastAsia="Segoe UI"/>
                <w:b/>
                <w:color w:val="0F4761"/>
                <w:sz w:val="18"/>
              </w:rPr>
              <w:t>Deliverables</w:t>
            </w:r>
          </w:p>
        </w:tc>
        <w:tc>
          <w:tcPr>
            <w:tcW w:type="dxa" w:w="3698"/>
            <w:shd w:val="clear" w:color="auto" w:fill="DCE9F7"/>
          </w:tcPr>
          <w:p>
            <w:pPr>
              <w:spacing w:after="20"/>
            </w:pPr>
            <w:r>
              <w:rPr>
                <w:rFonts w:ascii="Segoe UI" w:hAnsi="Segoe UI" w:cs="Segoe UI" w:eastAsia="Segoe UI"/>
                <w:b/>
                <w:color w:val="0F4761"/>
                <w:sz w:val="18"/>
              </w:rPr>
              <w:t>Acceptance criteria</w:t>
            </w:r>
          </w:p>
        </w:tc>
      </w:tr>
      <w:tr>
        <w:tc>
          <w:tcPr>
            <w:tcW w:type="dxa" w:w="1618"/>
          </w:tcPr>
          <w:p>
            <w:pPr>
              <w:spacing w:after="20"/>
            </w:pPr>
            <w:r>
              <w:rPr>
                <w:rFonts w:ascii="Segoe UI" w:hAnsi="Segoe UI" w:cs="Segoe UI" w:eastAsia="Segoe UI"/>
                <w:color w:val="101820"/>
                <w:sz w:val="18"/>
              </w:rPr>
              <w:t>Mobilisation</w:t>
            </w:r>
          </w:p>
        </w:tc>
        <w:tc>
          <w:tcPr>
            <w:tcW w:type="dxa" w:w="3698"/>
          </w:tcPr>
          <w:p>
            <w:pPr>
              <w:spacing w:after="20"/>
            </w:pPr>
            <w:r>
              <w:rPr>
                <w:rFonts w:ascii="Segoe UI" w:hAnsi="Segoe UI" w:cs="Segoe UI" w:eastAsia="Segoe UI"/>
                <w:color w:val="101820"/>
                <w:sz w:val="18"/>
              </w:rPr>
              <w:t>Project charter, baselined plan, RAID log, data request list, governance calendar</w:t>
            </w:r>
          </w:p>
        </w:tc>
        <w:tc>
          <w:tcPr>
            <w:tcW w:type="dxa" w:w="3698"/>
          </w:tcPr>
          <w:p>
            <w:pPr>
              <w:spacing w:after="20"/>
            </w:pPr>
            <w:r>
              <w:rPr>
                <w:rFonts w:ascii="Segoe UI" w:hAnsi="Segoe UI" w:cs="Segoe UI" w:eastAsia="Segoe UI"/>
                <w:color w:val="101820"/>
                <w:sz w:val="18"/>
              </w:rPr>
              <w:t>Charter and plan signed by both project managers and the sponsor</w:t>
            </w:r>
          </w:p>
        </w:tc>
      </w:tr>
      <w:tr>
        <w:tc>
          <w:tcPr>
            <w:tcW w:type="dxa" w:w="1618"/>
          </w:tcPr>
          <w:p>
            <w:pPr>
              <w:spacing w:after="20"/>
            </w:pPr>
            <w:r>
              <w:rPr>
                <w:rFonts w:ascii="Segoe UI" w:hAnsi="Segoe UI" w:cs="Segoe UI" w:eastAsia="Segoe UI"/>
                <w:color w:val="101820"/>
                <w:sz w:val="18"/>
              </w:rPr>
              <w:t>Discovery and fit-gap</w:t>
            </w:r>
          </w:p>
        </w:tc>
        <w:tc>
          <w:tcPr>
            <w:tcW w:type="dxa" w:w="3698"/>
          </w:tcPr>
          <w:p>
            <w:pPr>
              <w:spacing w:after="20"/>
            </w:pPr>
            <w:r>
              <w:rPr>
                <w:rFonts w:ascii="Segoe UI" w:hAnsi="Segoe UI" w:cs="Segoe UI" w:eastAsia="Segoe UI"/>
                <w:color w:val="101820"/>
                <w:sz w:val="18"/>
              </w:rPr>
              <w:t>Configuration workbook, fit-gap register</w:t>
            </w:r>
          </w:p>
        </w:tc>
        <w:tc>
          <w:tcPr>
            <w:tcW w:type="dxa" w:w="3698"/>
          </w:tcPr>
          <w:p>
            <w:pPr>
              <w:spacing w:after="20"/>
            </w:pPr>
            <w:r>
              <w:rPr>
                <w:rFonts w:ascii="Segoe UI" w:hAnsi="Segoe UI" w:cs="Segoe UI" w:eastAsia="Segoe UI"/>
                <w:color w:val="101820"/>
                <w:sz w:val="18"/>
              </w:rPr>
              <w:t>Every process walked through; every register line classed and owned; signed by the process owners</w:t>
            </w:r>
          </w:p>
        </w:tc>
      </w:tr>
      <w:tr>
        <w:tc>
          <w:tcPr>
            <w:tcW w:type="dxa" w:w="1618"/>
          </w:tcPr>
          <w:p>
            <w:pPr>
              <w:spacing w:after="20"/>
            </w:pPr>
            <w:r>
              <w:rPr>
                <w:rFonts w:ascii="Segoe UI" w:hAnsi="Segoe UI" w:cs="Segoe UI" w:eastAsia="Segoe UI"/>
                <w:color w:val="101820"/>
                <w:sz w:val="18"/>
              </w:rPr>
              <w:t>Environment set-up</w:t>
            </w:r>
          </w:p>
        </w:tc>
        <w:tc>
          <w:tcPr>
            <w:tcW w:type="dxa" w:w="3698"/>
          </w:tcPr>
          <w:p>
            <w:pPr>
              <w:spacing w:after="20"/>
            </w:pPr>
            <w:r>
              <w:rPr>
                <w:rFonts w:ascii="Segoe UI" w:hAnsi="Segoe UI" w:cs="Segoe UI" w:eastAsia="Segoe UI"/>
                <w:color w:val="101820"/>
                <w:sz w:val="18"/>
              </w:rPr>
              <w:t>Environment set of the broker size (Dev, UAT, Production; SIT for a large broker), environment sheet (addresses, backups, monitoring)</w:t>
            </w:r>
          </w:p>
        </w:tc>
        <w:tc>
          <w:tcPr>
            <w:tcW w:type="dxa" w:w="3698"/>
          </w:tcPr>
          <w:p>
            <w:pPr>
              <w:spacing w:after="20"/>
            </w:pPr>
            <w:r>
              <w:rPr>
                <w:rFonts w:ascii="Segoe UI" w:hAnsi="Segoe UI" w:cs="Segoe UI" w:eastAsia="Segoe UI"/>
                <w:color w:val="101820"/>
                <w:sz w:val="18"/>
              </w:rPr>
              <w:t xml:space="preserve">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passed on each; restore test done once</w:t>
            </w:r>
          </w:p>
        </w:tc>
      </w:tr>
      <w:tr>
        <w:tc>
          <w:tcPr>
            <w:tcW w:type="dxa" w:w="1618"/>
          </w:tcPr>
          <w:p>
            <w:pPr>
              <w:spacing w:after="20"/>
            </w:pPr>
            <w:r>
              <w:rPr>
                <w:rFonts w:ascii="Segoe UI" w:hAnsi="Segoe UI" w:cs="Segoe UI" w:eastAsia="Segoe UI"/>
                <w:color w:val="101820"/>
                <w:sz w:val="18"/>
              </w:rPr>
              <w:t>Configuration</w:t>
            </w:r>
          </w:p>
        </w:tc>
        <w:tc>
          <w:tcPr>
            <w:tcW w:type="dxa" w:w="3698"/>
          </w:tcPr>
          <w:p>
            <w:pPr>
              <w:spacing w:after="20"/>
            </w:pPr>
            <w:r>
              <w:rPr>
                <w:rFonts w:ascii="Segoe UI" w:hAnsi="Segoe UI" w:cs="Segoe UI" w:eastAsia="Segoe UI"/>
                <w:color w:val="101820"/>
                <w:sz w:val="18"/>
              </w:rPr>
              <w:t>Configured Dev (small, medium) or SIT (large) environment, promoted to UAT; configuration workbook updated with the values set</w:t>
            </w:r>
          </w:p>
        </w:tc>
        <w:tc>
          <w:tcPr>
            <w:tcW w:type="dxa" w:w="3698"/>
          </w:tcPr>
          <w:p>
            <w:pPr>
              <w:spacing w:after="20"/>
            </w:pPr>
            <w:r>
              <w:rPr>
                <w:rFonts w:ascii="Segoe UI" w:hAnsi="Segoe UI" w:cs="Segoe UI" w:eastAsia="Segoe UI"/>
                <w:color w:val="101820"/>
                <w:sz w:val="18"/>
              </w:rPr>
              <w:t xml:space="preserve">Each workbook item set and checked as in </w:t>
            </w:r>
            <w:r>
              <w:rPr>
                <w:rFonts w:ascii="Consolas" w:hAnsi="Consolas" w:cs="Consolas" w:eastAsia="Consolas"/>
                <w:color w:val="101820"/>
                <w:sz w:val="16"/>
              </w:rPr>
              <w:t>GO_LIVE_DATA_SETUP.md</w:t>
            </w:r>
            <w:r>
              <w:rPr>
                <w:rFonts w:ascii="Segoe UI" w:hAnsi="Segoe UI" w:cs="Segoe UI" w:eastAsia="Segoe UI"/>
                <w:color w:val="101820"/>
                <w:sz w:val="18"/>
              </w:rPr>
              <w:t xml:space="preserve"> steps 1 to 10; test quotation premiums and taxes agree with manual calculations</w:t>
            </w:r>
          </w:p>
        </w:tc>
      </w:tr>
      <w:tr>
        <w:tc>
          <w:tcPr>
            <w:tcW w:type="dxa" w:w="1618"/>
          </w:tcPr>
          <w:p>
            <w:pPr>
              <w:spacing w:after="20"/>
            </w:pPr>
            <w:r>
              <w:rPr>
                <w:rFonts w:ascii="Segoe UI" w:hAnsi="Segoe UI" w:cs="Segoe UI" w:eastAsia="Segoe UI"/>
                <w:color w:val="101820"/>
                <w:sz w:val="18"/>
              </w:rPr>
              <w:t>Data migration</w:t>
            </w:r>
          </w:p>
        </w:tc>
        <w:tc>
          <w:tcPr>
            <w:tcW w:type="dxa" w:w="3698"/>
          </w:tcPr>
          <w:p>
            <w:pPr>
              <w:spacing w:after="20"/>
            </w:pPr>
            <w:r>
              <w:rPr>
                <w:rFonts w:ascii="Segoe UI" w:hAnsi="Segoe UI" w:cs="Segoe UI" w:eastAsia="Segoe UI"/>
                <w:color w:val="101820"/>
                <w:sz w:val="18"/>
              </w:rPr>
              <w:t>Mapping sheets, filled templates, load logs, reconciliation reports for each mock load</w:t>
            </w:r>
          </w:p>
        </w:tc>
        <w:tc>
          <w:tcPr>
            <w:tcW w:type="dxa" w:w="3698"/>
          </w:tcPr>
          <w:p>
            <w:pPr>
              <w:spacing w:after="20"/>
            </w:pPr>
            <w:r>
              <w:rPr>
                <w:rFonts w:ascii="Segoe UI" w:hAnsi="Segoe UI" w:cs="Segoe UI" w:eastAsia="Segoe UI"/>
                <w:color w:val="101820"/>
                <w:sz w:val="18"/>
              </w:rPr>
              <w:t>Counts and totals agree within the agreed tolerance (default: exact); trial balance as at go-live agrees with the old system</w:t>
            </w:r>
          </w:p>
        </w:tc>
      </w:tr>
      <w:tr>
        <w:tc>
          <w:tcPr>
            <w:tcW w:type="dxa" w:w="1618"/>
          </w:tcPr>
          <w:p>
            <w:pPr>
              <w:spacing w:after="20"/>
            </w:pPr>
            <w:r>
              <w:rPr>
                <w:rFonts w:ascii="Segoe UI" w:hAnsi="Segoe UI" w:cs="Segoe UI" w:eastAsia="Segoe UI"/>
                <w:color w:val="101820"/>
                <w:sz w:val="18"/>
              </w:rPr>
              <w:t>Integrations</w:t>
            </w:r>
          </w:p>
        </w:tc>
        <w:tc>
          <w:tcPr>
            <w:tcW w:type="dxa" w:w="3698"/>
          </w:tcPr>
          <w:p>
            <w:pPr>
              <w:spacing w:after="20"/>
            </w:pPr>
            <w:r>
              <w:rPr>
                <w:rFonts w:ascii="Segoe UI" w:hAnsi="Segoe UI" w:cs="Segoe UI" w:eastAsia="Segoe UI"/>
                <w:color w:val="101820"/>
                <w:sz w:val="18"/>
              </w:rPr>
              <w:t>E-mail, bank statement formats, payment gateway set up</w:t>
            </w:r>
          </w:p>
        </w:tc>
        <w:tc>
          <w:tcPr>
            <w:tcW w:type="dxa" w:w="3698"/>
          </w:tcPr>
          <w:p>
            <w:pPr>
              <w:spacing w:after="20"/>
            </w:pPr>
            <w:r>
              <w:rPr>
                <w:rFonts w:ascii="Segoe UI" w:hAnsi="Segoe UI" w:cs="Segoe UI" w:eastAsia="Segoe UI"/>
                <w:color w:val="101820"/>
                <w:sz w:val="18"/>
              </w:rPr>
              <w:t>Password reset e-mail and quotation approval link received; one statement per bank account imported with a balancing preview; one sandbox payment receipted</w:t>
            </w:r>
          </w:p>
        </w:tc>
      </w:tr>
      <w:tr>
        <w:tc>
          <w:tcPr>
            <w:tcW w:type="dxa" w:w="1618"/>
          </w:tcPr>
          <w:p>
            <w:pPr>
              <w:spacing w:after="20"/>
            </w:pPr>
            <w:r>
              <w:rPr>
                <w:rFonts w:ascii="Segoe UI" w:hAnsi="Segoe UI" w:cs="Segoe UI" w:eastAsia="Segoe UI"/>
                <w:color w:val="101820"/>
                <w:sz w:val="18"/>
              </w:rPr>
              <w:t>Training</w:t>
            </w:r>
          </w:p>
        </w:tc>
        <w:tc>
          <w:tcPr>
            <w:tcW w:type="dxa" w:w="3698"/>
          </w:tcPr>
          <w:p>
            <w:pPr>
              <w:spacing w:after="20"/>
            </w:pPr>
            <w:r>
              <w:rPr>
                <w:rFonts w:ascii="Segoe UI" w:hAnsi="Segoe UI" w:cs="Segoe UI" w:eastAsia="Segoe UI"/>
                <w:color w:val="101820"/>
                <w:sz w:val="18"/>
              </w:rPr>
              <w:t>Training schedule, attendance lists, assessment results</w:t>
            </w:r>
          </w:p>
        </w:tc>
        <w:tc>
          <w:tcPr>
            <w:tcW w:type="dxa" w:w="3698"/>
          </w:tcPr>
          <w:p>
            <w:pPr>
              <w:spacing w:after="20"/>
            </w:pPr>
            <w:r>
              <w:rPr>
                <w:rFonts w:ascii="Segoe UI" w:hAnsi="Segoe UI" w:cs="Segoe UI" w:eastAsia="Segoe UI"/>
                <w:color w:val="101820"/>
                <w:sz w:val="18"/>
              </w:rPr>
              <w:t>Every user trained in the role before go-live; key users pass the assessment</w:t>
            </w:r>
          </w:p>
        </w:tc>
      </w:tr>
      <w:tr>
        <w:tc>
          <w:tcPr>
            <w:tcW w:type="dxa" w:w="1618"/>
          </w:tcPr>
          <w:p>
            <w:pPr>
              <w:spacing w:after="20"/>
            </w:pPr>
            <w:r>
              <w:rPr>
                <w:rFonts w:ascii="Segoe UI" w:hAnsi="Segoe UI" w:cs="Segoe UI" w:eastAsia="Segoe UI"/>
                <w:color w:val="101820"/>
                <w:sz w:val="18"/>
              </w:rPr>
              <w:t>SIT</w:t>
            </w:r>
          </w:p>
        </w:tc>
        <w:tc>
          <w:tcPr>
            <w:tcW w:type="dxa" w:w="3698"/>
          </w:tcPr>
          <w:p>
            <w:pPr>
              <w:spacing w:after="20"/>
            </w:pPr>
            <w:r>
              <w:rPr>
                <w:rFonts w:ascii="Segoe UI" w:hAnsi="Segoe UI" w:cs="Segoe UI" w:eastAsia="Segoe UI"/>
                <w:color w:val="101820"/>
                <w:sz w:val="18"/>
              </w:rPr>
              <w:t>SIT plan, test results, defect log, SIT exit report</w:t>
            </w:r>
          </w:p>
        </w:tc>
        <w:tc>
          <w:tcPr>
            <w:tcW w:type="dxa" w:w="3698"/>
          </w:tcPr>
          <w:p>
            <w:pPr>
              <w:spacing w:after="20"/>
            </w:pPr>
            <w:r>
              <w:rPr>
                <w:rFonts w:ascii="Segoe UI" w:hAnsi="Segoe UI" w:cs="Segoe UI" w:eastAsia="Segoe UI"/>
                <w:color w:val="101820"/>
                <w:sz w:val="18"/>
              </w:rPr>
              <w:t>All end-to-end flows passed; no open severity 1 or 2 defect</w:t>
            </w:r>
          </w:p>
        </w:tc>
      </w:tr>
      <w:tr>
        <w:tc>
          <w:tcPr>
            <w:tcW w:type="dxa" w:w="1618"/>
          </w:tcPr>
          <w:p>
            <w:pPr>
              <w:spacing w:after="20"/>
            </w:pPr>
            <w:r>
              <w:rPr>
                <w:rFonts w:ascii="Segoe UI" w:hAnsi="Segoe UI" w:cs="Segoe UI" w:eastAsia="Segoe UI"/>
                <w:color w:val="101820"/>
                <w:sz w:val="18"/>
              </w:rPr>
              <w:t>UAT</w:t>
            </w:r>
          </w:p>
        </w:tc>
        <w:tc>
          <w:tcPr>
            <w:tcW w:type="dxa" w:w="3698"/>
          </w:tcPr>
          <w:p>
            <w:pPr>
              <w:spacing w:after="20"/>
            </w:pPr>
            <w:r>
              <w:rPr>
                <w:rFonts w:ascii="Segoe UI" w:hAnsi="Segoe UI" w:cs="Segoe UI" w:eastAsia="Segoe UI"/>
                <w:color w:val="101820"/>
                <w:sz w:val="18"/>
              </w:rPr>
              <w:t>UAT results per script, defect log, UAT sign-off</w:t>
            </w:r>
          </w:p>
        </w:tc>
        <w:tc>
          <w:tcPr>
            <w:tcW w:type="dxa" w:w="3698"/>
          </w:tcPr>
          <w:p>
            <w:pPr>
              <w:spacing w:after="20"/>
            </w:pPr>
            <w:r>
              <w:rPr>
                <w:rFonts w:ascii="Segoe UI" w:hAnsi="Segoe UI" w:cs="Segoe UI" w:eastAsia="Segoe UI"/>
                <w:color w:val="101820"/>
                <w:sz w:val="18"/>
              </w:rPr>
              <w:t>All UAT scripts passed or accepted with a workaround; sign-off by each process owner and the sponsor</w:t>
            </w:r>
          </w:p>
        </w:tc>
      </w:tr>
      <w:tr>
        <w:tc>
          <w:tcPr>
            <w:tcW w:type="dxa" w:w="1618"/>
          </w:tcPr>
          <w:p>
            <w:pPr>
              <w:spacing w:after="20"/>
            </w:pPr>
            <w:r>
              <w:rPr>
                <w:rFonts w:ascii="Segoe UI" w:hAnsi="Segoe UI" w:cs="Segoe UI" w:eastAsia="Segoe UI"/>
                <w:color w:val="101820"/>
                <w:sz w:val="18"/>
              </w:rPr>
              <w:t>Cutover</w:t>
            </w:r>
          </w:p>
        </w:tc>
        <w:tc>
          <w:tcPr>
            <w:tcW w:type="dxa" w:w="3698"/>
          </w:tcPr>
          <w:p>
            <w:pPr>
              <w:spacing w:after="20"/>
            </w:pPr>
            <w:r>
              <w:rPr>
                <w:rFonts w:ascii="Segoe UI" w:hAnsi="Segoe UI" w:cs="Segoe UI" w:eastAsia="Segoe UI"/>
                <w:color w:val="101820"/>
                <w:sz w:val="18"/>
              </w:rPr>
              <w:t>Cutover checklist with times and owners, final reconciliation, go/no-go minutes</w:t>
            </w:r>
          </w:p>
        </w:tc>
        <w:tc>
          <w:tcPr>
            <w:tcW w:type="dxa" w:w="3698"/>
          </w:tcPr>
          <w:p>
            <w:pPr>
              <w:spacing w:after="20"/>
            </w:pPr>
            <w:r>
              <w:rPr>
                <w:rFonts w:ascii="Segoe UI" w:hAnsi="Segoe UI" w:cs="Segoe UI" w:eastAsia="Segoe UI"/>
                <w:color w:val="101820"/>
                <w:sz w:val="18"/>
              </w:rPr>
              <w:t>Go/no-go criteria met (Data Migration and Cutover Plan)</w:t>
            </w:r>
          </w:p>
        </w:tc>
      </w:tr>
      <w:tr>
        <w:tc>
          <w:tcPr>
            <w:tcW w:type="dxa" w:w="1618"/>
          </w:tcPr>
          <w:p>
            <w:pPr>
              <w:spacing w:after="20"/>
            </w:pPr>
            <w:r>
              <w:rPr>
                <w:rFonts w:ascii="Segoe UI" w:hAnsi="Segoe UI" w:cs="Segoe UI" w:eastAsia="Segoe UI"/>
                <w:color w:val="101820"/>
                <w:sz w:val="18"/>
              </w:rPr>
              <w:t>Go-live</w:t>
            </w:r>
          </w:p>
        </w:tc>
        <w:tc>
          <w:tcPr>
            <w:tcW w:type="dxa" w:w="3698"/>
          </w:tcPr>
          <w:p>
            <w:pPr>
              <w:spacing w:after="20"/>
            </w:pPr>
            <w:r>
              <w:rPr>
                <w:rFonts w:ascii="Segoe UI" w:hAnsi="Segoe UI" w:cs="Segoe UI" w:eastAsia="Segoe UI"/>
                <w:color w:val="101820"/>
                <w:sz w:val="18"/>
              </w:rPr>
              <w:t>Production in use; go-live communication</w:t>
            </w:r>
          </w:p>
        </w:tc>
        <w:tc>
          <w:tcPr>
            <w:tcW w:type="dxa" w:w="3698"/>
          </w:tcPr>
          <w:p>
            <w:pPr>
              <w:spacing w:after="20"/>
            </w:pPr>
            <w:r>
              <w:rPr>
                <w:rFonts w:ascii="Segoe UI" w:hAnsi="Segoe UI" w:cs="Segoe UI" w:eastAsia="Segoe UI"/>
                <w:color w:val="101820"/>
                <w:sz w:val="18"/>
              </w:rPr>
              <w:t>Users signed in and transacting; first receipts, remittances and bank imports processed</w:t>
            </w:r>
          </w:p>
        </w:tc>
      </w:tr>
      <w:tr>
        <w:tc>
          <w:tcPr>
            <w:tcW w:type="dxa" w:w="1618"/>
          </w:tcPr>
          <w:p>
            <w:pPr>
              <w:spacing w:after="20"/>
            </w:pPr>
            <w:r>
              <w:rPr>
                <w:rFonts w:ascii="Segoe UI" w:hAnsi="Segoe UI" w:cs="Segoe UI" w:eastAsia="Segoe UI"/>
                <w:color w:val="101820"/>
                <w:sz w:val="18"/>
              </w:rPr>
              <w:t>Hypercare</w:t>
            </w:r>
          </w:p>
        </w:tc>
        <w:tc>
          <w:tcPr>
            <w:tcW w:type="dxa" w:w="3698"/>
          </w:tcPr>
          <w:p>
            <w:pPr>
              <w:spacing w:after="20"/>
            </w:pPr>
            <w:r>
              <w:rPr>
                <w:rFonts w:ascii="Segoe UI" w:hAnsi="Segoe UI" w:cs="Segoe UI" w:eastAsia="Segoe UI"/>
                <w:color w:val="101820"/>
                <w:sz w:val="18"/>
              </w:rPr>
              <w:t>Hypercare log, first month-end close support, handover pack</w:t>
            </w:r>
          </w:p>
        </w:tc>
        <w:tc>
          <w:tcPr>
            <w:tcW w:type="dxa" w:w="3698"/>
          </w:tcPr>
          <w:p>
            <w:pPr>
              <w:spacing w:after="20"/>
            </w:pPr>
            <w:r>
              <w:rPr>
                <w:rFonts w:ascii="Segoe UI" w:hAnsi="Segoe UI" w:cs="Segoe UI" w:eastAsia="Segoe UI"/>
                <w:color w:val="101820"/>
                <w:sz w:val="18"/>
              </w:rPr>
              <w:t>No open severity 1 or 2 issue; first close completed; handover accepted by production support and the System Administrator</w:t>
            </w:r>
          </w:p>
        </w:tc>
      </w:tr>
    </w:tbl>
    <w:p>
      <w:pPr>
        <w:spacing w:after="80"/>
      </w:pPr>
    </w:p>
    <w:p>
      <w:pPr>
        <w:spacing w:after="120" w:line="276" w:lineRule="auto"/>
      </w:pPr>
      <w:r>
        <w:rPr>
          <w:rFonts w:ascii="Segoe UI" w:hAnsi="Segoe UI" w:cs="Segoe UI" w:eastAsia="Segoe UI"/>
          <w:color w:val="101820"/>
          <w:sz w:val="21"/>
        </w:rPr>
        <w:t>A deliverable is deemed accepted when the broker has not raised a written objection within 5 business days of submission (assumption, to be agreed in the contract).</w:t>
      </w:r>
    </w:p>
    <w:p>
      <w:pPr>
        <w:pStyle w:val="Heading1"/>
        <w:pageBreakBefore/>
      </w:pPr>
      <w:r>
        <w:rPr>
          <w:rFonts w:ascii="Segoe UI" w:hAnsi="Segoe UI" w:cs="Segoe UI" w:eastAsia="Segoe UI"/>
          <w:b/>
          <w:color w:val="0F4761"/>
          <w:sz w:val="32"/>
        </w:rPr>
        <w:t>12.  Assumptions</w:t>
      </w:r>
    </w:p>
    <w:p>
      <w:pPr>
        <w:spacing w:after="60"/>
        <w:numPr>
          <w:ilvl w:val="0"/>
          <w:numId w:val="3"/>
        </w:numPr>
      </w:pPr>
      <w:r>
        <w:rPr>
          <w:rFonts w:ascii="Segoe UI" w:hAnsi="Segoe UI" w:cs="Segoe UI" w:eastAsia="Segoe UI"/>
          <w:color w:val="101820"/>
          <w:sz w:val="21"/>
        </w:rPr>
        <w:t>The implementation is OOTB: the broker uses the delivered screens, workflows, reports and printed documents.</w:t>
      </w:r>
    </w:p>
    <w:p>
      <w:pPr>
        <w:spacing w:after="60"/>
        <w:numPr>
          <w:ilvl w:val="0"/>
          <w:numId w:val="3"/>
        </w:numPr>
      </w:pPr>
      <w:r>
        <w:rPr>
          <w:rFonts w:ascii="Segoe UI" w:hAnsi="Segoe UI" w:cs="Segoe UI" w:eastAsia="Segoe UI"/>
          <w:color w:val="101820"/>
          <w:sz w:val="21"/>
        </w:rPr>
        <w:t>The broker names a project manager and one key user per team, available at least 50% of their time during discovery, UAT and cutover, and an Accounting Manager available for the ledger, tax and opening balance decisions.</w:t>
      </w:r>
    </w:p>
    <w:p>
      <w:pPr>
        <w:spacing w:after="60"/>
        <w:numPr>
          <w:ilvl w:val="0"/>
          <w:numId w:val="3"/>
        </w:numPr>
      </w:pPr>
      <w:r>
        <w:rPr>
          <w:rFonts w:ascii="Segoe UI" w:hAnsi="Segoe UI" w:cs="Segoe UI" w:eastAsia="Segoe UI"/>
          <w:color w:val="101820"/>
          <w:sz w:val="21"/>
        </w:rPr>
        <w:t>The broker provides complete and cleansed data in the delivered templates by the dates in the plan.</w:t>
      </w:r>
    </w:p>
    <w:p>
      <w:pPr>
        <w:spacing w:after="60"/>
        <w:numPr>
          <w:ilvl w:val="0"/>
          <w:numId w:val="3"/>
        </w:numPr>
      </w:pPr>
      <w:r>
        <w:rPr>
          <w:rFonts w:ascii="Segoe UI" w:hAnsi="Segoe UI" w:cs="Segoe UI" w:eastAsia="Segoe UI"/>
          <w:color w:val="101820"/>
          <w:sz w:val="21"/>
        </w:rPr>
        <w:t>Decisions in discovery are made within 3 business days of each workshop.</w:t>
      </w:r>
    </w:p>
    <w:p>
      <w:pPr>
        <w:spacing w:after="60"/>
        <w:numPr>
          <w:ilvl w:val="0"/>
          <w:numId w:val="3"/>
        </w:numPr>
      </w:pPr>
      <w:r>
        <w:rPr>
          <w:rFonts w:ascii="Segoe UI" w:hAnsi="Segoe UI" w:cs="Segoe UI" w:eastAsia="Segoe UI"/>
          <w:color w:val="101820"/>
          <w:sz w:val="21"/>
        </w:rPr>
        <w:t>iorta TechNXT hosts the environment set of the broker size and the temporary Pre-Prod on AWS (region ap-southeast-1), priced per environment. Other hosting is priced separately.</w:t>
      </w:r>
    </w:p>
    <w:p>
      <w:pPr>
        <w:spacing w:after="60"/>
        <w:numPr>
          <w:ilvl w:val="0"/>
          <w:numId w:val="3"/>
        </w:numPr>
      </w:pPr>
      <w:r>
        <w:rPr>
          <w:rFonts w:ascii="Segoe UI" w:hAnsi="Segoe UI" w:cs="Segoe UI" w:eastAsia="Segoe UI"/>
          <w:color w:val="101820"/>
          <w:sz w:val="21"/>
        </w:rPr>
        <w:t>Workshops and training are delivered on site in Metro Manila or online, in English, during Philippine business hours.</w:t>
      </w:r>
    </w:p>
    <w:p>
      <w:pPr>
        <w:spacing w:after="60"/>
        <w:numPr>
          <w:ilvl w:val="0"/>
          <w:numId w:val="3"/>
        </w:numPr>
      </w:pPr>
      <w:r>
        <w:rPr>
          <w:rFonts w:ascii="Segoe UI" w:hAnsi="Segoe UI" w:cs="Segoe UI" w:eastAsia="Segoe UI"/>
          <w:color w:val="101820"/>
          <w:sz w:val="21"/>
        </w:rPr>
        <w:t>One legal entity and one fiscal year are migrated; opening balances are taken at a single go-live date.</w:t>
      </w:r>
    </w:p>
    <w:p>
      <w:pPr>
        <w:spacing w:after="60"/>
        <w:numPr>
          <w:ilvl w:val="0"/>
          <w:numId w:val="3"/>
        </w:numPr>
      </w:pPr>
      <w:r>
        <w:rPr>
          <w:rFonts w:ascii="Segoe UI" w:hAnsi="Segoe UI" w:cs="Segoe UI" w:eastAsia="Segoe UI"/>
          <w:color w:val="101820"/>
          <w:sz w:val="21"/>
        </w:rPr>
        <w:t>The broker uses the delivered roles: System Administrator, Sales &amp; Marketing, Processing Team, Operations, Claims, Accounting and Accounting Manager.</w:t>
      </w:r>
    </w:p>
    <w:p>
      <w:pPr>
        <w:spacing w:after="60"/>
        <w:numPr>
          <w:ilvl w:val="0"/>
          <w:numId w:val="3"/>
        </w:numPr>
      </w:pPr>
      <w:r>
        <w:rPr>
          <w:rFonts w:ascii="Segoe UI" w:hAnsi="Segoe UI" w:cs="Segoe UI" w:eastAsia="Segoe UI"/>
          <w:color w:val="101820"/>
          <w:sz w:val="21"/>
        </w:rPr>
        <w:t>The delivered tax codes, rates and BIR working papers are confirmed by the broker's tax adviser before go-live.</w:t>
      </w:r>
    </w:p>
    <w:p>
      <w:pPr>
        <w:spacing w:after="60"/>
        <w:numPr>
          <w:ilvl w:val="0"/>
          <w:numId w:val="3"/>
        </w:numPr>
      </w:pPr>
      <w:r>
        <w:rPr>
          <w:rFonts w:ascii="Segoe UI" w:hAnsi="Segoe UI" w:cs="Segoe UI" w:eastAsia="Segoe UI"/>
          <w:color w:val="101820"/>
          <w:sz w:val="21"/>
        </w:rPr>
        <w:t>Testing uses Dev, SIT (large broker), UAT and the temporary Pre-Prod; production receives the release and the frozen configuration before the cutover rehearsal and is used for business only after the go decision.</w:t>
      </w:r>
    </w:p>
    <w:p>
      <w:pPr>
        <w:pStyle w:val="Heading1"/>
        <w:pageBreakBefore/>
      </w:pPr>
      <w:r>
        <w:rPr>
          <w:rFonts w:ascii="Segoe UI" w:hAnsi="Segoe UI" w:cs="Segoe UI" w:eastAsia="Segoe UI"/>
          <w:b/>
          <w:color w:val="0F4761"/>
          <w:sz w:val="32"/>
        </w:rPr>
        <w:t>13.  Exclusions</w:t>
      </w:r>
    </w:p>
    <w:p>
      <w:pPr>
        <w:spacing w:after="120" w:line="276" w:lineRule="auto"/>
      </w:pPr>
      <w:r>
        <w:rPr>
          <w:rFonts w:ascii="Segoe UI" w:hAnsi="Segoe UI" w:cs="Segoe UI" w:eastAsia="Segoe UI"/>
          <w:color w:val="101820"/>
          <w:sz w:val="21"/>
        </w:rPr>
        <w:t>The following are outside the OOTB implementation. Any of them can be quoted separately through a change request.</w:t>
      </w:r>
    </w:p>
    <w:p>
      <w:pPr>
        <w:spacing w:after="60"/>
        <w:numPr>
          <w:ilvl w:val="0"/>
          <w:numId w:val="3"/>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3"/>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3"/>
        </w:numPr>
      </w:pPr>
      <w:r>
        <w:rPr>
          <w:rFonts w:ascii="Segoe UI" w:hAnsi="Segoe UI" w:cs="Segoe UI" w:eastAsia="Segoe UI"/>
          <w:color w:val="101820"/>
          <w:sz w:val="21"/>
        </w:rPr>
        <w:t>Data cleansing, de-duplication and enrichment of the broker's data, and extraction from the old system.</w:t>
      </w:r>
    </w:p>
    <w:p>
      <w:pPr>
        <w:spacing w:after="60"/>
        <w:numPr>
          <w:ilvl w:val="0"/>
          <w:numId w:val="3"/>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3"/>
        </w:numPr>
      </w:pPr>
      <w:r>
        <w:rPr>
          <w:rFonts w:ascii="Segoe UI" w:hAnsi="Segoe UI" w:cs="Segoe UI" w:eastAsia="Segoe UI"/>
          <w:color w:val="101820"/>
          <w:sz w:val="21"/>
        </w:rPr>
        <w:t>Hardware, end-user devices, networks, browsers and office software.</w:t>
      </w:r>
    </w:p>
    <w:p>
      <w:pPr>
        <w:spacing w:after="60"/>
        <w:numPr>
          <w:ilvl w:val="0"/>
          <w:numId w:val="3"/>
        </w:numPr>
      </w:pPr>
      <w:r>
        <w:rPr>
          <w:rFonts w:ascii="Segoe UI" w:hAnsi="Segoe UI" w:cs="Segoe UI" w:eastAsia="Segoe UI"/>
          <w:color w:val="101820"/>
          <w:sz w:val="21"/>
        </w:rPr>
        <w:t>Third-party licences and fees: cloud subscriptions beyond the agreed hosting, Microsoft 365 or other mailbox, payment gateway merchant fees, SSL certificates for broker-owned domains.</w:t>
      </w:r>
    </w:p>
    <w:p>
      <w:pPr>
        <w:spacing w:after="60"/>
        <w:numPr>
          <w:ilvl w:val="0"/>
          <w:numId w:val="3"/>
        </w:numPr>
      </w:pPr>
      <w:r>
        <w:rPr>
          <w:rFonts w:ascii="Segoe UI" w:hAnsi="Segoe UI" w:cs="Segoe UI" w:eastAsia="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spacing w:after="60"/>
        <w:numPr>
          <w:ilvl w:val="0"/>
          <w:numId w:val="3"/>
        </w:numPr>
      </w:pPr>
      <w:r>
        <w:rPr>
          <w:rFonts w:ascii="Segoe UI" w:hAnsi="Segoe UI" w:cs="Segoe UI" w:eastAsia="Segoe UI"/>
          <w:color w:val="101820"/>
          <w:sz w:val="21"/>
        </w:rPr>
        <w:t>Tax, legal, actuarial or audit advice.</w:t>
      </w:r>
    </w:p>
    <w:p>
      <w:pPr>
        <w:spacing w:after="60"/>
        <w:numPr>
          <w:ilvl w:val="0"/>
          <w:numId w:val="3"/>
        </w:numPr>
      </w:pPr>
      <w:r>
        <w:rPr>
          <w:rFonts w:ascii="Segoe UI" w:hAnsi="Segoe UI" w:cs="Segoe UI" w:eastAsia="Segoe UI"/>
          <w:color w:val="101820"/>
          <w:sz w:val="21"/>
        </w:rPr>
        <w:t>Translation of the screens (Filipino has no translation file in this release).</w:t>
      </w:r>
    </w:p>
    <w:p>
      <w:pPr>
        <w:spacing w:after="60"/>
        <w:numPr>
          <w:ilvl w:val="0"/>
          <w:numId w:val="3"/>
        </w:numPr>
      </w:pPr>
      <w:r>
        <w:rPr>
          <w:rFonts w:ascii="Segoe UI" w:hAnsi="Segoe UI" w:cs="Segoe UI" w:eastAsia="Segoe UI"/>
          <w:color w:val="101820"/>
          <w:sz w:val="21"/>
        </w:rPr>
        <w:t>Training beyond the curriculum of the Training Plan and training of users added after go-live.</w:t>
      </w:r>
    </w:p>
    <w:p>
      <w:pPr>
        <w:spacing w:after="60"/>
        <w:numPr>
          <w:ilvl w:val="0"/>
          <w:numId w:val="3"/>
        </w:numPr>
      </w:pPr>
      <w:r>
        <w:rPr>
          <w:rFonts w:ascii="Segoe UI" w:hAnsi="Segoe UI" w:cs="Segoe UI" w:eastAsia="Segoe UI"/>
          <w:color w:val="101820"/>
          <w:sz w:val="21"/>
        </w:rPr>
        <w:t>Support after hypercare, which is covered by the production support agreement.</w:t>
      </w:r>
    </w:p>
    <w:p>
      <w:pPr>
        <w:pStyle w:val="Heading1"/>
        <w:pageBreakBefore/>
      </w:pPr>
      <w:r>
        <w:rPr>
          <w:rFonts w:ascii="Segoe UI" w:hAnsi="Segoe UI" w:cs="Segoe UI" w:eastAsia="Segoe UI"/>
          <w:b/>
          <w:color w:val="0F4761"/>
          <w:sz w:val="32"/>
        </w:rPr>
        <w:t>14.  Dependencies on the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151"/>
        <w:gridCol w:w="3863"/>
      </w:tblGrid>
      <w:tr>
        <w:trPr>
          <w:tblHeader w:val="true"/>
        </w:trPr>
        <w:tc>
          <w:tcPr>
            <w:tcW w:type="dxa" w:w="5151"/>
            <w:shd w:val="clear" w:color="auto" w:fill="DCE9F7"/>
          </w:tcPr>
          <w:p>
            <w:pPr>
              <w:spacing w:after="20"/>
            </w:pPr>
            <w:r>
              <w:rPr>
                <w:rFonts w:ascii="Segoe UI" w:hAnsi="Segoe UI" w:cs="Segoe UI" w:eastAsia="Segoe UI"/>
                <w:b/>
                <w:color w:val="0F4761"/>
                <w:sz w:val="18"/>
              </w:rPr>
              <w:t>Dependency</w:t>
            </w:r>
          </w:p>
        </w:tc>
        <w:tc>
          <w:tcPr>
            <w:tcW w:type="dxa" w:w="3863"/>
            <w:shd w:val="clear" w:color="auto" w:fill="DCE9F7"/>
          </w:tcPr>
          <w:p>
            <w:pPr>
              <w:spacing w:after="20"/>
            </w:pPr>
            <w:r>
              <w:rPr>
                <w:rFonts w:ascii="Segoe UI" w:hAnsi="Segoe UI" w:cs="Segoe UI" w:eastAsia="Segoe UI"/>
                <w:b/>
                <w:color w:val="0F4761"/>
                <w:sz w:val="18"/>
              </w:rPr>
              <w:t>Needed by</w:t>
            </w:r>
          </w:p>
        </w:tc>
      </w:tr>
      <w:tr>
        <w:tc>
          <w:tcPr>
            <w:tcW w:type="dxa" w:w="5151"/>
          </w:tcPr>
          <w:p>
            <w:pPr>
              <w:spacing w:after="20"/>
            </w:pPr>
            <w:r>
              <w:rPr>
                <w:rFonts w:ascii="Segoe UI" w:hAnsi="Segoe UI" w:cs="Segoe UI" w:eastAsia="Segoe UI"/>
                <w:color w:val="101820"/>
                <w:sz w:val="18"/>
              </w:rPr>
              <w:t>Named project manager, key users and Accounting Manager</w:t>
            </w:r>
          </w:p>
        </w:tc>
        <w:tc>
          <w:tcPr>
            <w:tcW w:type="dxa" w:w="3863"/>
          </w:tcPr>
          <w:p>
            <w:pPr>
              <w:spacing w:after="20"/>
            </w:pPr>
            <w:r>
              <w:rPr>
                <w:rFonts w:ascii="Segoe UI" w:hAnsi="Segoe UI" w:cs="Segoe UI" w:eastAsia="Segoe UI"/>
                <w:color w:val="101820"/>
                <w:sz w:val="18"/>
              </w:rPr>
              <w:t>Week 1</w:t>
            </w:r>
          </w:p>
        </w:tc>
      </w:tr>
      <w:tr>
        <w:tc>
          <w:tcPr>
            <w:tcW w:type="dxa" w:w="5151"/>
          </w:tcPr>
          <w:p>
            <w:pPr>
              <w:spacing w:after="20"/>
            </w:pPr>
            <w:r>
              <w:rPr>
                <w:rFonts w:ascii="Segoe UI" w:hAnsi="Segoe UI" w:cs="Segoe UI" w:eastAsia="Segoe UI"/>
                <w:color w:val="101820"/>
                <w:sz w:val="18"/>
              </w:rPr>
              <w:t>Insurer list and agreements, commission and referrer rates, product list</w:t>
            </w:r>
          </w:p>
        </w:tc>
        <w:tc>
          <w:tcPr>
            <w:tcW w:type="dxa" w:w="3863"/>
          </w:tcPr>
          <w:p>
            <w:pPr>
              <w:spacing w:after="20"/>
            </w:pPr>
            <w:r>
              <w:rPr>
                <w:rFonts w:ascii="Segoe UI" w:hAnsi="Segoe UI" w:cs="Segoe UI" w:eastAsia="Segoe UI"/>
                <w:color w:val="101820"/>
                <w:sz w:val="18"/>
              </w:rPr>
              <w:t>End of discovery</w:t>
            </w:r>
          </w:p>
        </w:tc>
      </w:tr>
      <w:tr>
        <w:tc>
          <w:tcPr>
            <w:tcW w:type="dxa" w:w="5151"/>
          </w:tcPr>
          <w:p>
            <w:pPr>
              <w:spacing w:after="20"/>
            </w:pPr>
            <w:r>
              <w:rPr>
                <w:rFonts w:ascii="Segoe UI" w:hAnsi="Segoe UI" w:cs="Segoe UI" w:eastAsia="Segoe UI"/>
                <w:color w:val="101820"/>
                <w:sz w:val="18"/>
              </w:rPr>
              <w:t>Chart of accounts and the accountant's mapping decisions</w:t>
            </w:r>
          </w:p>
        </w:tc>
        <w:tc>
          <w:tcPr>
            <w:tcW w:type="dxa" w:w="3863"/>
          </w:tcPr>
          <w:p>
            <w:pPr>
              <w:spacing w:after="20"/>
            </w:pPr>
            <w:r>
              <w:rPr>
                <w:rFonts w:ascii="Segoe UI" w:hAnsi="Segoe UI" w:cs="Segoe UI" w:eastAsia="Segoe UI"/>
                <w:color w:val="101820"/>
                <w:sz w:val="18"/>
              </w:rPr>
              <w:t>Start of configuration of the ledger</w:t>
            </w:r>
          </w:p>
        </w:tc>
      </w:tr>
      <w:tr>
        <w:tc>
          <w:tcPr>
            <w:tcW w:type="dxa" w:w="5151"/>
          </w:tcPr>
          <w:p>
            <w:pPr>
              <w:spacing w:after="20"/>
            </w:pPr>
            <w:r>
              <w:rPr>
                <w:rFonts w:ascii="Segoe UI" w:hAnsi="Segoe UI" w:cs="Segoe UI" w:eastAsia="Segoe UI"/>
                <w:color w:val="101820"/>
                <w:sz w:val="18"/>
              </w:rPr>
              <w:t>BIR Authority to Print or registered series for official receipts and invoices; last numbers used</w:t>
            </w:r>
          </w:p>
        </w:tc>
        <w:tc>
          <w:tcPr>
            <w:tcW w:type="dxa" w:w="3863"/>
          </w:tcPr>
          <w:p>
            <w:pPr>
              <w:spacing w:after="20"/>
            </w:pPr>
            <w:r>
              <w:rPr>
                <w:rFonts w:ascii="Segoe UI" w:hAnsi="Segoe UI" w:cs="Segoe UI" w:eastAsia="Segoe UI"/>
                <w:color w:val="101820"/>
                <w:sz w:val="18"/>
              </w:rPr>
              <w:t>Configuration of document numbering</w:t>
            </w:r>
          </w:p>
        </w:tc>
      </w:tr>
      <w:tr>
        <w:tc>
          <w:tcPr>
            <w:tcW w:type="dxa" w:w="5151"/>
          </w:tcPr>
          <w:p>
            <w:pPr>
              <w:spacing w:after="20"/>
            </w:pPr>
            <w:r>
              <w:rPr>
                <w:rFonts w:ascii="Segoe UI" w:hAnsi="Segoe UI" w:cs="Segoe UI" w:eastAsia="Segoe UI"/>
                <w:color w:val="101820"/>
                <w:sz w:val="18"/>
              </w:rPr>
              <w:t>SMTP mailbox and credentials; payment gateway merchant account and credentials</w:t>
            </w:r>
          </w:p>
        </w:tc>
        <w:tc>
          <w:tcPr>
            <w:tcW w:type="dxa" w:w="3863"/>
          </w:tcPr>
          <w:p>
            <w:pPr>
              <w:spacing w:after="20"/>
            </w:pPr>
            <w:r>
              <w:rPr>
                <w:rFonts w:ascii="Segoe UI" w:hAnsi="Segoe UI" w:cs="Segoe UI" w:eastAsia="Segoe UI"/>
                <w:color w:val="101820"/>
                <w:sz w:val="18"/>
              </w:rPr>
              <w:t>Integrations phase</w:t>
            </w:r>
          </w:p>
        </w:tc>
      </w:tr>
      <w:tr>
        <w:tc>
          <w:tcPr>
            <w:tcW w:type="dxa" w:w="5151"/>
          </w:tcPr>
          <w:p>
            <w:pPr>
              <w:spacing w:after="20"/>
            </w:pPr>
            <w:r>
              <w:rPr>
                <w:rFonts w:ascii="Segoe UI" w:hAnsi="Segoe UI" w:cs="Segoe UI" w:eastAsia="Segoe UI"/>
                <w:color w:val="101820"/>
                <w:sz w:val="18"/>
              </w:rPr>
              <w:t>One recent statement export per bank account</w:t>
            </w:r>
          </w:p>
        </w:tc>
        <w:tc>
          <w:tcPr>
            <w:tcW w:type="dxa" w:w="3863"/>
          </w:tcPr>
          <w:p>
            <w:pPr>
              <w:spacing w:after="20"/>
            </w:pPr>
            <w:r>
              <w:rPr>
                <w:rFonts w:ascii="Segoe UI" w:hAnsi="Segoe UI" w:cs="Segoe UI" w:eastAsia="Segoe UI"/>
                <w:color w:val="101820"/>
                <w:sz w:val="18"/>
              </w:rPr>
              <w:t>Integrations phase</w:t>
            </w:r>
          </w:p>
        </w:tc>
      </w:tr>
      <w:tr>
        <w:tc>
          <w:tcPr>
            <w:tcW w:type="dxa" w:w="5151"/>
          </w:tcPr>
          <w:p>
            <w:pPr>
              <w:spacing w:after="20"/>
            </w:pPr>
            <w:r>
              <w:rPr>
                <w:rFonts w:ascii="Segoe UI" w:hAnsi="Segoe UI" w:cs="Segoe UI" w:eastAsia="Segoe UI"/>
                <w:color w:val="101820"/>
                <w:sz w:val="18"/>
              </w:rPr>
              <w:t>In-force policy, open receivable and trial balance extracts in the templates</w:t>
            </w:r>
          </w:p>
        </w:tc>
        <w:tc>
          <w:tcPr>
            <w:tcW w:type="dxa" w:w="3863"/>
          </w:tcPr>
          <w:p>
            <w:pPr>
              <w:spacing w:after="20"/>
            </w:pPr>
            <w:r>
              <w:rPr>
                <w:rFonts w:ascii="Segoe UI" w:hAnsi="Segoe UI" w:cs="Segoe UI" w:eastAsia="Segoe UI"/>
                <w:color w:val="101820"/>
                <w:sz w:val="18"/>
              </w:rPr>
              <w:t>Each mock load and cutover</w:t>
            </w:r>
          </w:p>
        </w:tc>
      </w:tr>
      <w:tr>
        <w:tc>
          <w:tcPr>
            <w:tcW w:type="dxa" w:w="5151"/>
          </w:tcPr>
          <w:p>
            <w:pPr>
              <w:spacing w:after="20"/>
            </w:pPr>
            <w:r>
              <w:rPr>
                <w:rFonts w:ascii="Segoe UI" w:hAnsi="Segoe UI" w:cs="Segoe UI" w:eastAsia="Segoe UI"/>
                <w:color w:val="101820"/>
                <w:sz w:val="18"/>
              </w:rPr>
              <w:t>User list with roles and e-mail addresses</w:t>
            </w:r>
          </w:p>
        </w:tc>
        <w:tc>
          <w:tcPr>
            <w:tcW w:type="dxa" w:w="3863"/>
          </w:tcPr>
          <w:p>
            <w:pPr>
              <w:spacing w:after="20"/>
            </w:pPr>
            <w:r>
              <w:rPr>
                <w:rFonts w:ascii="Segoe UI" w:hAnsi="Segoe UI" w:cs="Segoe UI" w:eastAsia="Segoe UI"/>
                <w:color w:val="101820"/>
                <w:sz w:val="18"/>
              </w:rPr>
              <w:t>Two weeks before training</w:t>
            </w:r>
          </w:p>
        </w:tc>
      </w:tr>
      <w:tr>
        <w:tc>
          <w:tcPr>
            <w:tcW w:type="dxa" w:w="5151"/>
          </w:tcPr>
          <w:p>
            <w:pPr>
              <w:spacing w:after="20"/>
            </w:pPr>
            <w:r>
              <w:rPr>
                <w:rFonts w:ascii="Segoe UI" w:hAnsi="Segoe UI" w:cs="Segoe UI" w:eastAsia="Segoe UI"/>
                <w:color w:val="101820"/>
                <w:sz w:val="18"/>
              </w:rPr>
              <w:t>Training rooms, devices and attendance</w:t>
            </w:r>
          </w:p>
        </w:tc>
        <w:tc>
          <w:tcPr>
            <w:tcW w:type="dxa" w:w="3863"/>
          </w:tcPr>
          <w:p>
            <w:pPr>
              <w:spacing w:after="20"/>
            </w:pPr>
            <w:r>
              <w:rPr>
                <w:rFonts w:ascii="Segoe UI" w:hAnsi="Segoe UI" w:cs="Segoe UI" w:eastAsia="Segoe UI"/>
                <w:color w:val="101820"/>
                <w:sz w:val="18"/>
              </w:rPr>
              <w:t>Training phase</w:t>
            </w:r>
          </w:p>
        </w:tc>
      </w:tr>
      <w:tr>
        <w:tc>
          <w:tcPr>
            <w:tcW w:type="dxa" w:w="5151"/>
          </w:tcPr>
          <w:p>
            <w:pPr>
              <w:spacing w:after="20"/>
            </w:pPr>
            <w:r>
              <w:rPr>
                <w:rFonts w:ascii="Segoe UI" w:hAnsi="Segoe UI" w:cs="Segoe UI" w:eastAsia="Segoe UI"/>
                <w:color w:val="101820"/>
                <w:sz w:val="18"/>
              </w:rPr>
              <w:t>UAT testers and sign-off authority</w:t>
            </w:r>
          </w:p>
        </w:tc>
        <w:tc>
          <w:tcPr>
            <w:tcW w:type="dxa" w:w="3863"/>
          </w:tcPr>
          <w:p>
            <w:pPr>
              <w:spacing w:after="20"/>
            </w:pPr>
            <w:r>
              <w:rPr>
                <w:rFonts w:ascii="Segoe UI" w:hAnsi="Segoe UI" w:cs="Segoe UI" w:eastAsia="Segoe UI"/>
                <w:color w:val="101820"/>
                <w:sz w:val="18"/>
              </w:rPr>
              <w:t>UAT phase</w:t>
            </w:r>
          </w:p>
        </w:tc>
      </w:tr>
      <w:tr>
        <w:tc>
          <w:tcPr>
            <w:tcW w:type="dxa" w:w="5151"/>
          </w:tcPr>
          <w:p>
            <w:pPr>
              <w:spacing w:after="20"/>
            </w:pPr>
            <w:r>
              <w:rPr>
                <w:rFonts w:ascii="Segoe UI" w:hAnsi="Segoe UI" w:cs="Segoe UI" w:eastAsia="Segoe UI"/>
                <w:color w:val="101820"/>
                <w:sz w:val="18"/>
              </w:rPr>
              <w:t>Freeze of the old system and final extract at cutover</w:t>
            </w:r>
          </w:p>
        </w:tc>
        <w:tc>
          <w:tcPr>
            <w:tcW w:type="dxa" w:w="3863"/>
          </w:tcPr>
          <w:p>
            <w:pPr>
              <w:spacing w:after="20"/>
            </w:pPr>
            <w:r>
              <w:rPr>
                <w:rFonts w:ascii="Segoe UI" w:hAnsi="Segoe UI" w:cs="Segoe UI" w:eastAsia="Segoe UI"/>
                <w:color w:val="101820"/>
                <w:sz w:val="18"/>
              </w:rPr>
              <w:t>Cutover</w:t>
            </w:r>
          </w:p>
        </w:tc>
      </w:tr>
      <w:tr>
        <w:tc>
          <w:tcPr>
            <w:tcW w:type="dxa" w:w="5151"/>
          </w:tcPr>
          <w:p>
            <w:pPr>
              <w:spacing w:after="20"/>
            </w:pPr>
            <w:r>
              <w:rPr>
                <w:rFonts w:ascii="Segoe UI" w:hAnsi="Segoe UI" w:cs="Segoe UI" w:eastAsia="Segoe UI"/>
                <w:color w:val="101820"/>
                <w:sz w:val="18"/>
              </w:rPr>
              <w:t>Decisions on the fit-gap register and change requests within the agreed time</w:t>
            </w:r>
          </w:p>
        </w:tc>
        <w:tc>
          <w:tcPr>
            <w:tcW w:type="dxa" w:w="3863"/>
          </w:tcPr>
          <w:p>
            <w:pPr>
              <w:spacing w:after="20"/>
            </w:pPr>
            <w:r>
              <w:rPr>
                <w:rFonts w:ascii="Segoe UI" w:hAnsi="Segoe UI" w:cs="Segoe UI" w:eastAsia="Segoe UI"/>
                <w:color w:val="101820"/>
                <w:sz w:val="18"/>
              </w:rPr>
              <w:t>Throughout</w:t>
            </w:r>
          </w:p>
        </w:tc>
      </w:tr>
    </w:tbl>
    <w:p>
      <w:pPr>
        <w:pStyle w:val="Heading1"/>
        <w:pageBreakBefore/>
      </w:pPr>
      <w:r>
        <w:rPr>
          <w:rFonts w:ascii="Segoe UI" w:hAnsi="Segoe UI" w:cs="Segoe UI" w:eastAsia="Segoe UI"/>
          <w:b/>
          <w:color w:val="0F4761"/>
          <w:sz w:val="32"/>
        </w:rPr>
        <w:t>15.  Risks and mitigations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Risk</w:t>
            </w:r>
          </w:p>
        </w:tc>
        <w:tc>
          <w:tcPr>
            <w:tcW w:type="dxa" w:w="3005"/>
            <w:shd w:val="clear" w:color="auto" w:fill="DCE9F7"/>
          </w:tcPr>
          <w:p>
            <w:pPr>
              <w:spacing w:after="20"/>
            </w:pPr>
            <w:r>
              <w:rPr>
                <w:rFonts w:ascii="Segoe UI" w:hAnsi="Segoe UI" w:cs="Segoe UI" w:eastAsia="Segoe UI"/>
                <w:b/>
                <w:color w:val="0F4761"/>
                <w:sz w:val="18"/>
              </w:rPr>
              <w:t>Effect</w:t>
            </w:r>
          </w:p>
        </w:tc>
        <w:tc>
          <w:tcPr>
            <w:tcW w:type="dxa" w:w="3005"/>
            <w:shd w:val="clear" w:color="auto" w:fill="DCE9F7"/>
          </w:tcPr>
          <w:p>
            <w:pPr>
              <w:spacing w:after="20"/>
            </w:pPr>
            <w:r>
              <w:rPr>
                <w:rFonts w:ascii="Segoe UI" w:hAnsi="Segoe UI" w:cs="Segoe UI" w:eastAsia="Segoe UI"/>
                <w:b/>
                <w:color w:val="0F4761"/>
                <w:sz w:val="18"/>
              </w:rPr>
              <w:t>Mitigation</w:t>
            </w:r>
          </w:p>
        </w:tc>
      </w:tr>
      <w:tr>
        <w:tc>
          <w:tcPr>
            <w:tcW w:type="dxa" w:w="3005"/>
          </w:tcPr>
          <w:p>
            <w:pPr>
              <w:spacing w:after="20"/>
            </w:pPr>
            <w:r>
              <w:rPr>
                <w:rFonts w:ascii="Segoe UI" w:hAnsi="Segoe UI" w:cs="Segoe UI" w:eastAsia="Segoe UI"/>
                <w:color w:val="101820"/>
                <w:sz w:val="18"/>
              </w:rPr>
              <w:t>Data arrives late or incomplete</w:t>
            </w:r>
          </w:p>
        </w:tc>
        <w:tc>
          <w:tcPr>
            <w:tcW w:type="dxa" w:w="3005"/>
          </w:tcPr>
          <w:p>
            <w:pPr>
              <w:spacing w:after="20"/>
            </w:pPr>
            <w:r>
              <w:rPr>
                <w:rFonts w:ascii="Segoe UI" w:hAnsi="Segoe UI" w:cs="Segoe UI" w:eastAsia="Segoe UI"/>
                <w:color w:val="101820"/>
                <w:sz w:val="18"/>
              </w:rPr>
              <w:t>Mock loads slip; go-live moves</w:t>
            </w:r>
          </w:p>
        </w:tc>
        <w:tc>
          <w:tcPr>
            <w:tcW w:type="dxa" w:w="3005"/>
          </w:tcPr>
          <w:p>
            <w:pPr>
              <w:spacing w:after="20"/>
            </w:pPr>
            <w:r>
              <w:rPr>
                <w:rFonts w:ascii="Segoe UI" w:hAnsi="Segoe UI" w:cs="Segoe UI" w:eastAsia="Segoe UI"/>
                <w:color w:val="101820"/>
                <w:sz w:val="18"/>
              </w:rPr>
              <w:t>Data requests in week 1; templates handed out at kick-off; data readiness tracked weekly; steering committee escalation after one week of delay</w:t>
            </w:r>
          </w:p>
        </w:tc>
      </w:tr>
      <w:tr>
        <w:tc>
          <w:tcPr>
            <w:tcW w:type="dxa" w:w="3005"/>
          </w:tcPr>
          <w:p>
            <w:pPr>
              <w:spacing w:after="20"/>
            </w:pPr>
            <w:r>
              <w:rPr>
                <w:rFonts w:ascii="Segoe UI" w:hAnsi="Segoe UI" w:cs="Segoe UI" w:eastAsia="Segoe UI"/>
                <w:color w:val="101820"/>
                <w:sz w:val="18"/>
              </w:rPr>
              <w:t>Poor data quality in the old system</w:t>
            </w:r>
          </w:p>
        </w:tc>
        <w:tc>
          <w:tcPr>
            <w:tcW w:type="dxa" w:w="3005"/>
          </w:tcPr>
          <w:p>
            <w:pPr>
              <w:spacing w:after="20"/>
            </w:pPr>
            <w:r>
              <w:rPr>
                <w:rFonts w:ascii="Segoe UI" w:hAnsi="Segoe UI" w:cs="Segoe UI" w:eastAsia="Segoe UI"/>
                <w:color w:val="101820"/>
                <w:sz w:val="18"/>
              </w:rPr>
              <w:t>Rejected rows; receivables or balances do not reconcile</w:t>
            </w:r>
          </w:p>
        </w:tc>
        <w:tc>
          <w:tcPr>
            <w:tcW w:type="dxa" w:w="3005"/>
          </w:tcPr>
          <w:p>
            <w:pPr>
              <w:spacing w:after="20"/>
            </w:pPr>
            <w:r>
              <w:rPr>
                <w:rFonts w:ascii="Segoe UI" w:hAnsi="Segoe UI" w:cs="Segoe UI" w:eastAsia="Segoe UI"/>
                <w:color w:val="101820"/>
                <w:sz w:val="18"/>
              </w:rPr>
              <w:t>Two to four mock loads with reconciliation; the broker cleanses at source; rejected-row reports from each upload</w:t>
            </w:r>
          </w:p>
        </w:tc>
      </w:tr>
      <w:tr>
        <w:tc>
          <w:tcPr>
            <w:tcW w:type="dxa" w:w="3005"/>
          </w:tcPr>
          <w:p>
            <w:pPr>
              <w:spacing w:after="20"/>
            </w:pPr>
            <w:r>
              <w:rPr>
                <w:rFonts w:ascii="Segoe UI" w:hAnsi="Segoe UI" w:cs="Segoe UI" w:eastAsia="Segoe UI"/>
                <w:color w:val="101820"/>
                <w:sz w:val="18"/>
              </w:rPr>
              <w:t>Requests for customisation</w:t>
            </w:r>
          </w:p>
        </w:tc>
        <w:tc>
          <w:tcPr>
            <w:tcW w:type="dxa" w:w="3005"/>
          </w:tcPr>
          <w:p>
            <w:pPr>
              <w:spacing w:after="20"/>
            </w:pPr>
            <w:r>
              <w:rPr>
                <w:rFonts w:ascii="Segoe UI" w:hAnsi="Segoe UI" w:cs="Segoe UI" w:eastAsia="Segoe UI"/>
                <w:color w:val="101820"/>
                <w:sz w:val="18"/>
              </w:rPr>
              <w:t>Scope and timeline grow</w:t>
            </w:r>
          </w:p>
        </w:tc>
        <w:tc>
          <w:tcPr>
            <w:tcW w:type="dxa" w:w="3005"/>
          </w:tcPr>
          <w:p>
            <w:pPr>
              <w:spacing w:after="20"/>
            </w:pPr>
            <w:r>
              <w:rPr>
                <w:rFonts w:ascii="Segoe UI" w:hAnsi="Segoe UI" w:cs="Segoe UI" w:eastAsia="Segoe UI"/>
                <w:color w:val="101820"/>
                <w:sz w:val="18"/>
              </w:rPr>
              <w:t>Configure-first principle; fit-gap classes; change request process with steering committee approval</w:t>
            </w:r>
          </w:p>
        </w:tc>
      </w:tr>
      <w:tr>
        <w:tc>
          <w:tcPr>
            <w:tcW w:type="dxa" w:w="3005"/>
          </w:tcPr>
          <w:p>
            <w:pPr>
              <w:spacing w:after="20"/>
            </w:pPr>
            <w:r>
              <w:rPr>
                <w:rFonts w:ascii="Segoe UI" w:hAnsi="Segoe UI" w:cs="Segoe UI" w:eastAsia="Segoe UI"/>
                <w:color w:val="101820"/>
                <w:sz w:val="18"/>
              </w:rPr>
              <w:t>Key users unavailable</w:t>
            </w:r>
          </w:p>
        </w:tc>
        <w:tc>
          <w:tcPr>
            <w:tcW w:type="dxa" w:w="3005"/>
          </w:tcPr>
          <w:p>
            <w:pPr>
              <w:spacing w:after="20"/>
            </w:pPr>
            <w:r>
              <w:rPr>
                <w:rFonts w:ascii="Segoe UI" w:hAnsi="Segoe UI" w:cs="Segoe UI" w:eastAsia="Segoe UI"/>
                <w:color w:val="101820"/>
                <w:sz w:val="18"/>
              </w:rPr>
              <w:t>Decisions late; weak UAT and training</w:t>
            </w:r>
          </w:p>
        </w:tc>
        <w:tc>
          <w:tcPr>
            <w:tcW w:type="dxa" w:w="3005"/>
          </w:tcPr>
          <w:p>
            <w:pPr>
              <w:spacing w:after="20"/>
            </w:pPr>
            <w:r>
              <w:rPr>
                <w:rFonts w:ascii="Segoe UI" w:hAnsi="Segoe UI" w:cs="Segoe UI" w:eastAsia="Segoe UI"/>
                <w:color w:val="101820"/>
                <w:sz w:val="18"/>
              </w:rPr>
              <w:t>Named key users with committed time; backups named; workshops scheduled at kick-off</w:t>
            </w:r>
          </w:p>
        </w:tc>
      </w:tr>
      <w:tr>
        <w:tc>
          <w:tcPr>
            <w:tcW w:type="dxa" w:w="3005"/>
          </w:tcPr>
          <w:p>
            <w:pPr>
              <w:spacing w:after="20"/>
            </w:pPr>
            <w:r>
              <w:rPr>
                <w:rFonts w:ascii="Segoe UI" w:hAnsi="Segoe UI" w:cs="Segoe UI" w:eastAsia="Segoe UI"/>
                <w:color w:val="101820"/>
                <w:sz w:val="18"/>
              </w:rPr>
              <w:t>Opening balances and open items do not agree</w:t>
            </w:r>
          </w:p>
        </w:tc>
        <w:tc>
          <w:tcPr>
            <w:tcW w:type="dxa" w:w="3005"/>
          </w:tcPr>
          <w:p>
            <w:pPr>
              <w:spacing w:after="20"/>
            </w:pPr>
            <w:r>
              <w:rPr>
                <w:rFonts w:ascii="Segoe UI" w:hAnsi="Segoe UI" w:cs="Segoe UI" w:eastAsia="Segoe UI"/>
                <w:color w:val="101820"/>
                <w:sz w:val="18"/>
              </w:rPr>
              <w:t>Ledger wrong from day one</w:t>
            </w:r>
          </w:p>
        </w:tc>
        <w:tc>
          <w:tcPr>
            <w:tcW w:type="dxa" w:w="3005"/>
          </w:tcPr>
          <w:p>
            <w:pPr>
              <w:spacing w:after="20"/>
            </w:pPr>
            <w:r>
              <w:rPr>
                <w:rFonts w:ascii="Segoe UI" w:hAnsi="Segoe UI" w:cs="Segoe UI" w:eastAsia="Segoe UI"/>
                <w:color w:val="101820"/>
                <w:sz w:val="18"/>
              </w:rPr>
              <w:t>Premiums Receivable balance must equal open item total; Due to Insurers reconciled to insurer statements; Accounting Manager signs off</w:t>
            </w:r>
          </w:p>
        </w:tc>
      </w:tr>
      <w:tr>
        <w:tc>
          <w:tcPr>
            <w:tcW w:type="dxa" w:w="3005"/>
          </w:tcPr>
          <w:p>
            <w:pPr>
              <w:spacing w:after="20"/>
            </w:pPr>
            <w:r>
              <w:rPr>
                <w:rFonts w:ascii="Segoe UI" w:hAnsi="Segoe UI" w:cs="Segoe UI" w:eastAsia="Segoe UI"/>
                <w:color w:val="101820"/>
                <w:sz w:val="18"/>
              </w:rPr>
              <w:t>Tax rates or ATC not confirmed</w:t>
            </w:r>
          </w:p>
        </w:tc>
        <w:tc>
          <w:tcPr>
            <w:tcW w:type="dxa" w:w="3005"/>
          </w:tcPr>
          <w:p>
            <w:pPr>
              <w:spacing w:after="20"/>
            </w:pPr>
            <w:r>
              <w:rPr>
                <w:rFonts w:ascii="Segoe UI" w:hAnsi="Segoe UI" w:cs="Segoe UI" w:eastAsia="Segoe UI"/>
                <w:color w:val="101820"/>
                <w:sz w:val="18"/>
              </w:rPr>
              <w:t>Wrong VAT or withholding</w:t>
            </w:r>
          </w:p>
        </w:tc>
        <w:tc>
          <w:tcPr>
            <w:tcW w:type="dxa" w:w="3005"/>
          </w:tcPr>
          <w:p>
            <w:pPr>
              <w:spacing w:after="20"/>
            </w:pPr>
            <w:r>
              <w:rPr>
                <w:rFonts w:ascii="Segoe UI" w:hAnsi="Segoe UI" w:cs="Segoe UI" w:eastAsia="Segoe UI"/>
                <w:color w:val="101820"/>
                <w:sz w:val="18"/>
              </w:rPr>
              <w:t>Tax adviser review in the configuration phase; VAT Summary checked in UAT (F8)</w:t>
            </w:r>
          </w:p>
        </w:tc>
      </w:tr>
      <w:tr>
        <w:tc>
          <w:tcPr>
            <w:tcW w:type="dxa" w:w="3005"/>
          </w:tcPr>
          <w:p>
            <w:pPr>
              <w:spacing w:after="20"/>
            </w:pPr>
            <w:r>
              <w:rPr>
                <w:rFonts w:ascii="Segoe UI" w:hAnsi="Segoe UI" w:cs="Segoe UI" w:eastAsia="Segoe UI"/>
                <w:color w:val="101820"/>
                <w:sz w:val="18"/>
              </w:rPr>
              <w:t>Official receipt numbering out of line with the Authority to Print</w:t>
            </w:r>
          </w:p>
        </w:tc>
        <w:tc>
          <w:tcPr>
            <w:tcW w:type="dxa" w:w="3005"/>
          </w:tcPr>
          <w:p>
            <w:pPr>
              <w:spacing w:after="20"/>
            </w:pPr>
            <w:r>
              <w:rPr>
                <w:rFonts w:ascii="Segoe UI" w:hAnsi="Segoe UI" w:cs="Segoe UI" w:eastAsia="Segoe UI"/>
                <w:color w:val="101820"/>
                <w:sz w:val="18"/>
              </w:rPr>
              <w:t>Compliance exposure</w:t>
            </w:r>
          </w:p>
        </w:tc>
        <w:tc>
          <w:tcPr>
            <w:tcW w:type="dxa" w:w="3005"/>
          </w:tcPr>
          <w:p>
            <w:pPr>
              <w:spacing w:after="20"/>
            </w:pPr>
            <w:r>
              <w:rPr>
                <w:rFonts w:ascii="Segoe UI" w:hAnsi="Segoe UI" w:cs="Segoe UI" w:eastAsia="Segoe UI"/>
                <w:color w:val="101820"/>
                <w:sz w:val="18"/>
              </w:rPr>
              <w:t>Numbering set from the last number used; checked in UAT (A6, F1)</w:t>
            </w:r>
          </w:p>
        </w:tc>
      </w:tr>
      <w:tr>
        <w:tc>
          <w:tcPr>
            <w:tcW w:type="dxa" w:w="3005"/>
          </w:tcPr>
          <w:p>
            <w:pPr>
              <w:spacing w:after="20"/>
            </w:pPr>
            <w:r>
              <w:rPr>
                <w:rFonts w:ascii="Segoe UI" w:hAnsi="Segoe UI" w:cs="Segoe UI" w:eastAsia="Segoe UI"/>
                <w:color w:val="101820"/>
                <w:sz w:val="18"/>
              </w:rPr>
              <w:t>E-mail or payment gateway credentials late</w:t>
            </w:r>
          </w:p>
        </w:tc>
        <w:tc>
          <w:tcPr>
            <w:tcW w:type="dxa" w:w="3005"/>
          </w:tcPr>
          <w:p>
            <w:pPr>
              <w:spacing w:after="20"/>
            </w:pPr>
            <w:r>
              <w:rPr>
                <w:rFonts w:ascii="Segoe UI" w:hAnsi="Segoe UI" w:cs="Segoe UI" w:eastAsia="Segoe UI"/>
                <w:color w:val="101820"/>
                <w:sz w:val="18"/>
              </w:rPr>
              <w:t>Quotation approval links, password resets and online payments not working</w:t>
            </w:r>
          </w:p>
        </w:tc>
        <w:tc>
          <w:tcPr>
            <w:tcW w:type="dxa" w:w="3005"/>
          </w:tcPr>
          <w:p>
            <w:pPr>
              <w:spacing w:after="20"/>
            </w:pPr>
            <w:r>
              <w:rPr>
                <w:rFonts w:ascii="Segoe UI" w:hAnsi="Segoe UI" w:cs="Segoe UI" w:eastAsia="Segoe UI"/>
                <w:color w:val="101820"/>
                <w:sz w:val="18"/>
              </w:rPr>
              <w:t>Requested in mobilisation; the system works without the gateway; sandbox first</w:t>
            </w:r>
          </w:p>
        </w:tc>
      </w:tr>
      <w:tr>
        <w:tc>
          <w:tcPr>
            <w:tcW w:type="dxa" w:w="3005"/>
          </w:tcPr>
          <w:p>
            <w:pPr>
              <w:spacing w:after="20"/>
            </w:pPr>
            <w:r>
              <w:rPr>
                <w:rFonts w:ascii="Segoe UI" w:hAnsi="Segoe UI" w:cs="Segoe UI" w:eastAsia="Segoe UI"/>
                <w:color w:val="101820"/>
                <w:sz w:val="18"/>
              </w:rPr>
              <w:t>Users not ready at go-live</w:t>
            </w:r>
          </w:p>
        </w:tc>
        <w:tc>
          <w:tcPr>
            <w:tcW w:type="dxa" w:w="3005"/>
          </w:tcPr>
          <w:p>
            <w:pPr>
              <w:spacing w:after="20"/>
            </w:pPr>
            <w:r>
              <w:rPr>
                <w:rFonts w:ascii="Segoe UI" w:hAnsi="Segoe UI" w:cs="Segoe UI" w:eastAsia="Segoe UI"/>
                <w:color w:val="101820"/>
                <w:sz w:val="18"/>
              </w:rPr>
              <w:t>Errors and slow work</w:t>
            </w:r>
          </w:p>
        </w:tc>
        <w:tc>
          <w:tcPr>
            <w:tcW w:type="dxa" w:w="3005"/>
          </w:tcPr>
          <w:p>
            <w:pPr>
              <w:spacing w:after="20"/>
            </w:pPr>
            <w:r>
              <w:rPr>
                <w:rFonts w:ascii="Segoe UI" w:hAnsi="Segoe UI" w:cs="Segoe UI" w:eastAsia="Segoe UI"/>
                <w:color w:val="101820"/>
                <w:sz w:val="18"/>
              </w:rPr>
              <w:t>Role-based training, assessment, floor walkers in the first week</w:t>
            </w:r>
          </w:p>
        </w:tc>
      </w:tr>
      <w:tr>
        <w:tc>
          <w:tcPr>
            <w:tcW w:type="dxa" w:w="3005"/>
          </w:tcPr>
          <w:p>
            <w:pPr>
              <w:spacing w:after="20"/>
            </w:pPr>
            <w:r>
              <w:rPr>
                <w:rFonts w:ascii="Segoe UI" w:hAnsi="Segoe UI" w:cs="Segoe UI" w:eastAsia="Segoe UI"/>
                <w:color w:val="101820"/>
                <w:sz w:val="18"/>
              </w:rPr>
              <w:t>First month-end close outside hypercare</w:t>
            </w:r>
          </w:p>
        </w:tc>
        <w:tc>
          <w:tcPr>
            <w:tcW w:type="dxa" w:w="3005"/>
          </w:tcPr>
          <w:p>
            <w:pPr>
              <w:spacing w:after="20"/>
            </w:pPr>
            <w:r>
              <w:rPr>
                <w:rFonts w:ascii="Segoe UI" w:hAnsi="Segoe UI" w:cs="Segoe UI" w:eastAsia="Segoe UI"/>
                <w:color w:val="101820"/>
                <w:sz w:val="18"/>
              </w:rPr>
              <w:t>Close issues found late</w:t>
            </w:r>
          </w:p>
        </w:tc>
        <w:tc>
          <w:tcPr>
            <w:tcW w:type="dxa" w:w="3005"/>
          </w:tcPr>
          <w:p>
            <w:pPr>
              <w:spacing w:after="20"/>
            </w:pPr>
            <w:r>
              <w:rPr>
                <w:rFonts w:ascii="Segoe UI" w:hAnsi="Segoe UI" w:cs="Segoe UI" w:eastAsia="Segoe UI"/>
                <w:color w:val="101820"/>
                <w:sz w:val="18"/>
              </w:rPr>
              <w:t>Hypercare extends to the first close</w:t>
            </w:r>
          </w:p>
        </w:tc>
      </w:tr>
    </w:tbl>
    <w:p>
      <w:pPr>
        <w:pStyle w:val="Heading1"/>
        <w:pageBreakBefore/>
      </w:pPr>
      <w:r>
        <w:rPr>
          <w:rFonts w:ascii="Segoe UI" w:hAnsi="Segoe UI" w:cs="Segoe UI" w:eastAsia="Segoe UI"/>
          <w:b/>
          <w:color w:val="0F4761"/>
          <w:sz w:val="32"/>
        </w:rPr>
        <w:t>16.  Change request process</w:t>
      </w:r>
    </w:p>
    <w:p>
      <w:pPr>
        <w:spacing w:after="120" w:line="276" w:lineRule="auto"/>
      </w:pPr>
      <w:r>
        <w:rPr>
          <w:rFonts w:ascii="Segoe UI" w:hAnsi="Segoe UI" w:cs="Segoe UI" w:eastAsia="Segoe UI"/>
          <w:color w:val="101820"/>
          <w:sz w:val="21"/>
        </w:rPr>
        <w:t>A change request covers any change to the agreed scope, plan or deliverables, including any gap from the fit-gap register.</w:t>
      </w:r>
    </w:p>
    <w:p>
      <w:pPr>
        <w:spacing w:after="60"/>
        <w:numPr>
          <w:ilvl w:val="0"/>
          <w:numId w:val="4"/>
        </w:numPr>
      </w:pPr>
      <w:r>
        <w:rPr>
          <w:rFonts w:ascii="Segoe UI" w:hAnsi="Segoe UI" w:cs="Segoe UI" w:eastAsia="Segoe UI"/>
          <w:color w:val="101820"/>
          <w:sz w:val="21"/>
        </w:rPr>
        <w:t>The requester writes the change request: description, reason, business impact, priority.</w:t>
      </w:r>
    </w:p>
    <w:p>
      <w:pPr>
        <w:spacing w:after="60"/>
        <w:numPr>
          <w:ilvl w:val="0"/>
          <w:numId w:val="4"/>
        </w:numPr>
      </w:pPr>
      <w:r>
        <w:rPr>
          <w:rFonts w:ascii="Segoe UI" w:hAnsi="Segoe UI" w:cs="Segoe UI" w:eastAsia="Segoe UI"/>
          <w:color w:val="101820"/>
          <w:sz w:val="21"/>
        </w:rPr>
        <w:t>The iorta TechNXT project manager logs it and, within 5 business days, returns an impact assessment: effort, cost, effect on the timeline and on other deliverables, and whether it can be met by configuration instead.</w:t>
      </w:r>
    </w:p>
    <w:p>
      <w:pPr>
        <w:spacing w:after="60"/>
        <w:numPr>
          <w:ilvl w:val="0"/>
          <w:numId w:val="4"/>
        </w:numPr>
      </w:pPr>
      <w:r>
        <w:rPr>
          <w:rFonts w:ascii="Segoe UI" w:hAnsi="Segoe UI" w:cs="Segoe UI" w:eastAsia="Segoe UI"/>
          <w:color w:val="101820"/>
          <w:sz w:val="21"/>
        </w:rPr>
        <w:t>The broker project manager reviews the assessment with the process owner.</w:t>
      </w:r>
    </w:p>
    <w:p>
      <w:pPr>
        <w:spacing w:after="60"/>
        <w:numPr>
          <w:ilvl w:val="0"/>
          <w:numId w:val="4"/>
        </w:numPr>
      </w:pPr>
      <w:r>
        <w:rPr>
          <w:rFonts w:ascii="Segoe UI" w:hAnsi="Segoe UI" w:cs="Segoe UI" w:eastAsia="Segoe UI"/>
          <w:color w:val="101820"/>
          <w:sz w:val="21"/>
        </w:rPr>
        <w:t>The steering committee approves, rejects or defers it. Changes that affect cost or the go-live date need the sponsor's written approval.</w:t>
      </w:r>
    </w:p>
    <w:p>
      <w:pPr>
        <w:spacing w:after="60"/>
        <w:numPr>
          <w:ilvl w:val="0"/>
          <w:numId w:val="4"/>
        </w:numPr>
      </w:pPr>
      <w:r>
        <w:rPr>
          <w:rFonts w:ascii="Segoe UI" w:hAnsi="Segoe UI" w:cs="Segoe UI" w:eastAsia="Segoe UI"/>
          <w:color w:val="101820"/>
          <w:sz w:val="21"/>
        </w:rPr>
        <w:t>An approved change request is added to the plan and the RAID log and is tracked to closure.</w:t>
      </w:r>
    </w:p>
    <w:p>
      <w:pPr>
        <w:spacing w:after="60"/>
        <w:numPr>
          <w:ilvl w:val="0"/>
          <w:numId w:val="4"/>
        </w:numPr>
      </w:pPr>
      <w:r>
        <w:rPr>
          <w:rFonts w:ascii="Segoe UI" w:hAnsi="Segoe UI" w:cs="Segoe UI" w:eastAsia="Segoe UI"/>
          <w:color w:val="101820"/>
          <w:sz w:val="21"/>
        </w:rPr>
        <w:t>A rejected or deferred change request stays in the log with the reason.</w:t>
      </w:r>
    </w:p>
    <w:p>
      <w:pPr>
        <w:spacing w:after="120" w:line="276" w:lineRule="auto"/>
      </w:pPr>
      <w:r>
        <w:rPr>
          <w:rFonts w:ascii="Segoe UI" w:hAnsi="Segoe UI" w:cs="Segoe UI" w:eastAsia="Segoe UI"/>
          <w:color w:val="101820"/>
          <w:sz w:val="21"/>
        </w:rPr>
        <w:t>Customisation approved through a change request is built, tested and released under the release process of the Production Support Approach and Standards, and may be scheduled after go-live so the OOTB go-live date holds.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17.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