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ED2CD8" w14:textId="0D544CAB" w:rsidR="00DD7430" w:rsidRDefault="004E4690" w:rsidP="3B384731">
      <w:r>
        <w:rPr>
          <w:noProof/>
        </w:rPr>
        <w:drawing>
          <wp:anchor distT="0" distB="0" distL="114300" distR="114300" simplePos="0" relativeHeight="251658241" behindDoc="1" locked="0" layoutInCell="1" allowOverlap="1" wp14:anchorId="7FDD2D24" wp14:editId="42CB1C55">
            <wp:simplePos x="0" y="0"/>
            <wp:positionH relativeFrom="margin">
              <wp:posOffset>-914400</wp:posOffset>
            </wp:positionH>
            <wp:positionV relativeFrom="margin">
              <wp:posOffset>-914426</wp:posOffset>
            </wp:positionV>
            <wp:extent cx="7553960" cy="10685198"/>
            <wp:effectExtent l="0" t="0" r="8890" b="1905"/>
            <wp:wrapNone/>
            <wp:docPr id="2053156881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C3E1FE75-9233-4911-9AF8-8DA8FB5453C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156881" name="Picture 2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3960" cy="1068519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647A1">
        <w:rPr>
          <w:noProof/>
        </w:rPr>
        <w:drawing>
          <wp:anchor distT="0" distB="0" distL="114300" distR="114300" simplePos="0" relativeHeight="251658247" behindDoc="1" locked="0" layoutInCell="1" allowOverlap="1" wp14:anchorId="68FBBCEA" wp14:editId="760DF883">
            <wp:simplePos x="0" y="0"/>
            <wp:positionH relativeFrom="margin">
              <wp:align>center</wp:align>
            </wp:positionH>
            <wp:positionV relativeFrom="margin">
              <wp:posOffset>244432</wp:posOffset>
            </wp:positionV>
            <wp:extent cx="2000250" cy="568367"/>
            <wp:effectExtent l="0" t="0" r="0" b="3175"/>
            <wp:wrapNone/>
            <wp:docPr id="940639279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E3627AEF-EF2A-408D-AEDD-9163B59054B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639279" name="Picture 940639279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5683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EBFD2E5" w14:textId="7C6911E0" w:rsidR="00DD7430" w:rsidRDefault="003F0D95">
      <w:r w:rsidRPr="004A1359">
        <w:rPr>
          <w:noProof/>
          <w:color w:val="1D74BA"/>
        </w:rPr>
        <mc:AlternateContent>
          <mc:Choice Requires="wps">
            <w:drawing>
              <wp:anchor distT="45720" distB="45720" distL="114300" distR="114300" simplePos="0" relativeHeight="251658246" behindDoc="0" locked="0" layoutInCell="1" allowOverlap="1" wp14:anchorId="204C02CC" wp14:editId="65DFA600">
                <wp:simplePos x="0" y="0"/>
                <wp:positionH relativeFrom="margin">
                  <wp:align>center</wp:align>
                </wp:positionH>
                <wp:positionV relativeFrom="paragraph">
                  <wp:posOffset>1979157</wp:posOffset>
                </wp:positionV>
                <wp:extent cx="4528820" cy="337820"/>
                <wp:effectExtent l="0" t="0" r="0" b="5080"/>
                <wp:wrapSquare wrapText="bothSides"/>
                <wp:docPr id="1294513242" name="Text Box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7523173A-31B4-4C1A-9AA6-993E5CA1A441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28820" cy="3378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FA1EBF" w14:textId="6A6CA9D8" w:rsidR="00913938" w:rsidRPr="00851AA2" w:rsidRDefault="002D24EB" w:rsidP="00913938">
                            <w:pPr>
                              <w:rPr>
                                <w:b/>
                                <w:bCs/>
                                <w:color w:val="071B2C"/>
                                <w:sz w:val="36"/>
                                <w:szCs w:val="36"/>
                              </w:rPr>
                            </w:pPr>
                            <w:r w:rsidRPr="00851AA2">
                              <w:rPr>
                                <w:b/>
                                <w:bCs/>
                                <w:color w:val="071B2C"/>
                                <w:sz w:val="36"/>
                                <w:szCs w:val="36"/>
                              </w:rPr>
                              <w:t>BrokerVerse OOTB Release 1.0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04C02C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155.85pt;width:122.25pt;height:26.6pt;z-index:251658246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" filled="f" stroked="f">
                <v:textbox>
                  <w:txbxContent>
                    <w:p w14:paraId="54FA1EBF" w14:textId="6A6CA9D8" w:rsidR="00913938" w:rsidRPr="00851AA2" w:rsidRDefault="002D24EB" w:rsidP="00913938">
                      <w:pPr>
                        <w:rPr>
                          <w:b/>
                          <w:bCs/>
                          <w:color w:val="071B2C"/>
                          <w:sz w:val="36"/>
                          <w:szCs w:val="36"/>
                        </w:rPr>
                      </w:pPr>
                      <w:r w:rsidRPr="00851AA2">
                        <w:rPr>
                          <w:b/>
                          <w:bCs/>
                          <w:color w:val="071B2C"/>
                          <w:sz w:val="36"/>
                          <w:szCs w:val="36"/>
                        </w:rPr>
                        <w:t>BrokerVerse OOTB Release 1.0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4A1359">
        <w:rPr>
          <w:noProof/>
          <w:color w:val="1D74BA"/>
        </w:rPr>
        <mc:AlternateContent>
          <mc:Choice Requires="wps">
            <w:drawing>
              <wp:anchor distT="45720" distB="45720" distL="114300" distR="114300" simplePos="0" relativeHeight="251658245" behindDoc="0" locked="0" layoutInCell="1" allowOverlap="1" wp14:anchorId="01DE2BF4" wp14:editId="07BA52AE">
                <wp:simplePos x="0" y="0"/>
                <wp:positionH relativeFrom="margin">
                  <wp:align>center</wp:align>
                </wp:positionH>
                <wp:positionV relativeFrom="paragraph">
                  <wp:posOffset>1291590</wp:posOffset>
                </wp:positionV>
                <wp:extent cx="4528820" cy="1250000"/>
                <wp:effectExtent l="0" t="0" r="0" b="0"/>
                <wp:wrapSquare wrapText="bothSides"/>
                <wp:docPr id="578771272" name="Text Box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667603B8-5035-4623-849E-672EC358E0BC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28820" cy="1250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39063F1" w14:textId="4B04DDEF" w:rsidR="003F0D95" w:rsidRPr="00E75E19" w:rsidRDefault="003F0D95" w:rsidP="003F0D95">
                            <w:pPr>
                              <w:rPr>
                                <w:b/>
                                <w:bCs/>
                                <w:color w:val="1D74BA"/>
                                <w:sz w:val="36"/>
                                <w:szCs w:val="36"/>
                                <w:lang w:val="en-MY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1D74BA"/>
                                <w:sz w:val="36"/>
                                <w:szCs w:val="36"/>
                                <w:lang w:val="en-MY"/>
                              </w:rPr>
                              <w:t>Release Notes and Product Roadmap</w:t>
                            </w:r>
                            <w:r w:rsidRPr="00E75E19">
                              <w:rPr>
                                <w:b/>
                                <w:bCs/>
                                <w:color w:val="1D74BA"/>
                                <w:sz w:val="36"/>
                                <w:szCs w:val="36"/>
                                <w:lang w:val="en-MY"/>
                              </w:rPr>
                              <w:t xml:space="preserve"/>
                            </w:r>
                          </w:p>
                          <w:p w14:paraId="4B8244AC" w14:textId="7CD00658" w:rsidR="002F15FD" w:rsidRPr="001D3CAE" w:rsidRDefault="002F15FD" w:rsidP="003C3BF4">
                            <w:pPr>
                              <w:rPr>
                                <w:b/>
                                <w:bCs/>
                                <w:color w:val="1D74BA"/>
                                <w:sz w:val="56"/>
                                <w:szCs w:val="5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DE2BF4" id="_x0000_s1027" type="#_x0000_t202" style="position:absolute;margin-left:0;margin-top:101.7pt;width:356.6pt;height:37.55pt;z-index:251658245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" filled="f" stroked="f">
                <v:textbox>
                  <w:txbxContent>
                    <w:p w14:paraId="539063F1" w14:textId="4B04DDEF" w:rsidR="003F0D95" w:rsidRPr="00E75E19" w:rsidRDefault="003F0D95" w:rsidP="003F0D95">
                      <w:pPr>
                        <w:rPr>
                          <w:b/>
                          <w:bCs/>
                          <w:color w:val="1D74BA"/>
                          <w:sz w:val="36"/>
                          <w:szCs w:val="36"/>
                          <w:lang w:val="en-MY"/>
                        </w:rPr>
                      </w:pPr>
                      <w:r>
                        <w:rPr>
                          <w:b/>
                          <w:bCs/>
                          <w:color w:val="1D74BA"/>
                          <w:sz w:val="36"/>
                          <w:szCs w:val="36"/>
                          <w:lang w:val="en-MY"/>
                        </w:rPr>
                        <w:t>Release Notes and Product Roadmap</w:t>
                      </w:r>
                      <w:r w:rsidRPr="00E75E19">
                        <w:rPr>
                          <w:b/>
                          <w:bCs/>
                          <w:color w:val="1D74BA"/>
                          <w:sz w:val="36"/>
                          <w:szCs w:val="36"/>
                          <w:lang w:val="en-MY"/>
                        </w:rPr>
                        <w:t xml:space="preserve"/>
                      </w:r>
                    </w:p>
                    <w:p w14:paraId="4B8244AC" w14:textId="7CD00658" w:rsidR="002F15FD" w:rsidRPr="001D3CAE" w:rsidRDefault="002F15FD" w:rsidP="003C3BF4">
                      <w:pPr>
                        <w:rPr>
                          <w:b/>
                          <w:bCs/>
                          <w:color w:val="1D74BA"/>
                          <w:sz w:val="56"/>
                          <w:szCs w:val="56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3C3BF4" w:rsidRPr="004A1359">
        <w:rPr>
          <w:noProof/>
          <w:color w:val="1D74BA"/>
        </w:rPr>
        <mc:AlternateContent>
          <mc:Choice Requires="wps">
            <w:drawing>
              <wp:anchor distT="45720" distB="45720" distL="114300" distR="114300" simplePos="0" relativeHeight="251658244" behindDoc="0" locked="0" layoutInCell="1" allowOverlap="1" wp14:anchorId="1BF25123" wp14:editId="646212E8">
                <wp:simplePos x="0" y="0"/>
                <wp:positionH relativeFrom="page">
                  <wp:posOffset>4992625</wp:posOffset>
                </wp:positionH>
                <wp:positionV relativeFrom="paragraph">
                  <wp:posOffset>4124960</wp:posOffset>
                </wp:positionV>
                <wp:extent cx="2400000" cy="266700"/>
                <wp:effectExtent l="0" t="0" r="0" b="0"/>
                <wp:wrapSquare wrapText="bothSides"/>
                <wp:docPr id="2121288187" name="Text Box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37CA37AE-CBDC-4F83-9202-1C48F3B8FDC9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0000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64779C" w14:textId="169D6E01" w:rsidR="003C3BF4" w:rsidRPr="002F15FD" w:rsidRDefault="0064254C" w:rsidP="003C3BF4">
                            <w:pPr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 w:rsidRPr="002F15FD">
                              <w:rPr>
                                <w:color w:val="1D74BA"/>
                              </w:rPr>
                              <w:t xml:space="preserve">Date - </w:t>
                            </w:r>
                            <w:r w:rsidRPr="002F15FD">
                              <w:rPr>
                                <w:b/>
                                <w:bCs/>
                                <w:color w:val="1D74BA"/>
                              </w:rPr>
                              <w:t>03 October 2026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F25123" id="_x0000_s1028" type="#_x0000_t202" style="position:absolute;margin-left:453.75pt;margin-top:324.8pt;width:128.25pt;height:21pt;z-index:25165824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" filled="f" stroked="f">
                <v:textbox>
                  <w:txbxContent>
                    <w:p w14:paraId="3064779C" w14:textId="169D6E01" w:rsidR="003C3BF4" w:rsidRPr="002F15FD" w:rsidRDefault="0064254C" w:rsidP="003C3BF4">
                      <w:pPr>
                        <w:rPr>
                          <w:b/>
                          <w:bCs/>
                          <w:color w:val="1D74BA"/>
                        </w:rPr>
                      </w:pPr>
                      <w:r w:rsidRPr="002F15FD">
                        <w:rPr>
                          <w:color w:val="1D74BA"/>
                        </w:rPr>
                        <w:t xml:space="preserve">Date - </w:t>
                      </w:r>
                      <w:r w:rsidRPr="002F15FD">
                        <w:rPr>
                          <w:b/>
                          <w:bCs/>
                          <w:color w:val="1D74BA"/>
                        </w:rPr>
                        <w:t>03 October 2026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3C3BF4" w:rsidRPr="004A1359">
        <w:rPr>
          <w:noProof/>
          <w:color w:val="1D74BA"/>
        </w:rPr>
        <mc:AlternateContent>
          <mc:Choice Requires="wps">
            <w:drawing>
              <wp:anchor distT="45720" distB="45720" distL="114300" distR="114300" simplePos="0" relativeHeight="251658243" behindDoc="0" locked="0" layoutInCell="1" allowOverlap="1" wp14:anchorId="58C23128" wp14:editId="498091B1">
                <wp:simplePos x="0" y="0"/>
                <wp:positionH relativeFrom="page">
                  <wp:posOffset>3095180</wp:posOffset>
                </wp:positionH>
                <wp:positionV relativeFrom="paragraph">
                  <wp:posOffset>4124960</wp:posOffset>
                </wp:positionV>
                <wp:extent cx="1600000" cy="266700"/>
                <wp:effectExtent l="0" t="0" r="0" b="0"/>
                <wp:wrapSquare wrapText="bothSides"/>
                <wp:docPr id="728187958" name="Text Box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F924D743-A85E-4208-9BF2-3E490CC7E550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0000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3BCAB9" w14:textId="1233059B" w:rsidR="003C3BF4" w:rsidRPr="002F15FD" w:rsidRDefault="003C3BF4" w:rsidP="003C3BF4">
                            <w:pPr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 w:rsidRPr="002F15FD">
                              <w:rPr>
                                <w:color w:val="1D74BA"/>
                              </w:rPr>
                              <w:t xml:space="preserve">Version - </w:t>
                            </w:r>
                            <w:r w:rsidR="00EC1FCB">
                              <w:rPr>
                                <w:b/>
                                <w:bCs/>
                                <w:color w:val="1D74BA"/>
                              </w:rPr>
                              <w:t>1</w:t>
                            </w:r>
                            <w:r w:rsidRPr="002F15FD">
                              <w:rPr>
                                <w:b/>
                                <w:bCs/>
                                <w:color w:val="1D74BA"/>
                              </w:rPr>
                              <w:t>.</w:t>
                            </w:r>
                            <w:r w:rsidR="00EC1FCB">
                              <w:rPr>
                                <w:b/>
                                <w:bCs/>
                                <w:color w:val="1D74BA"/>
                              </w:rPr>
                              <w:t>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C23128" id="_x0000_s1029" type="#_x0000_t202" style="position:absolute;margin-left:263.4pt;margin-top:324.8pt;width:86.6pt;height:21pt;z-index:251658243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" filled="f" stroked="f">
                <v:textbox>
                  <w:txbxContent>
                    <w:p w14:paraId="1A3BCAB9" w14:textId="1233059B" w:rsidR="003C3BF4" w:rsidRPr="002F15FD" w:rsidRDefault="003C3BF4" w:rsidP="003C3BF4">
                      <w:pPr>
                        <w:rPr>
                          <w:b/>
                          <w:bCs/>
                          <w:color w:val="1D74BA"/>
                        </w:rPr>
                      </w:pPr>
                      <w:r w:rsidRPr="002F15FD">
                        <w:rPr>
                          <w:color w:val="1D74BA"/>
                        </w:rPr>
                        <w:t xml:space="preserve">Version - </w:t>
                      </w:r>
                      <w:r w:rsidR="00EC1FCB">
                        <w:rPr>
                          <w:b/>
                          <w:bCs/>
                          <w:color w:val="1D74BA"/>
                        </w:rPr>
                        <w:t>1</w:t>
                      </w:r>
                      <w:r w:rsidRPr="002F15FD">
                        <w:rPr>
                          <w:b/>
                          <w:bCs/>
                          <w:color w:val="1D74BA"/>
                        </w:rPr>
                        <w:t>.</w:t>
                      </w:r>
                      <w:r w:rsidR="00EC1FCB">
                        <w:rPr>
                          <w:b/>
                          <w:bCs/>
                          <w:color w:val="1D74BA"/>
                        </w:rPr>
                        <w:t>0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EC0DBF" w:rsidRPr="004A1359">
        <w:rPr>
          <w:noProof/>
          <w:color w:val="1D74BA"/>
        </w:rPr>
        <mc:AlternateContent>
          <mc:Choice Requires="wps">
            <w:drawing>
              <wp:anchor distT="45720" distB="45720" distL="114300" distR="114300" simplePos="0" relativeHeight="251658242" behindDoc="0" locked="0" layoutInCell="1" allowOverlap="1" wp14:anchorId="3D43415C" wp14:editId="2B893344">
                <wp:simplePos x="0" y="0"/>
                <wp:positionH relativeFrom="page">
                  <wp:posOffset>194310</wp:posOffset>
                </wp:positionH>
                <wp:positionV relativeFrom="paragraph">
                  <wp:posOffset>4124960</wp:posOffset>
                </wp:positionV>
                <wp:extent cx="2600000" cy="266700"/>
                <wp:effectExtent l="0" t="0" r="0" b="0"/>
                <wp:wrapSquare wrapText="bothSides"/>
                <wp:docPr id="217" name="Text Box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214E5FFD-7012-4F5C-89A4-E2F28B264C94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0000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BF8422" w14:textId="69B19D89" w:rsidR="00EC0DBF" w:rsidRPr="002F15FD" w:rsidRDefault="00EC0DBF" w:rsidP="00EC0DBF">
                            <w:pPr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 w:rsidRPr="002F15FD">
                              <w:rPr>
                                <w:color w:val="1D74BA"/>
                              </w:rPr>
                              <w:t xml:space="preserve">Prepared by </w:t>
                            </w:r>
                            <w:r w:rsidR="007B02D5" w:rsidRPr="002F15FD">
                              <w:rPr>
                                <w:color w:val="1D74BA"/>
                              </w:rPr>
                              <w:t>–</w:t>
                            </w:r>
                            <w:r w:rsidRPr="002F15FD">
                              <w:rPr>
                                <w:color w:val="1D74BA"/>
                              </w:rPr>
                              <w:t xml:space="preserve"> </w:t>
                            </w:r>
                            <w:r w:rsidR="00EC1FCB">
                              <w:rPr>
                                <w:b/>
                                <w:bCs/>
                                <w:color w:val="1D74BA"/>
                              </w:rPr>
                              <w:t>iorta TechNXT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43415C" id="_x0000_s1030" type="#_x0000_t202" style="position:absolute;margin-left:15.3pt;margin-top:324.8pt;width:144.35pt;height:21pt;z-index:25165824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" filled="f" stroked="f">
                <v:textbox>
                  <w:txbxContent>
                    <w:p w14:paraId="5ABF8422" w14:textId="69B19D89" w:rsidR="00EC0DBF" w:rsidRPr="002F15FD" w:rsidRDefault="00EC0DBF" w:rsidP="00EC0DBF">
                      <w:pPr>
                        <w:rPr>
                          <w:b/>
                          <w:bCs/>
                          <w:color w:val="1D74BA"/>
                        </w:rPr>
                      </w:pPr>
                      <w:r w:rsidRPr="002F15FD">
                        <w:rPr>
                          <w:color w:val="1D74BA"/>
                        </w:rPr>
                        <w:t xml:space="preserve">Prepared by </w:t>
                      </w:r>
                      <w:r w:rsidR="007B02D5" w:rsidRPr="002F15FD">
                        <w:rPr>
                          <w:color w:val="1D74BA"/>
                        </w:rPr>
                        <w:t>–</w:t>
                      </w:r>
                      <w:r w:rsidRPr="002F15FD">
                        <w:rPr>
                          <w:color w:val="1D74BA"/>
                        </w:rPr>
                        <w:t xml:space="preserve"> </w:t>
                      </w:r>
                      <w:r w:rsidR="00EC1FCB">
                        <w:rPr>
                          <w:b/>
                          <w:bCs/>
                          <w:color w:val="1D74BA"/>
                        </w:rPr>
                        <w:t>iorta TechNXT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DD7430">
        <w:br w:type="page"/>
      </w:r>
    </w:p>
    <w:p w14:paraId="11016166" w14:textId="77777777" w:rsidR="002B183A" w:rsidRPr="00F52543" w:rsidRDefault="002B183A" w:rsidP="002B183A">
      <w:pPr>
        <w:pStyle w:val="TOCHeading"/>
        <w:tabs>
          <w:tab w:val="left" w:pos="1991"/>
          <w:tab w:val="center" w:pos="4725"/>
          <w:tab w:val="right" w:pos="9450"/>
        </w:tabs>
        <w:rPr>
          <w:rFonts w:ascii="Segoe UI" w:hAnsi="Segoe UI" w:cs="Segoe UI"/>
          <w:b/>
          <w:color w:val="003399"/>
        </w:rPr>
      </w:pPr>
      <w:r w:rsidRPr="00F52543">
        <w:rPr>
          <w:rFonts w:ascii="Segoe UI" w:eastAsia="Arial" w:hAnsi="Segoe UI" w:cs="Segoe UI"/>
          <w:b/>
          <w:color w:val="003399"/>
        </w:rPr>
        <w:lastRenderedPageBreak/>
        <w:t>TABLE OF CONTENTS</w:t>
      </w:r>
    </w:p>
    <w:p w14:paraId="7D024777" w14:textId="77777777" w:rsidR="002B183A" w:rsidRPr="009876A6" w:rsidRDefault="002B183A" w:rsidP="002B183A">
      <w:pPr>
        <w:rPr>
          <w:rFonts w:ascii="Segoe UI" w:hAnsi="Segoe UI" w:cs="Segoe UI"/>
          <w:color w:val="101820"/>
        </w:rPr>
      </w:pPr>
    </w:p>
    <w:p>
      <w:r>
        <w:fldChar w:fldCharType="begin"/>
      </w:r>
      <w:r>
        <w:instrText xml:space="preserve"> TOC \o "1-2" \h \z \u </w:instrText>
      </w:r>
      <w:r>
        <w:fldChar w:fldCharType="separate"/>
      </w:r>
      <w:r>
        <w:t>Right-click and choose Update Field to refresh the contents.</w:t>
      </w:r>
      <w:r>
        <w:fldChar w:fldCharType="end"/>
      </w:r>
    </w:p>
    <w:p w14:paraId="375D9C08" w14:textId="77777777" w:rsidR="002B183A" w:rsidRPr="00465CAB" w:rsidRDefault="002B183A" w:rsidP="002B183A">
      <w:pPr>
        <w:pStyle w:val="Heading1"/>
        <w:pageBreakBefore/>
        <w:tabs>
          <w:tab w:val="num" w:pos="360"/>
        </w:tabs>
        <w:ind w:left="0" w:firstLine="0"/>
        <w:rPr>
          <w:rStyle w:val="BookTitle"/>
          <w:b w:val="0"/>
          <w:bCs w:val="0"/>
          <w:i w:val="0"/>
          <w:iCs w:val="0"/>
          <w:spacing w:val="0"/>
        </w:rPr>
      </w:pPr>
      <w:r w:rsidRPr="00DD3BAA">
        <w:rPr>
          <w:rStyle w:val="Hyperlink"/>
          <w:rFonts w:eastAsia="Calibri" w:cs="Segoe UI"/>
          <w:b/>
          <w:bCs/>
          <w:color w:val="101820"/>
          <w:szCs w:val="20"/>
        </w:rPr>
        <w:lastRenderedPageBreak/>
        <w:fldChar w:fldCharType="end"/>
      </w:r>
      <w:bookmarkStart w:id="0" w:name="_Toc11824118"/>
      <w:bookmarkStart w:id="1" w:name="_Toc48319687"/>
      <w:r w:rsidRPr="00212D69">
        <w:rPr>
          <w:rStyle w:val="BookTitle"/>
          <w:b w:val="0"/>
        </w:rPr>
        <w:t xml:space="preserve"> </w:t>
      </w:r>
      <w:bookmarkStart w:id="2" w:name="_Toc233203387"/>
      <w:r w:rsidRPr="00465CAB">
        <w:rPr>
          <w:rStyle w:val="BookTitle"/>
          <w:bCs w:val="0"/>
          <w:i w:val="0"/>
          <w:iCs w:val="0"/>
          <w:spacing w:val="0"/>
        </w:rPr>
        <w:t>1.  Document Control</w:t>
      </w:r>
      <w:bookmarkEnd w:id="0"/>
      <w:bookmarkEnd w:id="1"/>
      <w:bookmarkEnd w:id="2"/>
    </w:p>
    <w:p w14:paraId="1D37A198" w14:textId="77777777" w:rsidR="002B183A" w:rsidRPr="00CF07C4" w:rsidRDefault="002B183A" w:rsidP="002B183A">
      <w:pPr>
        <w:ind w:right="-180"/>
        <w:rPr>
          <w:rFonts w:ascii="Segoe UI" w:eastAsia="Arial" w:hAnsi="Segoe UI" w:cs="Segoe UI"/>
          <w:color w:val="FF5100"/>
          <w:sz w:val="18"/>
          <w:szCs w:val="18"/>
        </w:rPr>
      </w:pPr>
    </w:p>
    <w:tbl>
      <w:tblPr>
        <w:tblStyle w:val="TableGrid"/>
        <w:tblW w:w="5000" w:type="pct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1553"/>
        <w:gridCol w:w="784"/>
        <w:gridCol w:w="1607"/>
        <w:gridCol w:w="1690"/>
        <w:gridCol w:w="1694"/>
        <w:gridCol w:w="1689"/>
      </w:tblGrid>
      <w:tr w:rsidR="002B183A" w14:paraId="4E198CD6" w14:textId="77777777" w:rsidTr="002923F3">
        <w:trPr>
          <w:trHeight w:val="440"/>
        </w:trPr>
        <w:tc>
          <w:tcPr>
            <w:tcW w:w="823" w:type="pct"/>
            <w:vAlign w:val="center"/>
          </w:tcPr>
          <w:p w14:paraId="7A3F1104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 w:rsidRPr="00FF67C3"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Date</w:t>
            </w:r>
          </w:p>
        </w:tc>
        <w:tc>
          <w:tcPr>
            <w:tcW w:w="414" w:type="pct"/>
            <w:vAlign w:val="center"/>
          </w:tcPr>
          <w:p w14:paraId="607CCD9F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 w:rsidRPr="00FF67C3"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Version</w:t>
            </w:r>
          </w:p>
        </w:tc>
        <w:tc>
          <w:tcPr>
            <w:tcW w:w="906" w:type="pct"/>
            <w:vAlign w:val="center"/>
          </w:tcPr>
          <w:p w14:paraId="2EE940AD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 w:rsidRPr="00FF67C3"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Author &amp; Business Unit Info</w:t>
            </w:r>
          </w:p>
        </w:tc>
        <w:tc>
          <w:tcPr>
            <w:tcW w:w="952" w:type="pct"/>
            <w:vAlign w:val="center"/>
          </w:tcPr>
          <w:p w14:paraId="4563069D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 w:rsidRPr="00FF67C3"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Reviewed By &amp; Business Unit Info</w:t>
            </w:r>
          </w:p>
        </w:tc>
        <w:tc>
          <w:tcPr>
            <w:tcW w:w="954" w:type="pct"/>
            <w:vAlign w:val="center"/>
          </w:tcPr>
          <w:p w14:paraId="03017FBE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 w:rsidRPr="00FF67C3"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Approved By &amp; Business Unit Info</w:t>
            </w:r>
          </w:p>
        </w:tc>
        <w:tc>
          <w:tcPr>
            <w:tcW w:w="951" w:type="pct"/>
            <w:vAlign w:val="center"/>
          </w:tcPr>
          <w:p w14:paraId="6B8E532B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 w:rsidRPr="00FF67C3"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Change History</w:t>
            </w:r>
          </w:p>
        </w:tc>
      </w:tr>
      <w:tr w:rsidR="002B183A" w:rsidRPr="00BB346A" w14:paraId="0CC92F71" w14:textId="77777777" w:rsidTr="002923F3">
        <w:trPr>
          <w:trHeight w:val="449"/>
        </w:trPr>
        <w:tc>
          <w:tcPr>
            <w:tcW w:w="823" w:type="pct"/>
            <w:vAlign w:val="center"/>
          </w:tcPr>
          <w:p w14:paraId="453CD405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proofErr w:type="spellStart"/>
            <w:proofErr w:type="spellEnd"/>
            <w:r>
              <w:rPr>
                <w:rFonts w:ascii="Segoe UI" w:hAnsi="Segoe UI" w:cs="Segoe UI" w:eastAsia="Segoe UI"/>
                <w:color w:val="101820"/>
                <w:sz w:val="16"/>
              </w:rPr>
              <w:t>03 October 2026</w:t>
            </w:r>
          </w:p>
        </w:tc>
        <w:tc>
          <w:tcPr>
            <w:tcW w:w="414" w:type="pct"/>
            <w:vAlign w:val="center"/>
          </w:tcPr>
          <w:p w14:paraId="499E9B55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1.0</w:t>
            </w:r>
          </w:p>
        </w:tc>
        <w:tc>
          <w:tcPr>
            <w:tcW w:w="906" w:type="pct"/>
            <w:vAlign w:val="center"/>
          </w:tcPr>
          <w:p w14:paraId="64B9EBB6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iorta TechNXT</w:t>
            </w:r>
          </w:p>
        </w:tc>
        <w:tc>
          <w:tcPr>
            <w:tcW w:w="952" w:type="pct"/>
            <w:vAlign w:val="center"/>
          </w:tcPr>
          <w:p w14:paraId="4B948B2B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</w:r>
          </w:p>
        </w:tc>
        <w:tc>
          <w:tcPr>
            <w:tcW w:w="954" w:type="pct"/>
            <w:vAlign w:val="center"/>
          </w:tcPr>
          <w:p w14:paraId="1CABD999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</w:r>
          </w:p>
        </w:tc>
        <w:tc>
          <w:tcPr>
            <w:tcW w:w="951" w:type="pct"/>
            <w:vAlign w:val="center"/>
          </w:tcPr>
          <w:p w14:paraId="07C7886B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Initial issue</w:t>
            </w:r>
          </w:p>
        </w:tc>
      </w:tr>
    </w:tbl>
    <w:p w14:paraId="1D2DA8DE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7BB40391" w14:textId="77777777" w:rsidR="002B183A" w:rsidRPr="00AB16B9" w:rsidRDefault="002B183A" w:rsidP="002B183A">
      <w:pPr>
        <w:ind w:right="90"/>
        <w:rPr>
          <w:rFonts w:ascii="Segoe UI" w:eastAsia="Arial" w:hAnsi="Segoe UI" w:cs="Segoe UI"/>
          <w:b/>
          <w:color w:val="D74E0F"/>
          <w:sz w:val="28"/>
        </w:rPr>
      </w:pPr>
    </w:p>
    <w:p w14:paraId="43F9D759" w14:textId="77777777" w:rsidR="002B183A" w:rsidRPr="00AB16B9" w:rsidRDefault="002B183A" w:rsidP="002B183A">
      <w:pPr>
        <w:spacing w:before="60"/>
        <w:rPr>
          <w:rFonts w:ascii="Segoe UI" w:eastAsia="Arial" w:hAnsi="Segoe UI" w:cs="Segoe UI"/>
          <w:b/>
          <w:color w:val="D74E0F"/>
          <w:sz w:val="28"/>
        </w:rPr>
      </w:pPr>
    </w:p>
    <w:p w14:paraId="62C74CF8" w14:textId="77777777" w:rsidR="002B183A" w:rsidRPr="00AB16B9" w:rsidRDefault="002B183A" w:rsidP="002B183A">
      <w:pPr>
        <w:ind w:right="90"/>
        <w:rPr>
          <w:rFonts w:ascii="Segoe UI" w:eastAsia="Arial" w:hAnsi="Segoe UI" w:cs="Segoe UI"/>
          <w:b/>
          <w:color w:val="D74E0F"/>
          <w:sz w:val="28"/>
        </w:rPr>
      </w:pPr>
    </w:p>
    <w:p w14:paraId="12E0A58E" w14:textId="77777777" w:rsidR="002B183A" w:rsidRPr="00465CAB" w:rsidRDefault="002B183A" w:rsidP="002B183A">
      <w:pPr>
        <w:pStyle w:val="Heading1"/>
        <w:tabs>
          <w:tab w:val="num" w:pos="360"/>
        </w:tabs>
        <w:ind w:left="0" w:firstLine="0"/>
        <w:rPr>
          <w:rStyle w:val="BookTitle"/>
          <w:b w:val="0"/>
          <w:bCs w:val="0"/>
          <w:i w:val="0"/>
          <w:iCs w:val="0"/>
          <w:spacing w:val="0"/>
        </w:rPr>
      </w:pPr>
      <w:bookmarkStart w:id="3" w:name="_Toc233203388"/>
      <w:r>
        <w:rPr>
          <w:rStyle w:val="BookTitle"/>
          <w:bCs w:val="0"/>
          <w:i w:val="0"/>
          <w:iCs w:val="0"/>
          <w:spacing w:val="0"/>
        </w:rPr>
        <w:t>2.  Acronyms</w:t>
      </w:r>
      <w:bookmarkEnd w:id="3"/>
    </w:p>
    <w:p w14:paraId="4F3BFBCC" w14:textId="77777777" w:rsidR="002B183A" w:rsidRPr="00CF07C4" w:rsidRDefault="002B183A" w:rsidP="002B183A">
      <w:pPr>
        <w:ind w:right="-180"/>
        <w:rPr>
          <w:rFonts w:ascii="Segoe UI" w:eastAsia="Arial" w:hAnsi="Segoe UI" w:cs="Segoe UI"/>
          <w:color w:val="FF5100"/>
          <w:sz w:val="18"/>
          <w:szCs w:val="18"/>
        </w:rPr>
      </w:pPr>
    </w:p>
    <w:tbl>
      <w:tblPr>
        <w:tblStyle w:val="TableGrid"/>
        <w:tblW w:w="3480" w:type="pct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2534"/>
        <w:gridCol w:w="3742"/>
      </w:tblGrid>
      <w:tr w:rsidR="002B183A" w14:paraId="388F227F" w14:textId="77777777" w:rsidTr="002923F3">
        <w:trPr>
          <w:trHeight w:val="440"/>
        </w:trPr>
        <w:tc>
          <w:tcPr>
            <w:tcW w:w="2019" w:type="pct"/>
            <w:vAlign w:val="center"/>
          </w:tcPr>
          <w:p w14:paraId="4B379853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Acronym / Symbol</w:t>
            </w:r>
          </w:p>
        </w:tc>
        <w:tc>
          <w:tcPr>
            <w:tcW w:w="2981" w:type="pct"/>
            <w:vAlign w:val="center"/>
          </w:tcPr>
          <w:p w14:paraId="2EDB927A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Definition / Meaning</w:t>
            </w:r>
          </w:p>
        </w:tc>
      </w:tr>
      <w:tr w:rsidR="002B183A" w:rsidRPr="00BB346A" w14:paraId="73CFB63E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OOTB</w:t>
            </w:r>
          </w:p>
        </w:tc>
        <w:tc>
          <w:tcPr>
            <w:tcW w:w="2981" w:type="pct"/>
            <w:vAlign w:val="center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Out of the box</w:t>
            </w:r>
          </w:p>
        </w:tc>
      </w:tr>
      <w:tr w:rsidR="002B183A" w:rsidRPr="00BB346A" w14:paraId="1D8D9412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028F5493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IC</w:t>
            </w:r>
          </w:p>
        </w:tc>
        <w:tc>
          <w:tcPr>
            <w:tcW w:w="2981" w:type="pct"/>
            <w:vAlign w:val="center"/>
          </w:tcPr>
          <w:p w14:paraId="4FAC3C2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Insurance Commission</w:t>
            </w:r>
          </w:p>
        </w:tc>
      </w:tr>
      <w:tr w:rsidR="002B183A" w:rsidRPr="00BB346A" w14:paraId="2DB2DE8A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5B763B79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BIR</w:t>
            </w:r>
          </w:p>
        </w:tc>
        <w:tc>
          <w:tcPr>
            <w:tcW w:w="2981" w:type="pct"/>
            <w:vAlign w:val="center"/>
          </w:tcPr>
          <w:p w14:paraId="61D46EF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Bureau of Internal Revenue</w:t>
            </w:r>
          </w:p>
        </w:tc>
      </w:tr>
      <w:tr w:rsidR="002B183A" w:rsidRPr="00BB346A" w14:paraId="4866AFE9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2102CE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NPC</w:t>
            </w:r>
          </w:p>
        </w:tc>
        <w:tc>
          <w:tcPr>
            <w:tcW w:w="2981" w:type="pct"/>
            <w:vAlign w:val="center"/>
          </w:tcPr>
          <w:p w14:paraId="01983CF2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National Privacy Commission</w:t>
            </w:r>
          </w:p>
        </w:tc>
      </w:tr>
      <w:tr w:rsidR="002B183A" w:rsidRPr="00BB346A" w14:paraId="6C77840B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267746A1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DPA</w:t>
            </w:r>
          </w:p>
        </w:tc>
        <w:tc>
          <w:tcPr>
            <w:tcW w:w="2981" w:type="pct"/>
            <w:vAlign w:val="center"/>
          </w:tcPr>
          <w:p w14:paraId="48DD4A48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Data Privacy Act of 2012 (RA 10173)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EOPT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Ease of Paying Taxes Act (RA 11976)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CTPL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Compulsory Third Party Liability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LTO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Land Transportation Office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DST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Documentary stamp tax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LGT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Local government tax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FST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Fire service tax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LGU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Local government unit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VAT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Value-added tax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EWT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Expanded withholding tax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CWT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Creditable withholding tax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ATC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Alphanumeric tax code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SAWT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Summary Alphalist of Withholding Taxes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QAP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Quarterly Alphalist of Payees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SLSP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Summary List of Sales and Purchases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KYC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Know your customer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RFQ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Request for quotation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OR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Official receipt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PV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Payment voucher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JV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Journal voucher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GL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General ledger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SoD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Segregation of duties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TOTP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Time-based one-time password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API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Application programming interface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AMC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Annual Maintenance Contract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CR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Change request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Dev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Development environment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Pre-Prod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Pre-production environment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SIT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System integration test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UAT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User acceptance test</w:t>
            </w:r>
          </w:p>
        </w:tc>
      </w:tr>
    </w:tbl>
    <w:p w14:paraId="3FDC6D70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065F3A42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0E4A9DEB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5F98ECBA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08BE89CB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10B8EBA5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2134C394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003FC5CF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29943CCA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36ECD9C4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376B07E6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>
      <w:pPr>
        <w:pStyle w:val="Heading1"/>
        <w:pageBreakBefore w:val="0"/>
      </w:pPr>
      <w:r>
        <w:rPr>
          <w:rFonts w:ascii="Segoe UI" w:hAnsi="Segoe UI" w:cs="Segoe UI" w:eastAsia="Segoe UI"/>
          <w:b/>
          <w:color w:val="0F4761"/>
          <w:sz w:val="32"/>
        </w:rPr>
        <w:t>3.  About this release</w:t>
      </w: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3.1  Release identification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1803"/>
        <w:gridCol w:w="7211"/>
      </w:tblGrid>
      <w:tr>
        <w:trPr>
          <w:tblHeader w:val="true"/>
        </w:trPr>
        <w:tc>
          <w:tcPr>
            <w:tcW w:type="dxa" w:w="1803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Item</w:t>
            </w:r>
          </w:p>
        </w:tc>
        <w:tc>
          <w:tcPr>
            <w:tcW w:type="dxa" w:w="7211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Value</w:t>
            </w:r>
          </w:p>
        </w:tc>
      </w:tr>
      <w:tr>
        <w:tc>
          <w:tcPr>
            <w:tcW w:type="dxa" w:w="18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Product</w:t>
            </w:r>
          </w:p>
        </w:tc>
        <w:tc>
          <w:tcPr>
            <w:tcW w:type="dxa" w:w="721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iNXT BrokerVerse OOTB, insurance broking platform for Philippine non-life brokers</w:t>
            </w:r>
          </w:p>
        </w:tc>
      </w:tr>
      <w:tr>
        <w:tc>
          <w:tcPr>
            <w:tcW w:type="dxa" w:w="18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Release</w:t>
            </w:r>
          </w:p>
        </w:tc>
        <w:tc>
          <w:tcPr>
            <w:tcW w:type="dxa" w:w="721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1.0</w:t>
            </w:r>
          </w:p>
        </w:tc>
      </w:tr>
      <w:tr>
        <w:tc>
          <w:tcPr>
            <w:tcW w:type="dxa" w:w="18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Build</w:t>
            </w:r>
          </w:p>
        </w:tc>
        <w:tc>
          <w:tcPr>
            <w:tcW w:type="dxa" w:w="721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 xml:space="preserve">Branch </w:t>
            </w:r>
            <w:r>
              <w:rPr>
                <w:rFonts w:ascii="Consolas" w:hAnsi="Consolas" w:cs="Consolas" w:eastAsia="Consolas"/>
                <w:color w:val="101820"/>
                <w:sz w:val="16"/>
              </w:rPr>
              <w:t>brokerverse-platform</w:t>
            </w:r>
            <w:r>
              <w:rPr>
                <w:rFonts w:ascii="Segoe UI" w:hAnsi="Segoe UI" w:cs="Segoe UI" w:eastAsia="Segoe UI"/>
                <w:color w:val="101820"/>
                <w:sz w:val="18"/>
              </w:rPr>
              <w:t xml:space="preserve"> of 03 October 2026; backend package version 1.0.0. The repository carries tag </w:t>
            </w:r>
            <w:r>
              <w:rPr>
                <w:rFonts w:ascii="Consolas" w:hAnsi="Consolas" w:cs="Consolas" w:eastAsia="Consolas"/>
                <w:color w:val="101820"/>
                <w:sz w:val="16"/>
              </w:rPr>
              <w:t>v1.0.0</w:t>
            </w:r>
            <w:r>
              <w:rPr>
                <w:rFonts w:ascii="Segoe UI" w:hAnsi="Segoe UI" w:cs="Segoe UI" w:eastAsia="Segoe UI"/>
                <w:color w:val="101820"/>
                <w:sz w:val="18"/>
              </w:rPr>
              <w:t xml:space="preserve"> (29 September 2026); the tag of the final 1.0 build is [to confirm]</w:t>
            </w:r>
          </w:p>
        </w:tc>
      </w:tr>
      <w:tr>
        <w:tc>
          <w:tcPr>
            <w:tcW w:type="dxa" w:w="18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Technology</w:t>
            </w:r>
          </w:p>
        </w:tc>
        <w:tc>
          <w:tcPr>
            <w:tcW w:type="dxa" w:w="721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React 18 web application, Node.js 22 API, PostgreSQL 16 database</w:t>
            </w:r>
          </w:p>
        </w:tc>
      </w:tr>
      <w:tr>
        <w:tc>
          <w:tcPr>
            <w:tcW w:type="dxa" w:w="18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Release test</w:t>
            </w:r>
          </w:p>
        </w:tc>
        <w:tc>
          <w:tcPr>
            <w:tcW w:type="dxa" w:w="721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03 to 04 October 2026; see the Test Summary Report</w:t>
            </w:r>
          </w:p>
        </w:tc>
      </w:tr>
      <w:tr>
        <w:tc>
          <w:tcPr>
            <w:tcW w:type="dxa" w:w="18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Audience</w:t>
            </w:r>
          </w:p>
        </w:tc>
        <w:tc>
          <w:tcPr>
            <w:tcW w:type="dxa" w:w="721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Broker management, key users, System Administrator, auditors, and the iorta TechNXT support team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3.2  Release in figures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4507"/>
        <w:gridCol w:w="4507"/>
      </w:tblGrid>
      <w:tr>
        <w:trPr>
          <w:tblHeader w:val="true"/>
        </w:trPr>
        <w:tc>
          <w:tcPr>
            <w:tcW w:type="dxa" w:w="450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Item</w:t>
            </w:r>
          </w:p>
        </w:tc>
        <w:tc>
          <w:tcPr>
            <w:tcW w:type="dxa" w:w="450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Count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Delivered roles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7 (System Administrator, Sales &amp; Marketing, Processing Team, Operations, Claims, Accounting, Accounting Manager)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Menu screens checked per role in the release test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173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Catalogue reports in Excel, CSV and PDF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39, plus dashboards and printed documents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Registered API routes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868, documented in OpenAPI, Postman and an Excel touchpoint list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Scheduled jobs (Asia/Manila time)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18, of which 7 are delivered switched off (including the remittance schedules and the overdue data subject request reminder)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Document number series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61, counters that only move forward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Upload templates for go-live data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About 40, each verified against its importer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Test cases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497 prepared: 486 passed, 2 failed, 3 blocked, 6 not run after the re-test of 03 October 2026 (first run: 480 passed, 8 failed)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Automated business-rule tests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634, all passed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End-to-end UAT cycle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371 business steps, 0 failed</w:t>
            </w:r>
          </w:p>
        </w:tc>
      </w:tr>
    </w:tbl>
    <w:p>
      <w:pPr>
        <w:pStyle w:val="Heading1"/>
        <w:pageBreakBefore/>
      </w:pPr>
      <w:r>
        <w:rPr>
          <w:rFonts w:ascii="Segoe UI" w:hAnsi="Segoe UI" w:cs="Segoe UI" w:eastAsia="Segoe UI"/>
          <w:b/>
          <w:color w:val="0F4761"/>
          <w:sz w:val="32"/>
        </w:rPr>
        <w:t>4.  What is delivered</w:t>
      </w: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4.1  Sales and placement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4808"/>
        <w:gridCol w:w="4207"/>
      </w:tblGrid>
      <w:tr>
        <w:trPr>
          <w:tblHeader w:val="true"/>
        </w:trPr>
        <w:tc>
          <w:tcPr>
            <w:tcW w:type="dxa" w:w="4808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Capability</w:t>
            </w:r>
          </w:p>
        </w:tc>
        <w:tc>
          <w:tcPr>
            <w:tcW w:type="dxa" w:w="420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Main screens</w:t>
            </w:r>
          </w:p>
        </w:tc>
      </w:tr>
      <w:tr>
        <w:tc>
          <w:tcPr>
            <w:tcW w:type="dxa" w:w="480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Prospects with contact details, address and status, bulk upload</w:t>
            </w:r>
          </w:p>
        </w:tc>
        <w:tc>
          <w:tcPr>
            <w:tcW w:type="dxa" w:w="42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Operations &gt; Sales &amp; Marketing &gt; Prospects</w:t>
            </w:r>
          </w:p>
        </w:tc>
      </w:tr>
      <w:tr>
        <w:tc>
          <w:tcPr>
            <w:tcW w:type="dxa" w:w="480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Quick Quote of packaged products from insurer rate tables; Compare Insurers</w:t>
            </w:r>
          </w:p>
        </w:tc>
        <w:tc>
          <w:tcPr>
            <w:tcW w:type="dxa" w:w="42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Quick Quote; Compare Insurers</w:t>
            </w:r>
          </w:p>
        </w:tc>
      </w:tr>
      <w:tr>
        <w:tc>
          <w:tcPr>
            <w:tcW w:type="dxa" w:w="480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Request for Quotation to several insurers on a broker slip; insurer offers and declines</w:t>
            </w:r>
          </w:p>
        </w:tc>
        <w:tc>
          <w:tcPr>
            <w:tcW w:type="dxa" w:w="42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Request for Quotation</w:t>
            </w:r>
          </w:p>
        </w:tc>
      </w:tr>
      <w:tr>
        <w:tc>
          <w:tcPr>
            <w:tcW w:type="dxa" w:w="480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Quotations with premium taxes and commission; customer response recorded on screen or through an approval link; maker-checker on quotations</w:t>
            </w:r>
          </w:p>
        </w:tc>
        <w:tc>
          <w:tcPr>
            <w:tcW w:type="dxa" w:w="42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Quotations</w:t>
            </w:r>
          </w:p>
        </w:tc>
      </w:tr>
      <w:tr>
        <w:tc>
          <w:tcPr>
            <w:tcW w:type="dxa" w:w="480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Placement Slips with lead insurer and co-insurers, shares totalling 100%</w:t>
            </w:r>
          </w:p>
        </w:tc>
        <w:tc>
          <w:tcPr>
            <w:tcW w:type="dxa" w:w="42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Placement Slips</w:t>
            </w:r>
          </w:p>
        </w:tc>
      </w:tr>
      <w:tr>
        <w:tc>
          <w:tcPr>
            <w:tcW w:type="dxa" w:w="480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Placement journey per line of business (</w:t>
            </w:r>
            <w:r>
              <w:rPr>
                <w:rFonts w:ascii="Consolas" w:hAnsi="Consolas" w:cs="Consolas" w:eastAsia="Consolas"/>
                <w:color w:val="101820"/>
                <w:sz w:val="16"/>
              </w:rPr>
              <w:t>placement.journey</w:t>
            </w:r>
            <w:r>
              <w:rPr>
                <w:rFonts w:ascii="Segoe UI" w:hAnsi="Segoe UI" w:cs="Segoe UI" w:eastAsia="Segoe UI"/>
                <w:color w:val="101820"/>
                <w:sz w:val="18"/>
              </w:rPr>
              <w:t>), shown as a progress bar</w:t>
            </w:r>
          </w:p>
        </w:tc>
        <w:tc>
          <w:tcPr>
            <w:tcW w:type="dxa" w:w="42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Master &gt; Configuration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4.2  Policy, servicing, claims and renewals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6271"/>
        <w:gridCol w:w="2743"/>
      </w:tblGrid>
      <w:tr>
        <w:trPr>
          <w:tblHeader w:val="true"/>
        </w:trPr>
        <w:tc>
          <w:tcPr>
            <w:tcW w:type="dxa" w:w="6271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Capability</w:t>
            </w:r>
          </w:p>
        </w:tc>
        <w:tc>
          <w:tcPr>
            <w:tcW w:type="dxa" w:w="2743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Main screens</w:t>
            </w:r>
          </w:p>
        </w:tc>
      </w:tr>
      <w:tr>
        <w:tc>
          <w:tcPr>
            <w:tcW w:type="dxa" w:w="627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Policy issue for package and non-package business, motor with CTPL and Auto Passenger PA, KYC checks before motor issue, co-insurance</w:t>
            </w:r>
          </w:p>
        </w:tc>
        <w:tc>
          <w:tcPr>
            <w:tcW w:type="dxa" w:w="274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Operations &gt; Policy</w:t>
            </w:r>
          </w:p>
        </w:tc>
      </w:tr>
      <w:tr>
        <w:tc>
          <w:tcPr>
            <w:tcW w:type="dxa" w:w="627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Endorsements (additional premium, return premium, changes of details, extension) and cancellations, with taxes following the premium</w:t>
            </w:r>
          </w:p>
        </w:tc>
        <w:tc>
          <w:tcPr>
            <w:tcW w:type="dxa" w:w="274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Operations &gt; Policy</w:t>
            </w:r>
          </w:p>
        </w:tc>
      </w:tr>
      <w:tr>
        <w:tc>
          <w:tcPr>
            <w:tcW w:type="dxa" w:w="627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Claims from notification to settlement and closure, preliminary loss advice, claim letters, settlement maker-checker, SLA ageing</w:t>
            </w:r>
          </w:p>
        </w:tc>
        <w:tc>
          <w:tcPr>
            <w:tcW w:type="dxa" w:w="274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Operations &gt; Claims</w:t>
            </w:r>
          </w:p>
        </w:tc>
      </w:tr>
      <w:tr>
        <w:tc>
          <w:tcPr>
            <w:tcW w:type="dxa" w:w="627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Renewals: pipeline 90 days before expiry, notices at 60, 30 and 15 days, renewal batch and queue, at-risk policies, retention analytics, lapse management, win-back campaigns</w:t>
            </w:r>
          </w:p>
        </w:tc>
        <w:tc>
          <w:tcPr>
            <w:tcW w:type="dxa" w:w="274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Operations &gt; Renewals</w:t>
            </w:r>
          </w:p>
        </w:tc>
      </w:tr>
      <w:tr>
        <w:tc>
          <w:tcPr>
            <w:tcW w:type="dxa" w:w="627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Clients with their policies and accounting position</w:t>
            </w:r>
          </w:p>
        </w:tc>
        <w:tc>
          <w:tcPr>
            <w:tcW w:type="dxa" w:w="274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Operations &gt; Clients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4.3  Money and accounting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5031"/>
        <w:gridCol w:w="3983"/>
      </w:tblGrid>
      <w:tr>
        <w:trPr>
          <w:tblHeader w:val="true"/>
        </w:trPr>
        <w:tc>
          <w:tcPr>
            <w:tcW w:type="dxa" w:w="5031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Capability</w:t>
            </w:r>
          </w:p>
        </w:tc>
        <w:tc>
          <w:tcPr>
            <w:tcW w:type="dxa" w:w="3983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Main screens</w:t>
            </w:r>
          </w:p>
        </w:tc>
      </w:tr>
      <w:tr>
        <w:tc>
          <w:tcPr>
            <w:tcW w:type="dxa" w:w="503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Open items, payment capture by sales and operations, acknowledgement receipts</w:t>
            </w:r>
          </w:p>
        </w:tc>
        <w:tc>
          <w:tcPr>
            <w:tcW w:type="dxa" w:w="398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Operations &gt; Open Items; Payments</w:t>
            </w:r>
          </w:p>
        </w:tc>
      </w:tr>
      <w:tr>
        <w:tc>
          <w:tcPr>
            <w:tcW w:type="dxa" w:w="503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Billing, official receipts, receipt and invoice e-mails with PDF</w:t>
            </w:r>
          </w:p>
        </w:tc>
        <w:tc>
          <w:tcPr>
            <w:tcW w:type="dxa" w:w="398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Accounts &gt; Receipts</w:t>
            </w:r>
          </w:p>
        </w:tc>
      </w:tr>
      <w:tr>
        <w:tc>
          <w:tcPr>
            <w:tcW w:type="dxa" w:w="503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Collections, reminders, credit control: instalment plans, premium warranty monitor, client credit limits, remittance ageing</w:t>
            </w:r>
          </w:p>
        </w:tc>
        <w:tc>
          <w:tcPr>
            <w:tcW w:type="dxa" w:w="398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Accounts &gt; Collections; Credit Control</w:t>
            </w:r>
          </w:p>
        </w:tc>
      </w:tr>
      <w:tr>
        <w:tc>
          <w:tcPr>
            <w:tcW w:type="dxa" w:w="503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Disbursement and payment vouchers, petty cash from request to replenishment</w:t>
            </w:r>
          </w:p>
        </w:tc>
        <w:tc>
          <w:tcPr>
            <w:tcW w:type="dxa" w:w="398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Accounts &gt; Disbursement; Petty Cash</w:t>
            </w:r>
          </w:p>
        </w:tc>
      </w:tr>
      <w:tr>
        <w:tc>
          <w:tcPr>
            <w:tcW w:type="dxa" w:w="503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 xml:space="preserve">Remittance to insurers by share, with tracking, statements, settlement, approval within the Authority Matrix limits, schedules run by the </w:t>
            </w:r>
            <w:r>
              <w:rPr>
                <w:rFonts w:ascii="Consolas" w:hAnsi="Consolas" w:cs="Consolas" w:eastAsia="Consolas"/>
                <w:color w:val="101820"/>
                <w:sz w:val="16"/>
              </w:rPr>
              <w:t>remittance-schedules</w:t>
            </w:r>
            <w:r>
              <w:rPr>
                <w:rFonts w:ascii="Segoe UI" w:hAnsi="Segoe UI" w:cs="Segoe UI" w:eastAsia="Segoe UI"/>
                <w:color w:val="101820"/>
                <w:sz w:val="18"/>
              </w:rPr>
              <w:t xml:space="preserve"> job, exceptions, electronic transfer records, agency bill and direct bill processing</w:t>
            </w:r>
          </w:p>
        </w:tc>
        <w:tc>
          <w:tcPr>
            <w:tcW w:type="dxa" w:w="398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Accounts &gt; Remittance</w:t>
            </w:r>
          </w:p>
        </w:tc>
      </w:tr>
      <w:tr>
        <w:tc>
          <w:tcPr>
            <w:tcW w:type="dxa" w:w="503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Commission: referrer and sub-agent accounts, commission rate matrix, payout after collection with withholding</w:t>
            </w:r>
          </w:p>
        </w:tc>
        <w:tc>
          <w:tcPr>
            <w:tcW w:type="dxa" w:w="398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Commission</w:t>
            </w:r>
          </w:p>
        </w:tc>
      </w:tr>
      <w:tr>
        <w:tc>
          <w:tcPr>
            <w:tcW w:type="dxa" w:w="503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Incentive programmes, calculations, approvals and statements</w:t>
            </w:r>
          </w:p>
        </w:tc>
        <w:tc>
          <w:tcPr>
            <w:tcW w:type="dxa" w:w="398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Accounts &gt; Incentive</w:t>
            </w:r>
          </w:p>
        </w:tc>
      </w:tr>
      <w:tr>
        <w:tc>
          <w:tcPr>
            <w:tcW w:type="dxa" w:w="503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General ledger from posting rules; Journal Voucher, Correction JV, Reversal JV; open entry matching</w:t>
            </w:r>
          </w:p>
        </w:tc>
        <w:tc>
          <w:tcPr>
            <w:tcW w:type="dxa" w:w="398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Accounts</w:t>
            </w:r>
          </w:p>
        </w:tc>
      </w:tr>
      <w:tr>
        <w:tc>
          <w:tcPr>
            <w:tcW w:type="dxa" w:w="503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Period End: period management, month-end close with checklist and sub-ledger tie-out, year-end close, recurring journals, financial statements</w:t>
            </w:r>
          </w:p>
        </w:tc>
        <w:tc>
          <w:tcPr>
            <w:tcW w:type="dxa" w:w="398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Accounts &gt; Period End</w:t>
            </w:r>
          </w:p>
        </w:tc>
      </w:tr>
      <w:tr>
        <w:tc>
          <w:tcPr>
            <w:tcW w:type="dxa" w:w="503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Bank reconciliation with statement import (BDO, BPI, Metrobank and generic formats) and matching rules</w:t>
            </w:r>
          </w:p>
        </w:tc>
        <w:tc>
          <w:tcPr>
            <w:tcW w:type="dxa" w:w="398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Accounts &gt; Bank Reconciliation</w:t>
            </w:r>
          </w:p>
        </w:tc>
      </w:tr>
      <w:tr>
        <w:tc>
          <w:tcPr>
            <w:tcW w:type="dxa" w:w="503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Insurer statement reconciliation with column mapping per insurer</w:t>
            </w:r>
          </w:p>
        </w:tc>
        <w:tc>
          <w:tcPr>
            <w:tcW w:type="dxa" w:w="398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Accounts &gt; Insurer Reconciliation</w:t>
            </w:r>
          </w:p>
        </w:tc>
      </w:tr>
      <w:tr>
        <w:tc>
          <w:tcPr>
            <w:tcW w:type="dxa" w:w="503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Reinsurance: treaties, cessions, recoveries, bordereaux, reconciliation</w:t>
            </w:r>
          </w:p>
        </w:tc>
        <w:tc>
          <w:tcPr>
            <w:tcW w:type="dxa" w:w="398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Reinsurance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4.4  Configuration, controls and reporting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5213"/>
        <w:gridCol w:w="3801"/>
      </w:tblGrid>
      <w:tr>
        <w:trPr>
          <w:tblHeader w:val="true"/>
        </w:trPr>
        <w:tc>
          <w:tcPr>
            <w:tcW w:type="dxa" w:w="5213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Capability</w:t>
            </w:r>
          </w:p>
        </w:tc>
        <w:tc>
          <w:tcPr>
            <w:tcW w:type="dxa" w:w="3801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Main screens</w:t>
            </w:r>
          </w:p>
        </w:tc>
      </w:tr>
      <w:tr>
        <w:tc>
          <w:tcPr>
            <w:tcW w:type="dxa" w:w="521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Product Configurator: product templates, coverage builder, rating engine, acceptance rules, document manager, market and risk mapping</w:t>
            </w:r>
          </w:p>
        </w:tc>
        <w:tc>
          <w:tcPr>
            <w:tcW w:type="dxa" w:w="380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Product Configurator</w:t>
            </w:r>
          </w:p>
        </w:tc>
      </w:tr>
      <w:tr>
        <w:tc>
          <w:tcPr>
            <w:tcW w:type="dxa" w:w="521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Masters for organisation, insurers, lines of business, products, covers, vehicles, locations, designations and hierarchy, finance</w:t>
            </w:r>
          </w:p>
        </w:tc>
        <w:tc>
          <w:tcPr>
            <w:tcW w:type="dxa" w:w="380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Master &gt; Generals; Master &gt; Finance</w:t>
            </w:r>
          </w:p>
        </w:tc>
      </w:tr>
      <w:tr>
        <w:tc>
          <w:tcPr>
            <w:tcW w:type="dxa" w:w="521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System Settings, Configuration by business area, Document Numbering, Schedules, E-mail Outbox, Audit Trail</w:t>
            </w:r>
          </w:p>
        </w:tc>
        <w:tc>
          <w:tcPr>
            <w:tcW w:type="dxa" w:w="380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Master</w:t>
            </w:r>
          </w:p>
        </w:tc>
      </w:tr>
      <w:tr>
        <w:tc>
          <w:tcPr>
            <w:tcW w:type="dxa" w:w="521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User management: users, roles, User Access Matrix, Role Permissions, Authority Matrix, Delegations, Segregation of Duties, Access Reviews</w:t>
            </w:r>
          </w:p>
        </w:tc>
        <w:tc>
          <w:tcPr>
            <w:tcW w:type="dxa" w:w="380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Master &gt; Generals &gt; User Management</w:t>
            </w:r>
          </w:p>
        </w:tc>
      </w:tr>
      <w:tr>
        <w:tc>
          <w:tcPr>
            <w:tcW w:type="dxa" w:w="521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Security: password policy, lockout, TOTP two-step verification by role, session rotation and idle sign-out, permission check on every API route</w:t>
            </w:r>
          </w:p>
        </w:tc>
        <w:tc>
          <w:tcPr>
            <w:tcW w:type="dxa" w:w="380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Master &gt; Configuration</w:t>
            </w:r>
          </w:p>
        </w:tc>
      </w:tr>
      <w:tr>
        <w:tc>
          <w:tcPr>
            <w:tcW w:type="dxa" w:w="521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Data privacy: Consent Register, Data Subject Requests, personal data export, anonymisation with dry run</w:t>
            </w:r>
          </w:p>
        </w:tc>
        <w:tc>
          <w:tcPr>
            <w:tcW w:type="dxa" w:w="380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Master &gt; Data Privacy</w:t>
            </w:r>
          </w:p>
        </w:tc>
      </w:tr>
      <w:tr>
        <w:tc>
          <w:tcPr>
            <w:tcW w:type="dxa" w:w="521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Approval notifications in every maker-checker flow: the request to the approvers and the decision to the maker (</w:t>
            </w:r>
            <w:r>
              <w:rPr>
                <w:rFonts w:ascii="Consolas" w:hAnsi="Consolas" w:cs="Consolas" w:eastAsia="Consolas"/>
                <w:color w:val="101820"/>
                <w:sz w:val="16"/>
              </w:rPr>
              <w:t>notification.approval_requests</w:t>
            </w:r>
            <w:r>
              <w:rPr>
                <w:rFonts w:ascii="Segoe UI" w:hAnsi="Segoe UI" w:cs="Segoe UI" w:eastAsia="Segoe UI"/>
                <w:color w:val="101820"/>
                <w:sz w:val="18"/>
              </w:rPr>
              <w:t>)</w:t>
            </w:r>
          </w:p>
        </w:tc>
        <w:tc>
          <w:tcPr>
            <w:tcW w:type="dxa" w:w="380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Notifications (bell)</w:t>
            </w:r>
          </w:p>
        </w:tc>
      </w:tr>
      <w:tr>
        <w:tc>
          <w:tcPr>
            <w:tcW w:type="dxa" w:w="521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Reports: operational and financial reports, co-insurance register, due to insurers by co-insurer; dashboards for executives, claims, processing, sales and commission</w:t>
            </w:r>
          </w:p>
        </w:tc>
        <w:tc>
          <w:tcPr>
            <w:tcW w:type="dxa" w:w="380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Reports; Dashboard</w:t>
            </w:r>
          </w:p>
        </w:tc>
      </w:tr>
      <w:tr>
        <w:tc>
          <w:tcPr>
            <w:tcW w:type="dxa" w:w="521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Payment links through PayMongo and Dragonpay (sandbox provider for testing); a confirmed payment posts the official receipt</w:t>
            </w:r>
          </w:p>
        </w:tc>
        <w:tc>
          <w:tcPr>
            <w:tcW w:type="dxa" w:w="380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Master &gt; Finance &gt; Payment Gateways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4.5  Philippine rules built in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2743"/>
        <w:gridCol w:w="6271"/>
      </w:tblGrid>
      <w:tr>
        <w:trPr>
          <w:tblHeader w:val="true"/>
        </w:trPr>
        <w:tc>
          <w:tcPr>
            <w:tcW w:type="dxa" w:w="2743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Area</w:t>
            </w:r>
          </w:p>
        </w:tc>
        <w:tc>
          <w:tcPr>
            <w:tcW w:type="dxa" w:w="6271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Rule as delivered</w:t>
            </w:r>
          </w:p>
        </w:tc>
      </w:tr>
      <w:tr>
        <w:tc>
          <w:tcPr>
            <w:tcW w:type="dxa" w:w="274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Premium taxes</w:t>
            </w:r>
          </w:p>
        </w:tc>
        <w:tc>
          <w:tcPr>
            <w:tcW w:type="dxa" w:w="627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DST of PHP 0.50 on each PHP 4.00 of premium, a fraction counting as a whole unit (NIRC section 184), VAT 12% for products under the VAT regime, LGT by the client's city or municipality (0.75% delivered default), FST 2% on fire lines; set in Master &gt; Finance &gt; Premium Taxes &amp; LGU Rates</w:t>
            </w:r>
          </w:p>
        </w:tc>
      </w:tr>
      <w:tr>
        <w:tc>
          <w:tcPr>
            <w:tcW w:type="dxa" w:w="274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CTPL</w:t>
            </w:r>
          </w:p>
        </w:tc>
        <w:tc>
          <w:tcPr>
            <w:tcW w:type="dxa" w:w="627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1-year and 3-year CTPL per vehicle class from the motor template MOT-003-2025; inclusive of taxes and fees, never discounted; certificate number and authentication code on the policy</w:t>
            </w:r>
          </w:p>
        </w:tc>
      </w:tr>
      <w:tr>
        <w:tc>
          <w:tcPr>
            <w:tcW w:type="dxa" w:w="274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KYC</w:t>
            </w:r>
          </w:p>
        </w:tc>
        <w:tc>
          <w:tcPr>
            <w:tcW w:type="dxa" w:w="627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Government ID type, number and image, chassis, motor and plate or MV file number required before motor issue; accepted IDs include PhilSys ID, UMID, passport and driver's licence</w:t>
            </w:r>
          </w:p>
        </w:tc>
      </w:tr>
      <w:tr>
        <w:tc>
          <w:tcPr>
            <w:tcW w:type="dxa" w:w="274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Commission tax</w:t>
            </w:r>
          </w:p>
        </w:tc>
        <w:tc>
          <w:tcPr>
            <w:tcW w:type="dxa" w:w="627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Output VAT on commission (VAT12-OUT); EWT on referrer commission by payee type (WI515 5% for agents and sub-agents, WC515 10% for external referrers, delivered); insurer EWT on direct-bill commission (WC139 10%) to Creditable Withholding Tax</w:t>
            </w:r>
          </w:p>
        </w:tc>
      </w:tr>
      <w:tr>
        <w:tc>
          <w:tcPr>
            <w:tcW w:type="dxa" w:w="274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BIR working papers</w:t>
            </w:r>
          </w:p>
        </w:tc>
        <w:tc>
          <w:tcPr>
            <w:tcW w:type="dxa" w:w="627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BIR Form 2307 issued and received, VAT Summary, SAWT, QAP, SLSP Sales and SLSP Purchases, in the BIR column order</w:t>
            </w:r>
          </w:p>
        </w:tc>
      </w:tr>
      <w:tr>
        <w:tc>
          <w:tcPr>
            <w:tcW w:type="dxa" w:w="274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Invoices and receipts</w:t>
            </w:r>
          </w:p>
        </w:tc>
        <w:tc>
          <w:tcPr>
            <w:tcW w:type="dxa" w:w="627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Number series for invoices, official receipts, debit notes and Form 2307; next numbers can continue the old system's numbering; cancelled documents kept with a reason</w:t>
            </w:r>
          </w:p>
        </w:tc>
      </w:tr>
      <w:tr>
        <w:tc>
          <w:tcPr>
            <w:tcW w:type="dxa" w:w="274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Local formats</w:t>
            </w:r>
          </w:p>
        </w:tc>
        <w:tc>
          <w:tcPr>
            <w:tcW w:type="dxa" w:w="627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Asia/Manila time zone, PHP base currency, +63 mobile numbers, Philippine provinces and cities with all NCR LGUs, Philippine banks</w:t>
            </w:r>
          </w:p>
        </w:tc>
      </w:tr>
      <w:tr>
        <w:tc>
          <w:tcPr>
            <w:tcW w:type="dxa" w:w="274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Data privacy</w:t>
            </w:r>
          </w:p>
        </w:tc>
        <w:tc>
          <w:tcPr>
            <w:tcW w:type="dxa" w:w="627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Consent per purpose with notice version; data subject requests due in 15 calendar days; anonymisation refused within 10 years of the last policy expiry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4.6  Changes after the release test</w:t>
      </w:r>
    </w:p>
    <w:p>
      <w:pPr>
        <w:spacing w:after="120" w:line="276" w:lineRule="auto"/>
      </w:pPr>
      <w:r>
        <w:rPr>
          <w:rFonts w:ascii="Segoe UI" w:hAnsi="Segoe UI" w:cs="Segoe UI" w:eastAsia="Segoe UI"/>
          <w:color w:val="101820"/>
          <w:sz w:val="21"/>
        </w:rPr>
        <w:t>These changes were made on the release branch after the release test of 03 and 04 October 2026. The cases they touch are re-run in the next manual cycle.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4507"/>
        <w:gridCol w:w="4507"/>
      </w:tblGrid>
      <w:tr>
        <w:trPr>
          <w:tblHeader w:val="true"/>
        </w:trPr>
        <w:tc>
          <w:tcPr>
            <w:tcW w:type="dxa" w:w="450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Change</w:t>
            </w:r>
          </w:p>
        </w:tc>
        <w:tc>
          <w:tcPr>
            <w:tcW w:type="dxa" w:w="450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Effect for users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Data privacy module (Master &gt; Data Privacy)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Consents, data subject requests, export and anonymisation in the system instead of outside it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E-mail attachments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Official receipt, premium invoice, policy schedule and commission debit note e-mailed with the PDF attached; attachments listed in the E-mail Outbox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Approval notifications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Every maker-checker request and decision notified under the bell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Remittance approvals in the Authority Matrix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 xml:space="preserve">Transaction types Remittance approval and Remittance settlement; delivered limits Accounting PHP 1,000,000.00, Accounting Manager without limit; </w:t>
            </w:r>
            <w:r>
              <w:rPr>
                <w:rFonts w:ascii="Consolas" w:hAnsi="Consolas" w:cs="Consolas" w:eastAsia="Consolas"/>
                <w:color w:val="101820"/>
                <w:sz w:val="16"/>
              </w:rPr>
              <w:t>remittance.approval_levels</w:t>
            </w:r>
            <w:r>
              <w:rPr>
                <w:rFonts w:ascii="Segoe UI" w:hAnsi="Segoe UI" w:cs="Segoe UI" w:eastAsia="Segoe UI"/>
                <w:color w:val="101820"/>
                <w:sz w:val="18"/>
              </w:rPr>
              <w:t xml:space="preserve"> only as a fallback; cover through User Management &gt; Delegations (the separate remittance delegation tab is removed)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Remittance schedules job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 xml:space="preserve">The schedules of Accounts &gt; Remittance &gt; Scheduling run daily through </w:t>
            </w:r>
            <w:r>
              <w:rPr>
                <w:rFonts w:ascii="Consolas" w:hAnsi="Consolas" w:cs="Consolas" w:eastAsia="Consolas"/>
                <w:color w:val="101820"/>
                <w:sz w:val="16"/>
              </w:rPr>
              <w:t>remittance-schedules</w:t>
            </w:r>
            <w:r>
              <w:rPr>
                <w:rFonts w:ascii="Segoe UI" w:hAnsi="Segoe UI" w:cs="Segoe UI" w:eastAsia="Segoe UI"/>
                <w:color w:val="101820"/>
                <w:sz w:val="18"/>
              </w:rPr>
              <w:t xml:space="preserve"> on Master &gt; Schedules (delivered switched off)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Duplicate masters retired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Remittance Master keeps automated remittance, statement templates, settlement parameters, bulk processing, exceptions, agency bill, adjustments and notifications; the tabs Reconciliation Rule, Electronic Transfer, History, Analytics, Direct Bill and Report Template are removed (their values are in Master &gt; Configuration). The Commission, Employee and Petty Cash masters are removed from the menu: commission rates are in Master &gt; Finance &gt; Commission Rate Matrix, staff details on the user form (branch, designation, reporting to), petty cash fund size and limits on Accounts &gt; Petty Cash &gt; Initiate. Product Configurator &gt; Approval Workflows is removed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One source for currency, exchange rates and premium taxes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One base currency in the Currency master; dated rates only from the Exchange Rate master; premium taxes only from Premium Taxes &amp; LGU Rates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Screen stability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Lists paged by the server (20, 50 or 100 rows), Prospects shown as a table, description paragraphs removed from working screens, steadier loading</w:t>
            </w:r>
          </w:p>
        </w:tc>
      </w:tr>
    </w:tbl>
    <w:p>
      <w:pPr>
        <w:pStyle w:val="Heading1"/>
        <w:pageBreakBefore/>
      </w:pPr>
      <w:r>
        <w:rPr>
          <w:rFonts w:ascii="Segoe UI" w:hAnsi="Segoe UI" w:cs="Segoe UI" w:eastAsia="Segoe UI"/>
          <w:b/>
          <w:color w:val="0F4761"/>
          <w:sz w:val="32"/>
        </w:rPr>
        <w:t>5.  Known limitations and open items</w:t>
      </w: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5.1  Defects and observations from the release test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1134"/>
        <w:gridCol w:w="2848"/>
        <w:gridCol w:w="1123"/>
        <w:gridCol w:w="2769"/>
        <w:gridCol w:w="1141"/>
      </w:tblGrid>
      <w:tr>
        <w:trPr>
          <w:tblHeader w:val="true"/>
        </w:trPr>
        <w:tc>
          <w:tcPr>
            <w:tcW w:type="dxa" w:w="1134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ID</w:t>
            </w:r>
          </w:p>
        </w:tc>
        <w:tc>
          <w:tcPr>
            <w:tcW w:type="dxa" w:w="2848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Item</w:t>
            </w:r>
          </w:p>
        </w:tc>
        <w:tc>
          <w:tcPr>
            <w:tcW w:type="dxa" w:w="1123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Severity</w:t>
            </w:r>
          </w:p>
        </w:tc>
        <w:tc>
          <w:tcPr>
            <w:tcW w:type="dxa" w:w="2769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Workaround</w:t>
            </w:r>
          </w:p>
        </w:tc>
        <w:tc>
          <w:tcPr>
            <w:tcW w:type="dxa" w:w="1141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Target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BV-DEF-001</w:t>
            </w:r>
          </w:p>
        </w:tc>
        <w:tc>
          <w:tcPr>
            <w:tcW w:type="dxa" w:w="284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react-router carries a moderate security advisory (open redirect)</w:t>
            </w:r>
          </w:p>
        </w:tc>
        <w:tc>
          <w:tcPr>
            <w:tcW w:type="dxa" w:w="112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Medium</w:t>
            </w:r>
          </w:p>
        </w:tc>
        <w:tc>
          <w:tcPr>
            <w:tcW w:type="dxa" w:w="276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Navigation targets come from the application's own routes; web server allows only the application origin</w:t>
            </w:r>
          </w:p>
        </w:tc>
        <w:tc>
          <w:tcPr>
            <w:tcW w:type="dxa" w:w="114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Next minor release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BV-DEF-002</w:t>
            </w:r>
          </w:p>
        </w:tc>
        <w:tc>
          <w:tcPr>
            <w:tcW w:type="dxa" w:w="284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Data privacy features were not built at the release test</w:t>
            </w:r>
          </w:p>
        </w:tc>
        <w:tc>
          <w:tcPr>
            <w:tcW w:type="dxa" w:w="112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Medium</w:t>
            </w:r>
          </w:p>
        </w:tc>
        <w:tc>
          <w:tcPr>
            <w:tcW w:type="dxa" w:w="276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Closed: delivered (Master &gt; Data Privacy) and re-tested on 03 October 2026</w:t>
            </w:r>
          </w:p>
        </w:tc>
        <w:tc>
          <w:tcPr>
            <w:tcW w:type="dxa" w:w="114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Closed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BV-DEF-003</w:t>
            </w:r>
          </w:p>
        </w:tc>
        <w:tc>
          <w:tcPr>
            <w:tcW w:type="dxa" w:w="284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Application-level encryption covers only two-step verification secrets</w:t>
            </w:r>
          </w:p>
        </w:tc>
        <w:tc>
          <w:tcPr>
            <w:tcW w:type="dxa" w:w="112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Medium</w:t>
            </w:r>
          </w:p>
        </w:tc>
        <w:tc>
          <w:tcPr>
            <w:tcW w:type="dxa" w:w="276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Encrypted database storage and backups; restricted database access</w:t>
            </w:r>
          </w:p>
        </w:tc>
        <w:tc>
          <w:tcPr>
            <w:tcW w:type="dxa" w:w="114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Product backlog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BV-DEF-004</w:t>
            </w:r>
          </w:p>
        </w:tc>
        <w:tc>
          <w:tcPr>
            <w:tcW w:type="dxa" w:w="284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Product configurator component lists did not show the template</w:t>
            </w:r>
          </w:p>
        </w:tc>
        <w:tc>
          <w:tcPr>
            <w:tcW w:type="dxa" w:w="112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Low</w:t>
            </w:r>
          </w:p>
        </w:tc>
        <w:tc>
          <w:tcPr>
            <w:tcW w:type="dxa" w:w="276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Closed: Template column added and re-tested on 03 October 2026</w:t>
            </w:r>
          </w:p>
        </w:tc>
        <w:tc>
          <w:tcPr>
            <w:tcW w:type="dxa" w:w="114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Closed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BV-OBS-005</w:t>
            </w:r>
          </w:p>
        </w:tc>
        <w:tc>
          <w:tcPr>
            <w:tcW w:type="dxa" w:w="284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Renewal refused for a policy expired beyond grace plus lapsed-renewal days</w:t>
            </w:r>
          </w:p>
        </w:tc>
        <w:tc>
          <w:tcPr>
            <w:tcW w:type="dxa" w:w="112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Low</w:t>
            </w:r>
          </w:p>
        </w:tc>
        <w:tc>
          <w:tcPr>
            <w:tcW w:type="dxa" w:w="276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Closed as by design: quote as new business</w:t>
            </w:r>
          </w:p>
        </w:tc>
        <w:tc>
          <w:tcPr>
            <w:tcW w:type="dxa" w:w="114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Closed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BV-DEF-006</w:t>
            </w:r>
          </w:p>
        </w:tc>
        <w:tc>
          <w:tcPr>
            <w:tcW w:type="dxa" w:w="284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Premium Taxes &amp; LGU Rates: charges calculator product list empty for Accounting roles</w:t>
            </w:r>
          </w:p>
        </w:tc>
        <w:tc>
          <w:tcPr>
            <w:tcW w:type="dxa" w:w="112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Low</w:t>
            </w:r>
          </w:p>
        </w:tc>
        <w:tc>
          <w:tcPr>
            <w:tcW w:type="dxa" w:w="276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Closed: fixed and re-tested on 03 October 2026</w:t>
            </w:r>
          </w:p>
        </w:tc>
        <w:tc>
          <w:tcPr>
            <w:tcW w:type="dxa" w:w="114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Closed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BV-OBS-007</w:t>
            </w:r>
          </w:p>
        </w:tc>
        <w:tc>
          <w:tcPr>
            <w:tcW w:type="dxa" w:w="284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Address of the menu group Master &gt; Generals &gt; Organization opened "Page not found"</w:t>
            </w:r>
          </w:p>
        </w:tc>
        <w:tc>
          <w:tcPr>
            <w:tcW w:type="dxa" w:w="112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Low</w:t>
            </w:r>
          </w:p>
        </w:tc>
        <w:tc>
          <w:tcPr>
            <w:tcW w:type="dxa" w:w="276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Closed: menu groups carry no address</w:t>
            </w:r>
          </w:p>
        </w:tc>
        <w:tc>
          <w:tcPr>
            <w:tcW w:type="dxa" w:w="114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Closed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BV-OBS-008</w:t>
            </w:r>
          </w:p>
        </w:tc>
        <w:tc>
          <w:tcPr>
            <w:tcW w:type="dxa" w:w="284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Incentive &gt; My Programs: Achievement Overview card cut off at 1440 px</w:t>
            </w:r>
          </w:p>
        </w:tc>
        <w:tc>
          <w:tcPr>
            <w:tcW w:type="dxa" w:w="112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Low</w:t>
            </w:r>
          </w:p>
        </w:tc>
        <w:tc>
          <w:tcPr>
            <w:tcW w:type="dxa" w:w="276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Closed: fixed and re-tested on 03 October 2026</w:t>
            </w:r>
          </w:p>
        </w:tc>
        <w:tc>
          <w:tcPr>
            <w:tcW w:type="dxa" w:w="114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Closed</w:t>
            </w:r>
          </w:p>
        </w:tc>
      </w:tr>
    </w:tbl>
    <w:p>
      <w:pPr>
        <w:spacing w:after="80"/>
      </w:pPr>
    </w:p>
    <w:p>
      <w:pPr>
        <w:spacing w:after="120" w:line="276" w:lineRule="auto"/>
      </w:pPr>
      <w:r>
        <w:rPr>
          <w:rFonts w:ascii="Segoe UI" w:hAnsi="Segoe UI" w:cs="Segoe UI" w:eastAsia="Segoe UI"/>
          <w:color w:val="101820"/>
          <w:sz w:val="21"/>
        </w:rPr>
        <w:t>Cases not run or blocked in the release test (SMTP-dependent checks, idle sign-out timing, some screen-only negative checks) are listed in the Test Summary Report and are planned for the next manual cycle.</w:t>
      </w: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5.2  Limits of the OOTB scope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2091"/>
        <w:gridCol w:w="3461"/>
        <w:gridCol w:w="3461"/>
      </w:tblGrid>
      <w:tr>
        <w:trPr>
          <w:tblHeader w:val="true"/>
        </w:trPr>
        <w:tc>
          <w:tcPr>
            <w:tcW w:type="dxa" w:w="2091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Topic</w:t>
            </w:r>
          </w:p>
        </w:tc>
        <w:tc>
          <w:tcPr>
            <w:tcW w:type="dxa" w:w="3461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Release 1.0 behaviour</w:t>
            </w:r>
          </w:p>
        </w:tc>
        <w:tc>
          <w:tcPr>
            <w:tcW w:type="dxa" w:w="3461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Route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Insurer systems</w:t>
            </w:r>
          </w:p>
        </w:tc>
        <w:tc>
          <w:tcPr>
            <w:tcW w:type="dxa" w:w="346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No insurer API; slips, statements and debit notes by file and e-mail</w:t>
            </w:r>
          </w:p>
        </w:tc>
        <w:tc>
          <w:tcPr>
            <w:tcW w:type="dxa" w:w="346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Change request per insurer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IC report formats</w:t>
            </w:r>
          </w:p>
        </w:tc>
        <w:tc>
          <w:tcPr>
            <w:tcW w:type="dxa" w:w="346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Figures from financial statements and production reports; no IC-format report</w:t>
            </w:r>
          </w:p>
        </w:tc>
        <w:tc>
          <w:tcPr>
            <w:tcW w:type="dxa" w:w="346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Change request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Percentage tax</w:t>
            </w:r>
          </w:p>
        </w:tc>
        <w:tc>
          <w:tcPr>
            <w:tcW w:type="dxa" w:w="346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No working paper for a non-VAT broker</w:t>
            </w:r>
          </w:p>
        </w:tc>
        <w:tc>
          <w:tcPr>
            <w:tcW w:type="dxa" w:w="346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Ledger by insurer; change request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Anti-money laundering</w:t>
            </w:r>
          </w:p>
        </w:tc>
        <w:tc>
          <w:tcPr>
            <w:tcW w:type="dxa" w:w="346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No transaction monitoring, sanctions or PEP screening</w:t>
            </w:r>
          </w:p>
        </w:tc>
        <w:tc>
          <w:tcPr>
            <w:tcW w:type="dxa" w:w="346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Outside OOTB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Report schedules</w:t>
            </w:r>
          </w:p>
        </w:tc>
        <w:tc>
          <w:tcPr>
            <w:tcW w:type="dxa" w:w="346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Scheduled e-mail of reports exists in the API; no screen to set it up</w:t>
            </w:r>
          </w:p>
        </w:tc>
        <w:tc>
          <w:tcPr>
            <w:tcW w:type="dxa" w:w="346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System Administrator through the API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Bank payments</w:t>
            </w:r>
          </w:p>
        </w:tc>
        <w:tc>
          <w:tcPr>
            <w:tcW w:type="dxa" w:w="346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Transfers approved and recorded; no bank payment file</w:t>
            </w:r>
          </w:p>
        </w:tc>
        <w:tc>
          <w:tcPr>
            <w:tcW w:type="dxa" w:w="346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Change request per bank format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Two-step enrolment</w:t>
            </w:r>
          </w:p>
        </w:tc>
        <w:tc>
          <w:tcPr>
            <w:tcW w:type="dxa" w:w="346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Shows the key and a link, not a QR code</w:t>
            </w:r>
          </w:p>
        </w:tc>
        <w:tc>
          <w:tcPr>
            <w:tcW w:type="dxa" w:w="346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Users type the key into the authenticator app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Session tokens</w:t>
            </w:r>
          </w:p>
        </w:tc>
        <w:tc>
          <w:tcPr>
            <w:tcW w:type="dxa" w:w="346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Kept in browser local storage</w:t>
            </w:r>
          </w:p>
        </w:tc>
        <w:tc>
          <w:tcPr>
            <w:tcW w:type="dxa" w:w="346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Move to httpOnly cookie on the roadmap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Masters without Upload button</w:t>
            </w:r>
          </w:p>
        </w:tc>
        <w:tc>
          <w:tcPr>
            <w:tcW w:type="dxa" w:w="346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Templates loaded by the System Administrator through the API route</w:t>
            </w:r>
          </w:p>
        </w:tc>
        <w:tc>
          <w:tcPr>
            <w:tcW w:type="dxa" w:w="346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Upload buttons on the roadmap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Claim settlement cash</w:t>
            </w:r>
          </w:p>
        </w:tc>
        <w:tc>
          <w:tcPr>
            <w:tcW w:type="dxa" w:w="346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Settlement cash panel is on the claim screens; the System Administrator records funds on Accounting's instruction</w:t>
            </w:r>
          </w:p>
        </w:tc>
        <w:tc>
          <w:tcPr>
            <w:tcW w:type="dxa" w:w="346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Accounting menu extension on the roadmap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Mobile</w:t>
            </w:r>
          </w:p>
        </w:tc>
        <w:tc>
          <w:tcPr>
            <w:tcW w:type="dxa" w:w="346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Web application for desktop and laptop browsers (current Chrome, Edge or Firefox)</w:t>
            </w:r>
          </w:p>
        </w:tc>
        <w:tc>
          <w:tcPr>
            <w:tcW w:type="dxa" w:w="346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See roadmap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Language</w:t>
            </w:r>
          </w:p>
        </w:tc>
        <w:tc>
          <w:tcPr>
            <w:tcW w:type="dxa" w:w="346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English screens; no Filipino translation file</w:t>
            </w:r>
          </w:p>
        </w:tc>
        <w:tc>
          <w:tcPr>
            <w:tcW w:type="dxa" w:w="346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Change request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Load test</w:t>
            </w:r>
          </w:p>
        </w:tc>
        <w:tc>
          <w:tcPr>
            <w:tcW w:type="dxa" w:w="346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Not run; single-server timings only</w:t>
            </w:r>
          </w:p>
        </w:tc>
        <w:tc>
          <w:tcPr>
            <w:tcW w:type="dxa" w:w="346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Run on the production-sized environment before go-live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External penetration test</w:t>
            </w:r>
          </w:p>
        </w:tc>
        <w:tc>
          <w:tcPr>
            <w:tcW w:type="dxa" w:w="346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Not run</w:t>
            </w:r>
          </w:p>
        </w:tc>
        <w:tc>
          <w:tcPr>
            <w:tcW w:type="dxa" w:w="346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Commission before go-live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5.3  Before go-live at a broker</w:t>
      </w:r>
    </w:p>
    <w:p>
      <w:pPr>
        <w:spacing w:after="60"/>
        <w:numPr>
          <w:ilvl w:val="0"/>
          <w:numId w:val="3"/>
        </w:numPr>
      </w:pPr>
      <w:r>
        <w:rPr>
          <w:rFonts w:ascii="Segoe UI" w:hAnsi="Segoe UI" w:cs="Segoe UI" w:eastAsia="Segoe UI"/>
          <w:color w:val="101820"/>
          <w:sz w:val="21"/>
        </w:rPr>
        <w:t xml:space="preserve">Set </w:t>
      </w:r>
      <w:r>
        <w:rPr>
          <w:rFonts w:ascii="Consolas" w:hAnsi="Consolas" w:cs="Consolas" w:eastAsia="Consolas"/>
          <w:color w:val="101820"/>
          <w:sz w:val="19"/>
        </w:rPr>
        <w:t>security.require_2fa_roles</w:t>
      </w:r>
      <w:r>
        <w:rPr>
          <w:rFonts w:ascii="Segoe UI" w:hAnsi="Segoe UI" w:cs="Segoe UI" w:eastAsia="Segoe UI"/>
          <w:color w:val="101820"/>
          <w:sz w:val="21"/>
        </w:rPr>
        <w:t xml:space="preserve"> to at least System Administrator, Accounting and Accounting Manager.</w:t>
      </w:r>
    </w:p>
    <w:p>
      <w:pPr>
        <w:spacing w:after="60"/>
        <w:numPr>
          <w:ilvl w:val="0"/>
          <w:numId w:val="3"/>
        </w:numPr>
      </w:pPr>
      <w:r>
        <w:rPr>
          <w:rFonts w:ascii="Segoe UI" w:hAnsi="Segoe UI" w:cs="Segoe UI" w:eastAsia="Segoe UI"/>
          <w:color w:val="101820"/>
          <w:sz w:val="21"/>
        </w:rPr>
        <w:t>Replace the default authority limits with the board-approved signing authority.</w:t>
      </w:r>
    </w:p>
    <w:p>
      <w:pPr>
        <w:spacing w:after="60"/>
        <w:numPr>
          <w:ilvl w:val="0"/>
          <w:numId w:val="3"/>
        </w:numPr>
      </w:pPr>
      <w:r>
        <w:rPr>
          <w:rFonts w:ascii="Segoe UI" w:hAnsi="Segoe UI" w:cs="Segoe UI" w:eastAsia="Segoe UI"/>
          <w:color w:val="101820"/>
          <w:sz w:val="21"/>
        </w:rPr>
        <w:t>Fill the BIR settings (registered name, address, TIN of the withholding agent).</w:t>
      </w:r>
    </w:p>
    <w:p>
      <w:pPr>
        <w:spacing w:after="60"/>
        <w:numPr>
          <w:ilvl w:val="0"/>
          <w:numId w:val="3"/>
        </w:numPr>
      </w:pPr>
      <w:r>
        <w:rPr>
          <w:rFonts w:ascii="Segoe UI" w:hAnsi="Segoe UI" w:cs="Segoe UI" w:eastAsia="Segoe UI"/>
          <w:color w:val="101820"/>
          <w:sz w:val="21"/>
        </w:rPr>
        <w:t>Confirm premium tax rules, LGU rates, ATC and GL accounts with the broker's tax adviser.</w:t>
      </w:r>
    </w:p>
    <w:p>
      <w:pPr>
        <w:spacing w:after="60"/>
        <w:numPr>
          <w:ilvl w:val="0"/>
          <w:numId w:val="3"/>
        </w:numPr>
      </w:pPr>
      <w:r>
        <w:rPr>
          <w:rFonts w:ascii="Segoe UI" w:hAnsi="Segoe UI" w:cs="Segoe UI" w:eastAsia="Segoe UI"/>
          <w:color w:val="101820"/>
          <w:sz w:val="21"/>
        </w:rPr>
        <w:t>Switch off the Sandbox payment gateway in production; enter live gateway keys in the secret store.</w:t>
      </w:r>
    </w:p>
    <w:p>
      <w:pPr>
        <w:spacing w:after="60"/>
        <w:numPr>
          <w:ilvl w:val="0"/>
          <w:numId w:val="3"/>
        </w:numPr>
      </w:pPr>
      <w:r>
        <w:rPr>
          <w:rFonts w:ascii="Segoe UI" w:hAnsi="Segoe UI" w:cs="Segoe UI" w:eastAsia="Segoe UI"/>
          <w:color w:val="101820"/>
          <w:sz w:val="21"/>
        </w:rPr>
        <w:t>Switch on "Send e-mails" only after the SMTP mailbox is tested.</w:t>
      </w:r>
    </w:p>
    <w:p>
      <w:pPr>
        <w:pStyle w:val="Heading1"/>
        <w:pageBreakBefore/>
      </w:pPr>
      <w:r>
        <w:rPr>
          <w:rFonts w:ascii="Segoe UI" w:hAnsi="Segoe UI" w:cs="Segoe UI" w:eastAsia="Segoe UI"/>
          <w:b/>
          <w:color w:val="0F4761"/>
          <w:sz w:val="32"/>
        </w:rPr>
        <w:t>6.  Upgrade and versioning policy</w:t>
      </w: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6.1  Version numbers</w:t>
      </w:r>
    </w:p>
    <w:p>
      <w:pPr>
        <w:spacing w:after="120" w:line="276" w:lineRule="auto"/>
      </w:pPr>
      <w:r>
        <w:rPr>
          <w:rFonts w:ascii="Segoe UI" w:hAnsi="Segoe UI" w:cs="Segoe UI" w:eastAsia="Segoe UI"/>
          <w:color w:val="101820"/>
          <w:sz w:val="21"/>
        </w:rPr>
        <w:t xml:space="preserve">Releases are numbered MAJOR.MINOR.PATCH and tagged in the repository (for example </w:t>
      </w:r>
      <w:r>
        <w:rPr>
          <w:rFonts w:ascii="Consolas" w:hAnsi="Consolas" w:cs="Consolas" w:eastAsia="Consolas"/>
          <w:color w:val="101820"/>
          <w:sz w:val="19"/>
        </w:rPr>
        <w:t>v1.0.0</w:t>
      </w:r>
      <w:r>
        <w:rPr>
          <w:rFonts w:ascii="Segoe UI" w:hAnsi="Segoe UI" w:cs="Segoe UI" w:eastAsia="Segoe UI"/>
          <w:color w:val="101820"/>
          <w:sz w:val="21"/>
        </w:rPr>
        <w:t xml:space="preserve">); </w:t>
      </w:r>
      <w:r>
        <w:rPr>
          <w:rFonts w:ascii="Consolas" w:hAnsi="Consolas" w:cs="Consolas" w:eastAsia="Consolas"/>
          <w:color w:val="101820"/>
          <w:sz w:val="19"/>
        </w:rPr>
        <w:t>GET /api/version</w:t>
      </w:r>
      <w:r>
        <w:rPr>
          <w:rFonts w:ascii="Segoe UI" w:hAnsi="Segoe UI" w:cs="Segoe UI" w:eastAsia="Segoe UI"/>
          <w:color w:val="101820"/>
          <w:sz w:val="21"/>
        </w:rPr>
        <w:t xml:space="preserve"> shows the commit that is running.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907"/>
        <w:gridCol w:w="1003"/>
        <w:gridCol w:w="3541"/>
        <w:gridCol w:w="3563"/>
      </w:tblGrid>
      <w:tr>
        <w:trPr>
          <w:tblHeader w:val="true"/>
        </w:trPr>
        <w:tc>
          <w:tcPr>
            <w:tcW w:type="dxa" w:w="90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Type</w:t>
            </w:r>
          </w:p>
        </w:tc>
        <w:tc>
          <w:tcPr>
            <w:tcW w:type="dxa" w:w="1003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Example</w:t>
            </w:r>
          </w:p>
        </w:tc>
        <w:tc>
          <w:tcPr>
            <w:tcW w:type="dxa" w:w="3541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Content</w:t>
            </w:r>
          </w:p>
        </w:tc>
        <w:tc>
          <w:tcPr>
            <w:tcW w:type="dxa" w:w="3563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Frequency (standard)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Patch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1.0.1</w:t>
            </w:r>
          </w:p>
        </w:tc>
        <w:tc>
          <w:tcPr>
            <w:tcW w:type="dxa" w:w="354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Defect fixes and security fixes; no change to how users work</w:t>
            </w:r>
          </w:p>
        </w:tc>
        <w:tc>
          <w:tcPr>
            <w:tcW w:type="dxa" w:w="356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As needed; emergency release for P1 or security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Minor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1.1.0</w:t>
            </w:r>
          </w:p>
        </w:tc>
        <w:tc>
          <w:tcPr>
            <w:tcW w:type="dxa" w:w="354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New functions, new reports, regulatory form updates, upgrades of components; existing data and settings kept</w:t>
            </w:r>
          </w:p>
        </w:tc>
        <w:tc>
          <w:tcPr>
            <w:tcW w:type="dxa" w:w="356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Planned releases, monthly when there are fixes or changes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Major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2.0.0</w:t>
            </w:r>
          </w:p>
        </w:tc>
        <w:tc>
          <w:tcPr>
            <w:tcW w:type="dxa" w:w="354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Changes that need a migration project, retraining or a change of hosting components</w:t>
            </w:r>
          </w:p>
        </w:tc>
        <w:tc>
          <w:tcPr>
            <w:tcW w:type="dxa" w:w="356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Announced at least 6 months ahead [to confirm]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6.2  Rules for every release</w:t>
      </w:r>
    </w:p>
    <w:p>
      <w:pPr>
        <w:spacing w:after="60"/>
        <w:numPr>
          <w:ilvl w:val="0"/>
          <w:numId w:val="3"/>
        </w:numPr>
      </w:pPr>
      <w:r>
        <w:rPr>
          <w:rFonts w:ascii="Segoe UI" w:hAnsi="Segoe UI" w:cs="Segoe UI" w:eastAsia="Segoe UI"/>
          <w:color w:val="101820"/>
          <w:sz w:val="21"/>
        </w:rPr>
        <w:t>Database changes only add to the schema; they are applied automatically when the API starts, under a lock, and recorded. The previous release runs on the newer schema, so a release can be rolled back by redeploying the previous image.</w:t>
      </w:r>
    </w:p>
    <w:p>
      <w:pPr>
        <w:spacing w:after="60"/>
        <w:numPr>
          <w:ilvl w:val="0"/>
          <w:numId w:val="3"/>
        </w:numPr>
      </w:pPr>
      <w:r>
        <w:rPr>
          <w:rFonts w:ascii="Segoe UI" w:hAnsi="Segoe UI" w:cs="Segoe UI" w:eastAsia="Segoe UI"/>
          <w:color w:val="101820"/>
          <w:sz w:val="21"/>
        </w:rPr>
        <w:t>Settings and master data changed by the broker are kept: the seed inserts only what is missing.</w:t>
      </w:r>
    </w:p>
    <w:p>
      <w:pPr>
        <w:spacing w:after="60"/>
        <w:numPr>
          <w:ilvl w:val="0"/>
          <w:numId w:val="3"/>
        </w:numPr>
      </w:pPr>
      <w:r>
        <w:rPr>
          <w:rFonts w:ascii="Segoe UI" w:hAnsi="Segoe UI" w:cs="Segoe UI" w:eastAsia="Segoe UI"/>
          <w:color w:val="101820"/>
          <w:sz w:val="21"/>
        </w:rPr>
        <w:t>Every release has release notes: fixes, changes, migrations and anything the System Administrator must do by hand.</w:t>
      </w:r>
    </w:p>
    <w:p>
      <w:pPr>
        <w:spacing w:after="60"/>
        <w:numPr>
          <w:ilvl w:val="0"/>
          <w:numId w:val="3"/>
        </w:numPr>
      </w:pPr>
      <w:r>
        <w:rPr>
          <w:rFonts w:ascii="Segoe UI" w:hAnsi="Segoe UI" w:cs="Segoe UI" w:eastAsia="Segoe UI"/>
          <w:color w:val="101820"/>
          <w:sz w:val="21"/>
        </w:rPr>
        <w:t>Each release is installed in Dev, then in SIT for a large broker, then in UAT, before production; a major release is also rehearsed in a temporary Pre-Prod restored from a production backup; the broker runs the UAT scripts for the changed areas; iorta TechNXT runs the regression; the CAB approves.</w:t>
      </w:r>
    </w:p>
    <w:p>
      <w:pPr>
        <w:spacing w:after="60"/>
        <w:numPr>
          <w:ilvl w:val="0"/>
          <w:numId w:val="3"/>
        </w:numPr>
      </w:pPr>
      <w:r>
        <w:rPr>
          <w:rFonts w:ascii="Segoe UI" w:hAnsi="Segoe UI" w:cs="Segoe UI" w:eastAsia="Segoe UI"/>
          <w:color w:val="101820"/>
          <w:sz w:val="21"/>
        </w:rPr>
        <w:t>A database snapshot is taken before deployment; deployment happens in the agreed maintenance window, announced at least 5 business days ahead.</w:t>
      </w: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6.3  Entitlement and support of versions</w:t>
      </w:r>
    </w:p>
    <w:p>
      <w:pPr>
        <w:spacing w:after="60"/>
        <w:numPr>
          <w:ilvl w:val="0"/>
          <w:numId w:val="3"/>
        </w:numPr>
      </w:pPr>
      <w:r>
        <w:rPr>
          <w:rFonts w:ascii="Segoe UI" w:hAnsi="Segoe UI" w:cs="Segoe UI" w:eastAsia="Segoe UI"/>
          <w:color w:val="101820"/>
          <w:sz w:val="21"/>
        </w:rPr>
        <w:t>Updates of the OOTB version and regulatory form updates released for all customers are included while the subscription or the AMC is in force.</w:t>
      </w:r>
    </w:p>
    <w:p>
      <w:pPr>
        <w:spacing w:after="60"/>
        <w:numPr>
          <w:ilvl w:val="0"/>
          <w:numId w:val="3"/>
        </w:numPr>
      </w:pPr>
      <w:r>
        <w:rPr>
          <w:rFonts w:ascii="Segoe UI" w:hAnsi="Segoe UI" w:cs="Segoe UI" w:eastAsia="Segoe UI"/>
          <w:color w:val="101820"/>
          <w:sz w:val="21"/>
        </w:rPr>
        <w:t>Support covers the current release and the two planned releases before it (assumption in the Production Support Approach). A broker that stays further behind is asked to upgrade before a defect is fixed.</w:t>
      </w:r>
    </w:p>
    <w:p>
      <w:pPr>
        <w:spacing w:after="60"/>
        <w:numPr>
          <w:ilvl w:val="0"/>
          <w:numId w:val="3"/>
        </w:numPr>
      </w:pPr>
      <w:r>
        <w:rPr>
          <w:rFonts w:ascii="Segoe UI" w:hAnsi="Segoe UI" w:cs="Segoe UI" w:eastAsia="Segoe UI"/>
          <w:color w:val="101820"/>
          <w:sz w:val="21"/>
        </w:rPr>
        <w:t>Broker-specific changes made under a change request are carried forward into later releases only where the change request says so [to confirm the standard clause].</w:t>
      </w:r>
    </w:p>
    <w:p>
      <w:pPr>
        <w:pStyle w:val="Heading1"/>
        <w:pageBreakBefore/>
      </w:pPr>
      <w:r>
        <w:rPr>
          <w:rFonts w:ascii="Segoe UI" w:hAnsi="Segoe UI" w:cs="Segoe UI" w:eastAsia="Segoe UI"/>
          <w:b/>
          <w:color w:val="0F4761"/>
          <w:sz w:val="32"/>
        </w:rPr>
        <w:t>7.  Product roadmap</w:t>
      </w:r>
    </w:p>
    <w:p>
      <w:pPr>
        <w:shd w:val="clear" w:color="auto" w:fill="EAF2FB"/>
        <w:spacing w:after="160"/>
        <w:ind w:left="170"/>
      </w:pPr>
      <w:r>
        <w:rPr>
          <w:rFonts w:ascii="Segoe UI" w:hAnsi="Segoe UI" w:cs="Segoe UI" w:eastAsia="Segoe UI"/>
          <w:b/>
          <w:color w:val="101820"/>
          <w:sz w:val="20"/>
        </w:rPr>
        <w:t>Indicative and not contractual.</w:t>
      </w:r>
      <w:r>
        <w:rPr>
          <w:rFonts w:ascii="Segoe UI" w:hAnsi="Segoe UI" w:cs="Segoe UI" w:eastAsia="Segoe UI"/>
          <w:color w:val="101820"/>
          <w:sz w:val="20"/>
        </w:rPr>
        <w:t xml:space="preserve"> The roadmap shows iorta TechNXT's current intentions. Content, order and timing may change. It is not a commitment to deliver any function, it is not part of any licence, subscription or support agreement, and a purchase decision should be based on the functions in the release delivered. Items a broker needs by a date are agreed as change requests.</w:t>
      </w: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7.1  Near term: next patch and minor release (indicative: within 3 months)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4507"/>
        <w:gridCol w:w="4507"/>
      </w:tblGrid>
      <w:tr>
        <w:trPr>
          <w:tblHeader w:val="true"/>
        </w:trPr>
        <w:tc>
          <w:tcPr>
            <w:tcW w:type="dxa" w:w="450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Item</w:t>
            </w:r>
          </w:p>
        </w:tc>
        <w:tc>
          <w:tcPr>
            <w:tcW w:type="dxa" w:w="450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Why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Upgrade react-router to the fixed major version (BV-DEF-001)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Close the moderate advisory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Re-run of the blocked SMTP cases and the cases not run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Close the release test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QR code for two-step enrolment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Easier enrolment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Upload buttons on the masters that only have an API route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Self-service go-live loads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Automated dependency and image scanning in the pipeline; tests restored in the deployment workflow; branch protection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Secure development lifecycle gaps of the architecture review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7.2  Mid term (indicative: 3 to 9 months)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4507"/>
        <w:gridCol w:w="4507"/>
      </w:tblGrid>
      <w:tr>
        <w:trPr>
          <w:tblHeader w:val="true"/>
        </w:trPr>
        <w:tc>
          <w:tcPr>
            <w:tcW w:type="dxa" w:w="450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Item</w:t>
            </w:r>
          </w:p>
        </w:tc>
        <w:tc>
          <w:tcPr>
            <w:tcW w:type="dxa" w:w="450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Why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Session refresh in an httpOnly cookie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Remove tokens from browser local storage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Field-level encryption of personal identifiers (TIN, ID numbers) (BV-DEF-003)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Defence in depth for sensitive personal information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Move of the front-end build from Create React App to Vite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Maintained build tooling; clears build-time advisories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Screen to set up scheduled report e-mails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Today only through the API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Claim settlement cash on the Accounting menu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Accounting records claim funds directly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Rate limits shared across API instances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Consistent limits with several instances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Load test results and sizing confirmation on a production-sized environment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Evidence for larger brokers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7.3  Later (indicative: beyond 9 months)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4507"/>
        <w:gridCol w:w="4507"/>
      </w:tblGrid>
      <w:tr>
        <w:trPr>
          <w:tblHeader w:val="true"/>
        </w:trPr>
        <w:tc>
          <w:tcPr>
            <w:tcW w:type="dxa" w:w="450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Item</w:t>
            </w:r>
          </w:p>
        </w:tc>
        <w:tc>
          <w:tcPr>
            <w:tcW w:type="dxa" w:w="450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Why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IC report formats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Reduce manual preparation of IC reports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Percentage tax working paper for non-VAT brokers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Complete the BIR working papers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Bank payment files for the main Philippine banks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Remittance and payouts without re-keying in bank portals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Insurer API connectors, starting with insurers that publish an API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Fewer files and e-mails with insurers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Mobile-friendly screens for sales and claims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Field use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Filipino screen translation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Users who prefer Filipino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Screening support for anti-money laundering checks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Brokers covered by the AMLA</w:t>
            </w:r>
          </w:p>
        </w:tc>
      </w:tr>
    </w:tbl>
    <w:p>
      <w:pPr>
        <w:spacing w:after="80"/>
      </w:pPr>
    </w:p>
    <w:p>
      <w:pPr>
        <w:spacing w:after="120" w:line="276" w:lineRule="auto"/>
      </w:pPr>
      <w:r>
        <w:rPr>
          <w:rFonts w:ascii="Segoe UI" w:hAnsi="Segoe UI" w:cs="Segoe UI" w:eastAsia="Segoe UI"/>
          <w:color w:val="101820"/>
          <w:sz w:val="21"/>
        </w:rPr>
        <w:t>Brokers can propose roadmap items through their account manager. iorta TechNXT reviews the roadmap with customers at least once a year [to confirm the forum, for example a customer advisory meeting].</w:t>
      </w:r>
    </w:p>
    <w:p w14:paraId="3A19A69C" w14:textId="77777777" w:rsidR="002B183A" w:rsidRPr="00465CAB" w:rsidRDefault="002B183A" w:rsidP="002B183A">
      <w:pPr>
        <w:pStyle w:val="Heading1"/>
        <w:pageBreakBefore/>
        <w:tabs>
          <w:tab w:val="num" w:pos="360"/>
        </w:tabs>
        <w:spacing w:line="360" w:lineRule="auto"/>
        <w:ind w:left="0" w:firstLine="0"/>
        <w:rPr>
          <w:rStyle w:val="BookTitle"/>
          <w:b w:val="0"/>
          <w:bCs w:val="0"/>
          <w:i w:val="0"/>
          <w:iCs w:val="0"/>
          <w:spacing w:val="0"/>
        </w:rPr>
      </w:pPr>
      <w:bookmarkStart w:id="10" w:name="_Toc233203395"/>
      <w:r>
        <w:rPr>
          <w:rStyle w:val="BookTitle"/>
          <w:bCs w:val="0"/>
          <w:i w:val="0"/>
          <w:iCs w:val="0"/>
          <w:spacing w:val="0"/>
        </w:rPr>
        <w:t>8.  Document Sign-Off</w:t>
      </w:r>
      <w:bookmarkEnd w:id="10"/>
    </w:p>
    <w:p w14:paraId="05198298" w14:textId="77777777" w:rsidR="002B183A" w:rsidRDefault="002B183A" w:rsidP="002B183A">
      <w:pPr>
        <w:jc w:val="both"/>
        <w:rPr>
          <w:rFonts w:ascii="Segoe UI" w:eastAsia="Arial" w:hAnsi="Segoe UI" w:cs="Segoe UI"/>
          <w:color w:val="101820"/>
          <w:sz w:val="22"/>
        </w:rPr>
      </w:pPr>
    </w:p>
    <w:tbl>
      <w:tblPr>
        <w:tblStyle w:val="TableGrid"/>
        <w:tblW w:w="5000" w:type="pct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1456"/>
        <w:gridCol w:w="3855"/>
        <w:gridCol w:w="1726"/>
        <w:gridCol w:w="1980"/>
      </w:tblGrid>
      <w:tr w:rsidR="002B183A" w14:paraId="0ABAE4AD" w14:textId="77777777" w:rsidTr="002923F3">
        <w:trPr>
          <w:trHeight w:val="440"/>
        </w:trPr>
        <w:tc>
          <w:tcPr>
            <w:tcW w:w="807" w:type="pct"/>
            <w:vAlign w:val="center"/>
          </w:tcPr>
          <w:p w14:paraId="3EB3C57B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lastRenderedPageBreak/>
              <w:t>Serial Number</w:t>
            </w:r>
          </w:p>
        </w:tc>
        <w:tc>
          <w:tcPr>
            <w:tcW w:w="2137" w:type="pct"/>
            <w:vAlign w:val="center"/>
          </w:tcPr>
          <w:p w14:paraId="11ABC55F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Description</w:t>
            </w:r>
          </w:p>
        </w:tc>
        <w:tc>
          <w:tcPr>
            <w:tcW w:w="957" w:type="pct"/>
            <w:vAlign w:val="center"/>
          </w:tcPr>
          <w:p w14:paraId="05BF7E25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Owner</w:t>
            </w:r>
          </w:p>
        </w:tc>
        <w:tc>
          <w:tcPr>
            <w:tcW w:w="1098" w:type="pct"/>
            <w:vAlign w:val="center"/>
          </w:tcPr>
          <w:p w14:paraId="1E570080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Status</w:t>
            </w:r>
          </w:p>
        </w:tc>
      </w:tr>
      <w:tr w:rsidR="002B183A" w:rsidRPr="00BB346A" w14:paraId="4AA02A28" w14:textId="77777777" w:rsidTr="002923F3">
        <w:trPr>
          <w:trHeight w:val="449"/>
        </w:trPr>
        <w:tc>
          <w:tcPr>
            <w:tcW w:w="807" w:type="pct"/>
            <w:vAlign w:val="center"/>
          </w:tcPr>
          <w:p w14:paraId="3EE380D6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1</w:t>
            </w:r>
          </w:p>
        </w:tc>
        <w:tc>
          <w:tcPr>
            <w:tcW w:w="2137" w:type="pct"/>
            <w:vAlign w:val="center"/>
          </w:tcPr>
          <w:p w14:paraId="38D2703A" w14:textId="77777777" w:rsidR="002B183A" w:rsidRPr="009876A6" w:rsidRDefault="002B183A" w:rsidP="002923F3">
            <w:pPr>
              <w:spacing w:before="60"/>
              <w:jc w:val="both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Release tag of the final 1.0 build to be confirmed; re-test of the data privacy cases after the release test; roadmap dates indicative</w:t>
            </w:r>
          </w:p>
        </w:tc>
        <w:tc>
          <w:tcPr>
            <w:tcW w:w="957" w:type="pct"/>
            <w:vAlign w:val="center"/>
          </w:tcPr>
          <w:p w14:paraId="7C283CC7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iorta TechNXT</w:t>
            </w:r>
          </w:p>
        </w:tc>
        <w:tc>
          <w:tcPr>
            <w:tcW w:w="1098" w:type="pct"/>
            <w:vAlign w:val="center"/>
          </w:tcPr>
          <w:p w14:paraId="2EB0AB16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Open</w:t>
            </w:r>
          </w:p>
        </w:tc>
      </w:tr>
      <w:tr w:rsidR="002B183A" w:rsidRPr="00BB346A" w14:paraId="441F7965" w14:textId="77777777" w:rsidTr="002923F3">
        <w:trPr>
          <w:trHeight w:val="449"/>
        </w:trPr>
        <w:tc>
          <w:tcPr>
            <w:tcW w:w="807" w:type="pct"/>
            <w:vAlign w:val="center"/>
          </w:tcPr>
          <w:p w14:paraId="7D7E1F16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</w:p>
        </w:tc>
        <w:tc>
          <w:tcPr>
            <w:tcW w:w="2137" w:type="pct"/>
            <w:vAlign w:val="center"/>
          </w:tcPr>
          <w:p w14:paraId="6A7B9809" w14:textId="77777777" w:rsidR="002B183A" w:rsidRPr="00BB41CF" w:rsidRDefault="002B183A" w:rsidP="002923F3">
            <w:pPr>
              <w:spacing w:before="60"/>
              <w:jc w:val="both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</w:tc>
        <w:tc>
          <w:tcPr>
            <w:tcW w:w="957" w:type="pct"/>
            <w:vAlign w:val="center"/>
          </w:tcPr>
          <w:p w14:paraId="228473A7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  <w:lang w:bidi="ar-LB"/>
              </w:rPr>
            </w:pPr>
          </w:p>
        </w:tc>
        <w:tc>
          <w:tcPr>
            <w:tcW w:w="1098" w:type="pct"/>
            <w:vAlign w:val="center"/>
          </w:tcPr>
          <w:p w14:paraId="4E55941A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</w:p>
        </w:tc>
      </w:tr>
      <w:tr w:rsidR="002B183A" w:rsidRPr="00BB346A" w14:paraId="02D59BF1" w14:textId="77777777" w:rsidTr="002923F3">
        <w:trPr>
          <w:trHeight w:val="449"/>
        </w:trPr>
        <w:tc>
          <w:tcPr>
            <w:tcW w:w="807" w:type="pct"/>
            <w:vAlign w:val="center"/>
          </w:tcPr>
          <w:p w14:paraId="0680EA44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</w:p>
        </w:tc>
        <w:tc>
          <w:tcPr>
            <w:tcW w:w="2137" w:type="pct"/>
            <w:vAlign w:val="center"/>
          </w:tcPr>
          <w:p w14:paraId="1AA7ECA0" w14:textId="77777777" w:rsidR="002B183A" w:rsidRPr="00BB41CF" w:rsidRDefault="002B183A" w:rsidP="002923F3">
            <w:pPr>
              <w:spacing w:before="60"/>
              <w:jc w:val="both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</w:tc>
        <w:tc>
          <w:tcPr>
            <w:tcW w:w="957" w:type="pct"/>
            <w:vAlign w:val="center"/>
          </w:tcPr>
          <w:p w14:paraId="372D7943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  <w:lang w:bidi="ar-LB"/>
              </w:rPr>
            </w:pPr>
          </w:p>
        </w:tc>
        <w:tc>
          <w:tcPr>
            <w:tcW w:w="1098" w:type="pct"/>
            <w:vAlign w:val="center"/>
          </w:tcPr>
          <w:p w14:paraId="6691CF96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</w:p>
        </w:tc>
      </w:tr>
    </w:tbl>
    <w:p w14:paraId="57CC15FC" w14:textId="77777777" w:rsidR="002B183A" w:rsidRDefault="002B183A" w:rsidP="002B183A">
      <w:pPr>
        <w:jc w:val="both"/>
        <w:rPr>
          <w:rFonts w:ascii="Segoe UI" w:eastAsia="Arial" w:hAnsi="Segoe UI" w:cs="Segoe UI"/>
          <w:color w:val="101820"/>
          <w:sz w:val="22"/>
        </w:rPr>
      </w:pPr>
    </w:p>
    <w:p w14:paraId="4B744F8C" w14:textId="77777777" w:rsidR="002B183A" w:rsidRDefault="002B183A" w:rsidP="002B183A">
      <w:pPr>
        <w:jc w:val="both"/>
        <w:rPr>
          <w:rFonts w:ascii="Segoe UI" w:eastAsia="Arial" w:hAnsi="Segoe UI" w:cs="Segoe UI"/>
          <w:color w:val="101820"/>
          <w:sz w:val="22"/>
        </w:rPr>
      </w:pPr>
    </w:p>
    <w:p w14:paraId="481C8706" w14:textId="77777777" w:rsidR="002B183A" w:rsidRDefault="002B183A" w:rsidP="002B183A">
      <w:pPr>
        <w:jc w:val="both"/>
        <w:rPr>
          <w:rFonts w:ascii="Segoe UI" w:eastAsia="Arial" w:hAnsi="Segoe UI" w:cs="Segoe UI"/>
          <w:color w:val="101820"/>
          <w:sz w:val="22"/>
        </w:rPr>
      </w:pPr>
    </w:p>
    <w:p w14:paraId="0974D0DE" w14:textId="77777777" w:rsidR="002B183A" w:rsidRDefault="002B183A" w:rsidP="002B183A">
      <w:pPr>
        <w:jc w:val="both"/>
        <w:rPr>
          <w:rFonts w:ascii="Segoe UI" w:eastAsia="Arial" w:hAnsi="Segoe UI" w:cs="Segoe UI"/>
          <w:color w:val="101820"/>
          <w:sz w:val="22"/>
        </w:rPr>
      </w:pPr>
    </w:p>
    <w:p w14:paraId="617D8666" w14:textId="77777777" w:rsidR="002B183A" w:rsidRDefault="002B183A" w:rsidP="002B183A">
      <w:pPr>
        <w:jc w:val="both"/>
        <w:rPr>
          <w:rFonts w:ascii="Segoe UI" w:eastAsia="Arial" w:hAnsi="Segoe UI" w:cs="Segoe UI"/>
          <w:color w:val="101820"/>
          <w:sz w:val="22"/>
        </w:rPr>
      </w:pPr>
    </w:p>
    <w:tbl>
      <w:tblPr>
        <w:tblStyle w:val="TableGrid"/>
        <w:tblW w:w="5000" w:type="pct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1553"/>
        <w:gridCol w:w="3291"/>
        <w:gridCol w:w="1826"/>
        <w:gridCol w:w="2347"/>
      </w:tblGrid>
      <w:tr w:rsidR="002B183A" w14:paraId="731A77C7" w14:textId="77777777" w:rsidTr="002923F3">
        <w:trPr>
          <w:trHeight w:val="440"/>
        </w:trPr>
        <w:tc>
          <w:tcPr>
            <w:tcW w:w="807" w:type="pct"/>
            <w:vAlign w:val="center"/>
          </w:tcPr>
          <w:p w14:paraId="2799E846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 xml:space="preserve">Sign Off </w:t>
            </w:r>
            <w:r w:rsidRPr="00FF67C3"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Date</w:t>
            </w:r>
          </w:p>
        </w:tc>
        <w:tc>
          <w:tcPr>
            <w:tcW w:w="1843" w:type="pct"/>
            <w:vAlign w:val="center"/>
          </w:tcPr>
          <w:p w14:paraId="56708A83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Signature</w:t>
            </w:r>
          </w:p>
        </w:tc>
        <w:tc>
          <w:tcPr>
            <w:tcW w:w="1031" w:type="pct"/>
            <w:vAlign w:val="center"/>
          </w:tcPr>
          <w:p w14:paraId="367EAF90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Approved By</w:t>
            </w:r>
          </w:p>
        </w:tc>
        <w:tc>
          <w:tcPr>
            <w:tcW w:w="1319" w:type="pct"/>
            <w:vAlign w:val="center"/>
          </w:tcPr>
          <w:p w14:paraId="3521F756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Department &amp; Project Role</w:t>
            </w:r>
          </w:p>
        </w:tc>
      </w:tr>
      <w:tr w:rsidR="002B183A" w:rsidRPr="00BB346A" w14:paraId="2AD1806B" w14:textId="77777777" w:rsidTr="002923F3">
        <w:trPr>
          <w:trHeight w:val="449"/>
        </w:trPr>
        <w:tc>
          <w:tcPr>
            <w:tcW w:w="807" w:type="pct"/>
            <w:vAlign w:val="center"/>
          </w:tcPr>
          <w:p w14:paraId="59720FD1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proofErr w:type="spellStart"/>
            <w:proofErr w:type="spellEnd"/>
          </w:p>
        </w:tc>
        <w:tc>
          <w:tcPr>
            <w:tcW w:w="1843" w:type="pct"/>
            <w:vAlign w:val="center"/>
          </w:tcPr>
          <w:p w14:paraId="07D5AEF4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</w:tc>
        <w:tc>
          <w:tcPr>
            <w:tcW w:w="1031" w:type="pct"/>
            <w:vAlign w:val="center"/>
          </w:tcPr>
          <w:p w14:paraId="2BA57AF1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</w:tc>
        <w:tc>
          <w:tcPr>
            <w:tcW w:w="1319" w:type="pct"/>
            <w:vAlign w:val="center"/>
          </w:tcPr>
          <w:p w14:paraId="066A4127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  <w:p w14:paraId="3552213A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</w:tc>
      </w:tr>
      <w:tr w:rsidR="002B183A" w:rsidRPr="00BB346A" w14:paraId="7971AE35" w14:textId="77777777" w:rsidTr="002923F3">
        <w:trPr>
          <w:trHeight w:val="449"/>
        </w:trPr>
        <w:tc>
          <w:tcPr>
            <w:tcW w:w="807" w:type="pct"/>
            <w:vAlign w:val="center"/>
          </w:tcPr>
          <w:p w14:paraId="42385440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</w:p>
        </w:tc>
        <w:tc>
          <w:tcPr>
            <w:tcW w:w="1843" w:type="pct"/>
            <w:vAlign w:val="center"/>
          </w:tcPr>
          <w:p w14:paraId="0604EAC1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  <w:p w14:paraId="05AE96E1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  <w:p w14:paraId="15DEE206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</w:tc>
        <w:tc>
          <w:tcPr>
            <w:tcW w:w="1031" w:type="pct"/>
            <w:vAlign w:val="center"/>
          </w:tcPr>
          <w:p w14:paraId="2291C112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  <w:lang w:bidi="ar-LB"/>
              </w:rPr>
            </w:pPr>
          </w:p>
        </w:tc>
        <w:tc>
          <w:tcPr>
            <w:tcW w:w="1319" w:type="pct"/>
            <w:vAlign w:val="center"/>
          </w:tcPr>
          <w:p w14:paraId="4CA88E8E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</w:p>
        </w:tc>
      </w:tr>
      <w:tr w:rsidR="002B183A" w:rsidRPr="00BB346A" w14:paraId="4B3D09B6" w14:textId="77777777" w:rsidTr="002923F3">
        <w:trPr>
          <w:trHeight w:val="449"/>
        </w:trPr>
        <w:tc>
          <w:tcPr>
            <w:tcW w:w="807" w:type="pct"/>
            <w:vAlign w:val="center"/>
          </w:tcPr>
          <w:p w14:paraId="1935122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  <w:p w14:paraId="240729FB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  <w:p w14:paraId="41E24FA9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</w:p>
        </w:tc>
        <w:tc>
          <w:tcPr>
            <w:tcW w:w="1843" w:type="pct"/>
            <w:vAlign w:val="center"/>
          </w:tcPr>
          <w:p w14:paraId="2216D931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</w:tc>
        <w:tc>
          <w:tcPr>
            <w:tcW w:w="1031" w:type="pct"/>
            <w:vAlign w:val="center"/>
          </w:tcPr>
          <w:p w14:paraId="6196FBA0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  <w:lang w:bidi="ar-LB"/>
              </w:rPr>
            </w:pPr>
          </w:p>
        </w:tc>
        <w:tc>
          <w:tcPr>
            <w:tcW w:w="1319" w:type="pct"/>
            <w:vAlign w:val="center"/>
          </w:tcPr>
          <w:p w14:paraId="78400642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</w:p>
        </w:tc>
      </w:tr>
      <w:tr w:rsidR="002B183A" w:rsidRPr="00BB346A" w14:paraId="350EB7EB" w14:textId="77777777" w:rsidTr="002923F3">
        <w:trPr>
          <w:trHeight w:val="449"/>
        </w:trPr>
        <w:tc>
          <w:tcPr>
            <w:tcW w:w="807" w:type="pct"/>
            <w:vAlign w:val="center"/>
          </w:tcPr>
          <w:p w14:paraId="7FAA6F25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  <w:p w14:paraId="4876CB16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  <w:p w14:paraId="1059F385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</w:tc>
        <w:tc>
          <w:tcPr>
            <w:tcW w:w="1843" w:type="pct"/>
            <w:vAlign w:val="center"/>
          </w:tcPr>
          <w:p w14:paraId="65DFF7B3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</w:tc>
        <w:tc>
          <w:tcPr>
            <w:tcW w:w="1031" w:type="pct"/>
            <w:vAlign w:val="center"/>
          </w:tcPr>
          <w:p w14:paraId="5C2E8BAE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  <w:lang w:bidi="ar-LB"/>
              </w:rPr>
            </w:pPr>
          </w:p>
        </w:tc>
        <w:tc>
          <w:tcPr>
            <w:tcW w:w="1319" w:type="pct"/>
            <w:vAlign w:val="center"/>
          </w:tcPr>
          <w:p w14:paraId="00B18382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</w:p>
        </w:tc>
      </w:tr>
    </w:tbl>
    <w:p w14:paraId="0965EE19" w14:textId="77777777" w:rsidR="00EE516B" w:rsidRDefault="00EE516B">
      <w:r>
        <w:lastRenderedPageBreak/>
        <w:br w:type="page"/>
      </w:r>
    </w:p>
    <w:p w14:paraId="1F938E87" w14:textId="77777777" w:rsidR="007B4988" w:rsidRDefault="007B4988"/>
    <w:p w14:paraId="4553482A" w14:textId="1F0B5849" w:rsidR="008501FA" w:rsidRPr="00EF479A" w:rsidRDefault="006470D1" w:rsidP="3B384731">
      <w:r>
        <w:rPr>
          <w:noProof/>
        </w:rPr>
        <w:drawing>
          <wp:anchor distT="0" distB="0" distL="114300" distR="114300" simplePos="0" relativeHeight="251658240" behindDoc="1" locked="0" layoutInCell="1" allowOverlap="1" wp14:anchorId="769CEDFB" wp14:editId="0E98DE05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7548440" cy="10677525"/>
            <wp:effectExtent l="0" t="0" r="0" b="0"/>
            <wp:wrapNone/>
            <wp:docPr id="888434296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1549725D-CA62-47A1-A957-457A136796E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434296" name="Picture 888434296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8440" cy="10677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8501FA" w:rsidRPr="00EF479A" w:rsidSect="004477F0">
      <w:footerReference w:type="default" r:id="rId14"/>
      <w:headerReference w:type="first" r:id="rId15"/>
      <w:footerReference w:type="first" r:id="rId16"/>
      <w:pgSz w:w="11907" w:h="16839" w:code="9"/>
      <w:pgMar w:top="1440" w:right="1440" w:bottom="1440" w:left="1440" w:header="1134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8D9D5A" w14:textId="77777777" w:rsidR="00A242E6" w:rsidRDefault="00A242E6">
      <w:pPr>
        <w:spacing w:after="0" w:line="240" w:lineRule="auto"/>
      </w:pPr>
      <w:r>
        <w:separator/>
      </w:r>
    </w:p>
  </w:endnote>
  <w:endnote w:type="continuationSeparator" w:id="0">
    <w:p w14:paraId="749EBE52" w14:textId="77777777" w:rsidR="00A242E6" w:rsidRDefault="00A242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82981B" w14:textId="6A123F5D" w:rsidR="00EC1FCB" w:rsidRDefault="00EC1FCB">
    <w:pPr>
      <w:pStyle w:val="Footer"/>
    </w:pPr>
    <w:r>
      <w:rPr>
        <w:noProof/>
        <w:lang w:val="en-IN" w:eastAsia="en-IN"/>
      </w:rPr>
      <w:drawing>
        <wp:anchor distT="0" distB="0" distL="114300" distR="114300" simplePos="0" relativeHeight="251659264" behindDoc="1" locked="0" layoutInCell="1" allowOverlap="1" wp14:anchorId="5915C0C7" wp14:editId="4783279C">
          <wp:simplePos x="0" y="0"/>
          <wp:positionH relativeFrom="page">
            <wp:align>left</wp:align>
          </wp:positionH>
          <wp:positionV relativeFrom="paragraph">
            <wp:posOffset>-707666</wp:posOffset>
          </wp:positionV>
          <wp:extent cx="8778222" cy="885012"/>
          <wp:effectExtent l="0" t="0" r="4445" b="0"/>
          <wp:wrapNone/>
          <wp:docPr id="1180669579" name="Picture 118066957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778222" cy="88501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0E75530" w14:paraId="7DEADF60" w14:textId="77777777" w:rsidTr="2EB1E806">
      <w:trPr>
        <w:trHeight w:val="300"/>
      </w:trPr>
      <w:tc>
        <w:tcPr>
          <w:tcW w:w="3005" w:type="dxa"/>
        </w:tcPr>
        <w:p w14:paraId="1EDD45F7" w14:textId="77777777" w:rsidR="00E75530" w:rsidRDefault="00E75530" w:rsidP="2EB1E806">
          <w:pPr>
            <w:pStyle w:val="Header"/>
            <w:ind w:left="-115"/>
          </w:pPr>
        </w:p>
      </w:tc>
      <w:tc>
        <w:tcPr>
          <w:tcW w:w="3005" w:type="dxa"/>
        </w:tcPr>
        <w:p w14:paraId="29D1E92D" w14:textId="77777777" w:rsidR="00E75530" w:rsidRDefault="00E75530" w:rsidP="2EB1E806">
          <w:pPr>
            <w:pStyle w:val="Header"/>
            <w:jc w:val="center"/>
          </w:pPr>
        </w:p>
      </w:tc>
      <w:tc>
        <w:tcPr>
          <w:tcW w:w="3005" w:type="dxa"/>
        </w:tcPr>
        <w:p w14:paraId="74EB3205" w14:textId="77777777" w:rsidR="00E75530" w:rsidRDefault="00E75530" w:rsidP="2EB1E806">
          <w:pPr>
            <w:pStyle w:val="Header"/>
            <w:ind w:right="-115"/>
            <w:jc w:val="right"/>
          </w:pPr>
        </w:p>
      </w:tc>
    </w:tr>
  </w:tbl>
  <w:p w14:paraId="368865EE" w14:textId="77777777" w:rsidR="00E75530" w:rsidRDefault="00E7553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C557CB" w14:textId="77777777" w:rsidR="00A242E6" w:rsidRDefault="00A242E6">
      <w:pPr>
        <w:spacing w:after="0" w:line="240" w:lineRule="auto"/>
      </w:pPr>
      <w:r>
        <w:separator/>
      </w:r>
    </w:p>
  </w:footnote>
  <w:footnote w:type="continuationSeparator" w:id="0">
    <w:p w14:paraId="5971213E" w14:textId="77777777" w:rsidR="00A242E6" w:rsidRDefault="00A242E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0E75530" w14:paraId="1C7D462D" w14:textId="77777777" w:rsidTr="2EB1E806">
      <w:trPr>
        <w:trHeight w:val="300"/>
      </w:trPr>
      <w:tc>
        <w:tcPr>
          <w:tcW w:w="3005" w:type="dxa"/>
        </w:tcPr>
        <w:p w14:paraId="46651DEC" w14:textId="77777777" w:rsidR="00E75530" w:rsidRDefault="00E75530" w:rsidP="2EB1E806">
          <w:pPr>
            <w:pStyle w:val="Header"/>
            <w:ind w:left="-115"/>
          </w:pPr>
        </w:p>
      </w:tc>
      <w:tc>
        <w:tcPr>
          <w:tcW w:w="3005" w:type="dxa"/>
        </w:tcPr>
        <w:p w14:paraId="3039B243" w14:textId="77777777" w:rsidR="00E75530" w:rsidRDefault="00E75530" w:rsidP="2EB1E806">
          <w:pPr>
            <w:pStyle w:val="Header"/>
            <w:jc w:val="center"/>
          </w:pPr>
        </w:p>
      </w:tc>
      <w:tc>
        <w:tcPr>
          <w:tcW w:w="3005" w:type="dxa"/>
        </w:tcPr>
        <w:p w14:paraId="307891C7" w14:textId="77777777" w:rsidR="00E75530" w:rsidRDefault="00E75530" w:rsidP="2EB1E806">
          <w:pPr>
            <w:pStyle w:val="Header"/>
            <w:ind w:right="-115"/>
            <w:jc w:val="right"/>
          </w:pPr>
        </w:p>
      </w:tc>
    </w:tr>
  </w:tbl>
  <w:p w14:paraId="0CF9FFBF" w14:textId="77777777" w:rsidR="00E75530" w:rsidRDefault="00E7553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F60D61"/>
    <w:multiLevelType w:val="multilevel"/>
    <w:tmpl w:val="2670F7AE"/>
    <w:lvl w:ilvl="0">
      <w:start w:val="1"/>
      <w:numFmt w:val="decimal"/>
      <w:lvlText w:val="%1."/>
      <w:lvlJc w:val="left"/>
      <w:pPr>
        <w:ind w:left="360" w:hanging="360"/>
      </w:pPr>
      <w:rPr>
        <w:rFonts w:ascii="Segoe UI" w:hAnsi="Segoe UI" w:hint="default"/>
        <w:b/>
        <w:i w:val="0"/>
        <w:color w:val="003399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Segoe UI" w:hAnsi="Segoe UI" w:hint="default"/>
        <w:b/>
        <w:i w:val="0"/>
        <w:color w:val="003399"/>
        <w:sz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Segoe UI" w:hAnsi="Segoe UI" w:hint="default"/>
        <w:b/>
        <w:i w:val="0"/>
        <w:color w:val="003399"/>
        <w:sz w:val="2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1316623F"/>
    <w:multiLevelType w:val="multilevel"/>
    <w:tmpl w:val="2670F7AE"/>
    <w:lvl w:ilvl="0">
      <w:start w:val="1"/>
      <w:numFmt w:val="decimal"/>
      <w:lvlText w:val="%1."/>
      <w:lvlJc w:val="left"/>
      <w:pPr>
        <w:ind w:left="360" w:hanging="360"/>
      </w:pPr>
      <w:rPr>
        <w:rFonts w:ascii="Segoe UI" w:hAnsi="Segoe UI" w:hint="default"/>
        <w:b/>
        <w:i w:val="0"/>
        <w:color w:val="003399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Segoe UI" w:hAnsi="Segoe UI" w:hint="default"/>
        <w:b/>
        <w:i w:val="0"/>
        <w:color w:val="003399"/>
        <w:sz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Segoe UI" w:hAnsi="Segoe UI" w:hint="default"/>
        <w:b/>
        <w:i w:val="0"/>
        <w:color w:val="003399"/>
        <w:sz w:val="2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>
    <w:multiLevelType w:val="hybridMultilevel"/>
    <w:lvl w:ilvl="0">
      <w:start w:val="1"/>
      <w:numFmt w:val="bullet"/>
      <w:lvlText w:val="•"/>
      <w:lvlJc w:val="left"/>
      <w:pPr>
        <w:ind w:left="720" w:hanging="300"/>
      </w:pPr>
    </w:lvl>
    <w:lvl w:ilvl="1">
      <w:start w:val="1"/>
      <w:numFmt w:val="bullet"/>
      <w:lvlText w:val="–"/>
      <w:lvlJc w:val="left"/>
      <w:pPr>
        <w:ind w:left="1080" w:hanging="300"/>
      </w:pPr>
    </w:lvl>
    <w:lvl w:ilvl="2">
      <w:start w:val="1"/>
      <w:numFmt w:val="bullet"/>
      <w:lvlText w:val="◦"/>
      <w:lvlJc w:val="left"/>
      <w:pPr>
        <w:ind w:left="1440" w:hanging="300"/>
      </w:pPr>
    </w:lvl>
  </w:abstractNum>
  <w:abstractNum w:abstractNumId="3">
    <w:multiLevelType w:val="hybridMultilevel"/>
    <w:lvl w:ilvl="0">
      <w:start w:val="1"/>
      <w:numFmt w:val="decimal"/>
      <w:lvlText w:val="%1."/>
      <w:lvlJc w:val="left"/>
      <w:pPr>
        <w:ind w:left="720" w:hanging="300"/>
      </w:pPr>
    </w:lvl>
    <w:lvl w:ilvl="1">
      <w:start w:val="1"/>
      <w:numFmt w:val="lowerLetter"/>
      <w:lvlText w:val="%2."/>
      <w:lvlJc w:val="left"/>
      <w:pPr>
        <w:ind w:left="1080" w:hanging="300"/>
      </w:pPr>
    </w:lvl>
    <w:lvl w:ilvl="2">
      <w:start w:val="1"/>
      <w:numFmt w:val="lowerLetter"/>
      <w:lvlText w:val="%3."/>
      <w:lvlJc w:val="left"/>
      <w:pPr>
        <w:ind w:left="1440" w:hanging="300"/>
      </w:pPr>
    </w:lvl>
  </w:abstractNum>
  <w:num w:numId="1" w16cid:durableId="1413504409">
    <w:abstractNumId w:val="0"/>
  </w:num>
  <w:num w:numId="2" w16cid:durableId="1722510407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8619CAF"/>
    <w:rsid w:val="0000218A"/>
    <w:rsid w:val="00042B57"/>
    <w:rsid w:val="00052F56"/>
    <w:rsid w:val="0005688C"/>
    <w:rsid w:val="000568F1"/>
    <w:rsid w:val="00063BDA"/>
    <w:rsid w:val="000A49F2"/>
    <w:rsid w:val="000B63E5"/>
    <w:rsid w:val="000C0114"/>
    <w:rsid w:val="000C1431"/>
    <w:rsid w:val="000E2CCE"/>
    <w:rsid w:val="000E3A8A"/>
    <w:rsid w:val="000E6F4B"/>
    <w:rsid w:val="000F3FF5"/>
    <w:rsid w:val="000F41A4"/>
    <w:rsid w:val="000F4CCD"/>
    <w:rsid w:val="000F4EB5"/>
    <w:rsid w:val="00101A6A"/>
    <w:rsid w:val="00104904"/>
    <w:rsid w:val="00117C0B"/>
    <w:rsid w:val="001315CF"/>
    <w:rsid w:val="00132BD0"/>
    <w:rsid w:val="00146E08"/>
    <w:rsid w:val="00165D5A"/>
    <w:rsid w:val="0017322E"/>
    <w:rsid w:val="00175012"/>
    <w:rsid w:val="001820B4"/>
    <w:rsid w:val="0019429B"/>
    <w:rsid w:val="001A0057"/>
    <w:rsid w:val="001A0CA8"/>
    <w:rsid w:val="001A308F"/>
    <w:rsid w:val="001B5005"/>
    <w:rsid w:val="001D3CAE"/>
    <w:rsid w:val="001D5721"/>
    <w:rsid w:val="001D63DE"/>
    <w:rsid w:val="001E33AB"/>
    <w:rsid w:val="001E62E7"/>
    <w:rsid w:val="001F3059"/>
    <w:rsid w:val="0021019E"/>
    <w:rsid w:val="00217326"/>
    <w:rsid w:val="00230C12"/>
    <w:rsid w:val="002552E7"/>
    <w:rsid w:val="00266FD0"/>
    <w:rsid w:val="00267AA2"/>
    <w:rsid w:val="00277C08"/>
    <w:rsid w:val="00284E6D"/>
    <w:rsid w:val="00291400"/>
    <w:rsid w:val="00293152"/>
    <w:rsid w:val="002964A1"/>
    <w:rsid w:val="002A380B"/>
    <w:rsid w:val="002A7439"/>
    <w:rsid w:val="002B183A"/>
    <w:rsid w:val="002C210A"/>
    <w:rsid w:val="002C4C51"/>
    <w:rsid w:val="002C702D"/>
    <w:rsid w:val="002D24EB"/>
    <w:rsid w:val="002D2E94"/>
    <w:rsid w:val="002D72E9"/>
    <w:rsid w:val="002E01F0"/>
    <w:rsid w:val="002E33DD"/>
    <w:rsid w:val="002F0D17"/>
    <w:rsid w:val="002F14E6"/>
    <w:rsid w:val="002F15FD"/>
    <w:rsid w:val="002F2AB4"/>
    <w:rsid w:val="00302D80"/>
    <w:rsid w:val="003066FC"/>
    <w:rsid w:val="00332B5D"/>
    <w:rsid w:val="003352B3"/>
    <w:rsid w:val="00342678"/>
    <w:rsid w:val="00344ED2"/>
    <w:rsid w:val="0034793E"/>
    <w:rsid w:val="00347EBD"/>
    <w:rsid w:val="003508EA"/>
    <w:rsid w:val="0036406E"/>
    <w:rsid w:val="003746B4"/>
    <w:rsid w:val="00375053"/>
    <w:rsid w:val="00386071"/>
    <w:rsid w:val="003929B6"/>
    <w:rsid w:val="003A2082"/>
    <w:rsid w:val="003A560F"/>
    <w:rsid w:val="003A6145"/>
    <w:rsid w:val="003A6CCA"/>
    <w:rsid w:val="003A74E0"/>
    <w:rsid w:val="003C3BF4"/>
    <w:rsid w:val="003C514A"/>
    <w:rsid w:val="003C7B6B"/>
    <w:rsid w:val="003D05E3"/>
    <w:rsid w:val="003F0D95"/>
    <w:rsid w:val="00405DF9"/>
    <w:rsid w:val="00413CDB"/>
    <w:rsid w:val="004170F2"/>
    <w:rsid w:val="00432E0E"/>
    <w:rsid w:val="00435034"/>
    <w:rsid w:val="00435327"/>
    <w:rsid w:val="0043534B"/>
    <w:rsid w:val="0044099E"/>
    <w:rsid w:val="00442F0D"/>
    <w:rsid w:val="004477F0"/>
    <w:rsid w:val="004503D4"/>
    <w:rsid w:val="00452E5E"/>
    <w:rsid w:val="004647A1"/>
    <w:rsid w:val="00474CE6"/>
    <w:rsid w:val="004913D2"/>
    <w:rsid w:val="004A02DA"/>
    <w:rsid w:val="004A1359"/>
    <w:rsid w:val="004B2DAF"/>
    <w:rsid w:val="004B625D"/>
    <w:rsid w:val="004C7746"/>
    <w:rsid w:val="004E295B"/>
    <w:rsid w:val="004E4690"/>
    <w:rsid w:val="004F06C7"/>
    <w:rsid w:val="004F3C1D"/>
    <w:rsid w:val="0050492D"/>
    <w:rsid w:val="00506CE2"/>
    <w:rsid w:val="005117B0"/>
    <w:rsid w:val="00515DD1"/>
    <w:rsid w:val="00526F27"/>
    <w:rsid w:val="005274C4"/>
    <w:rsid w:val="00527DC4"/>
    <w:rsid w:val="00530CF1"/>
    <w:rsid w:val="00551FBB"/>
    <w:rsid w:val="00557619"/>
    <w:rsid w:val="0056723D"/>
    <w:rsid w:val="005801AB"/>
    <w:rsid w:val="00582D45"/>
    <w:rsid w:val="005965C9"/>
    <w:rsid w:val="00597C78"/>
    <w:rsid w:val="005B20F7"/>
    <w:rsid w:val="005C6A01"/>
    <w:rsid w:val="005D416F"/>
    <w:rsid w:val="005D66A3"/>
    <w:rsid w:val="005E50D8"/>
    <w:rsid w:val="005E5BDB"/>
    <w:rsid w:val="006035C8"/>
    <w:rsid w:val="0061697C"/>
    <w:rsid w:val="006205C2"/>
    <w:rsid w:val="00635465"/>
    <w:rsid w:val="00636B4E"/>
    <w:rsid w:val="0064254C"/>
    <w:rsid w:val="006470D1"/>
    <w:rsid w:val="006636A0"/>
    <w:rsid w:val="00672F40"/>
    <w:rsid w:val="006A00B9"/>
    <w:rsid w:val="006A3B4D"/>
    <w:rsid w:val="006A5A6F"/>
    <w:rsid w:val="006B0390"/>
    <w:rsid w:val="006C0479"/>
    <w:rsid w:val="006D5B1D"/>
    <w:rsid w:val="006E299A"/>
    <w:rsid w:val="006F00EA"/>
    <w:rsid w:val="006F1953"/>
    <w:rsid w:val="006F76BF"/>
    <w:rsid w:val="006F794B"/>
    <w:rsid w:val="00702A04"/>
    <w:rsid w:val="0070768E"/>
    <w:rsid w:val="00716258"/>
    <w:rsid w:val="0072222E"/>
    <w:rsid w:val="00725646"/>
    <w:rsid w:val="00732BA3"/>
    <w:rsid w:val="0073383D"/>
    <w:rsid w:val="00734A87"/>
    <w:rsid w:val="007526C4"/>
    <w:rsid w:val="00760478"/>
    <w:rsid w:val="0077617F"/>
    <w:rsid w:val="007857E1"/>
    <w:rsid w:val="00785E13"/>
    <w:rsid w:val="00792F52"/>
    <w:rsid w:val="007A4A03"/>
    <w:rsid w:val="007A633B"/>
    <w:rsid w:val="007A71F1"/>
    <w:rsid w:val="007B02D5"/>
    <w:rsid w:val="007B4988"/>
    <w:rsid w:val="007D7821"/>
    <w:rsid w:val="007F11E9"/>
    <w:rsid w:val="007F30C2"/>
    <w:rsid w:val="007F472F"/>
    <w:rsid w:val="008064DE"/>
    <w:rsid w:val="00806B12"/>
    <w:rsid w:val="00810A00"/>
    <w:rsid w:val="008115F2"/>
    <w:rsid w:val="008142DD"/>
    <w:rsid w:val="00816F52"/>
    <w:rsid w:val="0082012F"/>
    <w:rsid w:val="00822C46"/>
    <w:rsid w:val="0083379F"/>
    <w:rsid w:val="0084601F"/>
    <w:rsid w:val="00850063"/>
    <w:rsid w:val="008501FA"/>
    <w:rsid w:val="00851AA2"/>
    <w:rsid w:val="0085347F"/>
    <w:rsid w:val="0088114F"/>
    <w:rsid w:val="00883FF9"/>
    <w:rsid w:val="008962E2"/>
    <w:rsid w:val="008966B3"/>
    <w:rsid w:val="008B2159"/>
    <w:rsid w:val="008C0C77"/>
    <w:rsid w:val="008E432C"/>
    <w:rsid w:val="00905E50"/>
    <w:rsid w:val="009109A9"/>
    <w:rsid w:val="0091281E"/>
    <w:rsid w:val="00913938"/>
    <w:rsid w:val="00914989"/>
    <w:rsid w:val="00915839"/>
    <w:rsid w:val="00922A5C"/>
    <w:rsid w:val="009319BC"/>
    <w:rsid w:val="00962B66"/>
    <w:rsid w:val="009853D4"/>
    <w:rsid w:val="00995621"/>
    <w:rsid w:val="009A509A"/>
    <w:rsid w:val="009B6DDB"/>
    <w:rsid w:val="009C183B"/>
    <w:rsid w:val="009C3226"/>
    <w:rsid w:val="009C54E5"/>
    <w:rsid w:val="009D1BA6"/>
    <w:rsid w:val="009E5C44"/>
    <w:rsid w:val="009F60B4"/>
    <w:rsid w:val="00A05431"/>
    <w:rsid w:val="00A12B12"/>
    <w:rsid w:val="00A242E6"/>
    <w:rsid w:val="00A42EF2"/>
    <w:rsid w:val="00A446DF"/>
    <w:rsid w:val="00A63673"/>
    <w:rsid w:val="00A87E4D"/>
    <w:rsid w:val="00A948CA"/>
    <w:rsid w:val="00A967C0"/>
    <w:rsid w:val="00AB1D58"/>
    <w:rsid w:val="00AB415C"/>
    <w:rsid w:val="00AB5A66"/>
    <w:rsid w:val="00AB70BF"/>
    <w:rsid w:val="00AD2457"/>
    <w:rsid w:val="00AD7E84"/>
    <w:rsid w:val="00AF3120"/>
    <w:rsid w:val="00B03E51"/>
    <w:rsid w:val="00B11280"/>
    <w:rsid w:val="00B145FD"/>
    <w:rsid w:val="00B34C4C"/>
    <w:rsid w:val="00B36355"/>
    <w:rsid w:val="00B41393"/>
    <w:rsid w:val="00B55DFA"/>
    <w:rsid w:val="00B65D18"/>
    <w:rsid w:val="00B67F6B"/>
    <w:rsid w:val="00B92133"/>
    <w:rsid w:val="00BA7965"/>
    <w:rsid w:val="00BB13EB"/>
    <w:rsid w:val="00BB70EE"/>
    <w:rsid w:val="00BD09D6"/>
    <w:rsid w:val="00BD192A"/>
    <w:rsid w:val="00BE35E1"/>
    <w:rsid w:val="00BE7A2E"/>
    <w:rsid w:val="00BF0754"/>
    <w:rsid w:val="00BF0B1E"/>
    <w:rsid w:val="00BF4953"/>
    <w:rsid w:val="00C33D1A"/>
    <w:rsid w:val="00C453D8"/>
    <w:rsid w:val="00C53EE2"/>
    <w:rsid w:val="00C7250E"/>
    <w:rsid w:val="00C73E90"/>
    <w:rsid w:val="00C86161"/>
    <w:rsid w:val="00CA2181"/>
    <w:rsid w:val="00CA3397"/>
    <w:rsid w:val="00CA3752"/>
    <w:rsid w:val="00CB72C2"/>
    <w:rsid w:val="00CC174D"/>
    <w:rsid w:val="00CD4769"/>
    <w:rsid w:val="00CE291D"/>
    <w:rsid w:val="00CE412D"/>
    <w:rsid w:val="00CE55AD"/>
    <w:rsid w:val="00CE59F7"/>
    <w:rsid w:val="00CF36DA"/>
    <w:rsid w:val="00D0151B"/>
    <w:rsid w:val="00D1397F"/>
    <w:rsid w:val="00D1561E"/>
    <w:rsid w:val="00D35AD1"/>
    <w:rsid w:val="00D46CF6"/>
    <w:rsid w:val="00D63589"/>
    <w:rsid w:val="00D64521"/>
    <w:rsid w:val="00D75FF4"/>
    <w:rsid w:val="00D828C7"/>
    <w:rsid w:val="00D8334F"/>
    <w:rsid w:val="00D9094D"/>
    <w:rsid w:val="00DA62B8"/>
    <w:rsid w:val="00DB603E"/>
    <w:rsid w:val="00DC143C"/>
    <w:rsid w:val="00DC5AFC"/>
    <w:rsid w:val="00DD0B50"/>
    <w:rsid w:val="00DD20A9"/>
    <w:rsid w:val="00DD615A"/>
    <w:rsid w:val="00DD7430"/>
    <w:rsid w:val="00DF2344"/>
    <w:rsid w:val="00E06159"/>
    <w:rsid w:val="00E1122A"/>
    <w:rsid w:val="00E1377B"/>
    <w:rsid w:val="00E1476A"/>
    <w:rsid w:val="00E2456D"/>
    <w:rsid w:val="00E25350"/>
    <w:rsid w:val="00E46E45"/>
    <w:rsid w:val="00E53623"/>
    <w:rsid w:val="00E53FF8"/>
    <w:rsid w:val="00E621D8"/>
    <w:rsid w:val="00E75530"/>
    <w:rsid w:val="00E82847"/>
    <w:rsid w:val="00E92ED2"/>
    <w:rsid w:val="00EA48D7"/>
    <w:rsid w:val="00EC0DBF"/>
    <w:rsid w:val="00EC1FCB"/>
    <w:rsid w:val="00EC3C7D"/>
    <w:rsid w:val="00EE516B"/>
    <w:rsid w:val="00EF479A"/>
    <w:rsid w:val="00F00ADB"/>
    <w:rsid w:val="00F22B91"/>
    <w:rsid w:val="00F26BAF"/>
    <w:rsid w:val="00F27EC9"/>
    <w:rsid w:val="00F40452"/>
    <w:rsid w:val="00F51C7F"/>
    <w:rsid w:val="00F65143"/>
    <w:rsid w:val="00F65451"/>
    <w:rsid w:val="00F700CF"/>
    <w:rsid w:val="00F70204"/>
    <w:rsid w:val="00F709B7"/>
    <w:rsid w:val="00F77716"/>
    <w:rsid w:val="00FB21C6"/>
    <w:rsid w:val="00FB2A82"/>
    <w:rsid w:val="00FD67F2"/>
    <w:rsid w:val="00FF7FF8"/>
    <w:rsid w:val="01CA9D05"/>
    <w:rsid w:val="055BFCB9"/>
    <w:rsid w:val="0687B841"/>
    <w:rsid w:val="0E539202"/>
    <w:rsid w:val="1763029D"/>
    <w:rsid w:val="1795DE0D"/>
    <w:rsid w:val="19651ED0"/>
    <w:rsid w:val="1A2B37AE"/>
    <w:rsid w:val="1B9AC10C"/>
    <w:rsid w:val="1CF41131"/>
    <w:rsid w:val="1DE7F87D"/>
    <w:rsid w:val="22B94435"/>
    <w:rsid w:val="25F16803"/>
    <w:rsid w:val="2810A832"/>
    <w:rsid w:val="29630CD1"/>
    <w:rsid w:val="2A929015"/>
    <w:rsid w:val="2EB1E806"/>
    <w:rsid w:val="2F7DEDA7"/>
    <w:rsid w:val="3050B4C0"/>
    <w:rsid w:val="3B384731"/>
    <w:rsid w:val="41E865D3"/>
    <w:rsid w:val="423B9943"/>
    <w:rsid w:val="465B543B"/>
    <w:rsid w:val="4FD68526"/>
    <w:rsid w:val="528B570B"/>
    <w:rsid w:val="58619CAF"/>
    <w:rsid w:val="59FE61E3"/>
    <w:rsid w:val="5D67F8AB"/>
    <w:rsid w:val="5EC7D5D1"/>
    <w:rsid w:val="5F792426"/>
    <w:rsid w:val="6241B22A"/>
    <w:rsid w:val="65EF8D46"/>
    <w:rsid w:val="6BFAB9C3"/>
    <w:rsid w:val="6D706F02"/>
    <w:rsid w:val="75B95BFB"/>
    <w:rsid w:val="76E53D01"/>
    <w:rsid w:val="783CCA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E95C7AF"/>
  <w15:chartTrackingRefBased/>
  <w15:docId w15:val="{E1FC862B-6EF8-40CD-AC6E-FBDED42DDE39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183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1B9AC10C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1B9AC10C"/>
    <w:pPr>
      <w:tabs>
        <w:tab w:val="center" w:pos="4680"/>
        <w:tab w:val="right" w:pos="9360"/>
      </w:tabs>
      <w:spacing w:after="0" w:line="240" w:lineRule="auto"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erChar">
    <w:name w:val="Header Char"/>
    <w:basedOn w:val="DefaultParagraphFont"/>
    <w:link w:val="Header"/>
    <w:uiPriority w:val="99"/>
    <w:rsid w:val="007526C4"/>
  </w:style>
  <w:style w:type="character" w:customStyle="1" w:styleId="FooterChar">
    <w:name w:val="Footer Char"/>
    <w:basedOn w:val="DefaultParagraphFont"/>
    <w:link w:val="Footer"/>
    <w:uiPriority w:val="99"/>
    <w:rsid w:val="007A4A03"/>
  </w:style>
  <w:style w:type="character" w:customStyle="1" w:styleId="Heading1Char">
    <w:name w:val="Heading 1 Char"/>
    <w:basedOn w:val="DefaultParagraphFont"/>
    <w:link w:val="Heading1"/>
    <w:uiPriority w:val="9"/>
    <w:rsid w:val="002B18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styleId="Hyperlink">
    <w:name w:val="Hyperlink"/>
    <w:uiPriority w:val="99"/>
    <w:unhideWhenUsed/>
    <w:rsid w:val="002B183A"/>
    <w:rPr>
      <w:color w:val="0000FF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2B183A"/>
    <w:pPr>
      <w:spacing w:before="480" w:line="276" w:lineRule="auto"/>
      <w:outlineLvl w:val="9"/>
    </w:pPr>
    <w:rPr>
      <w:rFonts w:ascii="Arial" w:eastAsia="Times New Roman" w:hAnsi="Arial" w:cs="Arial"/>
      <w:bCs/>
      <w:color w:val="365F91"/>
      <w:sz w:val="28"/>
      <w:szCs w:val="28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2B183A"/>
    <w:pPr>
      <w:tabs>
        <w:tab w:val="left" w:pos="900"/>
        <w:tab w:val="right" w:leader="dot" w:pos="9350"/>
      </w:tabs>
      <w:spacing w:after="100" w:line="276" w:lineRule="auto"/>
      <w:jc w:val="both"/>
    </w:pPr>
    <w:rPr>
      <w:rFonts w:ascii="Segoe UI" w:eastAsia="Times New Roman" w:hAnsi="Segoe UI" w:cs="Times New Roman"/>
      <w:b/>
      <w:color w:val="101820"/>
      <w:sz w:val="20"/>
      <w:szCs w:val="22"/>
      <w:lang w:eastAsia="en-US"/>
    </w:rPr>
  </w:style>
  <w:style w:type="character" w:styleId="BookTitle">
    <w:name w:val="Book Title"/>
    <w:uiPriority w:val="33"/>
    <w:qFormat/>
    <w:rsid w:val="002B183A"/>
    <w:rPr>
      <w:b/>
      <w:bCs/>
      <w:i/>
      <w:iCs/>
      <w:spacing w:val="5"/>
    </w:rPr>
  </w:style>
  <w:style w:type="paragraph" w:customStyle="1" w:styleId="Heading2">
    <w:name w:val="heading 2"/>
    <w:basedOn w:val="Normal"/>
    <w:pPr>
      <w:keepNext/>
      <w:spacing w:before="240" w:after="80"/>
      <w:outlineLvl w:val="1"/>
    </w:pPr>
    <w:rPr>
      <w:rFonts w:ascii="Segoe UI" w:hAnsi="Segoe UI"/>
      <w:b/>
      <w:color w:val="0F4761"/>
      <w:sz w:val="26"/>
    </w:rPr>
  </w:style>
  <w:style w:type="paragraph" w:customStyle="1" w:styleId="Heading3">
    <w:name w:val="heading 3"/>
    <w:basedOn w:val="Normal"/>
    <w:pPr>
      <w:keepNext/>
      <w:spacing w:before="240" w:after="80"/>
      <w:outlineLvl w:val="2"/>
    </w:pPr>
    <w:rPr>
      <w:rFonts w:ascii="Segoe UI" w:hAnsi="Segoe UI"/>
      <w:b/>
      <w:color w:val="0F4761"/>
      <w:sz w:val="23"/>
    </w:rPr>
  </w:style>
  <w:style w:type="paragraph" w:customStyle="1" w:styleId="toc2">
    <w:name w:val="toc 2"/>
    <w:basedOn w:val="TOC1"/>
    <w:pPr>
      <w:ind w:left="340"/>
    </w:pPr>
  </w:style>
  <w:style w:type="paragraph" w:customStyle="1" w:styleId="toc3">
    <w:name w:val="toc 3"/>
    <w:basedOn w:val="TOC1"/>
    <w:pPr>
      <w:ind w:left="6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0B5F57171CF124DA305F5F2F2C90404" ma:contentTypeVersion="10" ma:contentTypeDescription="Create a new document." ma:contentTypeScope="" ma:versionID="5fc2ae173fd82ea9f4710d62b9055a3a">
  <xsd:schema xmlns:xsd="http://www.w3.org/2001/XMLSchema" xmlns:xs="http://www.w3.org/2001/XMLSchema" xmlns:p="http://schemas.microsoft.com/office/2006/metadata/properties" xmlns:ns3="fcd4fbc6-d149-41e6-b5a3-0f2dc7078962" targetNamespace="http://schemas.microsoft.com/office/2006/metadata/properties" ma:root="true" ma:fieldsID="47065ddf53e9fb8c6afaae7654624852" ns3:_="">
    <xsd:import namespace="fcd4fbc6-d149-41e6-b5a3-0f2dc707896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_activity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d4fbc6-d149-41e6-b5a3-0f2dc707896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6" nillable="true" ma:displayName="_activity" ma:hidden="true" ma:internalName="_activity">
      <xsd:simpleType>
        <xsd:restriction base="dms:Note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cd4fbc6-d149-41e6-b5a3-0f2dc7078962" xsi:nil="true"/>
  </documentManagement>
</p:properties>
</file>

<file path=customXml/itemProps1.xml><?xml version="1.0" encoding="utf-8"?>
<ds:datastoreItem xmlns:ds="http://schemas.openxmlformats.org/officeDocument/2006/customXml" ds:itemID="{F85506AB-341E-4DB7-9E6C-94E21EE1226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3CE9AF4-17E0-496B-86F7-DDAE56028FB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0CA43DA-C851-4C9F-AA9A-3B73EDF7527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cd4fbc6-d149-41e6-b5a3-0f2dc707896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FCAF19BD-2A20-432E-A6D3-31F36EF57940}">
  <ds:schemaRefs>
    <ds:schemaRef ds:uri="http://schemas.microsoft.com/office/2006/metadata/properties"/>
    <ds:schemaRef ds:uri="http://schemas.microsoft.com/office/infopath/2007/PartnerControls"/>
    <ds:schemaRef ds:uri="fcd4fbc6-d149-41e6-b5a3-0f2dc7078962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8</Pages>
  <Words>812</Words>
  <Characters>4634</Characters>
  <Application>Microsoft Office Word</Application>
  <DocSecurity>0</DocSecurity>
  <Lines>38</Lines>
  <Paragraphs>10</Paragraphs>
  <ScaleCrop>false</ScaleCrop>
  <Company/>
  <LinksUpToDate>false</LinksUpToDate>
  <CharactersWithSpaces>5436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 R</dc:creator>
  <cp:keywords/>
  <dc:description/>
  <cp:lastModifiedBy>Andrew R</cp:lastModifiedBy>
  <cp:revision>6</cp:revision>
  <dcterms:created xsi:type="dcterms:W3CDTF">2026-06-24T05:58:00Z</dcterms:created>
  <dcterms:modified xsi:type="dcterms:W3CDTF">2026-06-24T06:48:00Z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0x01010010B5F57171CF124DA305F5F2F2C90404</vt:lpwstr>
  </property>
</Properties>
</file>