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38">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9">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9"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41"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1.3</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1.3</w:t>
                      </w:r>
                    </w:p>
                  </w:txbxContent>
                </v:textbox>
                <w10:wrap type="square"/>
              </v:rect>
            </w:pict>
          </mc:Fallback>
        </mc:AlternateContent>
        <mc:AlternateContent>
          <mc:Choice Requires="wps">
            <w:drawing>
              <wp:anchor behindDoc="0" distT="45720" distB="45720" distL="114300" distR="113665" simplePos="0" locked="0" layoutInCell="0" allowOverlap="1" relativeHeight="43"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45"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Test Summary Report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Test Summary Report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47"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release readiness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release readiness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8468_747934028">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8470_747934028">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8472_747934028">
            <w:r>
              <w:rPr>
                <w:webHidden/>
                <w:rStyle w:val="IndexLink"/>
              </w:rPr>
              <w:t>3. Scope and approach</w:t>
              <w:tab/>
              <w:t>6</w:t>
            </w:r>
          </w:hyperlink>
        </w:p>
        <w:p>
          <w:pPr>
            <w:pStyle w:val="TOC2"/>
            <w:tabs>
              <w:tab w:val="clear" w:pos="900"/>
              <w:tab w:val="clear" w:pos="9350"/>
              <w:tab w:val="right" w:pos="9025" w:leader="dot"/>
            </w:tabs>
            <w:rPr/>
          </w:pPr>
          <w:hyperlink w:anchor="__RefHeading___Toc8474_747934028">
            <w:r>
              <w:rPr>
                <w:webHidden/>
                <w:rStyle w:val="IndexLink"/>
              </w:rPr>
              <w:t>3.1 Scope</w:t>
              <w:tab/>
              <w:t>6</w:t>
            </w:r>
          </w:hyperlink>
        </w:p>
        <w:p>
          <w:pPr>
            <w:pStyle w:val="TOC2"/>
            <w:tabs>
              <w:tab w:val="clear" w:pos="900"/>
              <w:tab w:val="clear" w:pos="9350"/>
              <w:tab w:val="right" w:pos="9025" w:leader="dot"/>
            </w:tabs>
            <w:rPr/>
          </w:pPr>
          <w:hyperlink w:anchor="__RefHeading___Toc8476_747934028">
            <w:r>
              <w:rPr>
                <w:webHidden/>
                <w:rStyle w:val="IndexLink"/>
              </w:rPr>
              <w:t>3.2 Approach</w:t>
              <w:tab/>
              <w:t>7</w:t>
            </w:r>
          </w:hyperlink>
        </w:p>
        <w:p>
          <w:pPr>
            <w:pStyle w:val="TOC1"/>
            <w:tabs>
              <w:tab w:val="clear" w:pos="900"/>
              <w:tab w:val="clear" w:pos="9350"/>
              <w:tab w:val="right" w:pos="9025" w:leader="dot"/>
            </w:tabs>
            <w:rPr/>
          </w:pPr>
          <w:hyperlink w:anchor="__RefHeading___Toc8478_747934028">
            <w:r>
              <w:rPr>
                <w:webHidden/>
                <w:rStyle w:val="IndexLink"/>
              </w:rPr>
              <w:t>4. Environment and data</w:t>
              <w:tab/>
              <w:t>9</w:t>
            </w:r>
          </w:hyperlink>
        </w:p>
        <w:p>
          <w:pPr>
            <w:pStyle w:val="TOC2"/>
            <w:tabs>
              <w:tab w:val="clear" w:pos="900"/>
              <w:tab w:val="clear" w:pos="9350"/>
              <w:tab w:val="right" w:pos="9025" w:leader="dot"/>
            </w:tabs>
            <w:rPr/>
          </w:pPr>
          <w:hyperlink w:anchor="__RefHeading___Toc8480_747934028">
            <w:r>
              <w:rPr>
                <w:webHidden/>
                <w:rStyle w:val="IndexLink"/>
              </w:rPr>
              <w:t>4.1 Test users</w:t>
              <w:tab/>
              <w:t>9</w:t>
            </w:r>
          </w:hyperlink>
        </w:p>
        <w:p>
          <w:pPr>
            <w:pStyle w:val="TOC2"/>
            <w:tabs>
              <w:tab w:val="clear" w:pos="900"/>
              <w:tab w:val="clear" w:pos="9350"/>
              <w:tab w:val="right" w:pos="9025" w:leader="dot"/>
            </w:tabs>
            <w:rPr/>
          </w:pPr>
          <w:hyperlink w:anchor="__RefHeading___Toc8482_747934028">
            <w:r>
              <w:rPr>
                <w:webHidden/>
                <w:rStyle w:val="IndexLink"/>
              </w:rPr>
              <w:t>4.2 UAT data set</w:t>
              <w:tab/>
              <w:t>9</w:t>
            </w:r>
          </w:hyperlink>
        </w:p>
        <w:p>
          <w:pPr>
            <w:pStyle w:val="TOC1"/>
            <w:tabs>
              <w:tab w:val="clear" w:pos="900"/>
              <w:tab w:val="clear" w:pos="9350"/>
              <w:tab w:val="right" w:pos="9025" w:leader="dot"/>
            </w:tabs>
            <w:rPr/>
          </w:pPr>
          <w:hyperlink w:anchor="__RefHeading___Toc8484_747934028">
            <w:r>
              <w:rPr>
                <w:webHidden/>
                <w:rStyle w:val="IndexLink"/>
              </w:rPr>
              <w:t>5. Automated test results</w:t>
              <w:tab/>
              <w:t>11</w:t>
            </w:r>
          </w:hyperlink>
        </w:p>
        <w:p>
          <w:pPr>
            <w:pStyle w:val="TOC2"/>
            <w:tabs>
              <w:tab w:val="clear" w:pos="900"/>
              <w:tab w:val="clear" w:pos="9350"/>
              <w:tab w:val="right" w:pos="9025" w:leader="dot"/>
            </w:tabs>
            <w:rPr/>
          </w:pPr>
          <w:hyperlink w:anchor="__RefHeading___Toc8486_747934028">
            <w:r>
              <w:rPr>
                <w:webHidden/>
                <w:rStyle w:val="IndexLink"/>
              </w:rPr>
              <w:t>5.1 Backend by test file area</w:t>
              <w:tab/>
              <w:t>11</w:t>
            </w:r>
          </w:hyperlink>
        </w:p>
        <w:p>
          <w:pPr>
            <w:pStyle w:val="TOC2"/>
            <w:tabs>
              <w:tab w:val="clear" w:pos="900"/>
              <w:tab w:val="clear" w:pos="9350"/>
              <w:tab w:val="right" w:pos="9025" w:leader="dot"/>
            </w:tabs>
            <w:rPr/>
          </w:pPr>
          <w:hyperlink w:anchor="__RefHeading___Toc8488_747934028">
            <w:r>
              <w:rPr>
                <w:webHidden/>
                <w:rStyle w:val="IndexLink"/>
              </w:rPr>
              <w:t>5.2 Package B compliance tests</w:t>
              <w:tab/>
              <w:t>11</w:t>
            </w:r>
          </w:hyperlink>
        </w:p>
        <w:p>
          <w:pPr>
            <w:pStyle w:val="TOC2"/>
            <w:tabs>
              <w:tab w:val="clear" w:pos="900"/>
              <w:tab w:val="clear" w:pos="9350"/>
              <w:tab w:val="right" w:pos="9025" w:leader="dot"/>
            </w:tabs>
            <w:rPr/>
          </w:pPr>
          <w:hyperlink w:anchor="__RefHeading___Toc8490_747934028">
            <w:r>
              <w:rPr>
                <w:webHidden/>
                <w:rStyle w:val="IndexLink"/>
              </w:rPr>
              <w:t>5.3 Front end by test file area</w:t>
              <w:tab/>
              <w:t>12</w:t>
            </w:r>
          </w:hyperlink>
        </w:p>
        <w:p>
          <w:pPr>
            <w:pStyle w:val="TOC1"/>
            <w:tabs>
              <w:tab w:val="clear" w:pos="900"/>
              <w:tab w:val="clear" w:pos="9350"/>
              <w:tab w:val="right" w:pos="9025" w:leader="dot"/>
            </w:tabs>
            <w:rPr/>
          </w:pPr>
          <w:hyperlink w:anchor="__RefHeading___Toc8492_747934028">
            <w:r>
              <w:rPr>
                <w:webHidden/>
                <w:rStyle w:val="IndexLink"/>
              </w:rPr>
              <w:t>6. Test execution summary by module</w:t>
              <w:tab/>
              <w:t>13</w:t>
            </w:r>
          </w:hyperlink>
        </w:p>
        <w:p>
          <w:pPr>
            <w:pStyle w:val="TOC2"/>
            <w:tabs>
              <w:tab w:val="clear" w:pos="900"/>
              <w:tab w:val="clear" w:pos="9350"/>
              <w:tab w:val="right" w:pos="9025" w:leader="dot"/>
            </w:tabs>
            <w:rPr/>
          </w:pPr>
          <w:hyperlink w:anchor="__RefHeading___Toc8494_747934028">
            <w:r>
              <w:rPr>
                <w:webHidden/>
                <w:rStyle w:val="IndexLink"/>
              </w:rPr>
              <w:t>6.1 By test type</w:t>
              <w:tab/>
              <w:t>14</w:t>
            </w:r>
          </w:hyperlink>
        </w:p>
        <w:p>
          <w:pPr>
            <w:pStyle w:val="TOC2"/>
            <w:tabs>
              <w:tab w:val="clear" w:pos="900"/>
              <w:tab w:val="clear" w:pos="9350"/>
              <w:tab w:val="right" w:pos="9025" w:leader="dot"/>
            </w:tabs>
            <w:rPr/>
          </w:pPr>
          <w:hyperlink w:anchor="__RefHeading___Toc8496_747934028">
            <w:r>
              <w:rPr>
                <w:webHidden/>
                <w:rStyle w:val="IndexLink"/>
              </w:rPr>
              <w:t>6.2 Coverage of the process catalogue</w:t>
              <w:tab/>
              <w:t>14</w:t>
            </w:r>
          </w:hyperlink>
        </w:p>
        <w:p>
          <w:pPr>
            <w:pStyle w:val="TOC2"/>
            <w:tabs>
              <w:tab w:val="clear" w:pos="900"/>
              <w:tab w:val="clear" w:pos="9350"/>
              <w:tab w:val="right" w:pos="9025" w:leader="dot"/>
            </w:tabs>
            <w:rPr/>
          </w:pPr>
          <w:hyperlink w:anchor="__RefHeading___Toc8498_747934028">
            <w:r>
              <w:rPr>
                <w:webHidden/>
                <w:rStyle w:val="IndexLink"/>
              </w:rPr>
              <w:t>6.3 Cases not passed</w:t>
              <w:tab/>
              <w:t>14</w:t>
            </w:r>
          </w:hyperlink>
        </w:p>
        <w:p>
          <w:pPr>
            <w:pStyle w:val="TOC1"/>
            <w:tabs>
              <w:tab w:val="clear" w:pos="900"/>
              <w:tab w:val="clear" w:pos="9350"/>
              <w:tab w:val="right" w:pos="9025" w:leader="dot"/>
            </w:tabs>
            <w:rPr/>
          </w:pPr>
          <w:hyperlink w:anchor="__RefHeading___Toc8500_747934028">
            <w:r>
              <w:rPr>
                <w:webHidden/>
                <w:rStyle w:val="IndexLink"/>
              </w:rPr>
              <w:t>7. New modules: what was verified</w:t>
              <w:tab/>
              <w:t>16</w:t>
            </w:r>
          </w:hyperlink>
        </w:p>
        <w:p>
          <w:pPr>
            <w:pStyle w:val="TOC1"/>
            <w:tabs>
              <w:tab w:val="clear" w:pos="900"/>
              <w:tab w:val="clear" w:pos="9350"/>
              <w:tab w:val="right" w:pos="9025" w:leader="dot"/>
            </w:tabs>
            <w:rPr/>
          </w:pPr>
          <w:hyperlink w:anchor="__RefHeading___Toc8502_747934028">
            <w:r>
              <w:rPr>
                <w:webHidden/>
                <w:rStyle w:val="IndexLink"/>
              </w:rPr>
              <w:t>8. End-to-end cycle results</w:t>
              <w:tab/>
              <w:t>18</w:t>
            </w:r>
          </w:hyperlink>
        </w:p>
        <w:p>
          <w:pPr>
            <w:pStyle w:val="TOC2"/>
            <w:tabs>
              <w:tab w:val="clear" w:pos="900"/>
              <w:tab w:val="clear" w:pos="9350"/>
              <w:tab w:val="right" w:pos="9025" w:leader="dot"/>
            </w:tabs>
            <w:rPr/>
          </w:pPr>
          <w:hyperlink w:anchor="__RefHeading___Toc8504_747934028">
            <w:r>
              <w:rPr>
                <w:webHidden/>
                <w:rStyle w:val="IndexLink"/>
              </w:rPr>
              <w:t>8.1 What the cycle produced</w:t>
              <w:tab/>
              <w:t>18</w:t>
            </w:r>
          </w:hyperlink>
        </w:p>
        <w:p>
          <w:pPr>
            <w:pStyle w:val="TOC2"/>
            <w:tabs>
              <w:tab w:val="clear" w:pos="900"/>
              <w:tab w:val="clear" w:pos="9350"/>
              <w:tab w:val="right" w:pos="9025" w:leader="dot"/>
            </w:tabs>
            <w:rPr/>
          </w:pPr>
          <w:hyperlink w:anchor="__RefHeading___Toc8506_747934028">
            <w:r>
              <w:rPr>
                <w:webHidden/>
                <w:rStyle w:val="IndexLink"/>
              </w:rPr>
              <w:t>8.2 Life-cycle scenario</w:t>
              <w:tab/>
              <w:t>19</w:t>
            </w:r>
          </w:hyperlink>
        </w:p>
        <w:p>
          <w:pPr>
            <w:pStyle w:val="TOC1"/>
            <w:tabs>
              <w:tab w:val="clear" w:pos="900"/>
              <w:tab w:val="clear" w:pos="9350"/>
              <w:tab w:val="right" w:pos="9025" w:leader="dot"/>
            </w:tabs>
            <w:rPr/>
          </w:pPr>
          <w:hyperlink w:anchor="__RefHeading___Toc8508_747934028">
            <w:r>
              <w:rPr>
                <w:webHidden/>
                <w:rStyle w:val="IndexLink"/>
              </w:rPr>
              <w:t>9. Role-based access results</w:t>
              <w:tab/>
              <w:t>20</w:t>
            </w:r>
          </w:hyperlink>
        </w:p>
        <w:p>
          <w:pPr>
            <w:pStyle w:val="TOC1"/>
            <w:tabs>
              <w:tab w:val="clear" w:pos="900"/>
              <w:tab w:val="clear" w:pos="9350"/>
              <w:tab w:val="right" w:pos="9025" w:leader="dot"/>
            </w:tabs>
            <w:rPr/>
          </w:pPr>
          <w:hyperlink w:anchor="__RefHeading___Toc8510_747934028">
            <w:r>
              <w:rPr>
                <w:webHidden/>
                <w:rStyle w:val="IndexLink"/>
              </w:rPr>
              <w:t>10. Security testing performed</w:t>
              <w:tab/>
              <w:t>21</w:t>
            </w:r>
          </w:hyperlink>
        </w:p>
        <w:p>
          <w:pPr>
            <w:pStyle w:val="TOC1"/>
            <w:tabs>
              <w:tab w:val="clear" w:pos="900"/>
              <w:tab w:val="clear" w:pos="9350"/>
              <w:tab w:val="right" w:pos="9025" w:leader="dot"/>
            </w:tabs>
            <w:rPr/>
          </w:pPr>
          <w:hyperlink w:anchor="__RefHeading___Toc8512_747934028">
            <w:r>
              <w:rPr>
                <w:webHidden/>
                <w:rStyle w:val="IndexLink"/>
              </w:rPr>
              <w:t>11. Performance observations</w:t>
              <w:tab/>
              <w:t>22</w:t>
            </w:r>
          </w:hyperlink>
        </w:p>
        <w:p>
          <w:pPr>
            <w:pStyle w:val="TOC1"/>
            <w:tabs>
              <w:tab w:val="clear" w:pos="900"/>
              <w:tab w:val="clear" w:pos="9350"/>
              <w:tab w:val="right" w:pos="9025" w:leader="dot"/>
            </w:tabs>
            <w:rPr/>
          </w:pPr>
          <w:hyperlink w:anchor="__RefHeading___Toc8514_747934028">
            <w:r>
              <w:rPr>
                <w:webHidden/>
                <w:rStyle w:val="IndexLink"/>
              </w:rPr>
              <w:t>12. Defects and observations</w:t>
              <w:tab/>
              <w:t>23</w:t>
            </w:r>
          </w:hyperlink>
        </w:p>
        <w:p>
          <w:pPr>
            <w:pStyle w:val="TOC2"/>
            <w:tabs>
              <w:tab w:val="clear" w:pos="900"/>
              <w:tab w:val="clear" w:pos="9350"/>
              <w:tab w:val="right" w:pos="9025" w:leader="dot"/>
            </w:tabs>
            <w:rPr/>
          </w:pPr>
          <w:hyperlink w:anchor="__RefHeading___Toc8516_747934028">
            <w:r>
              <w:rPr>
                <w:webHidden/>
                <w:rStyle w:val="IndexLink"/>
              </w:rPr>
              <w:t>12.1 BV-DEF-001: Front-end library react-router has a moderate security advisory (open redirect)</w:t>
              <w:tab/>
              <w:t>23</w:t>
            </w:r>
          </w:hyperlink>
        </w:p>
        <w:p>
          <w:pPr>
            <w:pStyle w:val="TOC2"/>
            <w:tabs>
              <w:tab w:val="clear" w:pos="900"/>
              <w:tab w:val="clear" w:pos="9350"/>
              <w:tab w:val="right" w:pos="9025" w:leader="dot"/>
            </w:tabs>
            <w:rPr/>
          </w:pPr>
          <w:hyperlink w:anchor="__RefHeading___Toc8518_747934028">
            <w:r>
              <w:rPr>
                <w:webHidden/>
                <w:rStyle w:val="IndexLink"/>
              </w:rPr>
              <w:t>12.2 BV-DEF-002: Data privacy features not built: consent capture, data subject request register, anonymisation</w:t>
              <w:tab/>
              <w:t>24</w:t>
            </w:r>
          </w:hyperlink>
        </w:p>
        <w:p>
          <w:pPr>
            <w:pStyle w:val="TOC2"/>
            <w:tabs>
              <w:tab w:val="clear" w:pos="900"/>
              <w:tab w:val="clear" w:pos="9350"/>
              <w:tab w:val="right" w:pos="9025" w:leader="dot"/>
            </w:tabs>
            <w:rPr/>
          </w:pPr>
          <w:hyperlink w:anchor="__RefHeading___Toc8520_747934028">
            <w:r>
              <w:rPr>
                <w:webHidden/>
                <w:rStyle w:val="IndexLink"/>
              </w:rPr>
              <w:t>12.3 BV-DEF-003: Application-level encryption covers only two-step verification secrets</w:t>
              <w:tab/>
              <w:t>24</w:t>
            </w:r>
          </w:hyperlink>
        </w:p>
        <w:p>
          <w:pPr>
            <w:pStyle w:val="TOC2"/>
            <w:tabs>
              <w:tab w:val="clear" w:pos="900"/>
              <w:tab w:val="clear" w:pos="9350"/>
              <w:tab w:val="right" w:pos="9025" w:leader="dot"/>
            </w:tabs>
            <w:rPr/>
          </w:pPr>
          <w:hyperlink w:anchor="__RefHeading___Toc8522_747934028">
            <w:r>
              <w:rPr>
                <w:webHidden/>
                <w:rStyle w:val="IndexLink"/>
              </w:rPr>
              <w:t>12.4 BV-DEF-004: Product configurator component list does not show the template; per-template rating factors look duplicated</w:t>
              <w:tab/>
              <w:t>24</w:t>
            </w:r>
          </w:hyperlink>
        </w:p>
        <w:p>
          <w:pPr>
            <w:pStyle w:val="TOC2"/>
            <w:tabs>
              <w:tab w:val="clear" w:pos="900"/>
              <w:tab w:val="clear" w:pos="9350"/>
              <w:tab w:val="right" w:pos="9025" w:leader="dot"/>
            </w:tabs>
            <w:rPr/>
          </w:pPr>
          <w:hyperlink w:anchor="__RefHeading___Toc8524_747934028">
            <w:r>
              <w:rPr>
                <w:webHidden/>
                <w:rStyle w:val="IndexLink"/>
              </w:rPr>
              <w:t>12.5 BV-OBS-005: Renewal of a policy expired beyond the grace plus lapsed-renewal window is refused</w:t>
              <w:tab/>
              <w:t>25</w:t>
            </w:r>
          </w:hyperlink>
        </w:p>
        <w:p>
          <w:pPr>
            <w:pStyle w:val="TOC2"/>
            <w:tabs>
              <w:tab w:val="clear" w:pos="900"/>
              <w:tab w:val="clear" w:pos="9350"/>
              <w:tab w:val="right" w:pos="9025" w:leader="dot"/>
            </w:tabs>
            <w:rPr/>
          </w:pPr>
          <w:hyperlink w:anchor="__RefHeading___Toc8526_747934028">
            <w:r>
              <w:rPr>
                <w:webHidden/>
                <w:rStyle w:val="IndexLink"/>
              </w:rPr>
              <w:t>12.6 BV-DEF-006: Premium Taxes &amp; LGU Rates: product list of the charges calculator does not load for Accounting</w:t>
              <w:tab/>
              <w:t>25</w:t>
            </w:r>
          </w:hyperlink>
        </w:p>
        <w:p>
          <w:pPr>
            <w:pStyle w:val="TOC2"/>
            <w:tabs>
              <w:tab w:val="clear" w:pos="900"/>
              <w:tab w:val="clear" w:pos="9350"/>
              <w:tab w:val="right" w:pos="9025" w:leader="dot"/>
            </w:tabs>
            <w:rPr/>
          </w:pPr>
          <w:hyperlink w:anchor="__RefHeading___Toc8528_747934028">
            <w:r>
              <w:rPr>
                <w:webHidden/>
                <w:rStyle w:val="IndexLink"/>
              </w:rPr>
              <w:t>12.7 BV-OBS-007: Menu group Master &gt; Generals &gt; Organization has an address that opens "Page not found"</w:t>
              <w:tab/>
              <w:t>25</w:t>
            </w:r>
          </w:hyperlink>
        </w:p>
        <w:p>
          <w:pPr>
            <w:pStyle w:val="TOC2"/>
            <w:tabs>
              <w:tab w:val="clear" w:pos="900"/>
              <w:tab w:val="clear" w:pos="9350"/>
              <w:tab w:val="right" w:pos="9025" w:leader="dot"/>
            </w:tabs>
            <w:rPr/>
          </w:pPr>
          <w:hyperlink w:anchor="__RefHeading___Toc8530_747934028">
            <w:r>
              <w:rPr>
                <w:webHidden/>
                <w:rStyle w:val="IndexLink"/>
              </w:rPr>
              <w:t>12.8 BV-OBS-008: Accounts &gt; Incentive &gt; My Programs: Achievement Overview card extends past the right edge at 1440 px</w:t>
              <w:tab/>
              <w:t>26</w:t>
            </w:r>
          </w:hyperlink>
        </w:p>
        <w:p>
          <w:pPr>
            <w:pStyle w:val="TOC2"/>
            <w:tabs>
              <w:tab w:val="clear" w:pos="900"/>
              <w:tab w:val="clear" w:pos="9350"/>
              <w:tab w:val="right" w:pos="9025" w:leader="dot"/>
            </w:tabs>
            <w:rPr/>
          </w:pPr>
          <w:hyperlink w:anchor="__RefHeading___Toc8532_747934028">
            <w:r>
              <w:rPr>
                <w:webHidden/>
                <w:rStyle w:val="IndexLink"/>
              </w:rPr>
              <w:t>12.9 BV-DEF-009: A policy whose premium is only the CTPL tariff cannot be cancelled</w:t>
              <w:tab/>
              <w:t>26</w:t>
            </w:r>
          </w:hyperlink>
        </w:p>
        <w:p>
          <w:pPr>
            <w:pStyle w:val="TOC2"/>
            <w:tabs>
              <w:tab w:val="clear" w:pos="900"/>
              <w:tab w:val="clear" w:pos="9350"/>
              <w:tab w:val="right" w:pos="9025" w:leader="dot"/>
            </w:tabs>
            <w:rPr/>
          </w:pPr>
          <w:hyperlink w:anchor="__RefHeading___Toc8534_747934028">
            <w:r>
              <w:rPr>
                <w:webHidden/>
                <w:rStyle w:val="IndexLink"/>
              </w:rPr>
              <w:t>12.10 BV-DEF-010: No Compliance Officer designation in the Designation master</w:t>
              <w:tab/>
              <w:t>26</w:t>
            </w:r>
          </w:hyperlink>
        </w:p>
        <w:p>
          <w:pPr>
            <w:pStyle w:val="TOC2"/>
            <w:tabs>
              <w:tab w:val="clear" w:pos="900"/>
              <w:tab w:val="clear" w:pos="9350"/>
              <w:tab w:val="right" w:pos="9025" w:leader="dot"/>
            </w:tabs>
            <w:rPr/>
          </w:pPr>
          <w:hyperlink w:anchor="__RefHeading___Toc8536_747934028">
            <w:r>
              <w:rPr>
                <w:webHidden/>
                <w:rStyle w:val="IndexLink"/>
              </w:rPr>
              <w:t>12.11 BV-DEF-011: Data masking: the mobile number an SMS or Viber message was sent to stays in the integration outbox</w:t>
              <w:tab/>
              <w:t>27</w:t>
            </w:r>
          </w:hyperlink>
        </w:p>
        <w:p>
          <w:pPr>
            <w:pStyle w:val="TOC2"/>
            <w:tabs>
              <w:tab w:val="clear" w:pos="900"/>
              <w:tab w:val="clear" w:pos="9350"/>
              <w:tab w:val="right" w:pos="9025" w:leader="dot"/>
            </w:tabs>
            <w:rPr/>
          </w:pPr>
          <w:hyperlink w:anchor="__RefHeading___Toc8538_747934028">
            <w:r>
              <w:rPr>
                <w:webHidden/>
                <w:rStyle w:val="IndexLink"/>
              </w:rPr>
              <w:t>12.12 BV-DEF-012: Data masking: identifier columns swept as free text; digit runs inside record ids reported as mobile numbers</w:t>
              <w:tab/>
              <w:t>27</w:t>
            </w:r>
          </w:hyperlink>
        </w:p>
        <w:p>
          <w:pPr>
            <w:pStyle w:val="TOC2"/>
            <w:tabs>
              <w:tab w:val="clear" w:pos="900"/>
              <w:tab w:val="clear" w:pos="9350"/>
              <w:tab w:val="right" w:pos="9025" w:leader="dot"/>
            </w:tabs>
            <w:rPr/>
          </w:pPr>
          <w:hyperlink w:anchor="__RefHeading___Toc8540_747934028">
            <w:r>
              <w:rPr>
                <w:webHidden/>
                <w:rStyle w:val="IndexLink"/>
              </w:rPr>
              <w:t>12.13 BV-DEF-013: Go-live rehearsal: migration workbook filled with the old client address headers and the tariff net premium of discounted policies</w:t>
              <w:tab/>
              <w:t>27</w:t>
            </w:r>
          </w:hyperlink>
        </w:p>
        <w:p>
          <w:pPr>
            <w:pStyle w:val="TOC2"/>
            <w:tabs>
              <w:tab w:val="clear" w:pos="900"/>
              <w:tab w:val="clear" w:pos="9350"/>
              <w:tab w:val="right" w:pos="9025" w:leader="dot"/>
            </w:tabs>
            <w:rPr/>
          </w:pPr>
          <w:hyperlink w:anchor="__RefHeading___Toc8542_747934028">
            <w:r>
              <w:rPr>
                <w:webHidden/>
                <w:rStyle w:val="IndexLink"/>
              </w:rPr>
              <w:t>12.14 BV-DEF-014: Incentive statement refused (400) for an agent with a semi-annual result</w:t>
              <w:tab/>
              <w:t>28</w:t>
            </w:r>
          </w:hyperlink>
        </w:p>
        <w:p>
          <w:pPr>
            <w:pStyle w:val="TOC1"/>
            <w:tabs>
              <w:tab w:val="clear" w:pos="900"/>
              <w:tab w:val="clear" w:pos="9350"/>
              <w:tab w:val="right" w:pos="9025" w:leader="dot"/>
            </w:tabs>
            <w:rPr/>
          </w:pPr>
          <w:hyperlink w:anchor="__RefHeading___Toc8544_747934028">
            <w:r>
              <w:rPr>
                <w:webHidden/>
                <w:rStyle w:val="IndexLink"/>
              </w:rPr>
              <w:t>13. Entry and exit criteria</w:t>
              <w:tab/>
              <w:t>29</w:t>
            </w:r>
          </w:hyperlink>
        </w:p>
        <w:p>
          <w:pPr>
            <w:pStyle w:val="TOC2"/>
            <w:tabs>
              <w:tab w:val="clear" w:pos="900"/>
              <w:tab w:val="clear" w:pos="9350"/>
              <w:tab w:val="right" w:pos="9025" w:leader="dot"/>
            </w:tabs>
            <w:rPr/>
          </w:pPr>
          <w:hyperlink w:anchor="__RefHeading___Toc8546_747934028">
            <w:r>
              <w:rPr>
                <w:webHidden/>
                <w:rStyle w:val="IndexLink"/>
              </w:rPr>
              <w:t>13.1 Entry criteria</w:t>
              <w:tab/>
              <w:t>29</w:t>
            </w:r>
          </w:hyperlink>
        </w:p>
        <w:p>
          <w:pPr>
            <w:pStyle w:val="TOC2"/>
            <w:tabs>
              <w:tab w:val="clear" w:pos="900"/>
              <w:tab w:val="clear" w:pos="9350"/>
              <w:tab w:val="right" w:pos="9025" w:leader="dot"/>
            </w:tabs>
            <w:rPr/>
          </w:pPr>
          <w:hyperlink w:anchor="__RefHeading___Toc8548_747934028">
            <w:r>
              <w:rPr>
                <w:webHidden/>
                <w:rStyle w:val="IndexLink"/>
              </w:rPr>
              <w:t>13.2 Exit criteria</w:t>
              <w:tab/>
              <w:t>29</w:t>
            </w:r>
          </w:hyperlink>
        </w:p>
        <w:p>
          <w:pPr>
            <w:pStyle w:val="TOC1"/>
            <w:tabs>
              <w:tab w:val="clear" w:pos="900"/>
              <w:tab w:val="clear" w:pos="9350"/>
              <w:tab w:val="right" w:pos="9025" w:leader="dot"/>
            </w:tabs>
            <w:rPr/>
          </w:pPr>
          <w:hyperlink w:anchor="__RefHeading___Toc8550_747934028">
            <w:r>
              <w:rPr>
                <w:webHidden/>
                <w:rStyle w:val="IndexLink"/>
              </w:rPr>
              <w:t>14. Re-test and regression after fixes (03 October 2026)</w:t>
              <w:tab/>
              <w:t>30</w:t>
            </w:r>
          </w:hyperlink>
        </w:p>
        <w:p>
          <w:pPr>
            <w:pStyle w:val="TOC1"/>
            <w:tabs>
              <w:tab w:val="clear" w:pos="900"/>
              <w:tab w:val="clear" w:pos="9350"/>
              <w:tab w:val="right" w:pos="9025" w:leader="dot"/>
            </w:tabs>
            <w:rPr/>
          </w:pPr>
          <w:hyperlink w:anchor="__RefHeading___Toc8552_747934028">
            <w:r>
              <w:rPr>
                <w:webHidden/>
                <w:rStyle w:val="IndexLink"/>
              </w:rPr>
              <w:t>15. Release verification on the merged release (04 October 2026)</w:t>
              <w:tab/>
              <w:t>31</w:t>
            </w:r>
          </w:hyperlink>
        </w:p>
        <w:p>
          <w:pPr>
            <w:pStyle w:val="TOC1"/>
            <w:tabs>
              <w:tab w:val="clear" w:pos="900"/>
              <w:tab w:val="clear" w:pos="9350"/>
              <w:tab w:val="right" w:pos="9025" w:leader="dot"/>
            </w:tabs>
            <w:rPr/>
          </w:pPr>
          <w:hyperlink w:anchor="__RefHeading___Toc8554_747934028">
            <w:r>
              <w:rPr>
                <w:webHidden/>
                <w:rStyle w:val="IndexLink"/>
              </w:rPr>
              <w:t>16. Release recommendation</w:t>
              <w:tab/>
              <w:t>33</w:t>
            </w:r>
          </w:hyperlink>
        </w:p>
        <w:p>
          <w:pPr>
            <w:pStyle w:val="TOC1"/>
            <w:tabs>
              <w:tab w:val="clear" w:pos="900"/>
              <w:tab w:val="clear" w:pos="9350"/>
              <w:tab w:val="right" w:pos="9025" w:leader="dot"/>
            </w:tabs>
            <w:rPr/>
          </w:pPr>
          <w:hyperlink w:anchor="__RefHeading___Toc8556_747934028">
            <w:r>
              <w:rPr>
                <w:webHidden/>
                <w:rStyle w:val="IndexLink"/>
                <w:i w:val="false"/>
                <w:iCs w:val="false"/>
              </w:rPr>
              <w:t>17. Document Sign-Off</w:t>
            </w:r>
            <w:r>
              <w:rPr>
                <w:rStyle w:val="IndexLink"/>
              </w:rPr>
              <w:tab/>
              <w:t>34</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8468_747934028"/>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1.3</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Version 1.3: release verification of 04 October 2026 on the merged release (packages A to G and B): UAT cycle of 433 steps, go-live rehearsal of 52 checks, data masking of a copy with its verification, environment comparison, full regression run; package B and package G cases executed; defects BV-DEF-009 to BV-DEF-014 found and fixed, BV-DEF-003 closed. Version 1.2: test runs of 04 October 2026 (1,035 backend, 36 package B, 162 front-end tests); 132 test cases for the new modules; counts per test file area; coverage by module and by process (Requirements Traceability). Version 1.1: re-test after fixes</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8470_747934028"/>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Quality assurance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RFQ</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Request for quotation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Certificate of cover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Auto passenger personal accident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Creditable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 validation data file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Trial balance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2FA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Two-step verification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Time-based one-time password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SMTP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Simple Mail Transfer Protocol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CFT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Countering the financing of terrorism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EDD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Enhanced due diligence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Covered transaction report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Suspicious transaction report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PSGC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Standard Geographic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Letter of authority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PDC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Post-dated cheque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Requirements traceability matrix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8472_747934028"/>
      <w:bookmarkEnd w:id="6"/>
      <w:r>
        <w:rPr>
          <w:rFonts w:eastAsia="Segoe UI" w:cs="Segoe UI" w:ascii="Segoe UI" w:hAnsi="Segoe UI"/>
          <w:b/>
          <w:color w:val="0F4761"/>
          <w:sz w:val="32"/>
        </w:rPr>
        <w:t>3.  Scope and approach</w:t>
      </w:r>
    </w:p>
    <w:p>
      <w:pPr>
        <w:pStyle w:val="Normal"/>
        <w:spacing w:lineRule="auto" w:line="276" w:before="0" w:after="120"/>
        <w:rPr/>
      </w:pPr>
      <w:r>
        <w:rPr>
          <w:rFonts w:eastAsia="Segoe UI" w:cs="Segoe UI" w:ascii="Segoe UI" w:hAnsi="Segoe UI"/>
          <w:color w:val="101820"/>
          <w:sz w:val="21"/>
        </w:rPr>
        <w:t xml:space="preserve">This report records the testing of BrokerVerse OOTB before release: what was tested, how, on which environment and data, what passed, what failed and what is still open. It goes with the workbook </w:t>
      </w:r>
      <w:r>
        <w:rPr>
          <w:rFonts w:eastAsia="Segoe UI" w:cs="Segoe UI" w:ascii="Segoe UI" w:hAnsi="Segoe UI"/>
          <w:b/>
          <w:color w:val="101820"/>
          <w:sz w:val="21"/>
        </w:rPr>
        <w:t>BrokerVerse_Test_Cases.xlsx</w:t>
      </w:r>
      <w:r>
        <w:rPr>
          <w:rFonts w:eastAsia="Segoe UI" w:cs="Segoe UI" w:ascii="Segoe UI" w:hAnsi="Segoe UI"/>
          <w:color w:val="101820"/>
          <w:sz w:val="21"/>
        </w:rPr>
        <w:t>, which holds every test case with its steps, test data, expected and actual result, status, regulatory reference and evidence, the traceability of each case to the automated tests, and the Requirements Traceability sheet from the process catalogue to the test cases. The way the product is tested is set out in the Test Strategy; the testing of one broker implementation in the Test Plan.</w:t>
      </w:r>
    </w:p>
    <w:p>
      <w:pPr>
        <w:pStyle w:val="Heading2"/>
        <w:rPr/>
      </w:pPr>
      <w:bookmarkStart w:id="7" w:name="__RefHeading___Toc8474_747934028"/>
      <w:bookmarkEnd w:id="7"/>
      <w:r>
        <w:rPr>
          <w:rFonts w:eastAsia="Segoe UI" w:cs="Segoe UI"/>
          <w:b/>
          <w:color w:val="0F4761"/>
          <w:sz w:val="26"/>
        </w:rPr>
        <w:t>3.1  Scope</w:t>
      </w:r>
    </w:p>
    <w:p>
      <w:pPr>
        <w:pStyle w:val="Normal"/>
        <w:spacing w:lineRule="auto" w:line="276" w:before="0" w:after="120"/>
        <w:rPr/>
      </w:pPr>
      <w:r>
        <w:rPr>
          <w:rFonts w:eastAsia="Segoe UI" w:cs="Segoe UI" w:ascii="Segoe UI" w:hAnsi="Segoe UI"/>
          <w:color w:val="101820"/>
          <w:sz w:val="21"/>
        </w:rPr>
        <w:t>The test covered the whole broking cycle of a Philippine non-life broker, one module at a time and end to end:</w:t>
      </w:r>
    </w:p>
    <w:p>
      <w:pPr>
        <w:pStyle w:val="Normal"/>
        <w:numPr>
          <w:ilvl w:val="0"/>
          <w:numId w:val="1"/>
        </w:numPr>
        <w:spacing w:before="0" w:after="60"/>
        <w:rPr/>
      </w:pPr>
      <w:r>
        <w:rPr>
          <w:rFonts w:eastAsia="Segoe UI" w:cs="Segoe UI" w:ascii="Segoe UI" w:hAnsi="Segoe UI"/>
          <w:color w:val="101820"/>
          <w:sz w:val="21"/>
        </w:rPr>
        <w:t>Sign-in and security, user and role administration, enterprise side menu, menu search, Help panel (F1) and skeleton loading.</w:t>
      </w:r>
    </w:p>
    <w:p>
      <w:pPr>
        <w:pStyle w:val="Normal"/>
        <w:numPr>
          <w:ilvl w:val="0"/>
          <w:numId w:val="1"/>
        </w:numPr>
        <w:spacing w:before="0" w:after="60"/>
        <w:rPr/>
      </w:pPr>
      <w:r>
        <w:rPr>
          <w:rFonts w:eastAsia="Segoe UI" w:cs="Segoe UI" w:ascii="Segoe UI" w:hAnsi="Segoe UI"/>
          <w:color w:val="101820"/>
          <w:sz w:val="21"/>
        </w:rPr>
        <w:t>Masters, including the Philippine reference masters (PSGC 2Q 2026 regions, provinces, cities and municipalities, barangays, ZIP codes, banks, government ID types, salutations, holidays, IC insurer list), configuration and document numbering.</w:t>
      </w:r>
    </w:p>
    <w:p>
      <w:pPr>
        <w:pStyle w:val="Normal"/>
        <w:numPr>
          <w:ilvl w:val="0"/>
          <w:numId w:val="1"/>
        </w:numPr>
        <w:spacing w:before="0" w:after="60"/>
        <w:rPr/>
      </w:pPr>
      <w:r>
        <w:rPr>
          <w:rFonts w:eastAsia="Segoe UI" w:cs="Segoe UI" w:ascii="Segoe UI" w:hAnsi="Segoe UI"/>
          <w:color w:val="101820"/>
          <w:sz w:val="21"/>
        </w:rPr>
        <w:t>Product Configurator connected to the flow: acceptance rules (refer, decline, loading with authority), rating factors, document templates with merge fields, market mapping, governing template.</w:t>
      </w:r>
    </w:p>
    <w:p>
      <w:pPr>
        <w:pStyle w:val="Normal"/>
        <w:numPr>
          <w:ilvl w:val="0"/>
          <w:numId w:val="1"/>
        </w:numPr>
        <w:spacing w:before="0" w:after="60"/>
        <w:rPr/>
      </w:pPr>
      <w:r>
        <w:rPr>
          <w:rFonts w:eastAsia="Segoe UI" w:cs="Segoe UI" w:ascii="Segoe UI" w:hAnsi="Segoe UI"/>
          <w:color w:val="101820"/>
          <w:sz w:val="21"/>
        </w:rPr>
        <w:t>My Work: My Items, My Team by reporting line, My Tasks and Calendar.</w:t>
      </w:r>
    </w:p>
    <w:p>
      <w:pPr>
        <w:pStyle w:val="Normal"/>
        <w:numPr>
          <w:ilvl w:val="0"/>
          <w:numId w:val="1"/>
        </w:numPr>
        <w:spacing w:before="0" w:after="60"/>
        <w:rPr/>
      </w:pPr>
      <w:r>
        <w:rPr>
          <w:rFonts w:eastAsia="Segoe UI" w:cs="Segoe UI" w:ascii="Segoe UI" w:hAnsi="Segoe UI"/>
          <w:color w:val="101820"/>
          <w:sz w:val="21"/>
        </w:rPr>
        <w:t>Sales and distribution: prospects, lead assignment, distribution channels, dealer programmes, quick quote and insurer comparison, quotations and customer response, requests for quotation, placement slips, comparison reports, campaigns.</w:t>
      </w:r>
    </w:p>
    <w:p>
      <w:pPr>
        <w:pStyle w:val="Normal"/>
        <w:numPr>
          <w:ilvl w:val="0"/>
          <w:numId w:val="1"/>
        </w:numPr>
        <w:spacing w:before="0" w:after="60"/>
        <w:rPr/>
      </w:pPr>
      <w:r>
        <w:rPr>
          <w:rFonts w:eastAsia="Segoe UI" w:cs="Segoe UI" w:ascii="Segoe UI" w:hAnsi="Segoe UI"/>
          <w:color w:val="101820"/>
          <w:sz w:val="21"/>
        </w:rPr>
        <w:t>Policy: motor with CTPL (COC series and authentication), package and non-package issuance, fleet schedules, marine open covers, cover notes, endorsements, computed cancellations (pro-rata, short-period, flat), claims with the document checklist and motor repairs, renewals.</w:t>
      </w:r>
    </w:p>
    <w:p>
      <w:pPr>
        <w:pStyle w:val="Normal"/>
        <w:numPr>
          <w:ilvl w:val="0"/>
          <w:numId w:val="1"/>
        </w:numPr>
        <w:spacing w:before="0" w:after="60"/>
        <w:rPr/>
      </w:pPr>
      <w:r>
        <w:rPr>
          <w:rFonts w:eastAsia="Segoe UI" w:cs="Segoe UI" w:ascii="Segoe UI" w:hAnsi="Segoe UI"/>
          <w:color w:val="101820"/>
          <w:sz w:val="21"/>
        </w:rPr>
        <w:t>Money: payments, billing and receipts, post-dated cheques, instalment invoices, collections and credit control, disbursement, bank payment files, remittance to insurers, direct bill, commission with the licence check, insurer overrides, petty cash, claims settlements paid through the broker.</w:t>
      </w:r>
    </w:p>
    <w:p>
      <w:pPr>
        <w:pStyle w:val="Normal"/>
        <w:numPr>
          <w:ilvl w:val="0"/>
          <w:numId w:val="1"/>
        </w:numPr>
        <w:spacing w:before="0" w:after="60"/>
        <w:rPr/>
      </w:pPr>
      <w:r>
        <w:rPr>
          <w:rFonts w:eastAsia="Segoe UI" w:cs="Segoe UI" w:ascii="Segoe UI" w:hAnsi="Segoe UI"/>
          <w:color w:val="101820"/>
          <w:sz w:val="21"/>
        </w:rPr>
        <w:t>Accounting: journals, period end, bank and insurer reconciliation, accounts payable, fixed assets and depreciation.</w:t>
      </w:r>
    </w:p>
    <w:p>
      <w:pPr>
        <w:pStyle w:val="Normal"/>
        <w:numPr>
          <w:ilvl w:val="0"/>
          <w:numId w:val="1"/>
        </w:numPr>
        <w:spacing w:before="0" w:after="60"/>
        <w:rPr/>
      </w:pPr>
      <w:r>
        <w:rPr>
          <w:rFonts w:eastAsia="Segoe UI" w:cs="Segoe UI" w:ascii="Segoe UI" w:hAnsi="Segoe UI"/>
          <w:color w:val="101820"/>
          <w:sz w:val="21"/>
        </w:rPr>
        <w:t>Tax: BIR 2307, VAT summary, SAWT, QAP, SLSP, 0619-E, 1601-EQ, 1604-E, 2551Q, DAT files, EOPT sales invoices, CAS books, EIS connector.</w:t>
      </w:r>
    </w:p>
    <w:p>
      <w:pPr>
        <w:pStyle w:val="Normal"/>
        <w:numPr>
          <w:ilvl w:val="0"/>
          <w:numId w:val="1"/>
        </w:numPr>
        <w:spacing w:before="0" w:after="60"/>
        <w:rPr/>
      </w:pPr>
      <w:r>
        <w:rPr>
          <w:rFonts w:eastAsia="Segoe UI" w:cs="Segoe UI" w:ascii="Segoe UI" w:hAnsi="Segoe UI"/>
          <w:color w:val="101820"/>
          <w:sz w:val="21"/>
        </w:rPr>
        <w:t>Compliance: AML/CFT (onboarding, risk rating, EDD, screening, transaction alerts, cases, AMLC report files); Insurance Commission (licence register, fit and proper, insurer authority, complaints, annual statement, production report); data privacy (consent, data subject requests, breach register, masking by role, field encryption).</w:t>
      </w:r>
    </w:p>
    <w:p>
      <w:pPr>
        <w:pStyle w:val="Normal"/>
        <w:numPr>
          <w:ilvl w:val="0"/>
          <w:numId w:val="1"/>
        </w:numPr>
        <w:spacing w:before="0" w:after="60"/>
        <w:rPr/>
      </w:pPr>
      <w:r>
        <w:rPr>
          <w:rFonts w:eastAsia="Segoe UI" w:cs="Segoe UI" w:ascii="Segoe UI" w:hAnsi="Segoe UI"/>
          <w:color w:val="101820"/>
          <w:sz w:val="21"/>
        </w:rPr>
        <w:t>Reinsurance (treaties, cessions, recoveries, facultative placements), incentives, reports, report builder and BI extract, dashboards, schedules, e-mail outbox, integrations (connectors, SMS and Viber, insurer API), branding and e-signatures, audit trail, role-based access per persona.</w:t>
      </w:r>
    </w:p>
    <w:p>
      <w:pPr>
        <w:pStyle w:val="Normal"/>
        <w:numPr>
          <w:ilvl w:val="0"/>
          <w:numId w:val="1"/>
        </w:numPr>
        <w:spacing w:before="0" w:after="60"/>
        <w:rPr/>
      </w:pPr>
      <w:r>
        <w:rPr>
          <w:rFonts w:eastAsia="Segoe UI" w:cs="Segoe UI" w:ascii="Segoe UI" w:hAnsi="Segoe UI"/>
          <w:color w:val="101820"/>
          <w:sz w:val="21"/>
        </w:rPr>
        <w:t>Go-live and environments: go-live data workbench, environment comparison, transaction reset, client data masking tool, release pipeline checks, go-live rehearsal.</w:t>
      </w:r>
    </w:p>
    <w:p>
      <w:pPr>
        <w:pStyle w:val="Normal"/>
        <w:spacing w:lineRule="auto" w:line="276" w:before="0" w:after="120"/>
        <w:rPr/>
      </w:pPr>
      <w:r>
        <w:rPr>
          <w:rFonts w:eastAsia="Segoe UI" w:cs="Segoe UI" w:ascii="Segoe UI" w:hAnsi="Segoe UI"/>
          <w:color w:val="101820"/>
          <w:sz w:val="21"/>
        </w:rPr>
        <w:t>Out of scope for this cycle: load and stress testing, an external penetration test, browsers other than Chromium, mobile layouts, live keys of third-party providers (payment gateways, SMS, CTPL authentication, insurer APIs, BIR EIS, screening provider) and delivery of e-mail to real mailboxes (no SMTP server in the test environment).</w:t>
      </w:r>
    </w:p>
    <w:p>
      <w:pPr>
        <w:pStyle w:val="Normal"/>
        <w:spacing w:lineRule="auto" w:line="276" w:before="0" w:after="120"/>
        <w:rPr/>
      </w:pPr>
      <w:r>
        <w:rPr>
          <w:rFonts w:eastAsia="Segoe UI" w:cs="Segoe UI" w:ascii="Segoe UI" w:hAnsi="Segoe UI"/>
          <w:color w:val="101820"/>
          <w:sz w:val="21"/>
        </w:rPr>
        <w:t>The IC and data privacy compliance package (package B) and package G (sales activity log, quote wizard covers and risk fields from the Product Configurator, supplier BIR 2307, fixed asset disposal) are merged into the release. Their test cases were executed in the release verification of 04 October 2026 (chapter Release verification on the merged release), which ran the whole UAT cycle, the go-live rehearsal, the data masking tool and the environment comparison on the final code.</w:t>
      </w:r>
    </w:p>
    <w:p>
      <w:pPr>
        <w:pStyle w:val="Heading2"/>
        <w:rPr/>
      </w:pPr>
      <w:bookmarkStart w:id="8" w:name="__RefHeading___Toc8476_747934028"/>
      <w:bookmarkEnd w:id="8"/>
      <w:r>
        <w:rPr>
          <w:rFonts w:eastAsia="Segoe UI" w:cs="Segoe UI"/>
          <w:b/>
          <w:color w:val="0F4761"/>
          <w:sz w:val="26"/>
        </w:rPr>
        <w:t>3.2  Approach</w:t>
      </w:r>
    </w:p>
    <w:p>
      <w:pPr>
        <w:pStyle w:val="Normal"/>
        <w:spacing w:lineRule="auto" w:line="276" w:before="0" w:after="120"/>
        <w:rPr/>
      </w:pPr>
      <w:r>
        <w:rPr>
          <w:rFonts w:eastAsia="Segoe UI" w:cs="Segoe UI" w:ascii="Segoe UI" w:hAnsi="Segoe UI"/>
          <w:color w:val="101820"/>
          <w:sz w:val="21"/>
        </w:rPr>
        <w:t>Each test case is written for manual execution: numbered steps on screen, concrete test data and an observable expected result. The status of each case was set from recorded evidence only:</w:t>
      </w:r>
    </w:p>
    <w:p>
      <w:pPr>
        <w:pStyle w:val="Normal"/>
        <w:numPr>
          <w:ilvl w:val="0"/>
          <w:numId w:val="1"/>
        </w:numPr>
        <w:spacing w:before="0" w:after="60"/>
        <w:rPr/>
      </w:pPr>
      <w:r>
        <w:rPr>
          <w:rFonts w:eastAsia="Segoe UI" w:cs="Segoe UI" w:ascii="Segoe UI" w:hAnsi="Segoe UI"/>
          <w:b/>
          <w:color w:val="101820"/>
          <w:sz w:val="21"/>
        </w:rPr>
        <w:t>Backend regression run</w:t>
      </w:r>
      <w:r>
        <w:rPr>
          <w:rFonts w:eastAsia="Segoe UI" w:cs="Segoe UI" w:ascii="Segoe UI" w:hAnsi="Segoe UI"/>
          <w:color w:val="101820"/>
          <w:sz w:val="21"/>
        </w:rPr>
        <w:t xml:space="preserve"> of 04 October 2026 on the merged release: 104 test files, 1,113 tests, all passed (vitest against PostgreSQL, about 11 minutes, one file after another). The package B files (IC compliance, breach register, personal data protection: 36 tests) and the tests added with the defects of this report are part of the run. Each rule and negative case is mapped to the test that exercises it; the file and test name are in the Traceability sheet.</w:t>
      </w:r>
    </w:p>
    <w:p>
      <w:pPr>
        <w:pStyle w:val="Normal"/>
        <w:numPr>
          <w:ilvl w:val="0"/>
          <w:numId w:val="1"/>
        </w:numPr>
        <w:spacing w:before="0" w:after="60"/>
        <w:rPr/>
      </w:pPr>
      <w:r>
        <w:rPr>
          <w:rFonts w:eastAsia="Segoe UI" w:cs="Segoe UI" w:ascii="Segoe UI" w:hAnsi="Segoe UI"/>
          <w:b/>
          <w:color w:val="101820"/>
          <w:sz w:val="21"/>
        </w:rPr>
        <w:t>Front-end unit tests</w:t>
      </w:r>
      <w:r>
        <w:rPr>
          <w:rFonts w:eastAsia="Segoe UI" w:cs="Segoe UI" w:ascii="Segoe UI" w:hAnsi="Segoe UI"/>
          <w:color w:val="101820"/>
          <w:sz w:val="21"/>
        </w:rPr>
        <w:t xml:space="preserve"> of 04 October 2026: 31 suites, 162 tests, all passed (jest through craco, about 49 seconds).</w:t>
      </w:r>
    </w:p>
    <w:p>
      <w:pPr>
        <w:pStyle w:val="Normal"/>
        <w:numPr>
          <w:ilvl w:val="0"/>
          <w:numId w:val="1"/>
        </w:numPr>
        <w:spacing w:before="0" w:after="60"/>
        <w:rPr/>
      </w:pPr>
      <w:r>
        <w:rPr>
          <w:rFonts w:eastAsia="Segoe UI" w:cs="Segoe UI" w:ascii="Segoe UI" w:hAnsi="Segoe UI"/>
          <w:b/>
          <w:color w:val="101820"/>
          <w:sz w:val="21"/>
        </w:rPr>
        <w:t>End-to-end UAT cycle</w:t>
      </w:r>
      <w:r>
        <w:rPr>
          <w:rFonts w:eastAsia="Segoe UI" w:cs="Segoe UI" w:ascii="Segoe UI" w:hAnsi="Segoe UI"/>
          <w:color w:val="101820"/>
          <w:sz w:val="21"/>
        </w:rPr>
        <w:t xml:space="preserve"> on a fresh database of the merged release, started with the production settings of the go-live document: 433 business steps run with one user per role through the same services the screens use, from set-up to customer due diligence, month-end close and reports (run log </w:t>
      </w:r>
      <w:r>
        <w:rPr>
          <w:rFonts w:eastAsia="Consolas" w:cs="Consolas" w:ascii="Consolas" w:hAnsi="Consolas"/>
          <w:color w:val="101820"/>
          <w:sz w:val="19"/>
        </w:rPr>
        <w:t>docs/e2e/UAT_SCENARIO_RUN.md</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b/>
          <w:color w:val="101820"/>
          <w:sz w:val="21"/>
        </w:rPr>
        <w:t>Go-live rehearsal</w:t>
      </w:r>
      <w:r>
        <w:rPr>
          <w:rFonts w:eastAsia="Segoe UI" w:cs="Segoe UI" w:ascii="Segoe UI" w:hAnsi="Segoe UI"/>
          <w:color w:val="101820"/>
          <w:sz w:val="21"/>
        </w:rPr>
        <w:t xml:space="preserve"> between two environments: 52 checks, all passed (run log </w:t>
      </w:r>
      <w:r>
        <w:rPr>
          <w:rFonts w:eastAsia="Consolas" w:cs="Consolas" w:ascii="Consolas" w:hAnsi="Consolas"/>
          <w:color w:val="101820"/>
          <w:sz w:val="19"/>
        </w:rPr>
        <w:t>docs/e2e/GOLIVE_REHEARSAL_RUN.md</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b/>
          <w:color w:val="101820"/>
          <w:sz w:val="21"/>
        </w:rPr>
        <w:t>Data masking</w:t>
      </w:r>
      <w:r>
        <w:rPr>
          <w:rFonts w:eastAsia="Segoe UI" w:cs="Segoe UI" w:ascii="Segoe UI" w:hAnsi="Segoe UI"/>
          <w:color w:val="101820"/>
          <w:sz w:val="21"/>
        </w:rPr>
        <w:t xml:space="preserve"> of a copy of the UAT database (</w:t>
      </w:r>
      <w:r>
        <w:rPr>
          <w:rFonts w:eastAsia="Consolas" w:cs="Consolas" w:ascii="Consolas" w:hAnsi="Consolas"/>
          <w:color w:val="101820"/>
          <w:sz w:val="19"/>
        </w:rPr>
        <w:t>npm run mask:data</w:t>
      </w:r>
      <w:r>
        <w:rPr>
          <w:rFonts w:eastAsia="Segoe UI" w:cs="Segoe UI" w:ascii="Segoe UI" w:hAnsi="Segoe UI"/>
          <w:color w:val="101820"/>
          <w:sz w:val="21"/>
        </w:rPr>
        <w:t xml:space="preserve"> with </w:t>
      </w:r>
      <w:r>
        <w:rPr>
          <w:rFonts w:eastAsia="Consolas" w:cs="Consolas" w:ascii="Consolas" w:hAnsi="Consolas"/>
          <w:color w:val="101820"/>
          <w:sz w:val="19"/>
        </w:rPr>
        <w:t>--remark-copy</w:t>
      </w:r>
      <w:r>
        <w:rPr>
          <w:rFonts w:eastAsia="Segoe UI" w:cs="Segoe UI" w:ascii="Segoe UI" w:hAnsi="Segoe UI"/>
          <w:color w:val="101820"/>
          <w:sz w:val="21"/>
        </w:rPr>
        <w:t>): dry run, masking and verification, then the encrypted identifier columns read in clear and compared with the original.</w:t>
      </w:r>
    </w:p>
    <w:p>
      <w:pPr>
        <w:pStyle w:val="Normal"/>
        <w:numPr>
          <w:ilvl w:val="0"/>
          <w:numId w:val="1"/>
        </w:numPr>
        <w:spacing w:before="0" w:after="60"/>
        <w:rPr/>
      </w:pPr>
      <w:r>
        <w:rPr>
          <w:rFonts w:eastAsia="Segoe UI" w:cs="Segoe UI" w:ascii="Segoe UI" w:hAnsi="Segoe UI"/>
          <w:b/>
          <w:color w:val="101820"/>
          <w:sz w:val="21"/>
        </w:rPr>
        <w:t>Environment comparison</w:t>
      </w:r>
      <w:r>
        <w:rPr>
          <w:rFonts w:eastAsia="Segoe UI" w:cs="Segoe UI" w:ascii="Segoe UI" w:hAnsi="Segoe UI"/>
          <w:color w:val="101820"/>
          <w:sz w:val="21"/>
        </w:rPr>
        <w:t xml:space="preserve"> (</w:t>
      </w:r>
      <w:r>
        <w:rPr>
          <w:rFonts w:eastAsia="Consolas" w:cs="Consolas" w:ascii="Consolas" w:hAnsi="Consolas"/>
          <w:color w:val="101820"/>
          <w:sz w:val="19"/>
        </w:rPr>
        <w:t>npm run compare:environments</w:t>
      </w:r>
      <w:r>
        <w:rPr>
          <w:rFonts w:eastAsia="Segoe UI" w:cs="Segoe UI" w:ascii="Segoe UI" w:hAnsi="Segoe UI"/>
          <w:color w:val="101820"/>
          <w:sz w:val="21"/>
        </w:rPr>
        <w:t>) between the two rehearsal environments after the rehearsal.</w:t>
      </w:r>
    </w:p>
    <w:p>
      <w:pPr>
        <w:pStyle w:val="Normal"/>
        <w:numPr>
          <w:ilvl w:val="0"/>
          <w:numId w:val="1"/>
        </w:numPr>
        <w:spacing w:before="0" w:after="60"/>
        <w:rPr/>
      </w:pPr>
      <w:r>
        <w:rPr>
          <w:rFonts w:eastAsia="Segoe UI" w:cs="Segoe UI" w:ascii="Segoe UI" w:hAnsi="Segoe UI"/>
          <w:b/>
          <w:color w:val="101820"/>
          <w:sz w:val="21"/>
        </w:rPr>
        <w:t>Screen check</w:t>
      </w:r>
      <w:r>
        <w:rPr>
          <w:rFonts w:eastAsia="Segoe UI" w:cs="Segoe UI" w:ascii="Segoe UI" w:hAnsi="Segoe UI"/>
          <w:color w:val="101820"/>
          <w:sz w:val="21"/>
        </w:rPr>
        <w:t>: every menu screen opened in Chromium as the administrator and as six role users, recording access, console errors, failed requests and clipped content.</w:t>
      </w:r>
    </w:p>
    <w:p>
      <w:pPr>
        <w:pStyle w:val="Normal"/>
        <w:spacing w:lineRule="auto" w:line="276" w:before="0" w:after="120"/>
        <w:rPr/>
      </w:pPr>
      <w:r>
        <w:rPr>
          <w:rFonts w:eastAsia="Segoe UI" w:cs="Segoe UI" w:ascii="Segoe UI" w:hAnsi="Segoe UI"/>
          <w:color w:val="101820"/>
          <w:sz w:val="21"/>
        </w:rPr>
        <w:t>A case without evidence from these runs is marked Not Run, and one that cannot be run in this environment is marked Blocked. A case is marked Fail when the result differs from the expected result; each Fail has a defect or gap in the register.</w:t>
      </w:r>
      <w:r>
        <w:br w:type="page"/>
      </w:r>
    </w:p>
    <w:p>
      <w:pPr>
        <w:pStyle w:val="Heading1"/>
        <w:rPr/>
      </w:pPr>
      <w:bookmarkStart w:id="9" w:name="__RefHeading___Toc8478_747934028"/>
      <w:bookmarkEnd w:id="9"/>
      <w:r>
        <w:rPr>
          <w:rFonts w:eastAsia="Segoe UI" w:cs="Segoe UI" w:ascii="Segoe UI" w:hAnsi="Segoe UI"/>
          <w:b/>
          <w:color w:val="0F4761"/>
          <w:sz w:val="32"/>
        </w:rPr>
        <w:t>4.  Environment and data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66"/>
        <w:gridCol w:w="5847"/>
      </w:tblGrid>
      <w:tr>
        <w:trPr>
          <w:tblHeader w:val="true"/>
        </w:trPr>
        <w:tc>
          <w:tcPr>
            <w:tcW w:w="31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8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Value</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Build</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Branch brokerverse-platform as of 04 October 2026 with every package merged; the API started with </w:t>
            </w:r>
            <w:r>
              <w:rPr>
                <w:rFonts w:eastAsia="Consolas" w:cs="Consolas" w:ascii="Consolas" w:hAnsi="Consolas"/>
                <w:color w:val="101820"/>
                <w:kern w:val="0"/>
                <w:sz w:val="16"/>
                <w:szCs w:val="24"/>
                <w:lang w:val="en-US" w:eastAsia="ja-JP" w:bidi="ar-SA"/>
              </w:rPr>
              <w:t>NODE_ENV=production</w:t>
            </w:r>
            <w:r>
              <w:rPr>
                <w:rFonts w:eastAsia="Segoe UI" w:cs="Segoe UI" w:ascii="Segoe UI" w:hAnsi="Segoe UI"/>
                <w:color w:val="101820"/>
                <w:kern w:val="0"/>
                <w:sz w:val="18"/>
                <w:szCs w:val="24"/>
                <w:lang w:val="en-US" w:eastAsia="ja-JP" w:bidi="ar-SA"/>
              </w:rPr>
              <w:t xml:space="preserve"> and the variables of the go-live document (own secrets, </w:t>
            </w:r>
            <w:r>
              <w:rPr>
                <w:rFonts w:eastAsia="Consolas" w:cs="Consolas" w:ascii="Consolas" w:hAnsi="Consolas"/>
                <w:color w:val="101820"/>
                <w:kern w:val="0"/>
                <w:sz w:val="16"/>
                <w:szCs w:val="24"/>
                <w:lang w:val="en-US" w:eastAsia="ja-JP" w:bidi="ar-SA"/>
              </w:rPr>
              <w:t>SEED_SAMPLE_DATA=false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CORS_ORIGINS</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PUBLIC_BASE_URL</w:t>
            </w:r>
            <w:r>
              <w:rPr>
                <w:rFonts w:eastAsia="Segoe UI" w:cs="Segoe UI" w:ascii="Segoe UI" w:hAnsi="Segoe UI"/>
                <w:color w:val="101820"/>
                <w:kern w:val="0"/>
                <w:sz w:val="18"/>
                <w:szCs w:val="24"/>
                <w:lang w:val="en-US" w:eastAsia="ja-JP" w:bidi="ar-SA"/>
              </w:rPr>
              <w:t xml:space="preserve"> set) for the UAT cycle and the rehearsal; production build of the web application for the screen check</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tests</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a throwaway PostgreSQL database rebuilt from the migrations and seeds by each test file; front end: jsdom</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for the UAT cycle</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Fresh PostgreSQL 16 database on its own cluster: migrations and reference data seed, then the UAT data set; a second fresh database for the rehearsal target; a restored copy for the masking</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date</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 October 2026 (Asia/Manila); data spread over May to October 2026</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Browser</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Chromium, 1440 x 900</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Sending off; customer answers recorded as customer responses</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Third-party connectors</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mode (built-in test providers)</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Execution</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 to 04 October 2026</w:t>
            </w:r>
          </w:p>
        </w:tc>
      </w:tr>
    </w:tbl>
    <w:p>
      <w:pPr>
        <w:pStyle w:val="Normal"/>
        <w:spacing w:before="0" w:after="80"/>
        <w:rPr/>
      </w:pPr>
      <w:r>
        <w:rPr/>
      </w:r>
    </w:p>
    <w:p>
      <w:pPr>
        <w:pStyle w:val="Heading2"/>
        <w:rPr/>
      </w:pPr>
      <w:bookmarkStart w:id="10" w:name="__RefHeading___Toc8480_747934028"/>
      <w:bookmarkEnd w:id="10"/>
      <w:r>
        <w:rPr>
          <w:rFonts w:eastAsia="Segoe UI" w:cs="Segoe UI"/>
          <w:b/>
          <w:color w:val="0F4761"/>
          <w:sz w:val="26"/>
        </w:rPr>
        <w:t>4.1  Test users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01"/>
        <w:gridCol w:w="1711"/>
        <w:gridCol w:w="3802"/>
      </w:tblGrid>
      <w:tr>
        <w:trPr>
          <w:tblHeader w:val="true"/>
        </w:trPr>
        <w:tc>
          <w:tcPr>
            <w:tcW w:w="35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38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for</w:t>
            </w:r>
          </w:p>
        </w:tc>
      </w:tr>
      <w:tr>
        <w:trPr/>
        <w:tc>
          <w:tcPr>
            <w:tcW w:w="3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system-admin</w:t>
            </w:r>
          </w:p>
        </w:tc>
        <w:tc>
          <w:tcPr>
            <w:tcW w:w="3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Set-up, masters, configuration, screen check of every menu</w:t>
            </w:r>
          </w:p>
        </w:tc>
      </w:tr>
      <w:tr>
        <w:trPr/>
        <w:tc>
          <w:tcPr>
            <w:tcW w:w="3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beatriz.lacson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system-admin</w:t>
            </w:r>
          </w:p>
        </w:tc>
        <w:tc>
          <w:tcPr>
            <w:tcW w:w="3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commission matrix, incentive programs</w:t>
            </w:r>
          </w:p>
        </w:tc>
      </w:tr>
      <w:tr>
        <w:trPr/>
        <w:tc>
          <w:tcPr>
            <w:tcW w:w="3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 paolo.dizon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w:t>
            </w:r>
          </w:p>
        </w:tc>
        <w:tc>
          <w:tcPr>
            <w:tcW w:w="3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 quotations, customer responses, payment capture</w:t>
            </w:r>
          </w:p>
        </w:tc>
      </w:tr>
      <w:tr>
        <w:trPr/>
        <w:tc>
          <w:tcPr>
            <w:tcW w:w="3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jose.bernardo, rica.fernandez</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w:t>
            </w:r>
          </w:p>
        </w:tc>
        <w:tc>
          <w:tcPr>
            <w:tcW w:w="3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RFQ, placement, issuance, renewals, reinsurance (maker and checker)</w:t>
            </w:r>
          </w:p>
        </w:tc>
      </w:tr>
      <w:tr>
        <w:trPr/>
        <w:tc>
          <w:tcPr>
            <w:tcW w:w="3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ana.buenaventura</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c>
          <w:tcPr>
            <w:tcW w:w="3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cancellations, client servicing</w:t>
            </w:r>
          </w:p>
        </w:tc>
      </w:tr>
      <w:tr>
        <w:trPr/>
        <w:tc>
          <w:tcPr>
            <w:tcW w:w="3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carlo.estrada, joy.macaraeg</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registration and settlement (maker and checker)</w:t>
            </w:r>
          </w:p>
        </w:tc>
      </w:tr>
      <w:tr>
        <w:trPr/>
        <w:tc>
          <w:tcPr>
            <w:tcW w:w="3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 nestor.pangilinan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3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remittance, disbursement, reconciliation (maker and checker)</w:t>
            </w:r>
          </w:p>
        </w:tc>
      </w:tr>
      <w:tr>
        <w:trPr/>
        <w:tc>
          <w:tcPr>
            <w:tcW w:w="3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teresa.villaroman, ramon.almario</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accounting-manager</w:t>
            </w:r>
          </w:p>
        </w:tc>
        <w:tc>
          <w:tcPr>
            <w:tcW w:w="3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Approvals, credit limits, month-end close, supplier invoice approval</w:t>
            </w:r>
          </w:p>
        </w:tc>
      </w:tr>
      <w:tr>
        <w:trPr/>
        <w:tc>
          <w:tcPr>
            <w:tcW w:w="3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imelda.navarro</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compliance-officer</w:t>
            </w:r>
          </w:p>
        </w:tc>
        <w:tc>
          <w:tcPr>
            <w:tcW w:w="3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Licences of the referrers on the licence register, EDD approval of the PEP-owned client</w:t>
            </w:r>
          </w:p>
        </w:tc>
      </w:tr>
      <w:tr>
        <w:trPr/>
        <w:tc>
          <w:tcPr>
            <w:tcW w:w="3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 (test user per test file)</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compliance-officer</w:t>
            </w:r>
          </w:p>
        </w:tc>
        <w:tc>
          <w:tcPr>
            <w:tcW w:w="3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 decisions, screening hits, AMLC files (automated tests)</w:t>
            </w:r>
          </w:p>
        </w:tc>
      </w:tr>
    </w:tbl>
    <w:p>
      <w:pPr>
        <w:pStyle w:val="Normal"/>
        <w:spacing w:before="0" w:after="80"/>
        <w:rPr/>
      </w:pPr>
      <w:r>
        <w:rPr/>
      </w:r>
    </w:p>
    <w:p>
      <w:pPr>
        <w:pStyle w:val="Heading2"/>
        <w:rPr/>
      </w:pPr>
      <w:bookmarkStart w:id="11" w:name="__RefHeading___Toc8482_747934028"/>
      <w:bookmarkEnd w:id="11"/>
      <w:r>
        <w:rPr>
          <w:rFonts w:eastAsia="Segoe UI" w:cs="Segoe UI"/>
          <w:b/>
          <w:color w:val="0F4761"/>
          <w:sz w:val="26"/>
        </w:rPr>
        <w:t>4.2  UAT data set</w:t>
      </w:r>
    </w:p>
    <w:p>
      <w:pPr>
        <w:pStyle w:val="Normal"/>
        <w:spacing w:lineRule="auto" w:line="276" w:before="0" w:after="120"/>
        <w:rPr/>
      </w:pPr>
      <w:r>
        <w:rPr>
          <w:rFonts w:eastAsia="Segoe UI" w:cs="Segoe UI" w:ascii="Segoe UI" w:hAnsi="Segoe UI"/>
          <w:color w:val="101820"/>
          <w:sz w:val="21"/>
        </w:rPr>
        <w:t>The data set is fictional and follows Philippine formats: 7 insurers with their credit terms, 25 commission rate rows, 2 bank accounts linked to the ledger, 2 sub-agent referrers with their licences on the licence register, a car dealer tie-up as a distribution channel, 14 in-force policies migrated at go-live, 61 prospects, 62 new policies and 6 renewal terms issued across motor, CTPL, personal accident, travel, householder, fire, IAR, CAR, EAR, marine, CGL, money, employee benefits and surety bond, the government ID of 35 retail clients and the signatories and beneficial owners of 19 corporate clients (one owned by a politically exposed person, with its EDD review), 53 receipts, 8 claims, 19 insurer settlements, a supplier invoice with EWT and a fixed asset sale, 6 bank statements and 3 insurer statements.</w:t>
      </w:r>
      <w:r>
        <w:br w:type="page"/>
      </w:r>
    </w:p>
    <w:p>
      <w:pPr>
        <w:pStyle w:val="Heading1"/>
        <w:rPr/>
      </w:pPr>
      <w:bookmarkStart w:id="12" w:name="__RefHeading___Toc8484_747934028"/>
      <w:bookmarkEnd w:id="12"/>
      <w:r>
        <w:rPr>
          <w:rFonts w:eastAsia="Segoe UI" w:cs="Segoe UI" w:ascii="Segoe UI" w:hAnsi="Segoe UI"/>
          <w:b/>
          <w:color w:val="0F4761"/>
          <w:sz w:val="32"/>
        </w:rPr>
        <w:t>5.  Automated test results</w:t>
      </w:r>
    </w:p>
    <w:p>
      <w:pPr>
        <w:pStyle w:val="Heading2"/>
        <w:rPr/>
      </w:pPr>
      <w:bookmarkStart w:id="13" w:name="__RefHeading___Toc8486_747934028"/>
      <w:bookmarkEnd w:id="13"/>
      <w:r>
        <w:rPr>
          <w:rFonts w:eastAsia="Segoe UI" w:cs="Segoe UI"/>
          <w:b/>
          <w:color w:val="0F4761"/>
          <w:sz w:val="26"/>
        </w:rPr>
        <w:t>5.1  Backend by test file area</w:t>
      </w:r>
    </w:p>
    <w:p>
      <w:pPr>
        <w:pStyle w:val="Normal"/>
        <w:spacing w:lineRule="auto" w:line="276" w:before="0" w:after="120"/>
        <w:rPr/>
      </w:pPr>
      <w:r>
        <w:rPr>
          <w:rFonts w:eastAsia="Segoe UI" w:cs="Segoe UI" w:ascii="Segoe UI" w:hAnsi="Segoe UI"/>
          <w:color w:val="101820"/>
          <w:sz w:val="21"/>
        </w:rPr>
        <w:t xml:space="preserve">Run of 04 October 2026 on the merged release: </w:t>
      </w:r>
      <w:r>
        <w:rPr>
          <w:rFonts w:eastAsia="Consolas" w:cs="Consolas" w:ascii="Consolas" w:hAnsi="Consolas"/>
          <w:color w:val="101820"/>
          <w:sz w:val="19"/>
        </w:rPr>
        <w:t>npx vitest run</w:t>
      </w:r>
      <w:r>
        <w:rPr>
          <w:rFonts w:eastAsia="Segoe UI" w:cs="Segoe UI" w:ascii="Segoe UI" w:hAnsi="Segoe UI"/>
          <w:color w:val="101820"/>
          <w:sz w:val="21"/>
        </w:rPr>
        <w:t xml:space="preserve"> in </w:t>
      </w:r>
      <w:r>
        <w:rPr>
          <w:rFonts w:eastAsia="Consolas" w:cs="Consolas" w:ascii="Consolas" w:hAnsi="Consolas"/>
          <w:color w:val="101820"/>
          <w:sz w:val="19"/>
        </w:rPr>
        <w:t>backend/</w:t>
      </w:r>
      <w:r>
        <w:rPr>
          <w:rFonts w:eastAsia="Segoe UI" w:cs="Segoe UI" w:ascii="Segoe UI" w:hAnsi="Segoe UI"/>
          <w:color w:val="101820"/>
          <w:sz w:val="21"/>
        </w:rPr>
        <w:t>, 104 files, 1,113 tests, 0 failed, 0 skipped. The table groups the files by area; the package B files and the tests added for the defects of this report (BV-DEF-009 to BV-DEF-012, BV-DEF-014) are included.</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24"/>
        <w:gridCol w:w="908"/>
        <w:gridCol w:w="1036"/>
        <w:gridCol w:w="1038"/>
        <w:gridCol w:w="907"/>
      </w:tblGrid>
      <w:tr>
        <w:trPr>
          <w:tblHeader w:val="true"/>
        </w:trPr>
        <w:tc>
          <w:tcPr>
            <w:tcW w:w="51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Area</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Files</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Tests</w:t>
            </w:r>
          </w:p>
        </w:tc>
        <w:tc>
          <w:tcPr>
            <w:tcW w:w="10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Passed</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Failed</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Security, access, users and roles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Masters, Philippine reference data, configuration, numbering and single-source settings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123</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123</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 rules in the flow, pricing and quote covers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64</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Sales, placement, policy issuance and sales activities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102</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102</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Endorsements, renewals and claims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34</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and accounting extensions (cover notes, cancellation, PDC, instalment invoices, claim documents, motor repairs, claims settlements, payables, fixed assets, supplier 2307 and asset disposal)</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40</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Billing, collection, disbursement and remittance</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incentives and insurer overrides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period end and reconciliation</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88</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88</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forms and invoicing</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 and distribution (channels, dealer programmes, fleets, open cover, facultative, campaigns, comparison reports, report builder)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AML/CFT, data privacy and audit trail</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54</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 compliance, personal data protection and breach register (package B)</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Reports, dashboards, documents, e-mail and notifications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74</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My Work</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Integrations, branding and e-signatures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environments, reset, masking, upload templates, tools and scheduler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136</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Regression of UAT findings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Total</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104</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1,113</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1,113</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0</w:t>
            </w:r>
          </w:p>
        </w:tc>
      </w:tr>
    </w:tbl>
    <w:p>
      <w:pPr>
        <w:pStyle w:val="Normal"/>
        <w:spacing w:before="0" w:after="80"/>
        <w:rPr/>
      </w:pPr>
      <w:r>
        <w:rPr/>
      </w:r>
    </w:p>
    <w:p>
      <w:pPr>
        <w:pStyle w:val="Heading2"/>
        <w:rPr/>
      </w:pPr>
      <w:bookmarkStart w:id="14" w:name="__RefHeading___Toc8488_747934028"/>
      <w:bookmarkEnd w:id="14"/>
      <w:r>
        <w:rPr>
          <w:rFonts w:eastAsia="Segoe UI" w:cs="Segoe UI"/>
          <w:b/>
          <w:color w:val="0F4761"/>
          <w:sz w:val="26"/>
        </w:rPr>
        <w:t>5.2  Package B compliance tests</w:t>
      </w:r>
    </w:p>
    <w:p>
      <w:pPr>
        <w:pStyle w:val="Normal"/>
        <w:spacing w:lineRule="auto" w:line="276" w:before="0" w:after="120"/>
        <w:rPr/>
      </w:pPr>
      <w:r>
        <w:rPr>
          <w:rFonts w:eastAsia="Segoe UI" w:cs="Segoe UI" w:ascii="Segoe UI" w:hAnsi="Segoe UI"/>
          <w:color w:val="101820"/>
          <w:sz w:val="21"/>
        </w:rPr>
        <w:t>The package B files are on the release branch since the merge and are part of the regression run above; their results are listed on their own because they are the evidence of the IC compliance and personal data protection test cases.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200"/>
        <w:gridCol w:w="907"/>
        <w:gridCol w:w="907"/>
      </w:tblGrid>
      <w:tr>
        <w:trPr>
          <w:tblHeader w:val="true"/>
        </w:trPr>
        <w:tc>
          <w:tcPr>
            <w:tcW w:w="72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Test file (release branch)</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Tests</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Passed</w:t>
            </w:r>
          </w:p>
        </w:tc>
      </w:tr>
      <w:tr>
        <w:trPr/>
        <w:tc>
          <w:tcPr>
            <w:tcW w:w="7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ic-compliance.test.js: licence register and payout block, fit and proper, insurer authority, IC production report and annual statement, complaints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r>
      <w:tr>
        <w:trPr/>
        <w:tc>
          <w:tcPr>
            <w:tcW w:w="7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personal-data-protection.test.js: field encryption, exact TIN search, key rotation, masking by role, masked exports, on-request reveal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r>
      <w:tr>
        <w:trPr/>
        <w:tc>
          <w:tcPr>
            <w:tcW w:w="7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data-breaches.test.js: breach register, 72-hour clock, NPC criteria, reminders, annual report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7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Total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36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36</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Run again on the release branch after the merge on 04 October 2026: all passed.</w:t>
      </w:r>
    </w:p>
    <w:p>
      <w:pPr>
        <w:pStyle w:val="Heading2"/>
        <w:rPr/>
      </w:pPr>
      <w:bookmarkStart w:id="15" w:name="__RefHeading___Toc8490_747934028"/>
      <w:bookmarkEnd w:id="15"/>
      <w:r>
        <w:rPr>
          <w:rFonts w:eastAsia="Segoe UI" w:cs="Segoe UI"/>
          <w:b/>
          <w:color w:val="0F4761"/>
          <w:sz w:val="26"/>
        </w:rPr>
        <w:t>5.3  Front end by test file area</w:t>
      </w:r>
    </w:p>
    <w:p>
      <w:pPr>
        <w:pStyle w:val="Normal"/>
        <w:spacing w:lineRule="auto" w:line="276" w:before="0" w:after="120"/>
        <w:rPr/>
      </w:pPr>
      <w:r>
        <w:rPr>
          <w:rFonts w:eastAsia="Segoe UI" w:cs="Segoe UI" w:ascii="Segoe UI" w:hAnsi="Segoe UI"/>
          <w:color w:val="101820"/>
          <w:sz w:val="21"/>
        </w:rPr>
        <w:t xml:space="preserve">Run of 04 October 2026: </w:t>
      </w:r>
      <w:r>
        <w:rPr>
          <w:rFonts w:eastAsia="Consolas" w:cs="Consolas" w:ascii="Consolas" w:hAnsi="Consolas"/>
          <w:color w:val="101820"/>
          <w:sz w:val="19"/>
        </w:rPr>
        <w:t>CI=true npx craco test --watchAll=false</w:t>
      </w:r>
      <w:r>
        <w:rPr>
          <w:rFonts w:eastAsia="Segoe UI" w:cs="Segoe UI" w:ascii="Segoe UI" w:hAnsi="Segoe UI"/>
          <w:color w:val="101820"/>
          <w:sz w:val="21"/>
        </w:rPr>
        <w:t xml:space="preserve"> in </w:t>
      </w:r>
      <w:r>
        <w:rPr>
          <w:rFonts w:eastAsia="Consolas" w:cs="Consolas" w:ascii="Consolas" w:hAnsi="Consolas"/>
          <w:color w:val="101820"/>
          <w:sz w:val="19"/>
        </w:rPr>
        <w:t>brokerverse/</w:t>
      </w:r>
      <w:r>
        <w:rPr>
          <w:rFonts w:eastAsia="Segoe UI" w:cs="Segoe UI" w:ascii="Segoe UI" w:hAnsi="Segoe UI"/>
          <w:color w:val="101820"/>
          <w:sz w:val="21"/>
        </w:rPr>
        <w:t>, 31 suites, 162 tests, 0 failed.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85"/>
        <w:gridCol w:w="907"/>
        <w:gridCol w:w="908"/>
        <w:gridCol w:w="907"/>
        <w:gridCol w:w="907"/>
      </w:tblGrid>
      <w:tr>
        <w:trPr>
          <w:tblHeader w:val="true"/>
        </w:trPr>
        <w:tc>
          <w:tcPr>
            <w:tcW w:w="53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Area</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Suites</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Tests</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Passed</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Failed</w:t>
            </w:r>
          </w:p>
        </w:tc>
      </w:tr>
      <w:tr>
        <w:trPr/>
        <w:tc>
          <w:tcPr>
            <w:tcW w:w="53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Navigation, menus, route guard and help</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3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Shared components and utilities (tables, skeleton loading, formats, runtime configuration)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3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Forms, addresses and services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3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My Work</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3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3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BIR, distribution and integrations screens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3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Theme engine, branding and contrast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53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Total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31</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162</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162</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Lint and the production build were not part of this run; CI runs them on every push.</w:t>
      </w:r>
      <w:r>
        <w:br w:type="page"/>
      </w:r>
    </w:p>
    <w:p>
      <w:pPr>
        <w:pStyle w:val="Heading1"/>
        <w:rPr/>
      </w:pPr>
      <w:bookmarkStart w:id="16" w:name="__RefHeading___Toc8492_747934028"/>
      <w:bookmarkEnd w:id="16"/>
      <w:r>
        <w:rPr>
          <w:rFonts w:eastAsia="Segoe UI" w:cs="Segoe UI" w:ascii="Segoe UI" w:hAnsi="Segoe UI"/>
          <w:b/>
          <w:color w:val="0F4761"/>
          <w:sz w:val="32"/>
        </w:rPr>
        <w:t>6.  Test execution summary by module</w:t>
      </w:r>
    </w:p>
    <w:p>
      <w:pPr>
        <w:pStyle w:val="Normal"/>
        <w:spacing w:lineRule="auto" w:line="276" w:before="0" w:after="120"/>
        <w:rPr/>
      </w:pPr>
      <w:r>
        <w:rPr>
          <w:rFonts w:eastAsia="Segoe UI" w:cs="Segoe UI" w:ascii="Segoe UI" w:hAnsi="Segoe UI"/>
          <w:color w:val="101820"/>
          <w:sz w:val="21"/>
        </w:rPr>
        <w:t>629 test cases are in the workbook: the 497 of the first cycle and 132 added on 04 October 2026 for the new modules. 617 passed, 1 failed, 3 are blocked by the environment and 8 were not run in this cycle. The pass rate over all cases is 98.1%; over the cases executed (passed or failed) it is 99.8%.</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5"/>
        <w:gridCol w:w="926"/>
        <w:gridCol w:w="927"/>
        <w:gridCol w:w="907"/>
        <w:gridCol w:w="1003"/>
        <w:gridCol w:w="925"/>
      </w:tblGrid>
      <w:tr>
        <w:trPr>
          <w:tblHeader w:val="true"/>
        </w:trPr>
        <w:tc>
          <w:tcPr>
            <w:tcW w:w="43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Module</w:t>
            </w:r>
          </w:p>
        </w:tc>
        <w:tc>
          <w:tcPr>
            <w:tcW w:w="9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Total</w:t>
            </w:r>
          </w:p>
        </w:tc>
        <w:tc>
          <w:tcPr>
            <w:tcW w:w="9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Pass</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Fail</w:t>
            </w:r>
          </w:p>
        </w:tc>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Blocked</w:t>
            </w:r>
          </w:p>
        </w:tc>
        <w:tc>
          <w:tcPr>
            <w:tcW w:w="9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Not Run</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Sign-in and security</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User and role administration</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and numbering</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data load</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Prospects and clients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Quick quote and compare insurers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Quotations and customer response</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Request for quotation and placement</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issuance</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Endorsements and cancellations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 items and payments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Billing and receipts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Collections and credit control</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Disbursement and payment vouchers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to insurers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Direct bill</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and referrers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Petty cash</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vouchers and ledger</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Period end</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reconciliation</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Tax (BIR)</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Reports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45</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Dashboards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outbox and notifications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Audit trail</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End-to-end life cycle</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 checks (all menus)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Role-based access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Philippine reference masters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Navigation and help</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My Work</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rules in the flow</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workbench and environments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AML/CFT</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 compliance</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Personal data protection</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forms and invoicing</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extensions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extensions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Distribution</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Integrations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Branding and e-signatures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Package G features</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4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Total</w:t>
            </w:r>
          </w:p>
        </w:tc>
        <w:tc>
          <w:tcPr>
            <w:tcW w:w="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629</w:t>
            </w:r>
          </w:p>
        </w:tc>
        <w:tc>
          <w:tcPr>
            <w:tcW w:w="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617</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1</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3</w:t>
            </w:r>
          </w:p>
        </w:tc>
        <w:tc>
          <w:tcPr>
            <w:tcW w:w="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8</w:t>
            </w:r>
          </w:p>
        </w:tc>
      </w:tr>
    </w:tbl>
    <w:p>
      <w:pPr>
        <w:pStyle w:val="Normal"/>
        <w:spacing w:before="0" w:after="80"/>
        <w:rPr/>
      </w:pPr>
      <w:r>
        <w:rPr/>
      </w:r>
    </w:p>
    <w:p>
      <w:pPr>
        <w:pStyle w:val="Heading2"/>
        <w:rPr/>
      </w:pPr>
      <w:bookmarkStart w:id="17" w:name="__RefHeading___Toc8494_747934028"/>
      <w:bookmarkEnd w:id="17"/>
      <w:r>
        <w:rPr>
          <w:rFonts w:eastAsia="Segoe UI" w:cs="Segoe UI"/>
          <w:b/>
          <w:color w:val="0F4761"/>
          <w:sz w:val="26"/>
        </w:rPr>
        <w:t>6.1  By test type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08"/>
        <w:gridCol w:w="1187"/>
        <w:gridCol w:w="948"/>
        <w:gridCol w:w="949"/>
        <w:gridCol w:w="1662"/>
        <w:gridCol w:w="1660"/>
      </w:tblGrid>
      <w:tr>
        <w:trPr>
          <w:tblHeader w:val="true"/>
        </w:trPr>
        <w:tc>
          <w:tcPr>
            <w:tcW w:w="26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Test type</w:t>
            </w:r>
          </w:p>
        </w:tc>
        <w:tc>
          <w:tcPr>
            <w:tcW w:w="11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Total</w:t>
            </w:r>
          </w:p>
        </w:tc>
        <w:tc>
          <w:tcPr>
            <w:tcW w:w="9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Pass</w:t>
            </w:r>
          </w:p>
        </w:tc>
        <w:tc>
          <w:tcPr>
            <w:tcW w:w="94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Fail</w:t>
            </w:r>
          </w:p>
        </w:tc>
        <w:tc>
          <w:tcPr>
            <w:tcW w:w="16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Blocked</w:t>
            </w:r>
          </w:p>
        </w:tc>
        <w:tc>
          <w:tcPr>
            <w:tcW w:w="16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Not Run</w:t>
            </w:r>
          </w:p>
        </w:tc>
      </w:tr>
      <w:tr>
        <w:trPr/>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Functional</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233</w:t>
            </w:r>
          </w:p>
        </w:tc>
        <w:tc>
          <w:tcPr>
            <w:tcW w:w="9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226</w:t>
            </w:r>
          </w:p>
        </w:tc>
        <w:tc>
          <w:tcPr>
            <w:tcW w:w="9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6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r>
      <w:tr>
        <w:trPr/>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Negative</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84</w:t>
            </w:r>
          </w:p>
        </w:tc>
        <w:tc>
          <w:tcPr>
            <w:tcW w:w="9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82</w:t>
            </w:r>
          </w:p>
        </w:tc>
        <w:tc>
          <w:tcPr>
            <w:tcW w:w="9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6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r>
      <w:tr>
        <w:trPr/>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Validation</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52</w:t>
            </w:r>
          </w:p>
        </w:tc>
        <w:tc>
          <w:tcPr>
            <w:tcW w:w="9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w:t>
            </w:r>
          </w:p>
        </w:tc>
        <w:tc>
          <w:tcPr>
            <w:tcW w:w="9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6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r>
      <w:tr>
        <w:trPr/>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Integration</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w:t>
            </w:r>
          </w:p>
        </w:tc>
        <w:tc>
          <w:tcPr>
            <w:tcW w:w="9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w:t>
            </w:r>
          </w:p>
        </w:tc>
        <w:tc>
          <w:tcPr>
            <w:tcW w:w="9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6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Role access</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w:t>
            </w:r>
          </w:p>
        </w:tc>
        <w:tc>
          <w:tcPr>
            <w:tcW w:w="9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w:t>
            </w:r>
          </w:p>
        </w:tc>
        <w:tc>
          <w:tcPr>
            <w:tcW w:w="9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6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r>
        <w:trPr/>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Report</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w:t>
            </w:r>
          </w:p>
        </w:tc>
        <w:tc>
          <w:tcPr>
            <w:tcW w:w="9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w:t>
            </w:r>
          </w:p>
        </w:tc>
        <w:tc>
          <w:tcPr>
            <w:tcW w:w="9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6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82</w:t>
            </w:r>
          </w:p>
        </w:tc>
        <w:tc>
          <w:tcPr>
            <w:tcW w:w="9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82</w:t>
            </w:r>
          </w:p>
        </w:tc>
        <w:tc>
          <w:tcPr>
            <w:tcW w:w="9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6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bl>
    <w:p>
      <w:pPr>
        <w:pStyle w:val="Normal"/>
        <w:spacing w:before="0" w:after="80"/>
        <w:rPr/>
      </w:pPr>
      <w:r>
        <w:rPr/>
      </w:r>
    </w:p>
    <w:p>
      <w:pPr>
        <w:pStyle w:val="Heading2"/>
        <w:rPr/>
      </w:pPr>
      <w:bookmarkStart w:id="18" w:name="__RefHeading___Toc8496_747934028"/>
      <w:bookmarkEnd w:id="18"/>
      <w:r>
        <w:rPr>
          <w:rFonts w:eastAsia="Segoe UI" w:cs="Segoe UI"/>
          <w:b/>
          <w:color w:val="0F4761"/>
          <w:sz w:val="26"/>
        </w:rPr>
        <w:t>6.2  Coverage of the process catalogue</w:t>
      </w:r>
    </w:p>
    <w:p>
      <w:pPr>
        <w:pStyle w:val="Normal"/>
        <w:spacing w:lineRule="auto" w:line="276" w:before="0" w:after="120"/>
        <w:rPr/>
      </w:pPr>
      <w:r>
        <w:rPr>
          <w:rFonts w:eastAsia="Segoe UI" w:cs="Segoe UI" w:ascii="Segoe UI" w:hAnsi="Segoe UI"/>
          <w:color w:val="101820"/>
          <w:sz w:val="21"/>
        </w:rPr>
        <w:t>The sheet Requirements Traceability maps each of the 150 processes of the fit catalogue (process IDs 1.01 to 15.16 of the PH Fit and ASEAN Rollout Assessment) to its test cases and automated test files.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590"/>
        <w:gridCol w:w="1423"/>
      </w:tblGrid>
      <w:tr>
        <w:trPr>
          <w:tblHeader w:val="true"/>
        </w:trPr>
        <w:tc>
          <w:tcPr>
            <w:tcW w:w="75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Coverage</w:t>
            </w:r>
          </w:p>
        </w:tc>
        <w:tc>
          <w:tcPr>
            <w:tcW w:w="1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Processes</w:t>
            </w:r>
          </w:p>
        </w:tc>
      </w:tr>
      <w:tr>
        <w:trPr/>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and automated tests, every mapped case passed</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128</w:t>
            </w:r>
          </w:p>
        </w:tc>
      </w:tr>
      <w:tr>
        <w:trPr/>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and automated tests, some mapped cases blocked or not run (for example module-wide mappings that include a Not Run report case)</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r>
      <w:tr>
        <w:trPr/>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passed on the UAT scenario evidence, no automated test file (13.09 SLSP sales and purchases)</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test case: checked by document review (14.14 data residency, a hosting option)</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Total</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150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By authority, every IC, BIR, NPC and AMLC process of the catalogue has at least one passed test case, with automated evidence for all of them except 13.09 (UAT scenario evidence) and 14.14 (document review). The regulatory reference of each case (for example AMLA covered transaction PHP 500,000, NPC Circular 16-03, RA 11765, EOPT Act and RR 7-2024) is in the column Regulatory reference of the sheet Test Cases.</w:t>
      </w:r>
    </w:p>
    <w:p>
      <w:pPr>
        <w:pStyle w:val="Heading2"/>
        <w:rPr/>
      </w:pPr>
      <w:bookmarkStart w:id="19" w:name="__RefHeading___Toc8498_747934028"/>
      <w:bookmarkEnd w:id="19"/>
      <w:r>
        <w:rPr>
          <w:rFonts w:eastAsia="Segoe UI" w:cs="Segoe UI"/>
          <w:b/>
          <w:color w:val="0F4761"/>
          <w:sz w:val="26"/>
        </w:rPr>
        <w:t>6.3  Cases not passed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3493"/>
        <w:gridCol w:w="907"/>
        <w:gridCol w:w="3480"/>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TC ID</w:t>
            </w:r>
          </w:p>
        </w:tc>
        <w:tc>
          <w:tcPr>
            <w:tcW w:w="34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Scenario</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c>
          <w:tcPr>
            <w:tcW w:w="34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Defect or reason</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BV-SEC-004</w:t>
            </w:r>
          </w:p>
        </w:tc>
        <w:tc>
          <w:tcPr>
            <w:tcW w:w="3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Login with blank User ID and Password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w:t>
            </w:r>
          </w:p>
        </w:tc>
        <w:tc>
          <w:tcPr>
            <w:tcW w:w="3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Screen-only check, next manual cycle</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BV-SEC-013</w:t>
            </w:r>
          </w:p>
        </w:tc>
        <w:tc>
          <w:tcPr>
            <w:tcW w:w="3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Forgot password with a verification code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Blocked</w:t>
            </w:r>
          </w:p>
        </w:tc>
        <w:tc>
          <w:tcPr>
            <w:tcW w:w="3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Needs SMTP</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BV-SEC-020</w:t>
            </w:r>
          </w:p>
        </w:tc>
        <w:tc>
          <w:tcPr>
            <w:tcW w:w="3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Idle session signs out after the configured minutes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w:t>
            </w:r>
          </w:p>
        </w:tc>
        <w:tc>
          <w:tcPr>
            <w:tcW w:w="3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Timed check, next manual cycle</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BV-SEC-032</w:t>
            </w:r>
          </w:p>
        </w:tc>
        <w:tc>
          <w:tcPr>
            <w:tcW w:w="3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Dependency audit of the release build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w:t>
            </w:r>
          </w:p>
        </w:tc>
        <w:tc>
          <w:tcPr>
            <w:tcW w:w="3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BV-DEF-001</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BV-QUO-010</w:t>
            </w:r>
          </w:p>
        </w:tc>
        <w:tc>
          <w:tcPr>
            <w:tcW w:w="3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approves through the link</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Blocked</w:t>
            </w:r>
          </w:p>
        </w:tc>
        <w:tc>
          <w:tcPr>
            <w:tcW w:w="3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Needs SMTP</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BV-CLM-008</w:t>
            </w:r>
          </w:p>
        </w:tc>
        <w:tc>
          <w:tcPr>
            <w:tcW w:w="3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 date before issue date refused on screen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w:t>
            </w:r>
          </w:p>
        </w:tc>
        <w:tc>
          <w:tcPr>
            <w:tcW w:w="3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Screen-only check</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BV-REM-004</w:t>
            </w:r>
          </w:p>
        </w:tc>
        <w:tc>
          <w:tcPr>
            <w:tcW w:w="3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Settlement below minimum amount held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w:t>
            </w:r>
          </w:p>
        </w:tc>
        <w:tc>
          <w:tcPr>
            <w:tcW w:w="3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Screen-only check</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BV-PCH-006</w:t>
            </w:r>
          </w:p>
        </w:tc>
        <w:tc>
          <w:tcPr>
            <w:tcW w:w="3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above the max limit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w:t>
            </w:r>
          </w:p>
        </w:tc>
        <w:tc>
          <w:tcPr>
            <w:tcW w:w="3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Screen-only check</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BV-RPT-006</w:t>
            </w:r>
          </w:p>
        </w:tc>
        <w:tc>
          <w:tcPr>
            <w:tcW w:w="3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 production only for a scoped agent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w:t>
            </w:r>
          </w:p>
        </w:tc>
        <w:tc>
          <w:tcPr>
            <w:tcW w:w="3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Screen-only check</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BV-EML-003</w:t>
            </w:r>
          </w:p>
        </w:tc>
        <w:tc>
          <w:tcPr>
            <w:tcW w:w="3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Retry while sending is 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Blocked</w:t>
            </w:r>
          </w:p>
        </w:tc>
        <w:tc>
          <w:tcPr>
            <w:tcW w:w="3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Needs SMTP</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BV-PHM-007</w:t>
            </w:r>
          </w:p>
        </w:tc>
        <w:tc>
          <w:tcPr>
            <w:tcW w:w="3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Salutations, civil status, ID types, customer types, payment modes and holidays are delivered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w:t>
            </w:r>
          </w:p>
        </w:tc>
        <w:tc>
          <w:tcPr>
            <w:tcW w:w="3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automated test reads the practice masters seed; screen check in SIT</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BV-PHM-008</w:t>
            </w:r>
          </w:p>
        </w:tc>
        <w:tc>
          <w:tcPr>
            <w:tcW w:w="3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banks and the IC-licensed non-life insurers are delivered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w:t>
            </w:r>
          </w:p>
        </w:tc>
        <w:tc>
          <w:tcPr>
            <w:tcW w:w="3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above</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Blocked cases need an SMTP server (password reset by e-mail, customer approval link by e-mail, outbox retry while sending is on). Not Run cases are screen-only checks or timed checks planned for the next manual cycle. BV-SEC-033 and the four package G cases moved to Pass in the release verification of 04 October 2026.</w:t>
      </w:r>
      <w:r>
        <w:br w:type="page"/>
      </w:r>
    </w:p>
    <w:p>
      <w:pPr>
        <w:pStyle w:val="Heading1"/>
        <w:rPr/>
      </w:pPr>
      <w:bookmarkStart w:id="20" w:name="__RefHeading___Toc8500_747934028"/>
      <w:bookmarkEnd w:id="20"/>
      <w:r>
        <w:rPr>
          <w:rFonts w:eastAsia="Segoe UI" w:cs="Segoe UI" w:ascii="Segoe UI" w:hAnsi="Segoe UI"/>
          <w:b/>
          <w:color w:val="0F4761"/>
          <w:sz w:val="32"/>
        </w:rPr>
        <w:t>7.  New modules: what was verified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737"/>
        <w:gridCol w:w="5277"/>
      </w:tblGrid>
      <w:tr>
        <w:trPr>
          <w:tblHeader w:val="true"/>
        </w:trPr>
        <w:tc>
          <w:tcPr>
            <w:tcW w:w="37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Module</w:t>
            </w:r>
          </w:p>
        </w:tc>
        <w:tc>
          <w:tcPr>
            <w:tcW w:w="52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Verified (automated evidence)</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reference masters</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 regions, 82 provinces and 1,642 cities and municipalities with PSGC codes; Province label; drill-down to barangays; ZIP code fill; barangay load with dry run; working-day deadlines of AML cases</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Navigation and help</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in sections, three levels at most; role menus and route guard; menu search; Help for this screen on every menu screen; support ticket prefilled; skeleton rows while loading</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My Work</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My Items by role, My Team by reporting line, approvals of others only, reassignment within the team, tasks with reminders, automatic follow-up tasks, calendar, data scope</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rules in the flow</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Auto-accept, refer to the authority role within its limit, decline, loading, rating factor, insurer-specific rules, market mapping on RFQ, uploaded document layouts with merge fields, CTPL certificate</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workbench and environments</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Kits, validation with sheet, row and column, errors workbook, reload without duplicates, cutover rules, reconciliation, go-live lock, environment comparison on screen and by command, transaction reset, masking with verification, register-production and remark-copy, migration lock between instances, rehearsal (52 checks)</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Onboarding of individual and juridical clients, signatories and beneficial owners, PEP and EDD block, risk factors and override, KYC refresh, list versions and rescreen, hit decisions blocking issue and payouts, covered and structured cash, third-party refunds, CTR file, STR case in working days, role limits, 5-year retention</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compliance</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register and reminders, payout block and warn modes, fit and proper, insurer authority block and warn, production report by IC line and co-insurance share, annual statement with checks and mapping, complaints with deadlines, escalation and regulator report</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data protection</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Breach register with the 72-hour clock, NPC criteria, reminders, annual report; masking by role on views and exports; on-request reveal audited; field encryption with blind index, exact TIN search and key rotation; consent and data subject requests; audit trail labels and masking</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forms and invoicing</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1601-EQ per ATC reconciled, 0619-E rules, PDF and Excel, 1604-E, DAT files equal to fixed expected files, 2551Q, EOPT sales invoices with serial range, EIS queue in test mode, CAS books, overriding commission computed, approved and posted</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extensions</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 notes (issue, supersede, expire), short-period and pro-rata cancellation with reversal, partial cancellation, claim document checklist blocking submission, motor estimates and letters of authority, scheduler in Manila time</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extensions</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Post-dated cheques (register, deposit, bounce, replace), instalment invoices, claims settlements through the broker, supplier invoices with input VAT and EWT and approval, fixed assets with straight-line depreciation posted once</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Distribution</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assignment rules and queue, channels with inheritance and Dealer Production, dealer programme uploads and subsidies, fleet schedules, marine open cover declarations, facultative placement and binding, comparison report without commission, campaigns with consent and opt-out, report builder and BI extract</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Connectors with credential variable names only, retries, consent check on SMS, COC allocation and authentication, keyed-in codes, series control, insurer API mapping, bank payment files with status import</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Branding and e-signatures</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Presets pass WCAG AA, failing contrast refused, branding before sign-in, branded PDFs, Excel and e-mails, signatures with consent on issued documents only, slot mapping, brand packs including the optional client pack</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G</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activities logged on the prospects of the month with the next step as a follow-up task in My Work; motor quotations priced on the covers the quote wizard chose from the governing template; supplier invoice with EWT sent for approval, approved by the Accounting Manager, paid by cheque and BIR 2307 issued to the supplier; fixed asset registered and sold with the disposal journal, output VAT and sales invoice (UAT cycle and automated tests)</w:t>
            </w:r>
          </w:p>
        </w:tc>
      </w:tr>
    </w:tbl>
    <w:p>
      <w:pPr>
        <w:pStyle w:val="Heading1"/>
        <w:rPr/>
      </w:pPr>
      <w:r>
        <w:br w:type="page"/>
      </w:r>
      <w:bookmarkStart w:id="21" w:name="__RefHeading___Toc8502_747934028"/>
      <w:bookmarkEnd w:id="21"/>
      <w:r>
        <w:rPr>
          <w:rFonts w:eastAsia="Segoe UI" w:cs="Segoe UI" w:ascii="Segoe UI" w:hAnsi="Segoe UI"/>
          <w:b/>
          <w:color w:val="0F4761"/>
          <w:sz w:val="32"/>
        </w:rPr>
        <w:t>8.  End-to-end cycle results</w:t>
      </w:r>
    </w:p>
    <w:p>
      <w:pPr>
        <w:pStyle w:val="Normal"/>
        <w:spacing w:lineRule="auto" w:line="276" w:before="0" w:after="120"/>
        <w:rPr/>
      </w:pPr>
      <w:r>
        <w:rPr>
          <w:rFonts w:eastAsia="Segoe UI" w:cs="Segoe UI" w:ascii="Segoe UI" w:hAnsi="Segoe UI"/>
          <w:color w:val="101820"/>
          <w:sz w:val="21"/>
        </w:rPr>
        <w:t>The business cycle ran on a fresh database of the merged release on 04 October 2026 with one user per role: 433 steps, 2,168 API calls, 0 failed steps, in 29 seconds. Compared with version 1.2 the cycle adds the compliance officer persona, the licences of the referrers and the dealer tie-up in the set-up, a customer due diligence phase, and the package G steps.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008"/>
        <w:gridCol w:w="1503"/>
        <w:gridCol w:w="1502"/>
      </w:tblGrid>
      <w:tr>
        <w:trPr>
          <w:tblHeader w:val="true"/>
        </w:trPr>
        <w:tc>
          <w:tcPr>
            <w:tcW w:w="60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Phase</w:t>
            </w:r>
          </w:p>
        </w:tc>
        <w:tc>
          <w:tcPr>
            <w:tcW w:w="15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Steps passed</w:t>
            </w:r>
          </w:p>
        </w:tc>
        <w:tc>
          <w:tcPr>
            <w:tcW w:w="15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Steps failed</w:t>
            </w:r>
          </w:p>
        </w:tc>
      </w:tr>
      <w:tr>
        <w:trPr/>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Set-up</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50</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migration</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Retail package business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Corporate non-package business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45</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customer due diligence</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55</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Servicing: endorsements, renewals, claims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31</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 remittances, commission, petty cash</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incentives, payables and fixed assets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bank and insurer statements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and dashboards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59</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Total</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433</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0</w:t>
            </w:r>
          </w:p>
        </w:tc>
      </w:tr>
    </w:tbl>
    <w:p>
      <w:pPr>
        <w:pStyle w:val="Normal"/>
        <w:spacing w:before="0" w:after="80"/>
        <w:rPr/>
      </w:pPr>
      <w:r>
        <w:rPr/>
      </w:r>
    </w:p>
    <w:p>
      <w:pPr>
        <w:pStyle w:val="Heading2"/>
        <w:rPr/>
      </w:pPr>
      <w:bookmarkStart w:id="22" w:name="__RefHeading___Toc8504_747934028"/>
      <w:bookmarkEnd w:id="22"/>
      <w:r>
        <w:rPr>
          <w:rFonts w:eastAsia="Segoe UI" w:cs="Segoe UI"/>
          <w:b/>
          <w:color w:val="0F4761"/>
          <w:sz w:val="26"/>
        </w:rPr>
        <w:t>8.1  What the cycle produced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362"/>
        <w:gridCol w:w="2651"/>
      </w:tblGrid>
      <w:tr>
        <w:trPr>
          <w:tblHeader w:val="true"/>
        </w:trPr>
        <w:tc>
          <w:tcPr>
            <w:tcW w:w="6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Business result</w:t>
            </w:r>
          </w:p>
        </w:tc>
        <w:tc>
          <w:tcPr>
            <w:tcW w:w="26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Count</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 licences recorded / distribution channels (dealer group and branch)</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 2</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In-force policies migrated at go-live</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 (retail and corporate) / sales activities logged</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61 / 6</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 quotations priced on the covers chosen in the quote wizard</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offers / declines recorded</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 15</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responses: accepted / declined / revise</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 / 4 / 2</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issued (retail)</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issued (corporate, incl. 1 recorded policy)</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Retail clients with their government ID recorded (KYC)</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Corporate clients with SEC registration, signatory and beneficial owners / EDD reviews approved</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 / 1</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terms issued</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slips / insurer bindings</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 / 35</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by accounting / captures confirmed</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44 / 9</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 plans / instalments paid</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 2</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warranty reminders / cancellation for non-payment (a CTPL tariff policy)</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 1</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 bill client payments / debit notes approved / collected</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 3 / 2</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additional / return / cancellation</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 2 / 1</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completed / lapsed / refused after the window</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 1 / 3</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notified / settled and closed / closed without payment / open</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 / 4 / 2 / 2</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remittances paid by cheque / approved awaiting cheque</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 / 6</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Sub-agent commission lines approved / payouts</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 2</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 requests paid</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treaty / cessions</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 3</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Supplier invoices with EWT paid / BIR 2307 certificates issued to suppliers</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 1</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Fixed assets registered / sold (disposal posted with the sales invoice)</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 1</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statements / lines / matched by rules / by hand / adjustments</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 71 / 49 / 5 / 15</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reconciliations approved</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statements / lines matched / reconciliations approved</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 13 of 19 / 3</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Months closed / soft-closed</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 1</w:t>
            </w:r>
          </w:p>
        </w:tc>
      </w:tr>
      <w:tr>
        <w:trPr/>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run with rows / dashboards checked</w:t>
            </w:r>
          </w:p>
        </w:tc>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 / 19</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Every report of the catalogue returned rows for the test period and produced an Excel file. The trial balance was balanced at the end of the cycle and the sub-ledger tie-out of the month-end checklist passed.</w:t>
      </w:r>
    </w:p>
    <w:p>
      <w:pPr>
        <w:pStyle w:val="Heading2"/>
        <w:rPr/>
      </w:pPr>
      <w:bookmarkStart w:id="23" w:name="__RefHeading___Toc8506_747934028"/>
      <w:bookmarkEnd w:id="23"/>
      <w:r>
        <w:rPr>
          <w:rFonts w:eastAsia="Segoe UI" w:cs="Segoe UI"/>
          <w:b/>
          <w:color w:val="0F4761"/>
          <w:sz w:val="26"/>
        </w:rPr>
        <w:t>8.2  Life-cycle scenario</w:t>
      </w:r>
    </w:p>
    <w:p>
      <w:pPr>
        <w:pStyle w:val="Normal"/>
        <w:spacing w:lineRule="auto" w:line="276" w:before="0" w:after="120"/>
        <w:rPr/>
      </w:pPr>
      <w:r>
        <w:rPr>
          <w:rFonts w:eastAsia="Segoe UI" w:cs="Segoe UI" w:ascii="Segoe UI" w:hAnsi="Segoe UI"/>
          <w:color w:val="101820"/>
          <w:sz w:val="21"/>
        </w:rPr>
        <w:t>The 23-step life-cycle scenario of one motor policy (docs/e2e/E2E_TEST_PLAN.md) is in the workbook as module "End-to-end life cycle": 23 of 23 steps passed.</w:t>
      </w:r>
      <w:r>
        <w:br w:type="page"/>
      </w:r>
    </w:p>
    <w:p>
      <w:pPr>
        <w:pStyle w:val="Heading1"/>
        <w:rPr/>
      </w:pPr>
      <w:bookmarkStart w:id="24" w:name="__RefHeading___Toc8508_747934028"/>
      <w:bookmarkEnd w:id="24"/>
      <w:r>
        <w:rPr>
          <w:rFonts w:eastAsia="Segoe UI" w:cs="Segoe UI" w:ascii="Segoe UI" w:hAnsi="Segoe UI"/>
          <w:b/>
          <w:color w:val="0F4761"/>
          <w:sz w:val="32"/>
        </w:rPr>
        <w:t>9.  Role-based access results</w:t>
      </w:r>
    </w:p>
    <w:p>
      <w:pPr>
        <w:pStyle w:val="Normal"/>
        <w:spacing w:lineRule="auto" w:line="276" w:before="0" w:after="120"/>
        <w:rPr/>
      </w:pPr>
      <w:r>
        <w:rPr>
          <w:rFonts w:eastAsia="Segoe UI" w:cs="Segoe UI" w:ascii="Segoe UI" w:hAnsi="Segoe UI"/>
          <w:color w:val="101820"/>
          <w:sz w:val="21"/>
        </w:rPr>
        <w:t>Each role user signed in and opened every one of the 173 menu screens, by menu and by typing the address. The table compares what the role opened with the grants of the role.</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11"/>
        <w:gridCol w:w="1713"/>
        <w:gridCol w:w="1014"/>
        <w:gridCol w:w="1004"/>
        <w:gridCol w:w="1153"/>
        <w:gridCol w:w="1333"/>
        <w:gridCol w:w="1084"/>
      </w:tblGrid>
      <w:tr>
        <w:trPr>
          <w:tblHeader w:val="true"/>
        </w:trPr>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User</w:t>
            </w:r>
          </w:p>
        </w:tc>
        <w:tc>
          <w:tcPr>
            <w:tcW w:w="17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Role</w:t>
            </w:r>
          </w:p>
        </w:tc>
        <w:tc>
          <w:tcPr>
            <w:tcW w:w="10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Screens granted</w:t>
            </w:r>
          </w:p>
        </w:tc>
        <w:tc>
          <w:tcPr>
            <w:tcW w:w="10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Screens opened</w:t>
            </w:r>
          </w:p>
        </w:tc>
        <w:tc>
          <w:tcPr>
            <w:tcW w:w="11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Opened outside the menu</w:t>
            </w:r>
          </w:p>
        </w:tc>
        <w:tc>
          <w:tcPr>
            <w:tcW w:w="1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Typed addresses refused</w:t>
            </w:r>
          </w:p>
        </w:tc>
        <w:tc>
          <w:tcPr>
            <w:tcW w:w="108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Screens with errors</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maria.rivera</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sales</w:t>
            </w:r>
          </w:p>
        </w:tc>
        <w:tc>
          <w:tcPr>
            <w:tcW w:w="1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w:t>
            </w:r>
          </w:p>
        </w:tc>
        <w:tc>
          <w:tcPr>
            <w:tcW w:w="1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141 of 141</w:t>
            </w:r>
          </w:p>
        </w:tc>
        <w:tc>
          <w:tcPr>
            <w:tcW w:w="10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jose.bernardo</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processing</w:t>
            </w:r>
          </w:p>
        </w:tc>
        <w:tc>
          <w:tcPr>
            <w:tcW w:w="1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41</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41</w:t>
            </w:r>
          </w:p>
        </w:tc>
        <w:tc>
          <w:tcPr>
            <w:tcW w:w="1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131 of 131</w:t>
            </w:r>
          </w:p>
        </w:tc>
        <w:tc>
          <w:tcPr>
            <w:tcW w:w="10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ana.buenaventura</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w:t>
            </w:r>
          </w:p>
        </w:tc>
        <w:tc>
          <w:tcPr>
            <w:tcW w:w="1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w:t>
            </w:r>
          </w:p>
        </w:tc>
        <w:tc>
          <w:tcPr>
            <w:tcW w:w="1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143 of 143</w:t>
            </w:r>
          </w:p>
        </w:tc>
        <w:tc>
          <w:tcPr>
            <w:tcW w:w="10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carlo.estrada</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w:t>
            </w:r>
          </w:p>
        </w:tc>
        <w:tc>
          <w:tcPr>
            <w:tcW w:w="1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160 of 160</w:t>
            </w:r>
          </w:p>
        </w:tc>
        <w:tc>
          <w:tcPr>
            <w:tcW w:w="10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liza.quiambao</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w:t>
            </w:r>
          </w:p>
        </w:tc>
        <w:tc>
          <w:tcPr>
            <w:tcW w:w="1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91</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91</w:t>
            </w:r>
          </w:p>
        </w:tc>
        <w:tc>
          <w:tcPr>
            <w:tcW w:w="1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81 of 81</w:t>
            </w:r>
          </w:p>
        </w:tc>
        <w:tc>
          <w:tcPr>
            <w:tcW w:w="10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teresa.villaroman</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accounting-manager</w:t>
            </w:r>
          </w:p>
        </w:tc>
        <w:tc>
          <w:tcPr>
            <w:tcW w:w="1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91</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91</w:t>
            </w:r>
          </w:p>
        </w:tc>
        <w:tc>
          <w:tcPr>
            <w:tcW w:w="1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81 of 81</w:t>
            </w:r>
          </w:p>
        </w:tc>
        <w:tc>
          <w:tcPr>
            <w:tcW w:w="10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No role opened a screen outside its grants. The address of the menu group Master &gt; Generals &gt; Organization shows "Page not found" for every user, the administrator included, and is not counted as a screen (BV-OBS-007). Both accounting roles open every granted screen, but on Master &gt; Finance &gt; Premium Taxes &amp; LGU Rates the product list of the charges calculator is refused (BV-DEF-006).</w:t>
      </w:r>
    </w:p>
    <w:p>
      <w:pPr>
        <w:pStyle w:val="Normal"/>
        <w:spacing w:lineRule="auto" w:line="276" w:before="0" w:after="120"/>
        <w:rPr/>
      </w:pPr>
      <w:r>
        <w:rPr>
          <w:rFonts w:eastAsia="Segoe UI" w:cs="Segoe UI" w:ascii="Segoe UI" w:hAnsi="Segoe UI"/>
          <w:color w:val="101820"/>
          <w:sz w:val="21"/>
        </w:rPr>
        <w:t>The server applies the same personas on every endpoint. The regression run confirms, among others, that sales and operations cannot post or read receipts, that claims officers do not list prospects, that scoped agents see only their own book, that maker and checker must be different users on every approval, and that approvals above the authority matrix limit are refused.</w:t>
      </w:r>
      <w:r>
        <w:br w:type="page"/>
      </w:r>
    </w:p>
    <w:p>
      <w:pPr>
        <w:pStyle w:val="Heading1"/>
        <w:rPr/>
      </w:pPr>
      <w:bookmarkStart w:id="25" w:name="__RefHeading___Toc8510_747934028"/>
      <w:bookmarkEnd w:id="25"/>
      <w:r>
        <w:rPr>
          <w:rFonts w:eastAsia="Segoe UI" w:cs="Segoe UI" w:ascii="Segoe UI" w:hAnsi="Segoe UI"/>
          <w:b/>
          <w:color w:val="0F4761"/>
          <w:sz w:val="32"/>
        </w:rPr>
        <w:t>10.  Security testing performed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4"/>
        <w:gridCol w:w="3379"/>
        <w:gridCol w:w="3381"/>
      </w:tblGrid>
      <w:tr>
        <w:trPr>
          <w:tblHeader w:val="true"/>
        </w:trPr>
        <w:tc>
          <w:tcPr>
            <w:tcW w:w="2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33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was tested</w:t>
            </w:r>
          </w:p>
        </w:tc>
        <w:tc>
          <w:tcPr>
            <w:tcW w:w="33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Result</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Authentication on every endpoint</w:t>
            </w:r>
          </w:p>
        </w:tc>
        <w:tc>
          <w:tcPr>
            <w:tcW w:w="3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non-public API route called without a token; list of public routes compared with the intended list</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non-public route answered 401; only the intended public routes are open</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Tokens</w:t>
            </w:r>
          </w:p>
        </w:tc>
        <w:tc>
          <w:tcPr>
            <w:tcW w:w="3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Algorithm other than HS256, refresh token reuse, deactivation and role change, 30-minute access token</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Refused or revoked as expected</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policy</w:t>
            </w:r>
          </w:p>
        </w:tc>
        <w:tc>
          <w:tcPr>
            <w:tcW w:w="3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Length 8, upper, lower, digit, symbol, history of 5, 90-day expiry, temporary passwords</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Enforced on change, reset and user creation</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Lockout and throttling</w:t>
            </w:r>
          </w:p>
        </w:tc>
        <w:tc>
          <w:tcPr>
            <w:tcW w:w="3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failed sign-ins lock the account; sign-in rate limit per user and address; 2FA code rate limit; global API rate limit</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Locked, 429 with Retry-After, unlock audited</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Two-step verification</w:t>
            </w:r>
          </w:p>
        </w:tc>
        <w:tc>
          <w:tcPr>
            <w:tcW w:w="3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Enrolment, sign-in with code, forced enrolment by role, administrator reset</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Works to RFC 6238; secrets encrypted</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 permission probes</w:t>
            </w:r>
          </w:p>
        </w:tc>
        <w:tc>
          <w:tcPr>
            <w:tcW w:w="3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persona against screens and endpoints outside its role; administrator-only actions by a user desk user</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Refused</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Injection probes</w:t>
            </w:r>
          </w:p>
        </w:tc>
        <w:tc>
          <w:tcPr>
            <w:tcW w:w="3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SQL and script text in search fields, HTML and script files renamed as documents, spreadsheet formulas in exports</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effect; uploads refused by file signature; CSV cells guarded</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3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Signed links, expiry, attachment disposition, upload size limit</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Refused without session or valid signature; 413 above the limit</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headers</w:t>
            </w:r>
          </w:p>
        </w:tc>
        <w:tc>
          <w:tcPr>
            <w:tcW w:w="3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Standard security headers and request id on every response; generic 500 message</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Present</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 and logs</w:t>
            </w:r>
          </w:p>
        </w:tc>
        <w:tc>
          <w:tcPr>
            <w:tcW w:w="3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Default secrets, CORS * and localhost base URL in production; tokens in the log</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refuses to start; no token in the log</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Dependency audit</w:t>
            </w:r>
          </w:p>
        </w:tc>
        <w:tc>
          <w:tcPr>
            <w:tcW w:w="3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npm audit of runtime dependencies</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0 vulnerabilities. Front end: 2 moderate in react-router (BV-DEF-001)</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Since this table was recorded, the regression run of 04 October 2026 adds automated security checks for masking of personal identifiers by role, field encryption of TIN, ID and bank numbers (package B, now on the release branch), the masking tool's refusal to run on Production and its verification scan, and the refusal of credential values in the integration connectors. The masking run of the release verification read the encrypted identifier columns in clear and found no original value in the masked copy. Not tested in this cycle: an external penetration test.</w:t>
      </w:r>
      <w:r>
        <w:br w:type="page"/>
      </w:r>
    </w:p>
    <w:p>
      <w:pPr>
        <w:pStyle w:val="Heading1"/>
        <w:rPr/>
      </w:pPr>
      <w:bookmarkStart w:id="26" w:name="__RefHeading___Toc8512_747934028"/>
      <w:bookmarkEnd w:id="26"/>
      <w:r>
        <w:rPr>
          <w:rFonts w:eastAsia="Segoe UI" w:cs="Segoe UI" w:ascii="Segoe UI" w:hAnsi="Segoe UI"/>
          <w:b/>
          <w:color w:val="0F4761"/>
          <w:sz w:val="32"/>
        </w:rPr>
        <w:t>11.  Performance observations</w:t>
      </w:r>
    </w:p>
    <w:p>
      <w:pPr>
        <w:pStyle w:val="Normal"/>
        <w:spacing w:lineRule="auto" w:line="276" w:before="0" w:after="120"/>
        <w:rPr/>
      </w:pPr>
      <w:r>
        <w:rPr>
          <w:rFonts w:eastAsia="Segoe UI" w:cs="Segoe UI" w:ascii="Segoe UI" w:hAnsi="Segoe UI"/>
          <w:color w:val="101820"/>
          <w:sz w:val="21"/>
        </w:rPr>
        <w:t>No load or stress test was run. The following timings were observed during the functional runs on a single server and are recorded for information only:</w:t>
      </w:r>
    </w:p>
    <w:p>
      <w:pPr>
        <w:pStyle w:val="Normal"/>
        <w:numPr>
          <w:ilvl w:val="0"/>
          <w:numId w:val="1"/>
        </w:numPr>
        <w:spacing w:before="0" w:after="60"/>
        <w:rPr/>
      </w:pPr>
      <w:r>
        <w:rPr>
          <w:rFonts w:eastAsia="Segoe UI" w:cs="Segoe UI" w:ascii="Segoe UI" w:hAnsi="Segoe UI"/>
          <w:color w:val="101820"/>
          <w:sz w:val="21"/>
        </w:rPr>
        <w:t>UAT cycle: 2,168 API calls with database writes in 29 seconds, about 13 ms per call on average, run one after the other, against an API started with the production settings.</w:t>
      </w:r>
    </w:p>
    <w:p>
      <w:pPr>
        <w:pStyle w:val="Normal"/>
        <w:numPr>
          <w:ilvl w:val="0"/>
          <w:numId w:val="1"/>
        </w:numPr>
        <w:spacing w:before="0" w:after="60"/>
        <w:rPr/>
      </w:pPr>
      <w:r>
        <w:rPr>
          <w:rFonts w:eastAsia="Segoe UI" w:cs="Segoe UI" w:ascii="Segoe UI" w:hAnsi="Segoe UI"/>
          <w:color w:val="101820"/>
          <w:sz w:val="21"/>
        </w:rPr>
        <w:t>Go-live rehearsal: 260 API calls and the workbook loads in 15 seconds; data masking of the copy (168 columns of 63 tables, 156 files) in under a minute.</w:t>
      </w:r>
    </w:p>
    <w:p>
      <w:pPr>
        <w:pStyle w:val="Normal"/>
        <w:numPr>
          <w:ilvl w:val="0"/>
          <w:numId w:val="1"/>
        </w:numPr>
        <w:spacing w:before="0" w:after="60"/>
        <w:rPr/>
      </w:pPr>
      <w:r>
        <w:rPr>
          <w:rFonts w:eastAsia="Segoe UI" w:cs="Segoe UI" w:ascii="Segoe UI" w:hAnsi="Segoe UI"/>
          <w:color w:val="101820"/>
          <w:sz w:val="21"/>
        </w:rPr>
        <w:t>Backend regression run: 1,113 tests in about 11 minutes (04 October 2026); front-end tests: 162 tests in about 49 seconds.</w:t>
      </w:r>
    </w:p>
    <w:p>
      <w:pPr>
        <w:pStyle w:val="Normal"/>
        <w:numPr>
          <w:ilvl w:val="0"/>
          <w:numId w:val="1"/>
        </w:numPr>
        <w:spacing w:before="0" w:after="60"/>
        <w:rPr/>
      </w:pPr>
      <w:r>
        <w:rPr>
          <w:rFonts w:eastAsia="Segoe UI" w:cs="Segoe UI" w:ascii="Segoe UI" w:hAnsi="Segoe UI"/>
          <w:color w:val="101820"/>
          <w:sz w:val="21"/>
        </w:rPr>
        <w:t>Screen check: every screen loaded its data within the 2.6-second wait used per screen; no time-out was recorded.</w:t>
      </w:r>
    </w:p>
    <w:p>
      <w:pPr>
        <w:pStyle w:val="Normal"/>
        <w:shd w:val="clear" w:color="auto" w:fill="EAF2FB"/>
        <w:spacing w:before="0" w:after="160"/>
        <w:ind w:left="170"/>
        <w:rPr/>
      </w:pPr>
      <w:r>
        <w:rPr>
          <w:rFonts w:eastAsia="Segoe UI" w:cs="Segoe UI" w:ascii="Segoe UI" w:hAnsi="Segoe UI"/>
          <w:color w:val="101820"/>
          <w:sz w:val="20"/>
        </w:rPr>
        <w:t>Recommendation: run a load test with the client's expected number of concurrent users and month-end volumes on the production-sized server before go-live.</w:t>
      </w:r>
      <w:r>
        <w:br w:type="page"/>
      </w:r>
    </w:p>
    <w:p>
      <w:pPr>
        <w:pStyle w:val="Heading1"/>
        <w:rPr/>
      </w:pPr>
      <w:bookmarkStart w:id="27" w:name="__RefHeading___Toc8514_747934028"/>
      <w:bookmarkEnd w:id="27"/>
      <w:r>
        <w:rPr>
          <w:rFonts w:eastAsia="Segoe UI" w:cs="Segoe UI" w:ascii="Segoe UI" w:hAnsi="Segoe UI"/>
          <w:b/>
          <w:color w:val="0F4761"/>
          <w:sz w:val="32"/>
        </w:rPr>
        <w:t>12.  Defects and observations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2640"/>
        <w:gridCol w:w="1980"/>
        <w:gridCol w:w="1123"/>
        <w:gridCol w:w="1231"/>
        <w:gridCol w:w="906"/>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26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9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Module</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Severity</w:t>
            </w:r>
          </w:p>
        </w:tc>
        <w:tc>
          <w:tcPr>
            <w:tcW w:w="12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BV-DEF-001</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Front-end library react-router has a moderate security advisory (open redirect)</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Sign-in and security</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Defect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BV-DEF-002</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privacy features not built: consent capture, data subject request register, anonymisation</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Sign-in and security</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Gap</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BV-DEF-003</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Application-level encryption covers only two-step verification secrets</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Sign-in and security</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Gap</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BV-DEF-004</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 component list does not show the template; per-template rating factors look duplicated</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Low</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Defect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BV-OBS-005</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of a policy expired beyond the grace plus lapsed-renewal window is refused</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Low</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Observation</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BV-DEF-006</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Taxes &amp; LGU Rates: product list of the charges calculator does not load for Accounting</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Low</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Defect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BV-OBS-007</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Menu group Master &gt; Generals &gt; Organization has an address that opens "Page not found"</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 checks (all menus)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Low</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Observation</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BV-OBS-008</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Incentive &gt; My Programs: Achievement Overview card extends past the right edge at 1440 px</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Low</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Observation</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BV-DEF-009</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policy whose premium is only the CTPL tariff cannot be cancelled</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Endorsements and cancellations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Defect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BV-DEF-010</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Compliance Officer designation in the Designation master</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Low</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Defect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BV-DEF-011</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masking: the mobile number an SMS or Viber message was sent to stays in the integration outbox</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workbench and environments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Defect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BV-DEF-012</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masking: identifier columns swept as free text (foreign key violated); digit runs inside record ids reported as mobile numbers</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workbench and environments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Defect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BV-DEF-013</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rehearsal: migration workbook filled with the old client address headers and the tariff net premium of discounted policies</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workbench and environments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Defect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BV-DEF-014</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statement refused (400) for an agent with a semi-annual result</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Defect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r>
    </w:tbl>
    <w:p>
      <w:pPr>
        <w:pStyle w:val="Normal"/>
        <w:spacing w:before="0" w:after="80"/>
        <w:rPr/>
      </w:pPr>
      <w:r>
        <w:rPr/>
      </w:r>
    </w:p>
    <w:p>
      <w:pPr>
        <w:pStyle w:val="Heading2"/>
        <w:rPr/>
      </w:pPr>
      <w:bookmarkStart w:id="28" w:name="__RefHeading___Toc8516_747934028"/>
      <w:bookmarkEnd w:id="28"/>
      <w:r>
        <w:rPr>
          <w:rFonts w:eastAsia="Segoe UI" w:cs="Segoe UI"/>
          <w:b/>
          <w:color w:val="0F4761"/>
          <w:sz w:val="26"/>
        </w:rPr>
        <w:t>12.1  BV-DEF-001: Front-end library react-router has a moderate security advisory (open redirect)</w:t>
      </w:r>
    </w:p>
    <w:p>
      <w:pPr>
        <w:pStyle w:val="Normal"/>
        <w:spacing w:lineRule="auto" w:line="276" w:before="0" w:after="120"/>
        <w:rPr/>
      </w:pPr>
      <w:r>
        <w:rPr>
          <w:rFonts w:eastAsia="Segoe UI" w:cs="Segoe UI" w:ascii="Segoe UI" w:hAnsi="Segoe UI"/>
          <w:color w:val="101820"/>
          <w:sz w:val="21"/>
        </w:rPr>
        <w:t>npm audit of the front-end runtime dependencies reports 2 moderate findings, both in react-router (open redirect). The fixed version is a new major release. Backend runtime dependencies report 0 vulnerabilities.</w:t>
      </w:r>
    </w:p>
    <w:p>
      <w:pPr>
        <w:pStyle w:val="Normal"/>
        <w:numPr>
          <w:ilvl w:val="0"/>
          <w:numId w:val="1"/>
        </w:numPr>
        <w:spacing w:before="0" w:after="60"/>
        <w:rPr/>
      </w:pPr>
      <w:r>
        <w:rPr>
          <w:rFonts w:eastAsia="Segoe UI" w:cs="Segoe UI" w:ascii="Segoe UI" w:hAnsi="Segoe UI"/>
          <w:color w:val="101820"/>
          <w:sz w:val="21"/>
        </w:rPr>
        <w:t>Workaround: The application builds its navigation targets from its own menu and routes and does not redirect to addresses taken from the URL. Keep the web server allowing only the application origin.</w:t>
      </w:r>
    </w:p>
    <w:p>
      <w:pPr>
        <w:pStyle w:val="Normal"/>
        <w:numPr>
          <w:ilvl w:val="0"/>
          <w:numId w:val="1"/>
        </w:numPr>
        <w:spacing w:before="0" w:after="60"/>
        <w:rPr/>
      </w:pPr>
      <w:r>
        <w:rPr>
          <w:rFonts w:eastAsia="Segoe UI" w:cs="Segoe UI" w:ascii="Segoe UI" w:hAnsi="Segoe UI"/>
          <w:color w:val="101820"/>
          <w:sz w:val="21"/>
        </w:rPr>
        <w:t>Target: Next minor release: upgrade react-router to the fixed major version and re-test navigation</w:t>
      </w:r>
    </w:p>
    <w:p>
      <w:pPr>
        <w:pStyle w:val="Heading2"/>
        <w:rPr/>
      </w:pPr>
      <w:bookmarkStart w:id="29" w:name="__RefHeading___Toc8518_747934028"/>
      <w:bookmarkEnd w:id="29"/>
      <w:r>
        <w:rPr>
          <w:rFonts w:eastAsia="Segoe UI" w:cs="Segoe UI"/>
          <w:b/>
          <w:color w:val="0F4761"/>
          <w:sz w:val="26"/>
        </w:rPr>
        <w:t>12.2  BV-DEF-002: Data privacy features not built: consent capture, data subject request register, anonymisation</w:t>
      </w:r>
    </w:p>
    <w:p>
      <w:pPr>
        <w:pStyle w:val="Normal"/>
        <w:spacing w:lineRule="auto" w:line="276" w:before="0" w:after="120"/>
        <w:rPr/>
      </w:pPr>
      <w:r>
        <w:rPr>
          <w:rFonts w:eastAsia="Segoe UI" w:cs="Segoe UI" w:ascii="Segoe UI" w:hAnsi="Segoe UI"/>
          <w:color w:val="101820"/>
          <w:sz w:val="21"/>
        </w:rPr>
        <w:t>No screen records client consent (date, purpose, channel), no register tracks data subject access or erasure requests, and there is no function to anonymise an inactive client. Needed for Data Privacy Act compliance processes.</w:t>
      </w:r>
    </w:p>
    <w:p>
      <w:pPr>
        <w:pStyle w:val="Normal"/>
        <w:numPr>
          <w:ilvl w:val="0"/>
          <w:numId w:val="1"/>
        </w:numPr>
        <w:spacing w:before="0" w:after="60"/>
        <w:rPr/>
      </w:pPr>
      <w:r>
        <w:rPr>
          <w:rFonts w:eastAsia="Segoe UI" w:cs="Segoe UI" w:ascii="Segoe UI" w:hAnsi="Segoe UI"/>
          <w:color w:val="101820"/>
          <w:sz w:val="21"/>
        </w:rPr>
        <w:t>Workaround: Keep consent forms and the request log outside the system (signed forms filed against the client code; request register kept by the Data Protection Officer).</w:t>
      </w:r>
    </w:p>
    <w:p>
      <w:pPr>
        <w:pStyle w:val="Normal"/>
        <w:numPr>
          <w:ilvl w:val="0"/>
          <w:numId w:val="1"/>
        </w:numPr>
        <w:spacing w:before="0" w:after="60"/>
        <w:rPr/>
      </w:pPr>
      <w:r>
        <w:rPr>
          <w:rFonts w:eastAsia="Segoe UI" w:cs="Segoe UI" w:ascii="Segoe UI" w:hAnsi="Segoe UI"/>
          <w:color w:val="101820"/>
          <w:sz w:val="21"/>
        </w:rPr>
        <w:t>Target: Product backlog; to be scheduled with the client</w:t>
      </w:r>
    </w:p>
    <w:p>
      <w:pPr>
        <w:pStyle w:val="Normal"/>
        <w:numPr>
          <w:ilvl w:val="0"/>
          <w:numId w:val="1"/>
        </w:numPr>
        <w:spacing w:before="0" w:after="60"/>
        <w:rPr/>
      </w:pPr>
      <w:r>
        <w:rPr>
          <w:rFonts w:eastAsia="Segoe UI" w:cs="Segoe UI" w:ascii="Segoe UI" w:hAnsi="Segoe UI"/>
          <w:color w:val="101820"/>
          <w:sz w:val="21"/>
        </w:rPr>
        <w:t>Status: Closed. Delivered on 03 October 2026: Master &gt; Data Privacy (consent register, data subject requests with due dates, personal data export, anonymisation with a dry run) and the client Data privacy tab. Re-tested BV-SEC-034 and BV-SEC-035.</w:t>
      </w:r>
    </w:p>
    <w:p>
      <w:pPr>
        <w:pStyle w:val="Heading2"/>
        <w:rPr/>
      </w:pPr>
      <w:bookmarkStart w:id="30" w:name="__RefHeading___Toc8520_747934028"/>
      <w:bookmarkEnd w:id="30"/>
      <w:r>
        <w:rPr>
          <w:rFonts w:eastAsia="Segoe UI" w:cs="Segoe UI"/>
          <w:b/>
          <w:color w:val="0F4761"/>
          <w:sz w:val="26"/>
        </w:rPr>
        <w:t>12.3  BV-DEF-003: Application-level encryption covers only two-step verification secrets</w:t>
      </w:r>
    </w:p>
    <w:p>
      <w:pPr>
        <w:pStyle w:val="Normal"/>
        <w:spacing w:lineRule="auto" w:line="276" w:before="0" w:after="120"/>
        <w:rPr/>
      </w:pPr>
      <w:r>
        <w:rPr>
          <w:rFonts w:eastAsia="Segoe UI" w:cs="Segoe UI" w:ascii="Segoe UI" w:hAnsi="Segoe UI"/>
          <w:color w:val="101820"/>
          <w:sz w:val="21"/>
        </w:rPr>
        <w:t>Only TOTP secrets are encrypted with DATA_ENCRYPTION_KEY. Client personal data (TIN, ID numbers, contact details) is stored in plain database columns.</w:t>
      </w:r>
    </w:p>
    <w:p>
      <w:pPr>
        <w:pStyle w:val="Normal"/>
        <w:numPr>
          <w:ilvl w:val="0"/>
          <w:numId w:val="1"/>
        </w:numPr>
        <w:spacing w:before="0" w:after="60"/>
        <w:rPr/>
      </w:pPr>
      <w:r>
        <w:rPr>
          <w:rFonts w:eastAsia="Segoe UI" w:cs="Segoe UI" w:ascii="Segoe UI" w:hAnsi="Segoe UI"/>
          <w:color w:val="101820"/>
          <w:sz w:val="21"/>
        </w:rPr>
        <w:t>Workaround: Use encrypted storage for the database server and backups, restrict database access to the support team, and keep backups encrypted.</w:t>
      </w:r>
    </w:p>
    <w:p>
      <w:pPr>
        <w:pStyle w:val="Normal"/>
        <w:numPr>
          <w:ilvl w:val="0"/>
          <w:numId w:val="1"/>
        </w:numPr>
        <w:spacing w:before="0" w:after="60"/>
        <w:rPr/>
      </w:pPr>
      <w:r>
        <w:rPr>
          <w:rFonts w:eastAsia="Segoe UI" w:cs="Segoe UI" w:ascii="Segoe UI" w:hAnsi="Segoe UI"/>
          <w:color w:val="101820"/>
          <w:sz w:val="21"/>
        </w:rPr>
        <w:t xml:space="preserve">Target: Package B (IC and data privacy compliance): TIN, government ID and bank account numbers encrypted with </w:t>
      </w:r>
      <w:r>
        <w:rPr>
          <w:rFonts w:eastAsia="Consolas" w:cs="Consolas" w:ascii="Consolas" w:hAnsi="Consolas"/>
          <w:color w:val="101820"/>
          <w:sz w:val="19"/>
        </w:rPr>
        <w:t>PII_ENCRYPTION_KEY</w:t>
      </w:r>
      <w:r>
        <w:rPr>
          <w:rFonts w:eastAsia="Segoe UI" w:cs="Segoe UI" w:ascii="Segoe UI" w:hAnsi="Segoe UI"/>
          <w:color w:val="101820"/>
          <w:sz w:val="21"/>
        </w:rPr>
        <w:t>, with key rotation.</w:t>
      </w:r>
    </w:p>
    <w:p>
      <w:pPr>
        <w:pStyle w:val="Normal"/>
        <w:numPr>
          <w:ilvl w:val="0"/>
          <w:numId w:val="1"/>
        </w:numPr>
        <w:spacing w:before="0" w:after="60"/>
        <w:rPr/>
      </w:pPr>
      <w:r>
        <w:rPr>
          <w:rFonts w:eastAsia="Segoe UI" w:cs="Segoe UI" w:ascii="Segoe UI" w:hAnsi="Segoe UI"/>
          <w:color w:val="101820"/>
          <w:sz w:val="21"/>
        </w:rPr>
        <w:t>Status: Closed. Package B merged into the release on 04 October 2026; BV-SEC-033, BV-NPC-007 and BV-NPC-008 re-tested on the release branch. The masking run of the release verification read the encrypted columns (clients, signatories, beneficial owners, TIN) in clear and found no original value left in the masked copy.</w:t>
      </w:r>
    </w:p>
    <w:p>
      <w:pPr>
        <w:pStyle w:val="Heading2"/>
        <w:rPr/>
      </w:pPr>
      <w:bookmarkStart w:id="31" w:name="__RefHeading___Toc8522_747934028"/>
      <w:bookmarkEnd w:id="31"/>
      <w:r>
        <w:rPr>
          <w:rFonts w:eastAsia="Segoe UI" w:cs="Segoe UI"/>
          <w:b/>
          <w:color w:val="0F4761"/>
          <w:sz w:val="26"/>
        </w:rPr>
        <w:t>12.4  BV-DEF-004: Product configurator component list does not show the template; per-template rating factors look duplicated</w:t>
      </w:r>
    </w:p>
    <w:p>
      <w:pPr>
        <w:pStyle w:val="Normal"/>
        <w:spacing w:lineRule="auto" w:line="276" w:before="0" w:after="120"/>
        <w:rPr/>
      </w:pPr>
      <w:r>
        <w:rPr>
          <w:rFonts w:eastAsia="Segoe UI" w:cs="Segoe UI" w:ascii="Segoe UI" w:hAnsi="Segoe UI"/>
          <w:color w:val="101820"/>
          <w:sz w:val="21"/>
        </w:rPr>
        <w:t>On Product Configurator &gt; Rating Engine (and the other component lists) the rows do not show which template they belong to. Factors with the same name on different templates appear as duplicates.</w:t>
      </w:r>
    </w:p>
    <w:p>
      <w:pPr>
        <w:pStyle w:val="Normal"/>
        <w:numPr>
          <w:ilvl w:val="0"/>
          <w:numId w:val="1"/>
        </w:numPr>
        <w:spacing w:before="0" w:after="60"/>
        <w:rPr/>
      </w:pPr>
      <w:r>
        <w:rPr>
          <w:rFonts w:eastAsia="Segoe UI" w:cs="Segoe UI" w:ascii="Segoe UI" w:hAnsi="Segoe UI"/>
          <w:color w:val="101820"/>
          <w:sz w:val="21"/>
        </w:rPr>
        <w:t>Workaround: Open the factor to see its template, or filter by template where the screen offers it.</w:t>
      </w:r>
    </w:p>
    <w:p>
      <w:pPr>
        <w:pStyle w:val="Normal"/>
        <w:numPr>
          <w:ilvl w:val="0"/>
          <w:numId w:val="1"/>
        </w:numPr>
        <w:spacing w:before="0" w:after="60"/>
        <w:rPr/>
      </w:pPr>
      <w:r>
        <w:rPr>
          <w:rFonts w:eastAsia="Segoe UI" w:cs="Segoe UI" w:ascii="Segoe UI" w:hAnsi="Segoe UI"/>
          <w:color w:val="101820"/>
          <w:sz w:val="21"/>
        </w:rPr>
        <w:t>Target: Next minor release</w:t>
      </w:r>
    </w:p>
    <w:p>
      <w:pPr>
        <w:pStyle w:val="Normal"/>
        <w:numPr>
          <w:ilvl w:val="0"/>
          <w:numId w:val="1"/>
        </w:numPr>
        <w:spacing w:before="0" w:after="60"/>
        <w:rPr/>
      </w:pPr>
      <w:r>
        <w:rPr>
          <w:rFonts w:eastAsia="Segoe UI" w:cs="Segoe UI" w:ascii="Segoe UI" w:hAnsi="Segoe UI"/>
          <w:color w:val="101820"/>
          <w:sz w:val="21"/>
        </w:rPr>
        <w:t>Status: Closed. The component lists show a Template column (global rows read All products). Re-tested BV-PCF-005.</w:t>
      </w:r>
    </w:p>
    <w:p>
      <w:pPr>
        <w:pStyle w:val="Heading2"/>
        <w:rPr/>
      </w:pPr>
      <w:bookmarkStart w:id="32" w:name="__RefHeading___Toc8524_747934028"/>
      <w:bookmarkEnd w:id="32"/>
      <w:r>
        <w:rPr>
          <w:rFonts w:eastAsia="Segoe UI" w:cs="Segoe UI"/>
          <w:b/>
          <w:color w:val="0F4761"/>
          <w:sz w:val="26"/>
        </w:rPr>
        <w:t>12.5  BV-OBS-005: Renewal of a policy expired beyond the grace plus lapsed-renewal window is refused</w:t>
      </w:r>
    </w:p>
    <w:p>
      <w:pPr>
        <w:pStyle w:val="Normal"/>
        <w:spacing w:lineRule="auto" w:line="276" w:before="0" w:after="120"/>
        <w:rPr/>
      </w:pPr>
      <w:r>
        <w:rPr>
          <w:rFonts w:eastAsia="Segoe UI" w:cs="Segoe UI" w:ascii="Segoe UI" w:hAnsi="Segoe UI"/>
          <w:color w:val="101820"/>
          <w:sz w:val="21"/>
        </w:rPr>
        <w:t>A renewal requested for a policy that expired more than grace days plus lapsed-renewal days ago is refused (HTTP 422). This is by design: such a risk is quoted as new business. In the UAT cycle 3 migrated policies were refused this way.</w:t>
      </w:r>
    </w:p>
    <w:p>
      <w:pPr>
        <w:pStyle w:val="Normal"/>
        <w:numPr>
          <w:ilvl w:val="0"/>
          <w:numId w:val="1"/>
        </w:numPr>
        <w:spacing w:before="0" w:after="60"/>
        <w:rPr/>
      </w:pPr>
      <w:r>
        <w:rPr>
          <w:rFonts w:eastAsia="Segoe UI" w:cs="Segoe UI" w:ascii="Segoe UI" w:hAnsi="Segoe UI"/>
          <w:color w:val="101820"/>
          <w:sz w:val="21"/>
        </w:rPr>
        <w:t>Workaround: Quote the client as new business from the prospect or client record.</w:t>
      </w:r>
    </w:p>
    <w:p>
      <w:pPr>
        <w:pStyle w:val="Normal"/>
        <w:numPr>
          <w:ilvl w:val="0"/>
          <w:numId w:val="1"/>
        </w:numPr>
        <w:spacing w:before="0" w:after="60"/>
        <w:rPr/>
      </w:pPr>
      <w:r>
        <w:rPr>
          <w:rFonts w:eastAsia="Segoe UI" w:cs="Segoe UI" w:ascii="Segoe UI" w:hAnsi="Segoe UI"/>
          <w:color w:val="101820"/>
          <w:sz w:val="21"/>
        </w:rPr>
        <w:t>Target: No change planned; confirm the window settings with the client at configuration</w:t>
      </w:r>
    </w:p>
    <w:p>
      <w:pPr>
        <w:pStyle w:val="Normal"/>
        <w:numPr>
          <w:ilvl w:val="0"/>
          <w:numId w:val="1"/>
        </w:numPr>
        <w:spacing w:before="0" w:after="60"/>
        <w:rPr/>
      </w:pPr>
      <w:r>
        <w:rPr>
          <w:rFonts w:eastAsia="Segoe UI" w:cs="Segoe UI" w:ascii="Segoe UI" w:hAnsi="Segoe UI"/>
          <w:color w:val="101820"/>
          <w:sz w:val="21"/>
        </w:rPr>
        <w:t>Status: Closed as by design.</w:t>
      </w:r>
    </w:p>
    <w:p>
      <w:pPr>
        <w:pStyle w:val="Heading2"/>
        <w:rPr/>
      </w:pPr>
      <w:bookmarkStart w:id="33" w:name="__RefHeading___Toc8526_747934028"/>
      <w:bookmarkEnd w:id="33"/>
      <w:r>
        <w:rPr>
          <w:rFonts w:eastAsia="Segoe UI" w:cs="Segoe UI"/>
          <w:b/>
          <w:color w:val="0F4761"/>
          <w:sz w:val="26"/>
        </w:rPr>
        <w:t>12.6  BV-DEF-006: Premium Taxes &amp; LGU Rates: product list of the charges calculator does not load for Accounting</w:t>
      </w:r>
    </w:p>
    <w:p>
      <w:pPr>
        <w:pStyle w:val="Normal"/>
        <w:spacing w:lineRule="auto" w:line="276" w:before="0" w:after="120"/>
        <w:rPr/>
      </w:pPr>
      <w:r>
        <w:rPr>
          <w:rFonts w:eastAsia="Segoe UI" w:cs="Segoe UI" w:ascii="Segoe UI" w:hAnsi="Segoe UI"/>
          <w:color w:val="101820"/>
          <w:sz w:val="21"/>
        </w:rPr>
        <w:t>Screen check of 03 October 2026: signed in as liza.quiambao (accounting) or teresa.villaroman (accounting-manager), Master &gt; Finance &gt; Premium Taxes &amp; LGU Rates opens, but its request GET /placements/options is refused with 403 (the role has no placement read permission). The product drop-down of the charges calculator stays empty. Rules and LGU rates can still be maintained.</w:t>
      </w:r>
    </w:p>
    <w:p>
      <w:pPr>
        <w:pStyle w:val="Normal"/>
        <w:numPr>
          <w:ilvl w:val="0"/>
          <w:numId w:val="1"/>
        </w:numPr>
        <w:spacing w:before="0" w:after="60"/>
        <w:rPr/>
      </w:pPr>
      <w:r>
        <w:rPr>
          <w:rFonts w:eastAsia="Segoe UI" w:cs="Segoe UI" w:ascii="Segoe UI" w:hAnsi="Segoe UI"/>
          <w:color w:val="101820"/>
          <w:sz w:val="21"/>
        </w:rPr>
        <w:t>Workaround: Run the charges calculation as the System Administrator, or check the charges on a test quotation.</w:t>
      </w:r>
    </w:p>
    <w:p>
      <w:pPr>
        <w:pStyle w:val="Normal"/>
        <w:numPr>
          <w:ilvl w:val="0"/>
          <w:numId w:val="1"/>
        </w:numPr>
        <w:spacing w:before="0" w:after="60"/>
        <w:rPr/>
      </w:pPr>
      <w:r>
        <w:rPr>
          <w:rFonts w:eastAsia="Segoe UI" w:cs="Segoe UI" w:ascii="Segoe UI" w:hAnsi="Segoe UI"/>
          <w:color w:val="101820"/>
          <w:sz w:val="21"/>
        </w:rPr>
        <w:t>Target: Next patch: let the screen read the product list through a permission Accounting holds</w:t>
      </w:r>
    </w:p>
    <w:p>
      <w:pPr>
        <w:pStyle w:val="Normal"/>
        <w:numPr>
          <w:ilvl w:val="0"/>
          <w:numId w:val="1"/>
        </w:numPr>
        <w:spacing w:before="0" w:after="60"/>
        <w:rPr/>
      </w:pPr>
      <w:r>
        <w:rPr>
          <w:rFonts w:eastAsia="Segoe UI" w:cs="Segoe UI" w:ascii="Segoe UI" w:hAnsi="Segoe UI"/>
          <w:color w:val="101820"/>
          <w:sz w:val="21"/>
        </w:rPr>
        <w:t>Status: Closed. The screen reads the product list with a permission Accounting holds. Re-tested BV-MST-019, BV-RBA-016 and BV-RBA-019.</w:t>
      </w:r>
    </w:p>
    <w:p>
      <w:pPr>
        <w:pStyle w:val="Heading2"/>
        <w:rPr/>
      </w:pPr>
      <w:bookmarkStart w:id="34" w:name="__RefHeading___Toc8528_747934028"/>
      <w:bookmarkEnd w:id="34"/>
      <w:r>
        <w:rPr>
          <w:rFonts w:eastAsia="Segoe UI" w:cs="Segoe UI"/>
          <w:b/>
          <w:color w:val="0F4761"/>
          <w:sz w:val="26"/>
        </w:rPr>
        <w:t>12.7  BV-OBS-007: Menu group Master &gt; Generals &gt; Organization has an address that opens "Page not found"</w:t>
      </w:r>
    </w:p>
    <w:p>
      <w:pPr>
        <w:pStyle w:val="Normal"/>
        <w:spacing w:lineRule="auto" w:line="276" w:before="0" w:after="120"/>
        <w:rPr/>
      </w:pPr>
      <w:r>
        <w:rPr>
          <w:rFonts w:eastAsia="Segoe UI" w:cs="Segoe UI" w:ascii="Segoe UI" w:hAnsi="Segoe UI"/>
          <w:color w:val="101820"/>
          <w:sz w:val="21"/>
        </w:rPr>
        <w:t>The menu group Organization carries its own address (/master/generals/organization) with no screen behind it. Typing the address shows "Page not found" for every user, including the administrator. Company and Branch under it open normally. No data is shown.</w:t>
      </w:r>
    </w:p>
    <w:p>
      <w:pPr>
        <w:pStyle w:val="Normal"/>
        <w:numPr>
          <w:ilvl w:val="0"/>
          <w:numId w:val="1"/>
        </w:numPr>
        <w:spacing w:before="0" w:after="60"/>
        <w:rPr/>
      </w:pPr>
      <w:r>
        <w:rPr>
          <w:rFonts w:eastAsia="Segoe UI" w:cs="Segoe UI" w:ascii="Segoe UI" w:hAnsi="Segoe UI"/>
          <w:color w:val="101820"/>
          <w:sz w:val="21"/>
        </w:rPr>
        <w:t>Workaround: Open Company or Branch from the menu.</w:t>
      </w:r>
    </w:p>
    <w:p>
      <w:pPr>
        <w:pStyle w:val="Normal"/>
        <w:numPr>
          <w:ilvl w:val="0"/>
          <w:numId w:val="1"/>
        </w:numPr>
        <w:spacing w:before="0" w:after="60"/>
        <w:rPr/>
      </w:pPr>
      <w:r>
        <w:rPr>
          <w:rFonts w:eastAsia="Segoe UI" w:cs="Segoe UI" w:ascii="Segoe UI" w:hAnsi="Segoe UI"/>
          <w:color w:val="101820"/>
          <w:sz w:val="21"/>
        </w:rPr>
        <w:t>Target: Next minor release: remove the address from the group or open the Company screen</w:t>
      </w:r>
    </w:p>
    <w:p>
      <w:pPr>
        <w:pStyle w:val="Normal"/>
        <w:numPr>
          <w:ilvl w:val="0"/>
          <w:numId w:val="1"/>
        </w:numPr>
        <w:spacing w:before="0" w:after="60"/>
        <w:rPr/>
      </w:pPr>
      <w:r>
        <w:rPr>
          <w:rFonts w:eastAsia="Segoe UI" w:cs="Segoe UI" w:ascii="Segoe UI" w:hAnsi="Segoe UI"/>
          <w:color w:val="101820"/>
          <w:sz w:val="21"/>
        </w:rPr>
        <w:t>Status: Closed. Menu groups no longer carry an address of their own.</w:t>
      </w:r>
    </w:p>
    <w:p>
      <w:pPr>
        <w:pStyle w:val="Heading2"/>
        <w:rPr/>
      </w:pPr>
      <w:bookmarkStart w:id="35" w:name="__RefHeading___Toc8530_747934028"/>
      <w:bookmarkEnd w:id="35"/>
      <w:r>
        <w:rPr>
          <w:rFonts w:eastAsia="Segoe UI" w:cs="Segoe UI"/>
          <w:b/>
          <w:color w:val="0F4761"/>
          <w:sz w:val="26"/>
        </w:rPr>
        <w:t>12.8  BV-OBS-008: Accounts &gt; Incentive &gt; My Programs: Achievement Overview card extends past the right edge at 1440 px</w:t>
      </w:r>
    </w:p>
    <w:p>
      <w:pPr>
        <w:pStyle w:val="Normal"/>
        <w:spacing w:lineRule="auto" w:line="276" w:before="0" w:after="120"/>
        <w:rPr/>
      </w:pPr>
      <w:r>
        <w:rPr>
          <w:rFonts w:eastAsia="Segoe UI" w:cs="Segoe UI" w:ascii="Segoe UI" w:hAnsi="Segoe UI"/>
          <w:color w:val="101820"/>
          <w:sz w:val="21"/>
        </w:rPr>
        <w:t>Screen check at 1440 x 900: the Achievement Overview card on My Programs is wider than the content area and is cut off on the right (administrator and accounting users).</w:t>
      </w:r>
    </w:p>
    <w:p>
      <w:pPr>
        <w:pStyle w:val="Normal"/>
        <w:numPr>
          <w:ilvl w:val="0"/>
          <w:numId w:val="1"/>
        </w:numPr>
        <w:spacing w:before="0" w:after="60"/>
        <w:rPr/>
      </w:pPr>
      <w:r>
        <w:rPr>
          <w:rFonts w:eastAsia="Segoe UI" w:cs="Segoe UI" w:ascii="Segoe UI" w:hAnsi="Segoe UI"/>
          <w:color w:val="101820"/>
          <w:sz w:val="21"/>
        </w:rPr>
        <w:t>Workaround: Collapse the side menu or zoom the browser to 90%.</w:t>
      </w:r>
    </w:p>
    <w:p>
      <w:pPr>
        <w:pStyle w:val="Normal"/>
        <w:numPr>
          <w:ilvl w:val="0"/>
          <w:numId w:val="1"/>
        </w:numPr>
        <w:spacing w:before="0" w:after="60"/>
        <w:rPr/>
      </w:pPr>
      <w:r>
        <w:rPr>
          <w:rFonts w:eastAsia="Segoe UI" w:cs="Segoe UI" w:ascii="Segoe UI" w:hAnsi="Segoe UI"/>
          <w:color w:val="101820"/>
          <w:sz w:val="21"/>
        </w:rPr>
        <w:t>Target: Next minor release</w:t>
      </w:r>
    </w:p>
    <w:p>
      <w:pPr>
        <w:pStyle w:val="Normal"/>
        <w:numPr>
          <w:ilvl w:val="0"/>
          <w:numId w:val="1"/>
        </w:numPr>
        <w:spacing w:before="0" w:after="60"/>
        <w:rPr/>
      </w:pPr>
      <w:r>
        <w:rPr>
          <w:rFonts w:eastAsia="Segoe UI" w:cs="Segoe UI" w:ascii="Segoe UI" w:hAnsi="Segoe UI"/>
          <w:color w:val="101820"/>
          <w:sz w:val="21"/>
        </w:rPr>
        <w:t>Status: Closed. The card fits the content area at 1440 px. Re-tested BV-RBA-016 and BV-RBA-019.</w:t>
      </w:r>
    </w:p>
    <w:p>
      <w:pPr>
        <w:pStyle w:val="Heading2"/>
        <w:rPr/>
      </w:pPr>
      <w:bookmarkStart w:id="36" w:name="__RefHeading___Toc8532_747934028"/>
      <w:bookmarkEnd w:id="36"/>
      <w:r>
        <w:rPr>
          <w:rFonts w:eastAsia="Segoe UI" w:cs="Segoe UI"/>
          <w:b/>
          <w:color w:val="0F4761"/>
          <w:sz w:val="26"/>
        </w:rPr>
        <w:t>12.9  BV-DEF-009: A policy whose premium is only the CTPL tariff cannot be cancelled</w:t>
      </w:r>
    </w:p>
    <w:p>
      <w:pPr>
        <w:pStyle w:val="Normal"/>
        <w:spacing w:lineRule="auto" w:line="276" w:before="0" w:after="120"/>
        <w:rPr/>
      </w:pPr>
      <w:r>
        <w:rPr>
          <w:rFonts w:eastAsia="Segoe UI" w:cs="Segoe UI" w:ascii="Segoe UI" w:hAnsi="Segoe UI"/>
          <w:color w:val="101820"/>
          <w:sz w:val="21"/>
        </w:rPr>
        <w:t>Found in the UAT cycle of the merged release (cancellation for non-payment of POL-2026-00027, a CTPL-only policy): the computed cancellation return merged with the operations and accounting extensions refused every policy with a net premium of 0 (HTTP 409 "has no net premium to compute a return on"). A CTPL-only policy carries the Insurance Commission tariff as its gross premium, taxes and authentication fee included, and no net premium, so the premium warranty cancellation of such a policy was impossible.</w:t>
      </w:r>
    </w:p>
    <w:p>
      <w:pPr>
        <w:pStyle w:val="Normal"/>
        <w:numPr>
          <w:ilvl w:val="0"/>
          <w:numId w:val="1"/>
        </w:numPr>
        <w:spacing w:before="0" w:after="60"/>
        <w:rPr/>
      </w:pPr>
      <w:r>
        <w:rPr>
          <w:rFonts w:eastAsia="Segoe UI" w:cs="Segoe UI" w:ascii="Segoe UI" w:hAnsi="Segoe UI"/>
          <w:color w:val="101820"/>
          <w:sz w:val="21"/>
        </w:rPr>
        <w:t>Workaround: None in the application.</w:t>
      </w:r>
    </w:p>
    <w:p>
      <w:pPr>
        <w:pStyle w:val="Normal"/>
        <w:numPr>
          <w:ilvl w:val="0"/>
          <w:numId w:val="1"/>
        </w:numPr>
        <w:spacing w:before="0" w:after="60"/>
        <w:rPr/>
      </w:pPr>
      <w:r>
        <w:rPr>
          <w:rFonts w:eastAsia="Segoe UI" w:cs="Segoe UI" w:ascii="Segoe UI" w:hAnsi="Segoe UI"/>
          <w:color w:val="101820"/>
          <w:sz w:val="21"/>
        </w:rPr>
        <w:t>Status: Closed. The return of a tariff-only policy is computed on the tariff amount with no premium tax of its own (</w:t>
      </w:r>
      <w:r>
        <w:rPr>
          <w:rFonts w:eastAsia="Consolas" w:cs="Consolas" w:ascii="Consolas" w:hAnsi="Consolas"/>
          <w:color w:val="101820"/>
          <w:sz w:val="19"/>
        </w:rPr>
        <w:t>tariffOnly</w:t>
      </w:r>
      <w:r>
        <w:rPr>
          <w:rFonts w:eastAsia="Segoe UI" w:cs="Segoe UI" w:ascii="Segoe UI" w:hAnsi="Segoe UI"/>
          <w:color w:val="101820"/>
          <w:sz w:val="21"/>
        </w:rPr>
        <w:t xml:space="preserve"> in the calculation; </w:t>
      </w:r>
      <w:r>
        <w:rPr>
          <w:rFonts w:eastAsia="Consolas" w:cs="Consolas" w:ascii="Consolas" w:hAnsi="Consolas"/>
          <w:color w:val="101820"/>
          <w:sz w:val="19"/>
        </w:rPr>
        <w:t>backend/src/modules/cancellations/service.js</w:t>
      </w:r>
      <w:r>
        <w:rPr>
          <w:rFonts w:eastAsia="Segoe UI" w:cs="Segoe UI" w:ascii="Segoe UI" w:hAnsi="Segoe UI"/>
          <w:color w:val="101820"/>
          <w:sz w:val="21"/>
        </w:rPr>
        <w:t xml:space="preserve">), with a test in </w:t>
      </w:r>
      <w:r>
        <w:rPr>
          <w:rFonts w:eastAsia="Consolas" w:cs="Consolas" w:ascii="Consolas" w:hAnsi="Consolas"/>
          <w:color w:val="101820"/>
          <w:sz w:val="19"/>
        </w:rPr>
        <w:t>backend/test/ops-accounting.test.js</w:t>
      </w:r>
      <w:r>
        <w:rPr>
          <w:rFonts w:eastAsia="Segoe UI" w:cs="Segoe UI" w:ascii="Segoe UI" w:hAnsi="Segoe UI"/>
          <w:color w:val="101820"/>
          <w:sz w:val="21"/>
        </w:rPr>
        <w:t>. Re-tested in the UAT cycle (BV-END-013, BV-COL-007, BV-OPX-004).</w:t>
      </w:r>
    </w:p>
    <w:p>
      <w:pPr>
        <w:pStyle w:val="Heading2"/>
        <w:rPr/>
      </w:pPr>
      <w:bookmarkStart w:id="37" w:name="__RefHeading___Toc8534_747934028"/>
      <w:bookmarkEnd w:id="37"/>
      <w:r>
        <w:rPr>
          <w:rFonts w:eastAsia="Segoe UI" w:cs="Segoe UI"/>
          <w:b/>
          <w:color w:val="0F4761"/>
          <w:sz w:val="26"/>
        </w:rPr>
        <w:t>12.10  BV-DEF-010: No Compliance Officer designation in the Designation master</w:t>
      </w:r>
    </w:p>
    <w:p>
      <w:pPr>
        <w:pStyle w:val="Normal"/>
        <w:spacing w:lineRule="auto" w:line="276" w:before="0" w:after="120"/>
        <w:rPr/>
      </w:pPr>
      <w:r>
        <w:rPr>
          <w:rFonts w:eastAsia="Segoe UI" w:cs="Segoe UI" w:ascii="Segoe UI" w:hAnsi="Segoe UI"/>
          <w:color w:val="101820"/>
          <w:sz w:val="21"/>
        </w:rPr>
        <w:t>The compliance officer role is delivered, but a user with that role could not be given the designation "Compliance Officer": neither the Designation master nor the Department master had an entry for it, so the staff record was refused (found when the UAT cycle created the compliance officer persona).</w:t>
      </w:r>
    </w:p>
    <w:p>
      <w:pPr>
        <w:pStyle w:val="Normal"/>
        <w:numPr>
          <w:ilvl w:val="0"/>
          <w:numId w:val="1"/>
        </w:numPr>
        <w:spacing w:before="0" w:after="60"/>
        <w:rPr/>
      </w:pPr>
      <w:r>
        <w:rPr>
          <w:rFonts w:eastAsia="Segoe UI" w:cs="Segoe UI" w:ascii="Segoe UI" w:hAnsi="Segoe UI"/>
          <w:color w:val="101820"/>
          <w:sz w:val="21"/>
        </w:rPr>
        <w:t>Workaround: Add the designation by hand on Master &gt; Generals &gt; Employee Management &gt; Designation.</w:t>
      </w:r>
    </w:p>
    <w:p>
      <w:pPr>
        <w:pStyle w:val="Normal"/>
        <w:numPr>
          <w:ilvl w:val="0"/>
          <w:numId w:val="1"/>
        </w:numPr>
        <w:spacing w:before="0" w:after="60"/>
        <w:rPr/>
      </w:pPr>
      <w:r>
        <w:rPr>
          <w:rFonts w:eastAsia="Segoe UI" w:cs="Segoe UI" w:ascii="Segoe UI" w:hAnsi="Segoe UI"/>
          <w:color w:val="101820"/>
          <w:sz w:val="21"/>
        </w:rPr>
        <w:t xml:space="preserve">Status: Closed. Department CMP (Compliance) and designation DSG-CPO (Compliance Officer) are delivered in the masters seed, with a test in </w:t>
      </w:r>
      <w:r>
        <w:rPr>
          <w:rFonts w:eastAsia="Consolas" w:cs="Consolas" w:ascii="Consolas" w:hAnsi="Consolas"/>
          <w:color w:val="101820"/>
          <w:sz w:val="19"/>
        </w:rPr>
        <w:t>backend/test/masters.test.js</w:t>
      </w:r>
      <w:r>
        <w:rPr>
          <w:rFonts w:eastAsia="Segoe UI" w:cs="Segoe UI" w:ascii="Segoe UI" w:hAnsi="Segoe UI"/>
          <w:color w:val="101820"/>
          <w:sz w:val="21"/>
        </w:rPr>
        <w:t xml:space="preserve"> (BV-USR-002, BV-MST-010).</w:t>
      </w:r>
    </w:p>
    <w:p>
      <w:pPr>
        <w:pStyle w:val="Heading2"/>
        <w:rPr/>
      </w:pPr>
      <w:bookmarkStart w:id="38" w:name="__RefHeading___Toc8536_747934028"/>
      <w:bookmarkEnd w:id="38"/>
      <w:r>
        <w:rPr>
          <w:rFonts w:eastAsia="Segoe UI" w:cs="Segoe UI"/>
          <w:b/>
          <w:color w:val="0F4761"/>
          <w:sz w:val="26"/>
        </w:rPr>
        <w:t>12.11  BV-DEF-011: Data masking: the mobile number an SMS or Viber message was sent to stays in the integration outbox</w:t>
      </w:r>
    </w:p>
    <w:p>
      <w:pPr>
        <w:pStyle w:val="Normal"/>
        <w:spacing w:lineRule="auto" w:line="276" w:before="0" w:after="120"/>
        <w:rPr/>
      </w:pPr>
      <w:r>
        <w:rPr>
          <w:rFonts w:eastAsia="Segoe UI" w:cs="Segoe UI" w:ascii="Segoe UI" w:hAnsi="Segoe UI"/>
          <w:color w:val="101820"/>
          <w:sz w:val="21"/>
        </w:rPr>
        <w:t xml:space="preserve">On a masked copy of the UAT database the verification found 18 client mobile numbers left in </w:t>
      </w:r>
      <w:r>
        <w:rPr>
          <w:rFonts w:eastAsia="Consolas" w:cs="Consolas" w:ascii="Consolas" w:hAnsi="Consolas"/>
          <w:color w:val="101820"/>
          <w:sz w:val="19"/>
        </w:rPr>
        <w:t>integration_outbox.payload</w:t>
      </w:r>
      <w:r>
        <w:rPr>
          <w:rFonts w:eastAsia="Segoe UI" w:cs="Segoe UI" w:ascii="Segoe UI" w:hAnsi="Segoe UI"/>
          <w:color w:val="101820"/>
          <w:sz w:val="21"/>
        </w:rPr>
        <w:t xml:space="preserve"> (exit code 4). The recipient ("to") of a queued SMS or Viber message is a mobile number, but the masking rule for recipient fields handled e-mail addresses only.</w:t>
      </w:r>
    </w:p>
    <w:p>
      <w:pPr>
        <w:pStyle w:val="Normal"/>
        <w:numPr>
          <w:ilvl w:val="0"/>
          <w:numId w:val="1"/>
        </w:numPr>
        <w:spacing w:before="0" w:after="60"/>
        <w:rPr/>
      </w:pPr>
      <w:r>
        <w:rPr>
          <w:rFonts w:eastAsia="Segoe UI" w:cs="Segoe UI" w:ascii="Segoe UI" w:hAnsi="Segoe UI"/>
          <w:color w:val="101820"/>
          <w:sz w:val="21"/>
        </w:rPr>
        <w:t>Workaround: Empty the integration outbox of the copy by hand before handing it over.</w:t>
      </w:r>
    </w:p>
    <w:p>
      <w:pPr>
        <w:pStyle w:val="Normal"/>
        <w:numPr>
          <w:ilvl w:val="0"/>
          <w:numId w:val="1"/>
        </w:numPr>
        <w:spacing w:before="0" w:after="60"/>
        <w:rPr/>
      </w:pPr>
      <w:r>
        <w:rPr>
          <w:rFonts w:eastAsia="Segoe UI" w:cs="Segoe UI" w:ascii="Segoe UI" w:hAnsi="Segoe UI"/>
          <w:color w:val="101820"/>
          <w:sz w:val="21"/>
        </w:rPr>
        <w:t>Status: Closed. A recipient field masks mobile numbers as well as e-mail addresses (</w:t>
      </w:r>
      <w:r>
        <w:rPr>
          <w:rFonts w:eastAsia="Consolas" w:cs="Consolas" w:ascii="Consolas" w:hAnsi="Consolas"/>
          <w:color w:val="101820"/>
          <w:sz w:val="19"/>
        </w:rPr>
        <w:t>backend/scripts/lib/pseudonyms.js</w:t>
      </w:r>
      <w:r>
        <w:rPr>
          <w:rFonts w:eastAsia="Segoe UI" w:cs="Segoe UI" w:ascii="Segoe UI" w:hAnsi="Segoe UI"/>
          <w:color w:val="101820"/>
          <w:sz w:val="21"/>
        </w:rPr>
        <w:t xml:space="preserve">), with a test in </w:t>
      </w:r>
      <w:r>
        <w:rPr>
          <w:rFonts w:eastAsia="Consolas" w:cs="Consolas" w:ascii="Consolas" w:hAnsi="Consolas"/>
          <w:color w:val="101820"/>
          <w:sz w:val="19"/>
        </w:rPr>
        <w:t>backend/test/mask-data.test.js</w:t>
      </w:r>
      <w:r>
        <w:rPr>
          <w:rFonts w:eastAsia="Segoe UI" w:cs="Segoe UI" w:ascii="Segoe UI" w:hAnsi="Segoe UI"/>
          <w:color w:val="101820"/>
          <w:sz w:val="21"/>
        </w:rPr>
        <w:t>. The masking was run again on a fresh copy: verification clean (BV-GLW-010, BV-GLW-011).</w:t>
      </w:r>
    </w:p>
    <w:p>
      <w:pPr>
        <w:pStyle w:val="Heading2"/>
        <w:rPr/>
      </w:pPr>
      <w:bookmarkStart w:id="39" w:name="__RefHeading___Toc8538_747934028"/>
      <w:bookmarkEnd w:id="39"/>
      <w:r>
        <w:rPr>
          <w:rFonts w:eastAsia="Segoe UI" w:cs="Segoe UI"/>
          <w:b/>
          <w:color w:val="0F4761"/>
          <w:sz w:val="26"/>
        </w:rPr>
        <w:t>12.12  BV-DEF-012: Data masking: identifier columns swept as free text; digit runs inside record ids reported as mobile numbers</w:t>
      </w:r>
    </w:p>
    <w:p>
      <w:pPr>
        <w:pStyle w:val="Normal"/>
        <w:spacing w:lineRule="auto" w:line="276" w:before="0" w:after="120"/>
        <w:rPr/>
      </w:pPr>
      <w:r>
        <w:rPr>
          <w:rFonts w:eastAsia="Segoe UI" w:cs="Segoe UI" w:ascii="Segoe UI" w:hAnsi="Segoe UI"/>
          <w:color w:val="101820"/>
          <w:sz w:val="21"/>
        </w:rPr>
        <w:t xml:space="preserve">Text columns that are foreign keys but are not named </w:t>
      </w:r>
      <w:r>
        <w:rPr>
          <w:rFonts w:eastAsia="Consolas" w:cs="Consolas" w:ascii="Consolas" w:hAnsi="Consolas"/>
          <w:color w:val="101820"/>
          <w:sz w:val="19"/>
        </w:rPr>
        <w:t>*_id</w:t>
      </w:r>
      <w:r>
        <w:rPr>
          <w:rFonts w:eastAsia="Segoe UI" w:cs="Segoe UI" w:ascii="Segoe UI" w:hAnsi="Segoe UI"/>
          <w:color w:val="101820"/>
          <w:sz w:val="21"/>
        </w:rPr>
        <w:t xml:space="preserve"> (</w:t>
      </w:r>
      <w:r>
        <w:rPr>
          <w:rFonts w:eastAsia="Consolas" w:cs="Consolas" w:ascii="Consolas" w:hAnsi="Consolas"/>
          <w:color w:val="101820"/>
          <w:sz w:val="19"/>
        </w:rPr>
        <w:t>policies.renewed_from</w:t>
      </w:r>
      <w:r>
        <w:rPr>
          <w:rFonts w:eastAsia="Segoe UI" w:cs="Segoe UI" w:ascii="Segoe UI" w:hAnsi="Segoe UI"/>
          <w:color w:val="101820"/>
          <w:sz w:val="21"/>
        </w:rPr>
        <w:t xml:space="preserve">, </w:t>
      </w:r>
      <w:r>
        <w:rPr>
          <w:rFonts w:eastAsia="Consolas" w:cs="Consolas" w:ascii="Consolas" w:hAnsi="Consolas"/>
          <w:color w:val="101820"/>
          <w:sz w:val="19"/>
        </w:rPr>
        <w:t>renewed_to</w:t>
      </w:r>
      <w:r>
        <w:rPr>
          <w:rFonts w:eastAsia="Segoe UI" w:cs="Segoe UI" w:ascii="Segoe UI" w:hAnsi="Segoe UI"/>
          <w:color w:val="101820"/>
          <w:sz w:val="21"/>
        </w:rPr>
        <w:t>) were swept like free text: a client first name inside a record id (</w:t>
      </w:r>
      <w:r>
        <w:rPr>
          <w:rFonts w:eastAsia="Consolas" w:cs="Consolas" w:ascii="Consolas" w:hAnsi="Consolas"/>
          <w:color w:val="101820"/>
          <w:sz w:val="19"/>
        </w:rPr>
        <w:t>pol_bea...</w:t>
      </w:r>
      <w:r>
        <w:rPr>
          <w:rFonts w:eastAsia="Segoe UI" w:cs="Segoe UI" w:ascii="Segoe UI" w:hAnsi="Segoe UI"/>
          <w:color w:val="101820"/>
          <w:sz w:val="21"/>
        </w:rPr>
        <w:t>) was replaced, the update failed on the foreign key and the run left the copy unmasked. Separately, a digit run inside a record id (</w:t>
      </w:r>
      <w:r>
        <w:rPr>
          <w:rFonts w:eastAsia="Consolas" w:cs="Consolas" w:ascii="Consolas" w:hAnsi="Consolas"/>
          <w:color w:val="101820"/>
          <w:sz w:val="19"/>
        </w:rPr>
        <w:t>pol_0991234567ab</w:t>
      </w:r>
      <w:r>
        <w:rPr>
          <w:rFonts w:eastAsia="Segoe UI" w:cs="Segoe UI" w:ascii="Segoe UI" w:hAnsi="Segoe UI"/>
          <w:color w:val="101820"/>
          <w:sz w:val="21"/>
        </w:rPr>
        <w:t>) matched the mobile number pattern and the verification reported it as personal data left. Both appeared on the final UAT data set, whose generated ids happened to contain such sequences.</w:t>
      </w:r>
    </w:p>
    <w:p>
      <w:pPr>
        <w:pStyle w:val="Normal"/>
        <w:numPr>
          <w:ilvl w:val="0"/>
          <w:numId w:val="1"/>
        </w:numPr>
        <w:spacing w:before="0" w:after="60"/>
        <w:rPr/>
      </w:pPr>
      <w:r>
        <w:rPr>
          <w:rFonts w:eastAsia="Segoe UI" w:cs="Segoe UI" w:ascii="Segoe UI" w:hAnsi="Segoe UI"/>
          <w:color w:val="101820"/>
          <w:sz w:val="21"/>
        </w:rPr>
        <w:t>Workaround: Run again with another salt until the pseudonyms do not collide with an id; discount the verification finding by hand.</w:t>
      </w:r>
    </w:p>
    <w:p>
      <w:pPr>
        <w:pStyle w:val="Normal"/>
        <w:numPr>
          <w:ilvl w:val="0"/>
          <w:numId w:val="1"/>
        </w:numPr>
        <w:spacing w:before="0" w:after="60"/>
        <w:rPr/>
      </w:pPr>
      <w:r>
        <w:rPr>
          <w:rFonts w:eastAsia="Segoe UI" w:cs="Segoe UI" w:ascii="Segoe UI" w:hAnsi="Segoe UI"/>
          <w:color w:val="101820"/>
          <w:sz w:val="21"/>
        </w:rPr>
        <w:t>Status: Closed. Primary and foreign key columns are never swept (read from the database constraints), and a mobile number must stand on its own, not glued to letters or an underscore (</w:t>
      </w:r>
      <w:r>
        <w:rPr>
          <w:rFonts w:eastAsia="Consolas" w:cs="Consolas" w:ascii="Consolas" w:hAnsi="Consolas"/>
          <w:color w:val="101820"/>
          <w:sz w:val="19"/>
        </w:rPr>
        <w:t>backend/scripts/mask-data.js</w:t>
      </w:r>
      <w:r>
        <w:rPr>
          <w:rFonts w:eastAsia="Segoe UI" w:cs="Segoe UI" w:ascii="Segoe UI" w:hAnsi="Segoe UI"/>
          <w:color w:val="101820"/>
          <w:sz w:val="21"/>
        </w:rPr>
        <w:t xml:space="preserve">, </w:t>
      </w:r>
      <w:r>
        <w:rPr>
          <w:rFonts w:eastAsia="Consolas" w:cs="Consolas" w:ascii="Consolas" w:hAnsi="Consolas"/>
          <w:color w:val="101820"/>
          <w:sz w:val="19"/>
        </w:rPr>
        <w:t>backend/scripts/lib/pseudonyms.js</w:t>
      </w:r>
      <w:r>
        <w:rPr>
          <w:rFonts w:eastAsia="Segoe UI" w:cs="Segoe UI" w:ascii="Segoe UI" w:hAnsi="Segoe UI"/>
          <w:color w:val="101820"/>
          <w:sz w:val="21"/>
        </w:rPr>
        <w:t xml:space="preserve">), with tests in </w:t>
      </w:r>
      <w:r>
        <w:rPr>
          <w:rFonts w:eastAsia="Consolas" w:cs="Consolas" w:ascii="Consolas" w:hAnsi="Consolas"/>
          <w:color w:val="101820"/>
          <w:sz w:val="19"/>
        </w:rPr>
        <w:t>backend/test/mask-data.test.js</w:t>
      </w:r>
      <w:r>
        <w:rPr>
          <w:rFonts w:eastAsia="Segoe UI" w:cs="Segoe UI" w:ascii="Segoe UI" w:hAnsi="Segoe UI"/>
          <w:color w:val="101820"/>
          <w:sz w:val="21"/>
        </w:rPr>
        <w:t>. Re-run on a fresh copy: masked, verification clean, encrypted identifiers checked in clear (BV-GLW-010, BV-GLW-011).</w:t>
      </w:r>
    </w:p>
    <w:p>
      <w:pPr>
        <w:pStyle w:val="Heading2"/>
        <w:rPr/>
      </w:pPr>
      <w:bookmarkStart w:id="40" w:name="__RefHeading___Toc8540_747934028"/>
      <w:bookmarkEnd w:id="40"/>
      <w:r>
        <w:rPr>
          <w:rFonts w:eastAsia="Segoe UI" w:cs="Segoe UI"/>
          <w:b/>
          <w:color w:val="0F4761"/>
          <w:sz w:val="26"/>
        </w:rPr>
        <w:t>12.13  BV-DEF-013: Go-live rehearsal: migration workbook filled with the old client address headers and the tariff net premium of discounted policies</w:t>
      </w:r>
    </w:p>
    <w:p>
      <w:pPr>
        <w:pStyle w:val="Normal"/>
        <w:spacing w:lineRule="auto" w:line="276" w:before="0" w:after="120"/>
        <w:rPr/>
      </w:pPr>
      <w:r>
        <w:rPr>
          <w:rFonts w:eastAsia="Segoe UI" w:cs="Segoe UI" w:ascii="Segoe UI" w:hAnsi="Segoe UI"/>
          <w:color w:val="101820"/>
          <w:sz w:val="21"/>
        </w:rPr>
        <w:t>The rehearsal script fills the migration template from the source book with the headers City and Postal Code, which the Philippine address fields of the migration kit renamed City / Municipality and ZIP Code (with Barangay and Region), so step 4 stopped. On the final data set a policy with a quotation discount larger than its taxes had a gross premium below its tariff net premium, which the kit refuses ("Net Premium cannot be more than the Gross Premium").</w:t>
      </w:r>
    </w:p>
    <w:p>
      <w:pPr>
        <w:pStyle w:val="Normal"/>
        <w:numPr>
          <w:ilvl w:val="0"/>
          <w:numId w:val="1"/>
        </w:numPr>
        <w:spacing w:before="0" w:after="60"/>
        <w:rPr/>
      </w:pPr>
      <w:r>
        <w:rPr>
          <w:rFonts w:eastAsia="Segoe UI" w:cs="Segoe UI" w:ascii="Segoe UI" w:hAnsi="Segoe UI"/>
          <w:color w:val="101820"/>
          <w:sz w:val="21"/>
        </w:rPr>
        <w:t>Workaround: Fill the migration workbook by hand from the template.</w:t>
      </w:r>
    </w:p>
    <w:p>
      <w:pPr>
        <w:pStyle w:val="Normal"/>
        <w:numPr>
          <w:ilvl w:val="0"/>
          <w:numId w:val="1"/>
        </w:numPr>
        <w:spacing w:before="0" w:after="60"/>
        <w:rPr/>
      </w:pPr>
      <w:r>
        <w:rPr>
          <w:rFonts w:eastAsia="Segoe UI" w:cs="Segoe UI" w:ascii="Segoe UI" w:hAnsi="Segoe UI"/>
          <w:color w:val="101820"/>
          <w:sz w:val="21"/>
        </w:rPr>
        <w:t>Status: Closed. The rehearsal writes the current address headers and the discounted net premium of such policies (</w:t>
      </w:r>
      <w:r>
        <w:rPr>
          <w:rFonts w:eastAsia="Consolas" w:cs="Consolas" w:ascii="Consolas" w:hAnsi="Consolas"/>
          <w:color w:val="101820"/>
          <w:sz w:val="19"/>
        </w:rPr>
        <w:t>backend/scripts/golive/database.js</w:t>
      </w:r>
      <w:r>
        <w:rPr>
          <w:rFonts w:eastAsia="Segoe UI" w:cs="Segoe UI" w:ascii="Segoe UI" w:hAnsi="Segoe UI"/>
          <w:color w:val="101820"/>
          <w:sz w:val="21"/>
        </w:rPr>
        <w:t>). Re-run: 52 of 52 checks passed (BV-GLW-013, BV-GLW-001).</w:t>
      </w:r>
    </w:p>
    <w:p>
      <w:pPr>
        <w:pStyle w:val="Heading2"/>
        <w:rPr/>
      </w:pPr>
      <w:bookmarkStart w:id="41" w:name="__RefHeading___Toc8542_747934028"/>
      <w:bookmarkEnd w:id="41"/>
      <w:r>
        <w:rPr>
          <w:rFonts w:eastAsia="Segoe UI" w:cs="Segoe UI"/>
          <w:b/>
          <w:color w:val="0F4761"/>
          <w:sz w:val="26"/>
        </w:rPr>
        <w:t>12.14  BV-DEF-014: Incentive statement refused (400) for an agent with a semi-annual result</w:t>
      </w:r>
    </w:p>
    <w:p>
      <w:pPr>
        <w:pStyle w:val="Normal"/>
        <w:spacing w:lineRule="auto" w:line="276" w:before="0" w:after="120"/>
        <w:rPr/>
      </w:pPr>
      <w:r>
        <w:rPr>
          <w:rFonts w:eastAsia="Segoe UI" w:cs="Segoe UI" w:ascii="Segoe UI" w:hAnsi="Segoe UI"/>
          <w:color w:val="101820"/>
          <w:sz w:val="21"/>
        </w:rPr>
        <w:t>Found by the regression run of the release verification (two tests of the sample data). The agent incentive statement labels the periods of the last payment and of the approved results; a result of a semi-annual or quarterly program is keyed by its half or quarter (</w:t>
      </w:r>
      <w:r>
        <w:rPr>
          <w:rFonts w:eastAsia="Consolas" w:cs="Consolas" w:ascii="Consolas" w:hAnsi="Consolas"/>
          <w:color w:val="101820"/>
          <w:sz w:val="19"/>
        </w:rPr>
        <w:t>2026-H1</w:t>
      </w:r>
      <w:r>
        <w:rPr>
          <w:rFonts w:eastAsia="Segoe UI" w:cs="Segoe UI" w:ascii="Segoe UI" w:hAnsi="Segoe UI"/>
          <w:color w:val="101820"/>
          <w:sz w:val="21"/>
        </w:rPr>
        <w:t xml:space="preserve">, </w:t>
      </w:r>
      <w:r>
        <w:rPr>
          <w:rFonts w:eastAsia="Consolas" w:cs="Consolas" w:ascii="Consolas" w:hAnsi="Consolas"/>
          <w:color w:val="101820"/>
          <w:sz w:val="19"/>
        </w:rPr>
        <w:t>2026-Q3</w:t>
      </w:r>
      <w:r>
        <w:rPr>
          <w:rFonts w:eastAsia="Segoe UI" w:cs="Segoe UI" w:ascii="Segoe UI" w:hAnsi="Segoe UI"/>
          <w:color w:val="101820"/>
          <w:sz w:val="21"/>
        </w:rPr>
        <w:t>), which the period reader did not know, so the statement of such an agent answered HTTP 400 ("period must be YYYY-MM") whenever that result fell in the last payment group. It shows on a database server in Manila time, where the monthly and the half-year payments of the sample data share one timestamp.</w:t>
      </w:r>
    </w:p>
    <w:p>
      <w:pPr>
        <w:pStyle w:val="Normal"/>
        <w:numPr>
          <w:ilvl w:val="0"/>
          <w:numId w:val="1"/>
        </w:numPr>
        <w:spacing w:before="0" w:after="60"/>
        <w:rPr/>
      </w:pPr>
      <w:r>
        <w:rPr>
          <w:rFonts w:eastAsia="Segoe UI" w:cs="Segoe UI" w:ascii="Segoe UI" w:hAnsi="Segoe UI"/>
          <w:color w:val="101820"/>
          <w:sz w:val="21"/>
        </w:rPr>
        <w:t>Workaround: Open the statement of a month with no semi-annual result in the last payment.</w:t>
      </w:r>
    </w:p>
    <w:p>
      <w:pPr>
        <w:pStyle w:val="Normal"/>
        <w:numPr>
          <w:ilvl w:val="0"/>
          <w:numId w:val="1"/>
        </w:numPr>
        <w:spacing w:before="0" w:after="60"/>
        <w:rPr/>
      </w:pPr>
      <w:r>
        <w:rPr>
          <w:rFonts w:eastAsia="Segoe UI" w:cs="Segoe UI" w:ascii="Segoe UI" w:hAnsi="Segoe UI"/>
          <w:color w:val="101820"/>
          <w:sz w:val="21"/>
        </w:rPr>
        <w:t xml:space="preserve">Status: Closed. The period reader understands quarter and half-year keys (label "January to June 2026"; </w:t>
      </w:r>
      <w:r>
        <w:rPr>
          <w:rFonts w:eastAsia="Consolas" w:cs="Consolas" w:ascii="Consolas" w:hAnsi="Consolas"/>
          <w:color w:val="101820"/>
          <w:sz w:val="19"/>
        </w:rPr>
        <w:t>backend/src/modules/incentive/service.js</w:t>
      </w:r>
      <w:r>
        <w:rPr>
          <w:rFonts w:eastAsia="Segoe UI" w:cs="Segoe UI" w:ascii="Segoe UI" w:hAnsi="Segoe UI"/>
          <w:color w:val="101820"/>
          <w:sz w:val="21"/>
        </w:rPr>
        <w:t xml:space="preserve">), with a test in </w:t>
      </w:r>
      <w:r>
        <w:rPr>
          <w:rFonts w:eastAsia="Consolas" w:cs="Consolas" w:ascii="Consolas" w:hAnsi="Consolas"/>
          <w:color w:val="101820"/>
          <w:sz w:val="19"/>
        </w:rPr>
        <w:t>backend/test/incentive.test.js</w:t>
      </w:r>
      <w:r>
        <w:rPr>
          <w:rFonts w:eastAsia="Segoe UI" w:cs="Segoe UI" w:ascii="Segoe UI" w:hAnsi="Segoe UI"/>
          <w:color w:val="101820"/>
          <w:sz w:val="21"/>
        </w:rPr>
        <w:t>; the regression suite was run again in full (BV-INC-004, BV-INC-005).</w:t>
      </w:r>
    </w:p>
    <w:p>
      <w:pPr>
        <w:pStyle w:val="Normal"/>
        <w:spacing w:lineRule="auto" w:line="276" w:before="0" w:after="120"/>
        <w:rPr/>
      </w:pPr>
      <w:r>
        <w:rPr>
          <w:rFonts w:eastAsia="Segoe UI" w:cs="Segoe UI" w:ascii="Segoe UI" w:hAnsi="Segoe UI"/>
          <w:color w:val="101820"/>
          <w:sz w:val="21"/>
        </w:rPr>
        <w:t>Open items by severity: Critical 0, High 0, Medium 1, Low 0. Six items were closed on 03 October 2026; BV-DEF-003 and the six defects of the release verification were closed on 04 October 2026.</w:t>
      </w:r>
      <w:r>
        <w:br w:type="page"/>
      </w:r>
    </w:p>
    <w:p>
      <w:pPr>
        <w:pStyle w:val="Heading1"/>
        <w:rPr/>
      </w:pPr>
      <w:bookmarkStart w:id="42" w:name="__RefHeading___Toc8544_747934028"/>
      <w:bookmarkEnd w:id="42"/>
      <w:r>
        <w:rPr>
          <w:rFonts w:eastAsia="Segoe UI" w:cs="Segoe UI" w:ascii="Segoe UI" w:hAnsi="Segoe UI"/>
          <w:b/>
          <w:color w:val="0F4761"/>
          <w:sz w:val="32"/>
        </w:rPr>
        <w:t>13.  Entry and exit criteria</w:t>
      </w:r>
    </w:p>
    <w:p>
      <w:pPr>
        <w:pStyle w:val="Heading2"/>
        <w:rPr/>
      </w:pPr>
      <w:bookmarkStart w:id="43" w:name="__RefHeading___Toc8546_747934028"/>
      <w:bookmarkEnd w:id="43"/>
      <w:r>
        <w:rPr>
          <w:rFonts w:eastAsia="Segoe UI" w:cs="Segoe UI"/>
          <w:b/>
          <w:color w:val="0F4761"/>
          <w:sz w:val="26"/>
        </w:rPr>
        <w:t>13.1  Entry criteria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07"/>
        <w:gridCol w:w="906"/>
      </w:tblGrid>
      <w:tr>
        <w:trPr>
          <w:tblHeader w:val="true"/>
        </w:trPr>
        <w:tc>
          <w:tcPr>
            <w:tcW w:w="81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Criterion</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Met</w:t>
            </w:r>
          </w:p>
        </w:tc>
      </w:tr>
      <w:tr>
        <w:trPr/>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branch built; CI suites runnable on PostgreSQL 16</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r>
      <w:tr>
        <w:trPr/>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Fresh PostgreSQL database seeded with reference data</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r>
      <w:tr>
        <w:trPr/>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test user per role, plus a second user where maker and checker are needed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r>
      <w:tr>
        <w:trPr/>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data set loaded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r>
      <w:tr>
        <w:trPr/>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reviewed and mapped to evidence and to the process catalogue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r>
    </w:tbl>
    <w:p>
      <w:pPr>
        <w:pStyle w:val="Normal"/>
        <w:spacing w:before="0" w:after="80"/>
        <w:rPr/>
      </w:pPr>
      <w:r>
        <w:rPr/>
      </w:r>
    </w:p>
    <w:p>
      <w:pPr>
        <w:pStyle w:val="Heading2"/>
        <w:rPr/>
      </w:pPr>
      <w:bookmarkStart w:id="44" w:name="__RefHeading___Toc8548_747934028"/>
      <w:bookmarkEnd w:id="44"/>
      <w:r>
        <w:rPr>
          <w:rFonts w:eastAsia="Segoe UI" w:cs="Segoe UI"/>
          <w:b/>
          <w:color w:val="0F4761"/>
          <w:sz w:val="26"/>
        </w:rPr>
        <w:t>13.2  Exit criteria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Criterion</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High priority cases executed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met for 1 case: BV-SEC-013 (Blocked, needs SMTP); the other 313 High cases executed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open Critical or High defect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End-to-end cycle without failed step</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 (433 of 433 on the merged release)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rehearsal without failed check</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 (52 of 52)</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regression run without failure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 (1,113 of 1,113 on 04 October 2026, merged release)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tests without failure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 (162 of 162 on 04 October 2026)</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B compliance tests without failure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 on the release branch (36 of 36)</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masking of a copy verified clean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 (168 columns of 63 tables and 156 files masked; verification clean; encrypted identifiers compared in clear)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Rehearsal environments mirrored after the rehearsal</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 (2,820 configuration rows identical, 0 different; 1 row added by the rehearsal's own go-live lock check; 11 environment-specific values)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process of the catalogue traced to a test case or a document review</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 (150 of 150)</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menu screen loads without error for the administrator and the Accounting roles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 in the screen check of 03 October 2026 (173, 96 and 96 screens); the screens added since are covered by the front-end screen tests and are to be included in the next screen sweep</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Medium and Low items have a workaround and a target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w:t>
            </w:r>
          </w:p>
        </w:tc>
      </w:tr>
    </w:tbl>
    <w:p>
      <w:pPr>
        <w:pStyle w:val="Heading1"/>
        <w:rPr/>
      </w:pPr>
      <w:r>
        <w:br w:type="page"/>
      </w:r>
      <w:bookmarkStart w:id="45" w:name="__RefHeading___Toc8550_747934028"/>
      <w:bookmarkEnd w:id="45"/>
      <w:r>
        <w:rPr>
          <w:rFonts w:eastAsia="Segoe UI" w:cs="Segoe UI" w:ascii="Segoe UI" w:hAnsi="Segoe UI"/>
          <w:b/>
          <w:color w:val="0F4761"/>
          <w:sz w:val="32"/>
        </w:rPr>
        <w:t>14.  Re-test and regression after fixes (03 October 2026)</w:t>
      </w:r>
    </w:p>
    <w:p>
      <w:pPr>
        <w:pStyle w:val="Normal"/>
        <w:spacing w:lineRule="auto" w:line="276" w:before="0" w:after="120"/>
        <w:rPr/>
      </w:pPr>
      <w:r>
        <w:rPr>
          <w:rFonts w:eastAsia="Segoe UI" w:cs="Segoe UI" w:ascii="Segoe UI" w:hAnsi="Segoe UI"/>
          <w:color w:val="101820"/>
          <w:sz w:val="21"/>
        </w:rPr>
        <w:t>After the first run, the open defects and the gaps found in the user manual walk-through were fixed on 03 October 2026, together with the e-mail attachments, the approval notifications, the single source of currency and tax settings, the consolidation of duplicated screens and the screen stability pass. The fixed cases were then re-tested on a fresh database loaded with the UAT data set: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9"/>
        <w:gridCol w:w="4754"/>
      </w:tblGrid>
      <w:tr>
        <w:trPr>
          <w:tblHeader w:val="true"/>
        </w:trPr>
        <w:tc>
          <w:tcPr>
            <w:tcW w:w="42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c>
          <w:tcPr>
            <w:tcW w:w="4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Result</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regression suite</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717 of 717 tests passed (72 test files)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tests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53 of 53 passed; lint without errors; production build compiles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End-to-end UAT scenario on a fresh database</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371 of 371 steps passed; two remittances above PHP 1,000,000.00 were refused for Accounting and approved by an Accounting Manager, as the Authority Matrix requires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sweep at 1440 px</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Administrator 173 screens, Accounting 96, Accounting Manager 96: no refused request, no console error, no clipped element, no horizontal scroll</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privacy through the API</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 recorded and read back; request DSR-2026-00001 logged with a due date 15 days after receipt; personal data export produced; anonymisation refused for a client with a policy in force</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column shown on the Rating Engine, Coverage Builder, Acceptance Rules and Document Manager lists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Six test cases moved from Fail to Pass (BV-SEC-034, BV-SEC-035, BV-MST-019, BV-PCF-005, BV-RBA-016, BV-RBA-019) and six items were closed (BV-DEF-002, BV-DEF-004, BV-OBS-005, BV-DEF-006, BV-OBS-007, BV-OBS-008).</w:t>
      </w:r>
      <w:r>
        <w:br w:type="page"/>
      </w:r>
    </w:p>
    <w:p>
      <w:pPr>
        <w:pStyle w:val="Heading1"/>
        <w:rPr/>
      </w:pPr>
      <w:bookmarkStart w:id="46" w:name="__RefHeading___Toc8552_747934028"/>
      <w:bookmarkEnd w:id="46"/>
      <w:r>
        <w:rPr>
          <w:rFonts w:eastAsia="Segoe UI" w:cs="Segoe UI" w:ascii="Segoe UI" w:hAnsi="Segoe UI"/>
          <w:b/>
          <w:color w:val="0F4761"/>
          <w:sz w:val="32"/>
        </w:rPr>
        <w:t>15.  Release verification on the merged release (04 October 2026)</w:t>
      </w:r>
    </w:p>
    <w:p>
      <w:pPr>
        <w:pStyle w:val="Normal"/>
        <w:spacing w:lineRule="auto" w:line="276" w:before="0" w:after="120"/>
        <w:rPr/>
      </w:pPr>
      <w:r>
        <w:rPr>
          <w:rFonts w:eastAsia="Segoe UI" w:cs="Segoe UI" w:ascii="Segoe UI" w:hAnsi="Segoe UI"/>
          <w:color w:val="101820"/>
          <w:sz w:val="21"/>
        </w:rPr>
        <w:t xml:space="preserve">With every package merged into </w:t>
      </w:r>
      <w:r>
        <w:rPr>
          <w:rFonts w:eastAsia="Consolas" w:cs="Consolas" w:ascii="Consolas" w:hAnsi="Consolas"/>
          <w:color w:val="101820"/>
          <w:sz w:val="19"/>
        </w:rPr>
        <w:t>brokerverse-platform</w:t>
      </w:r>
      <w:r>
        <w:rPr>
          <w:rFonts w:eastAsia="Segoe UI" w:cs="Segoe UI" w:ascii="Segoe UI" w:hAnsi="Segoe UI"/>
          <w:color w:val="101820"/>
          <w:sz w:val="21"/>
        </w:rPr>
        <w:t>, the release was verified end to end on the final code, on its own PostgreSQL 16 cluster, with the API started the way the Environment Strategy document prescribes for production (</w:t>
      </w:r>
      <w:r>
        <w:rPr>
          <w:rFonts w:eastAsia="Consolas" w:cs="Consolas" w:ascii="Consolas" w:hAnsi="Consolas"/>
          <w:color w:val="101820"/>
          <w:sz w:val="19"/>
        </w:rPr>
        <w:t>NODE_ENV=production</w:t>
      </w:r>
      <w:r>
        <w:rPr>
          <w:rFonts w:eastAsia="Segoe UI" w:cs="Segoe UI" w:ascii="Segoe UI" w:hAnsi="Segoe UI"/>
          <w:color w:val="101820"/>
          <w:sz w:val="21"/>
        </w:rPr>
        <w:t xml:space="preserve">, own </w:t>
      </w:r>
      <w:r>
        <w:rPr>
          <w:rFonts w:eastAsia="Consolas" w:cs="Consolas" w:ascii="Consolas" w:hAnsi="Consolas"/>
          <w:color w:val="101820"/>
          <w:sz w:val="19"/>
        </w:rPr>
        <w:t>JWT_SECRET</w:t>
      </w:r>
      <w:r>
        <w:rPr>
          <w:rFonts w:eastAsia="Segoe UI" w:cs="Segoe UI" w:ascii="Segoe UI" w:hAnsi="Segoe UI"/>
          <w:color w:val="101820"/>
          <w:sz w:val="21"/>
        </w:rPr>
        <w:t xml:space="preserve">, </w:t>
      </w:r>
      <w:r>
        <w:rPr>
          <w:rFonts w:eastAsia="Consolas" w:cs="Consolas" w:ascii="Consolas" w:hAnsi="Consolas"/>
          <w:color w:val="101820"/>
          <w:sz w:val="19"/>
        </w:rPr>
        <w:t>DATA_ENCRYPTION_KEY</w:t>
      </w:r>
      <w:r>
        <w:rPr>
          <w:rFonts w:eastAsia="Segoe UI" w:cs="Segoe UI" w:ascii="Segoe UI" w:hAnsi="Segoe UI"/>
          <w:color w:val="101820"/>
          <w:sz w:val="21"/>
        </w:rPr>
        <w:t xml:space="preserve"> and </w:t>
      </w:r>
      <w:r>
        <w:rPr>
          <w:rFonts w:eastAsia="Consolas" w:cs="Consolas" w:ascii="Consolas" w:hAnsi="Consolas"/>
          <w:color w:val="101820"/>
          <w:sz w:val="19"/>
        </w:rPr>
        <w:t>PII_ENCRYPTION_KEY</w:t>
      </w:r>
      <w:r>
        <w:rPr>
          <w:rFonts w:eastAsia="Segoe UI" w:cs="Segoe UI" w:ascii="Segoe UI" w:hAnsi="Segoe UI"/>
          <w:color w:val="101820"/>
          <w:sz w:val="21"/>
        </w:rPr>
        <w:t xml:space="preserve">, </w:t>
      </w:r>
      <w:r>
        <w:rPr>
          <w:rFonts w:eastAsia="Consolas" w:cs="Consolas" w:ascii="Consolas" w:hAnsi="Consolas"/>
          <w:color w:val="101820"/>
          <w:sz w:val="19"/>
        </w:rPr>
        <w:t>SEED_SAMPLE_DATA=false</w:t>
      </w:r>
      <w:r>
        <w:rPr>
          <w:rFonts w:eastAsia="Segoe UI" w:cs="Segoe UI" w:ascii="Segoe UI" w:hAnsi="Segoe UI"/>
          <w:color w:val="101820"/>
          <w:sz w:val="21"/>
        </w:rPr>
        <w:t xml:space="preserve">, </w:t>
      </w:r>
      <w:r>
        <w:rPr>
          <w:rFonts w:eastAsia="Consolas" w:cs="Consolas" w:ascii="Consolas" w:hAnsi="Consolas"/>
          <w:color w:val="101820"/>
          <w:sz w:val="19"/>
        </w:rPr>
        <w:t>CORS_ORIGINS</w:t>
      </w:r>
      <w:r>
        <w:rPr>
          <w:rFonts w:eastAsia="Segoe UI" w:cs="Segoe UI" w:ascii="Segoe UI" w:hAnsi="Segoe UI"/>
          <w:color w:val="101820"/>
          <w:sz w:val="21"/>
        </w:rPr>
        <w:t xml:space="preserve"> and </w:t>
      </w:r>
      <w:r>
        <w:rPr>
          <w:rFonts w:eastAsia="Consolas" w:cs="Consolas" w:ascii="Consolas" w:hAnsi="Consolas"/>
          <w:color w:val="101820"/>
          <w:sz w:val="19"/>
        </w:rPr>
        <w:t>PUBLIC_BASE_URL</w:t>
      </w:r>
      <w:r>
        <w:rPr>
          <w:rFonts w:eastAsia="Segoe UI" w:cs="Segoe UI" w:ascii="Segoe UI" w:hAnsi="Segoe UI"/>
          <w:color w:val="101820"/>
          <w:sz w:val="21"/>
        </w:rPr>
        <w:t xml:space="preserve"> set, scheduler off).</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54"/>
        <w:gridCol w:w="4055"/>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40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ran</w:t>
            </w:r>
          </w:p>
        </w:tc>
        <w:tc>
          <w:tcPr>
            <w:tcW w:w="40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Result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scenario (</w:t>
            </w:r>
            <w:r>
              <w:rPr>
                <w:rFonts w:eastAsia="Consolas" w:cs="Consolas" w:ascii="Consolas" w:hAnsi="Consolas"/>
                <w:color w:val="101820"/>
                <w:kern w:val="0"/>
                <w:sz w:val="16"/>
                <w:szCs w:val="24"/>
                <w:lang w:val="en-US" w:eastAsia="ja-JP" w:bidi="ar-SA"/>
              </w:rPr>
              <w:t>node backend/scripts/uat-scenario.js</w:t>
            </w:r>
            <w:r>
              <w:rPr>
                <w:rFonts w:eastAsia="Segoe UI" w:cs="Segoe UI" w:ascii="Segoe UI" w:hAnsi="Segoe UI"/>
                <w:color w:val="101820"/>
                <w:kern w:val="0"/>
                <w:sz w:val="18"/>
                <w:szCs w:val="24"/>
                <w:lang w:val="en-US" w:eastAsia="ja-JP" w:bidi="ar-SA"/>
              </w:rPr>
              <w:t>) on a fresh database: migrations, reference data seed, then the whole broking cycle with one user per role</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433 of 433 steps passed, 2,168 API calls, 29 seconds. First run: 3 steps failed (BV-DEF-009; the licence check on a sub-agent and the Dealer Production report, both set-up gaps of the scenario, see below); final run clean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rehearsal (</w:t>
            </w:r>
            <w:r>
              <w:rPr>
                <w:rFonts w:eastAsia="Consolas" w:cs="Consolas" w:ascii="Consolas" w:hAnsi="Consolas"/>
                <w:color w:val="101820"/>
                <w:kern w:val="0"/>
                <w:sz w:val="16"/>
                <w:szCs w:val="24"/>
                <w:lang w:val="en-US" w:eastAsia="ja-JP" w:bidi="ar-SA"/>
              </w:rPr>
              <w:t>npm run rehearsal:golive</w:t>
            </w:r>
            <w:r>
              <w:rPr>
                <w:rFonts w:eastAsia="Segoe UI" w:cs="Segoe UI" w:ascii="Segoe UI" w:hAnsi="Segoe UI"/>
                <w:color w:val="101820"/>
                <w:kern w:val="0"/>
                <w:sz w:val="18"/>
                <w:szCs w:val="24"/>
                <w:lang w:val="en-US" w:eastAsia="ja-JP" w:bidi="ar-SA"/>
              </w:rPr>
              <w:t>) between the UAT environment (SOURCE) and a fresh environment (TARGET), both on the cluster</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52 of 52 checks passed (configuration promoted with 3 deliberate errors found and fixed, smoke test and transaction reset, migration of 60 clients, 68 in-force policies and 24 open items with reconciliation, new and migrated business side by side, go-live lock, promotion check). First run stopped at step 4 (BV-DEF-013)</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masking (</w:t>
            </w:r>
            <w:r>
              <w:rPr>
                <w:rFonts w:eastAsia="Consolas" w:cs="Consolas" w:ascii="Consolas" w:hAnsi="Consolas"/>
                <w:color w:val="101820"/>
                <w:kern w:val="0"/>
                <w:sz w:val="16"/>
                <w:szCs w:val="24"/>
                <w:lang w:val="en-US" w:eastAsia="ja-JP" w:bidi="ar-SA"/>
              </w:rPr>
              <w:t>npm run mask:data</w:t>
            </w:r>
            <w:r>
              <w:rPr>
                <w:rFonts w:eastAsia="Segoe UI" w:cs="Segoe UI" w:ascii="Segoe UI" w:hAnsi="Segoe UI"/>
                <w:color w:val="101820"/>
                <w:kern w:val="0"/>
                <w:sz w:val="18"/>
                <w:szCs w:val="24"/>
                <w:lang w:val="en-US" w:eastAsia="ja-JP" w:bidi="ar-SA"/>
              </w:rPr>
              <w:t xml:space="preserve">) on a copy of the UAT database restored from a dump: production registered, copy re-marked with </w:t>
            </w:r>
            <w:r>
              <w:rPr>
                <w:rFonts w:eastAsia="Consolas" w:cs="Consolas" w:ascii="Consolas" w:hAnsi="Consolas"/>
                <w:color w:val="101820"/>
                <w:kern w:val="0"/>
                <w:sz w:val="16"/>
                <w:szCs w:val="24"/>
                <w:lang w:val="en-US" w:eastAsia="ja-JP" w:bidi="ar-SA"/>
              </w:rPr>
              <w:t>--remark-copy</w:t>
            </w:r>
            <w:r>
              <w:rPr>
                <w:rFonts w:eastAsia="Segoe UI" w:cs="Segoe UI" w:ascii="Segoe UI" w:hAnsi="Segoe UI"/>
                <w:color w:val="101820"/>
                <w:kern w:val="0"/>
                <w:sz w:val="18"/>
                <w:szCs w:val="24"/>
                <w:lang w:val="en-US" w:eastAsia="ja-JP" w:bidi="ar-SA"/>
              </w:rPr>
              <w:t xml:space="preserve">, dry run, </w:t>
            </w:r>
            <w:r>
              <w:rPr>
                <w:rFonts w:eastAsia="Consolas" w:cs="Consolas" w:ascii="Consolas" w:hAnsi="Consolas"/>
                <w:color w:val="101820"/>
                <w:kern w:val="0"/>
                <w:sz w:val="16"/>
                <w:szCs w:val="24"/>
                <w:lang w:val="en-US" w:eastAsia="ja-JP" w:bidi="ar-SA"/>
              </w:rPr>
              <w:t>--execute</w:t>
            </w:r>
            <w:r>
              <w:rPr>
                <w:rFonts w:eastAsia="Segoe UI" w:cs="Segoe UI" w:ascii="Segoe UI" w:hAnsi="Segoe UI"/>
                <w:color w:val="101820"/>
                <w:kern w:val="0"/>
                <w:sz w:val="18"/>
                <w:szCs w:val="24"/>
                <w:lang w:val="en-US" w:eastAsia="ja-JP" w:bidi="ar-SA"/>
              </w:rPr>
              <w:t xml:space="preserve"> with the file storage, </w:t>
            </w:r>
            <w:r>
              <w:rPr>
                <w:rFonts w:eastAsia="Consolas" w:cs="Consolas" w:ascii="Consolas" w:hAnsi="Consolas"/>
                <w:color w:val="101820"/>
                <w:kern w:val="0"/>
                <w:sz w:val="16"/>
                <w:szCs w:val="24"/>
                <w:lang w:val="en-US" w:eastAsia="ja-JP" w:bidi="ar-SA"/>
              </w:rPr>
              <w:t>--verify-only</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168 columns of 63 tables masked, 5 tables emptied, 156 files replaced by placeholders, 13 staff accounts reset; "Verification: no e-mail address, mobile number or TIN left unmasked." The encrypted identifier columns (clients.id_number and tin, client_signatories.id_number, client_beneficial_owners.id_number, leads.tax_number) and the AML screening names were decrypted on both databases and compared: no original value left, cipher text kept. First runs failed (BV-DEF-011, BV-DEF-012)</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comparison (</w:t>
            </w:r>
            <w:r>
              <w:rPr>
                <w:rFonts w:eastAsia="Consolas" w:cs="Consolas" w:ascii="Consolas" w:hAnsi="Consolas"/>
                <w:color w:val="101820"/>
                <w:kern w:val="0"/>
                <w:sz w:val="16"/>
                <w:szCs w:val="24"/>
                <w:lang w:val="en-US" w:eastAsia="ja-JP" w:bidi="ar-SA"/>
              </w:rPr>
              <w:t>npm run compare:environments</w:t>
            </w:r>
            <w:r>
              <w:rPr>
                <w:rFonts w:eastAsia="Segoe UI" w:cs="Segoe UI" w:ascii="Segoe UI" w:hAnsi="Segoe UI"/>
                <w:color w:val="101820"/>
                <w:kern w:val="0"/>
                <w:sz w:val="18"/>
                <w:szCs w:val="24"/>
                <w:lang w:val="en-US" w:eastAsia="ja-JP" w:bidi="ar-SA"/>
              </w:rPr>
              <w:t>) between the two rehearsal environments</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2,820 configuration rows identical, 0 different, 0 only in SOURCE, 1 only in TARGET (the write-off reason GLR-ROUND the rehearsal adds in step 6 to prove the lock accepts configuration, listed by its own step 7), 11 environment-specific values (cutover date, numbering counters)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regression run and lint on the merged release</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1,113 of 1,113 tests passed, lint clean. First run: 2 tests failed on the sample data (BV-DEF-014); run again in full after the fix</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Changes made to the scenario so that it sets its data up the way a broker would, found in step 1: a compliance officer persona (imelda.navarro) who records the licences of the two sub-agent referrers on the licence register before their commission is approved (the IC licence check of package B blocks the payout otherwise); the car dealer tie-up as a distribution channel (dealer group and branch linked to the dealer's F&amp;I officer), with the dealer-sourced motor prospects tagged with the branch so that the Dealer Production report of the distribution package has rows; a customer due diligence phase (government ID of every retail client, SEC registration, signatory and beneficial owners of every corporate client, one PEP-owned client rated High with its EDD review prepared by Operations and approved by the compliance officer); and the package G steps (sales activities, quotation priced on the covers chosen, supplier invoice with EWT and BIR 2307, fixed asset disposal).</w:t>
      </w:r>
      <w:r>
        <w:br w:type="page"/>
      </w:r>
    </w:p>
    <w:p>
      <w:pPr>
        <w:pStyle w:val="Heading1"/>
        <w:rPr/>
      </w:pPr>
      <w:bookmarkStart w:id="47" w:name="__RefHeading___Toc8554_747934028"/>
      <w:bookmarkEnd w:id="47"/>
      <w:r>
        <w:rPr>
          <w:rFonts w:eastAsia="Segoe UI" w:cs="Segoe UI" w:ascii="Segoe UI" w:hAnsi="Segoe UI"/>
          <w:b/>
          <w:color w:val="0F4761"/>
          <w:sz w:val="32"/>
        </w:rPr>
        <w:t>16.  Release recommendation</w:t>
      </w:r>
    </w:p>
    <w:p>
      <w:pPr>
        <w:pStyle w:val="Normal"/>
        <w:spacing w:lineRule="auto" w:line="276" w:before="0" w:after="120"/>
        <w:rPr/>
      </w:pPr>
      <w:r>
        <w:rPr>
          <w:rFonts w:eastAsia="Segoe UI" w:cs="Segoe UI" w:ascii="Segoe UI" w:hAnsi="Segoe UI"/>
          <w:color w:val="101820"/>
          <w:sz w:val="21"/>
        </w:rPr>
        <w:t>From the test point of view the release can go to market: no Critical or High defect is open, the one open Medium item (BV-DEF-001) has a workaround and a target release, every automated test of the merged release branch passes, and the end-to-end cycle, the go-live rehearsal, the data masking with its verification and the environment comparison pass on the final code. Packages B and G are merged, their test cases executed. Before the release tag: add the new screens to the screen sweep. The conditions for the first production go-live (mail server, external penetration and load tests, client configuration and acceptance) are set out in the Go/No-Go Recommendation and Management Register.</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48" w:name="__RefHeading___Toc8556_747934028"/>
      <w:bookmarkStart w:id="49" w:name="_Toc233203395"/>
      <w:bookmarkEnd w:id="48"/>
      <w:r>
        <w:rPr>
          <w:rStyle w:val="BookTitle"/>
          <w:bCs w:val="false"/>
          <w:i w:val="false"/>
          <w:iCs w:val="false"/>
          <w:spacing w:val="0"/>
        </w:rPr>
        <w:t>17.  Document Sign-Off</w:t>
      </w:r>
      <w:bookmarkEnd w:id="49"/>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 defect open (Medium: BV-DEF-001); 3 cases blocked until SMTP is available; 8 cases not run (6 screen-only or timed checks from the first cycle, 2 Philippine master screen checks); see the chapter Defects and observations</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37">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6">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6">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2026-10-04T11:47:36Z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