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24.png" ContentType="image/png"/>
  <Override PartName="/word/media/image22.png" ContentType="image/png"/>
  <Override PartName="/word/media/image1.jpeg" ContentType="image/jpeg"/>
  <Override PartName="/word/media/image10.png" ContentType="image/png"/>
  <Override PartName="/word/media/image23.jpeg" ContentType="image/jpeg"/>
  <Override PartName="/word/media/image21.png" ContentType="image/png"/>
  <Override PartName="/word/media/image19.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6.png" ContentType="image/png"/>
  <Override PartName="/word/media/image7.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83">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94">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84"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86"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88"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04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04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90"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Process Flow Document</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Process Flow Document</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92"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BrokerVerse OOTB end-to-end business flows</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BrokerVerse OOTB end-to-end business flows</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9251_1497462395">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19253_1497462395">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19255_1497462395">
            <w:r>
              <w:rPr>
                <w:webHidden/>
                <w:rStyle w:val="IndexLink"/>
              </w:rPr>
              <w:t>3. Introduction</w:t>
              <w:tab/>
              <w:t>6</w:t>
            </w:r>
          </w:hyperlink>
        </w:p>
        <w:p>
          <w:pPr>
            <w:pStyle w:val="TOC2"/>
            <w:tabs>
              <w:tab w:val="clear" w:pos="900"/>
              <w:tab w:val="clear" w:pos="9350"/>
              <w:tab w:val="right" w:pos="9025" w:leader="dot"/>
            </w:tabs>
            <w:rPr/>
          </w:pPr>
          <w:hyperlink w:anchor="__RefHeading___Toc19257_1497462395">
            <w:r>
              <w:rPr>
                <w:webHidden/>
                <w:rStyle w:val="IndexLink"/>
              </w:rPr>
              <w:t>3.1 Purpose</w:t>
              <w:tab/>
              <w:t>6</w:t>
            </w:r>
          </w:hyperlink>
        </w:p>
        <w:p>
          <w:pPr>
            <w:pStyle w:val="TOC2"/>
            <w:tabs>
              <w:tab w:val="clear" w:pos="900"/>
              <w:tab w:val="clear" w:pos="9350"/>
              <w:tab w:val="right" w:pos="9025" w:leader="dot"/>
            </w:tabs>
            <w:rPr/>
          </w:pPr>
          <w:hyperlink w:anchor="__RefHeading___Toc19259_1497462395">
            <w:r>
              <w:rPr>
                <w:webHidden/>
                <w:rStyle w:val="IndexLink"/>
              </w:rPr>
              <w:t>3.2 How to read a flow</w:t>
              <w:tab/>
              <w:t>6</w:t>
            </w:r>
          </w:hyperlink>
        </w:p>
        <w:p>
          <w:pPr>
            <w:pStyle w:val="TOC2"/>
            <w:tabs>
              <w:tab w:val="clear" w:pos="900"/>
              <w:tab w:val="clear" w:pos="9350"/>
              <w:tab w:val="right" w:pos="9025" w:leader="dot"/>
            </w:tabs>
            <w:rPr/>
          </w:pPr>
          <w:hyperlink w:anchor="__RefHeading___Toc19261_1497462395">
            <w:r>
              <w:rPr>
                <w:webHidden/>
                <w:rStyle w:val="IndexLink"/>
              </w:rPr>
              <w:t>3.3 Roles</w:t>
              <w:tab/>
              <w:t>6</w:t>
            </w:r>
          </w:hyperlink>
        </w:p>
        <w:p>
          <w:pPr>
            <w:pStyle w:val="TOC2"/>
            <w:tabs>
              <w:tab w:val="clear" w:pos="900"/>
              <w:tab w:val="clear" w:pos="9350"/>
              <w:tab w:val="right" w:pos="9025" w:leader="dot"/>
            </w:tabs>
            <w:rPr/>
          </w:pPr>
          <w:hyperlink w:anchor="__RefHeading___Toc19263_1497462395">
            <w:r>
              <w:rPr>
                <w:webHidden/>
                <w:rStyle w:val="IndexLink"/>
              </w:rPr>
              <w:t>3.4 The flows</w:t>
              <w:tab/>
              <w:t>7</w:t>
            </w:r>
          </w:hyperlink>
        </w:p>
        <w:p>
          <w:pPr>
            <w:pStyle w:val="TOC2"/>
            <w:tabs>
              <w:tab w:val="clear" w:pos="900"/>
              <w:tab w:val="clear" w:pos="9350"/>
              <w:tab w:val="right" w:pos="9025" w:leader="dot"/>
            </w:tabs>
            <w:rPr/>
          </w:pPr>
          <w:hyperlink w:anchor="__RefHeading___Toc19265_1497462395">
            <w:r>
              <w:rPr>
                <w:webHidden/>
                <w:rStyle w:val="IndexLink"/>
              </w:rPr>
              <w:t>3.5 Related documents</w:t>
              <w:tab/>
              <w:t>8</w:t>
            </w:r>
          </w:hyperlink>
        </w:p>
        <w:p>
          <w:pPr>
            <w:pStyle w:val="TOC2"/>
            <w:tabs>
              <w:tab w:val="clear" w:pos="900"/>
              <w:tab w:val="clear" w:pos="9350"/>
              <w:tab w:val="right" w:pos="9025" w:leader="dot"/>
            </w:tabs>
            <w:rPr/>
          </w:pPr>
          <w:hyperlink w:anchor="__RefHeading___Toc19267_1497462395">
            <w:r>
              <w:rPr>
                <w:webHidden/>
                <w:rStyle w:val="IndexLink"/>
              </w:rPr>
              <w:t>3.6 Version history</w:t>
              <w:tab/>
              <w:t>8</w:t>
            </w:r>
          </w:hyperlink>
        </w:p>
        <w:p>
          <w:pPr>
            <w:pStyle w:val="TOC1"/>
            <w:tabs>
              <w:tab w:val="clear" w:pos="900"/>
              <w:tab w:val="clear" w:pos="9350"/>
              <w:tab w:val="right" w:pos="9025" w:leader="dot"/>
            </w:tabs>
            <w:rPr/>
          </w:pPr>
          <w:hyperlink w:anchor="__RefHeading___Toc19269_1497462395">
            <w:r>
              <w:rPr>
                <w:webHidden/>
                <w:rStyle w:val="IndexLink"/>
              </w:rPr>
              <w:t>4. Sales, placement and issue</w:t>
              <w:tab/>
              <w:t>9</w:t>
            </w:r>
          </w:hyperlink>
        </w:p>
        <w:p>
          <w:pPr>
            <w:pStyle w:val="TOC2"/>
            <w:tabs>
              <w:tab w:val="clear" w:pos="900"/>
              <w:tab w:val="clear" w:pos="9350"/>
              <w:tab w:val="right" w:pos="9025" w:leader="dot"/>
            </w:tabs>
            <w:rPr/>
          </w:pPr>
          <w:hyperlink w:anchor="__RefHeading___Toc19271_1497462395">
            <w:r>
              <w:rPr>
                <w:webHidden/>
                <w:rStyle w:val="IndexLink"/>
              </w:rPr>
              <w:t>4.1 F01 Lead to quotation to policy</w:t>
              <w:tab/>
              <w:t>9</w:t>
            </w:r>
          </w:hyperlink>
        </w:p>
        <w:p>
          <w:pPr>
            <w:pStyle w:val="TOC2"/>
            <w:tabs>
              <w:tab w:val="clear" w:pos="900"/>
              <w:tab w:val="clear" w:pos="9350"/>
              <w:tab w:val="right" w:pos="9025" w:leader="dot"/>
            </w:tabs>
            <w:rPr/>
          </w:pPr>
          <w:hyperlink w:anchor="__RefHeading___Toc19273_1497462395">
            <w:r>
              <w:rPr>
                <w:webHidden/>
                <w:rStyle w:val="IndexLink"/>
              </w:rPr>
              <w:t>4.2 F02 Request for quotation, co-insurance and placement</w:t>
              <w:tab/>
              <w:t>12</w:t>
            </w:r>
          </w:hyperlink>
        </w:p>
        <w:p>
          <w:pPr>
            <w:pStyle w:val="TOC2"/>
            <w:tabs>
              <w:tab w:val="clear" w:pos="900"/>
              <w:tab w:val="clear" w:pos="9350"/>
              <w:tab w:val="right" w:pos="9025" w:leader="dot"/>
            </w:tabs>
            <w:rPr/>
          </w:pPr>
          <w:hyperlink w:anchor="__RefHeading___Toc19275_1497462395">
            <w:r>
              <w:rPr>
                <w:webHidden/>
                <w:rStyle w:val="IndexLink"/>
              </w:rPr>
              <w:t>4.3 F16 Dealer programme for brand-new vehicles</w:t>
              <w:tab/>
              <w:t>14</w:t>
            </w:r>
          </w:hyperlink>
        </w:p>
        <w:p>
          <w:pPr>
            <w:pStyle w:val="TOC2"/>
            <w:tabs>
              <w:tab w:val="clear" w:pos="900"/>
              <w:tab w:val="clear" w:pos="9350"/>
              <w:tab w:val="right" w:pos="9025" w:leader="dot"/>
            </w:tabs>
            <w:rPr/>
          </w:pPr>
          <w:hyperlink w:anchor="__RefHeading___Toc19277_1497462395">
            <w:r>
              <w:rPr>
                <w:webHidden/>
                <w:rStyle w:val="IndexLink"/>
              </w:rPr>
              <w:t>4.4 F17 Fleet schedule</w:t>
              <w:tab/>
              <w:t>16</w:t>
            </w:r>
          </w:hyperlink>
        </w:p>
        <w:p>
          <w:pPr>
            <w:pStyle w:val="TOC2"/>
            <w:tabs>
              <w:tab w:val="clear" w:pos="900"/>
              <w:tab w:val="clear" w:pos="9350"/>
              <w:tab w:val="right" w:pos="9025" w:leader="dot"/>
            </w:tabs>
            <w:rPr/>
          </w:pPr>
          <w:hyperlink w:anchor="__RefHeading___Toc19279_1497462395">
            <w:r>
              <w:rPr>
                <w:webHidden/>
                <w:rStyle w:val="IndexLink"/>
              </w:rPr>
              <w:t>4.5 F18 Marine open cover</w:t>
              <w:tab/>
              <w:t>18</w:t>
            </w:r>
          </w:hyperlink>
        </w:p>
        <w:p>
          <w:pPr>
            <w:pStyle w:val="TOC2"/>
            <w:tabs>
              <w:tab w:val="clear" w:pos="900"/>
              <w:tab w:val="clear" w:pos="9350"/>
              <w:tab w:val="right" w:pos="9025" w:leader="dot"/>
            </w:tabs>
            <w:rPr/>
          </w:pPr>
          <w:hyperlink w:anchor="__RefHeading___Toc19281_1497462395">
            <w:r>
              <w:rPr>
                <w:webHidden/>
                <w:rStyle w:val="IndexLink"/>
              </w:rPr>
              <w:t>4.6 F19 Facultative reinsurance placement</w:t>
              <w:tab/>
              <w:t>20</w:t>
            </w:r>
          </w:hyperlink>
        </w:p>
        <w:p>
          <w:pPr>
            <w:pStyle w:val="TOC1"/>
            <w:tabs>
              <w:tab w:val="clear" w:pos="900"/>
              <w:tab w:val="clear" w:pos="9350"/>
              <w:tab w:val="right" w:pos="9025" w:leader="dot"/>
            </w:tabs>
            <w:rPr/>
          </w:pPr>
          <w:hyperlink w:anchor="__RefHeading___Toc19283_1497462395">
            <w:r>
              <w:rPr>
                <w:webHidden/>
                <w:rStyle w:val="IndexLink"/>
              </w:rPr>
              <w:t>5. Policy servicing</w:t>
              <w:tab/>
              <w:t>23</w:t>
            </w:r>
          </w:hyperlink>
        </w:p>
        <w:p>
          <w:pPr>
            <w:pStyle w:val="TOC2"/>
            <w:tabs>
              <w:tab w:val="clear" w:pos="900"/>
              <w:tab w:val="clear" w:pos="9350"/>
              <w:tab w:val="right" w:pos="9025" w:leader="dot"/>
            </w:tabs>
            <w:rPr/>
          </w:pPr>
          <w:hyperlink w:anchor="__RefHeading___Toc19285_1497462395">
            <w:r>
              <w:rPr>
                <w:webHidden/>
                <w:rStyle w:val="IndexLink"/>
              </w:rPr>
              <w:t>5.1 F03 Endorsement and cancellation</w:t>
              <w:tab/>
              <w:t>23</w:t>
            </w:r>
          </w:hyperlink>
        </w:p>
        <w:p>
          <w:pPr>
            <w:pStyle w:val="TOC2"/>
            <w:tabs>
              <w:tab w:val="clear" w:pos="900"/>
              <w:tab w:val="clear" w:pos="9350"/>
              <w:tab w:val="right" w:pos="9025" w:leader="dot"/>
            </w:tabs>
            <w:rPr/>
          </w:pPr>
          <w:hyperlink w:anchor="__RefHeading___Toc19287_1497462395">
            <w:r>
              <w:rPr>
                <w:webHidden/>
                <w:rStyle w:val="IndexLink"/>
              </w:rPr>
              <w:t>5.2 F04 Renewal</w:t>
              <w:tab/>
              <w:t>25</w:t>
            </w:r>
          </w:hyperlink>
        </w:p>
        <w:p>
          <w:pPr>
            <w:pStyle w:val="TOC1"/>
            <w:tabs>
              <w:tab w:val="clear" w:pos="900"/>
              <w:tab w:val="clear" w:pos="9350"/>
              <w:tab w:val="right" w:pos="9025" w:leader="dot"/>
            </w:tabs>
            <w:rPr/>
          </w:pPr>
          <w:hyperlink w:anchor="__RefHeading___Toc19289_1497462395">
            <w:r>
              <w:rPr>
                <w:webHidden/>
                <w:rStyle w:val="IndexLink"/>
              </w:rPr>
              <w:t>6. Money</w:t>
              <w:tab/>
              <w:t>28</w:t>
            </w:r>
          </w:hyperlink>
        </w:p>
        <w:p>
          <w:pPr>
            <w:pStyle w:val="TOC2"/>
            <w:tabs>
              <w:tab w:val="clear" w:pos="900"/>
              <w:tab w:val="clear" w:pos="9350"/>
              <w:tab w:val="right" w:pos="9025" w:leader="dot"/>
            </w:tabs>
            <w:rPr/>
          </w:pPr>
          <w:hyperlink w:anchor="__RefHeading___Toc19291_1497462395">
            <w:r>
              <w:rPr>
                <w:webHidden/>
                <w:rStyle w:val="IndexLink"/>
              </w:rPr>
              <w:t>6.1 F05 Billing, collection, receipts, post-dated cheques and instalments</w:t>
              <w:tab/>
              <w:t>28</w:t>
            </w:r>
          </w:hyperlink>
        </w:p>
        <w:p>
          <w:pPr>
            <w:pStyle w:val="TOC2"/>
            <w:tabs>
              <w:tab w:val="clear" w:pos="900"/>
              <w:tab w:val="clear" w:pos="9350"/>
              <w:tab w:val="right" w:pos="9025" w:leader="dot"/>
            </w:tabs>
            <w:rPr/>
          </w:pPr>
          <w:hyperlink w:anchor="__RefHeading___Toc19293_1497462395">
            <w:r>
              <w:rPr>
                <w:webHidden/>
                <w:rStyle w:val="IndexLink"/>
              </w:rPr>
              <w:t>6.2 F06 Remittance to insurers and direct bill</w:t>
              <w:tab/>
              <w:t>30</w:t>
            </w:r>
          </w:hyperlink>
        </w:p>
        <w:p>
          <w:pPr>
            <w:pStyle w:val="TOC2"/>
            <w:tabs>
              <w:tab w:val="clear" w:pos="900"/>
              <w:tab w:val="clear" w:pos="9350"/>
              <w:tab w:val="right" w:pos="9025" w:leader="dot"/>
            </w:tabs>
            <w:rPr/>
          </w:pPr>
          <w:hyperlink w:anchor="__RefHeading___Toc19295_1497462395">
            <w:r>
              <w:rPr>
                <w:webHidden/>
                <w:rStyle w:val="IndexLink"/>
              </w:rPr>
              <w:t>6.3 F07 Commission and payout with licence check</w:t>
              <w:tab/>
              <w:t>33</w:t>
            </w:r>
          </w:hyperlink>
        </w:p>
        <w:p>
          <w:pPr>
            <w:pStyle w:val="TOC1"/>
            <w:tabs>
              <w:tab w:val="clear" w:pos="900"/>
              <w:tab w:val="clear" w:pos="9350"/>
              <w:tab w:val="right" w:pos="9025" w:leader="dot"/>
            </w:tabs>
            <w:rPr/>
          </w:pPr>
          <w:hyperlink w:anchor="__RefHeading___Toc19297_1497462395">
            <w:r>
              <w:rPr>
                <w:webHidden/>
                <w:rStyle w:val="IndexLink"/>
              </w:rPr>
              <w:t>7. Claims</w:t>
              <w:tab/>
              <w:t>36</w:t>
            </w:r>
          </w:hyperlink>
        </w:p>
        <w:p>
          <w:pPr>
            <w:pStyle w:val="TOC2"/>
            <w:tabs>
              <w:tab w:val="clear" w:pos="900"/>
              <w:tab w:val="clear" w:pos="9350"/>
              <w:tab w:val="right" w:pos="9025" w:leader="dot"/>
            </w:tabs>
            <w:rPr/>
          </w:pPr>
          <w:hyperlink w:anchor="__RefHeading___Toc19299_1497462395">
            <w:r>
              <w:rPr>
                <w:webHidden/>
                <w:rStyle w:val="IndexLink"/>
              </w:rPr>
              <w:t>7.1 F08 Claims, motor repair and claims paid through the broker</w:t>
              <w:tab/>
              <w:t>36</w:t>
            </w:r>
          </w:hyperlink>
        </w:p>
        <w:p>
          <w:pPr>
            <w:pStyle w:val="TOC1"/>
            <w:tabs>
              <w:tab w:val="clear" w:pos="900"/>
              <w:tab w:val="clear" w:pos="9350"/>
              <w:tab w:val="right" w:pos="9025" w:leader="dot"/>
            </w:tabs>
            <w:rPr/>
          </w:pPr>
          <w:hyperlink w:anchor="__RefHeading___Toc19301_1497462395">
            <w:r>
              <w:rPr>
                <w:webHidden/>
                <w:rStyle w:val="IndexLink"/>
              </w:rPr>
              <w:t>8. Finance close and tax</w:t>
              <w:tab/>
              <w:t>39</w:t>
            </w:r>
          </w:hyperlink>
        </w:p>
        <w:p>
          <w:pPr>
            <w:pStyle w:val="TOC2"/>
            <w:tabs>
              <w:tab w:val="clear" w:pos="900"/>
              <w:tab w:val="clear" w:pos="9350"/>
              <w:tab w:val="right" w:pos="9025" w:leader="dot"/>
            </w:tabs>
            <w:rPr/>
          </w:pPr>
          <w:hyperlink w:anchor="__RefHeading___Toc19303_1497462395">
            <w:r>
              <w:rPr>
                <w:webHidden/>
                <w:rStyle w:val="IndexLink"/>
              </w:rPr>
              <w:t>8.1 F09 Month-end and year-end close</w:t>
              <w:tab/>
              <w:t>39</w:t>
            </w:r>
          </w:hyperlink>
        </w:p>
        <w:p>
          <w:pPr>
            <w:pStyle w:val="TOC2"/>
            <w:tabs>
              <w:tab w:val="clear" w:pos="900"/>
              <w:tab w:val="clear" w:pos="9350"/>
              <w:tab w:val="right" w:pos="9025" w:leader="dot"/>
            </w:tabs>
            <w:rPr/>
          </w:pPr>
          <w:hyperlink w:anchor="__RefHeading___Toc19305_1497462395">
            <w:r>
              <w:rPr>
                <w:webHidden/>
                <w:rStyle w:val="IndexLink"/>
              </w:rPr>
              <w:t>8.2 F10 BIR monthly, quarterly and annual filing</w:t>
              <w:tab/>
              <w:t>41</w:t>
            </w:r>
          </w:hyperlink>
        </w:p>
        <w:p>
          <w:pPr>
            <w:pStyle w:val="TOC1"/>
            <w:tabs>
              <w:tab w:val="clear" w:pos="900"/>
              <w:tab w:val="clear" w:pos="9350"/>
              <w:tab w:val="right" w:pos="9025" w:leader="dot"/>
            </w:tabs>
            <w:rPr/>
          </w:pPr>
          <w:hyperlink w:anchor="__RefHeading___Toc19307_1497462395">
            <w:r>
              <w:rPr>
                <w:webHidden/>
                <w:rStyle w:val="IndexLink"/>
              </w:rPr>
              <w:t>9. Compliance</w:t>
              <w:tab/>
              <w:t>44</w:t>
            </w:r>
          </w:hyperlink>
        </w:p>
        <w:p>
          <w:pPr>
            <w:pStyle w:val="TOC2"/>
            <w:tabs>
              <w:tab w:val="clear" w:pos="900"/>
              <w:tab w:val="clear" w:pos="9350"/>
              <w:tab w:val="right" w:pos="9025" w:leader="dot"/>
            </w:tabs>
            <w:rPr/>
          </w:pPr>
          <w:hyperlink w:anchor="__RefHeading___Toc19309_1497462395">
            <w:r>
              <w:rPr>
                <w:webHidden/>
                <w:rStyle w:val="IndexLink"/>
              </w:rPr>
              <w:t>9.1 F11 AML onboarding, screening, EDD and AMLC reporting</w:t>
              <w:tab/>
              <w:t>44</w:t>
            </w:r>
          </w:hyperlink>
        </w:p>
        <w:p>
          <w:pPr>
            <w:pStyle w:val="TOC2"/>
            <w:tabs>
              <w:tab w:val="clear" w:pos="900"/>
              <w:tab w:val="clear" w:pos="9350"/>
              <w:tab w:val="right" w:pos="9025" w:leader="dot"/>
            </w:tabs>
            <w:rPr/>
          </w:pPr>
          <w:hyperlink w:anchor="__RefHeading___Toc19311_1497462395">
            <w:r>
              <w:rPr>
                <w:webHidden/>
                <w:rStyle w:val="IndexLink"/>
              </w:rPr>
              <w:t>9.2 F12 Complaints</w:t>
              <w:tab/>
              <w:t>46</w:t>
            </w:r>
          </w:hyperlink>
        </w:p>
        <w:p>
          <w:pPr>
            <w:pStyle w:val="TOC2"/>
            <w:tabs>
              <w:tab w:val="clear" w:pos="900"/>
              <w:tab w:val="clear" w:pos="9350"/>
              <w:tab w:val="right" w:pos="9025" w:leader="dot"/>
            </w:tabs>
            <w:rPr/>
          </w:pPr>
          <w:hyperlink w:anchor="__RefHeading___Toc19313_1497462395">
            <w:r>
              <w:rPr>
                <w:webHidden/>
                <w:rStyle w:val="IndexLink"/>
              </w:rPr>
              <w:t>9.3 F13 Personal data breach</w:t>
              <w:tab/>
              <w:t>48</w:t>
            </w:r>
          </w:hyperlink>
        </w:p>
        <w:p>
          <w:pPr>
            <w:pStyle w:val="TOC1"/>
            <w:tabs>
              <w:tab w:val="clear" w:pos="900"/>
              <w:tab w:val="clear" w:pos="9350"/>
              <w:tab w:val="right" w:pos="9025" w:leader="dot"/>
            </w:tabs>
            <w:rPr/>
          </w:pPr>
          <w:hyperlink w:anchor="__RefHeading___Toc19315_1497462395">
            <w:r>
              <w:rPr>
                <w:webHidden/>
                <w:rStyle w:val="IndexLink"/>
              </w:rPr>
              <w:t>10. Go-live and operations</w:t>
              <w:tab/>
              <w:t>51</w:t>
            </w:r>
          </w:hyperlink>
        </w:p>
        <w:p>
          <w:pPr>
            <w:pStyle w:val="TOC2"/>
            <w:tabs>
              <w:tab w:val="clear" w:pos="900"/>
              <w:tab w:val="clear" w:pos="9350"/>
              <w:tab w:val="right" w:pos="9025" w:leader="dot"/>
            </w:tabs>
            <w:rPr/>
          </w:pPr>
          <w:hyperlink w:anchor="__RefHeading___Toc19317_1497462395">
            <w:r>
              <w:rPr>
                <w:webHidden/>
                <w:rStyle w:val="IndexLink"/>
              </w:rPr>
              <w:t>10.1 F14 Go-live data load and cutover</w:t>
              <w:tab/>
              <w:t>51</w:t>
            </w:r>
          </w:hyperlink>
        </w:p>
        <w:p>
          <w:pPr>
            <w:pStyle w:val="TOC2"/>
            <w:tabs>
              <w:tab w:val="clear" w:pos="900"/>
              <w:tab w:val="clear" w:pos="9350"/>
              <w:tab w:val="right" w:pos="9025" w:leader="dot"/>
            </w:tabs>
            <w:rPr/>
          </w:pPr>
          <w:hyperlink w:anchor="__RefHeading___Toc19319_1497462395">
            <w:r>
              <w:rPr>
                <w:webHidden/>
                <w:rStyle w:val="IndexLink"/>
              </w:rPr>
              <w:t>10.2 F15 Environment promotion and masking refresh</w:t>
              <w:tab/>
              <w:t>53</w:t>
            </w:r>
          </w:hyperlink>
        </w:p>
        <w:p>
          <w:pPr>
            <w:pStyle w:val="TOC1"/>
            <w:tabs>
              <w:tab w:val="clear" w:pos="900"/>
              <w:tab w:val="clear" w:pos="9350"/>
              <w:tab w:val="right" w:pos="9025" w:leader="dot"/>
            </w:tabs>
            <w:rPr/>
          </w:pPr>
          <w:hyperlink w:anchor="__RefHeading___Toc19321_1497462395">
            <w:r>
              <w:rPr>
                <w:webHidden/>
                <w:rStyle w:val="IndexLink"/>
              </w:rPr>
              <w:t>11. Traceability</w:t>
              <w:tab/>
              <w:t>58</w:t>
            </w:r>
          </w:hyperlink>
        </w:p>
        <w:p>
          <w:pPr>
            <w:pStyle w:val="TOC1"/>
            <w:tabs>
              <w:tab w:val="clear" w:pos="900"/>
              <w:tab w:val="clear" w:pos="9350"/>
              <w:tab w:val="right" w:pos="9025" w:leader="dot"/>
            </w:tabs>
            <w:rPr/>
          </w:pPr>
          <w:hyperlink w:anchor="__RefHeading___Toc19323_1497462395">
            <w:r>
              <w:rPr>
                <w:webHidden/>
                <w:rStyle w:val="IndexLink"/>
                <w:i w:val="false"/>
                <w:iCs w:val="false"/>
              </w:rPr>
              <w:t>12. Document Sign-Off</w:t>
            </w:r>
            <w:r>
              <w:rPr>
                <w:rStyle w:val="IndexLink"/>
              </w:rPr>
              <w:tab/>
              <w:t>59</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9251_1497462395"/>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04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 19 end-to-end flows with swimlane diagrams</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9253_1497462395"/>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PFD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Process flow document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BRD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Business requirements document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 Council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Covered transaction report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Suspicious transaction report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EDD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Enhanced due diligence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KYC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Know your customer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PEP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Politically exposed person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RFQ</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Request for quotation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CTPL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Compulsory third party liability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Certificate of cover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LTO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Land Transportation Office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Letter of authority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PDC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Post-dated cheque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Official receipt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Payment voucher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DN</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Debit note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Expanded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Creditable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DST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Documentary stamp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LGT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Local government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WHT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QAP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Quarterly Alphalist of Payees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Alphalist of Withholding Taxes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SLSP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List of Sales and Purchases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Computerized accounting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Trial balance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advisory board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Segregation of duties</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9255_1497462395"/>
      <w:bookmarkEnd w:id="6"/>
      <w:r>
        <w:rPr>
          <w:rFonts w:eastAsia="Segoe UI" w:cs="Segoe UI" w:ascii="Segoe UI" w:hAnsi="Segoe UI"/>
          <w:b/>
          <w:color w:val="0F4761"/>
          <w:sz w:val="32"/>
        </w:rPr>
        <w:t>3.  Introduction</w:t>
      </w:r>
    </w:p>
    <w:p>
      <w:pPr>
        <w:pStyle w:val="Heading2"/>
        <w:rPr/>
      </w:pPr>
      <w:bookmarkStart w:id="7" w:name="__RefHeading___Toc19257_1497462395"/>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document shows how work flows through BrokerVerse OOTB from one role to the next, for every end-to-end process a Philippine non-life broker runs in the system: from the first prospect to the policy, through billing, remittance, commission, claims and renewal, to the month-end close, the BIR returns and the reports to the AMLC, the IC and the NPC, and the go-live and release work around the system.</w:t>
      </w:r>
    </w:p>
    <w:p>
      <w:pPr>
        <w:pStyle w:val="Normal"/>
        <w:spacing w:lineRule="auto" w:line="276" w:before="0" w:after="120"/>
        <w:rPr/>
      </w:pPr>
      <w:r>
        <w:rPr>
          <w:rFonts w:eastAsia="Segoe UI" w:cs="Segoe UI" w:ascii="Segoe UI" w:hAnsi="Segoe UI"/>
          <w:color w:val="101820"/>
          <w:sz w:val="21"/>
        </w:rPr>
        <w:t>It is written for the broker's process owners and business analysts, for the iorta TechNXT consultants who run the discovery and fit-gap workshops, for the testers who build end-to-end test scenarios, and for trainers. The Business Requirements Document says what the business needs and which screen meets it; this document shows the order in which the screens are used, who acts at each step, what the system posts and produces, and where the controls sit.</w:t>
      </w:r>
    </w:p>
    <w:p>
      <w:pPr>
        <w:pStyle w:val="Heading2"/>
        <w:rPr/>
      </w:pPr>
      <w:bookmarkStart w:id="8" w:name="__RefHeading___Toc19259_1497462395"/>
      <w:bookmarkEnd w:id="8"/>
      <w:r>
        <w:rPr>
          <w:rFonts w:eastAsia="Segoe UI" w:cs="Segoe UI"/>
          <w:b/>
          <w:color w:val="0F4761"/>
          <w:sz w:val="26"/>
        </w:rPr>
        <w:t>3.2  How to read a flow</w:t>
      </w:r>
    </w:p>
    <w:p>
      <w:pPr>
        <w:pStyle w:val="Normal"/>
        <w:spacing w:lineRule="auto" w:line="276" w:before="0" w:after="120"/>
        <w:rPr/>
      </w:pPr>
      <w:r>
        <w:rPr>
          <w:rFonts w:eastAsia="Segoe UI" w:cs="Segoe UI" w:ascii="Segoe UI" w:hAnsi="Segoe UI"/>
          <w:color w:val="101820"/>
          <w:sz w:val="21"/>
        </w:rPr>
        <w:t>Each flow has the same parts:</w:t>
      </w:r>
    </w:p>
    <w:p>
      <w:pPr>
        <w:pStyle w:val="Normal"/>
        <w:numPr>
          <w:ilvl w:val="0"/>
          <w:numId w:val="1"/>
        </w:numPr>
        <w:spacing w:before="0" w:after="60"/>
        <w:rPr/>
      </w:pPr>
      <w:r>
        <w:rPr>
          <w:rFonts w:eastAsia="Segoe UI" w:cs="Segoe UI" w:ascii="Segoe UI" w:hAnsi="Segoe UI"/>
          <w:b/>
          <w:color w:val="101820"/>
          <w:sz w:val="21"/>
        </w:rPr>
        <w:t>Diagram.</w:t>
      </w:r>
      <w:r>
        <w:rPr>
          <w:rFonts w:eastAsia="Segoe UI" w:cs="Segoe UI" w:ascii="Segoe UI" w:hAnsi="Segoe UI"/>
          <w:color w:val="101820"/>
          <w:sz w:val="21"/>
        </w:rPr>
        <w:t xml:space="preserve"> One column (swimlane) per role, the steps from top to bottom. The number on each box is the number of the step in the list below the diagram. Shapes: a rounded green box starts the flow, a grey one ends it, a white box is work done by a user, a teal box is done by BrokerVerse itself, a yellow diamond is a decision, a purple box is done outside the system (insurer, regulator, bank, client). A dashed line goes back to an earlier step.</w:t>
      </w:r>
    </w:p>
    <w:p>
      <w:pPr>
        <w:pStyle w:val="Normal"/>
        <w:numPr>
          <w:ilvl w:val="0"/>
          <w:numId w:val="1"/>
        </w:numPr>
        <w:spacing w:before="0" w:after="60"/>
        <w:rPr/>
      </w:pPr>
      <w:r>
        <w:rPr>
          <w:rFonts w:eastAsia="Segoe UI" w:cs="Segoe UI" w:ascii="Segoe UI" w:hAnsi="Segoe UI"/>
          <w:b/>
          <w:color w:val="101820"/>
          <w:sz w:val="21"/>
        </w:rPr>
        <w:t>At a glance.</w:t>
      </w:r>
      <w:r>
        <w:rPr>
          <w:rFonts w:eastAsia="Segoe UI" w:cs="Segoe UI" w:ascii="Segoe UI" w:hAnsi="Segoe UI"/>
          <w:color w:val="101820"/>
          <w:sz w:val="21"/>
        </w:rPr>
        <w:t xml:space="preserve"> The trigger, the roles, the screens, the postings (the posting rule of Master &gt; Finance &gt; Posting Rules), the documents produced and the controls.</w:t>
      </w:r>
    </w:p>
    <w:p>
      <w:pPr>
        <w:pStyle w:val="Normal"/>
        <w:numPr>
          <w:ilvl w:val="0"/>
          <w:numId w:val="1"/>
        </w:numPr>
        <w:spacing w:before="0" w:after="60"/>
        <w:rPr/>
      </w:pPr>
      <w:r>
        <w:rPr>
          <w:rFonts w:eastAsia="Segoe UI" w:cs="Segoe UI" w:ascii="Segoe UI" w:hAnsi="Segoe UI"/>
          <w:b/>
          <w:color w:val="101820"/>
          <w:sz w:val="21"/>
        </w:rPr>
        <w:t>Steps.</w:t>
      </w:r>
      <w:r>
        <w:rPr>
          <w:rFonts w:eastAsia="Segoe UI" w:cs="Segoe UI" w:ascii="Segoe UI" w:hAnsi="Segoe UI"/>
          <w:color w:val="101820"/>
          <w:sz w:val="21"/>
        </w:rPr>
        <w:t xml:space="preserve"> The numbered steps with the role in bold and the screen path as it is in the menu.</w:t>
      </w:r>
    </w:p>
    <w:p>
      <w:pPr>
        <w:pStyle w:val="Normal"/>
        <w:numPr>
          <w:ilvl w:val="0"/>
          <w:numId w:val="1"/>
        </w:numPr>
        <w:spacing w:before="0" w:after="60"/>
        <w:rPr/>
      </w:pPr>
      <w:r>
        <w:rPr>
          <w:rFonts w:eastAsia="Segoe UI" w:cs="Segoe UI" w:ascii="Segoe UI" w:hAnsi="Segoe UI"/>
          <w:b/>
          <w:color w:val="101820"/>
          <w:sz w:val="21"/>
        </w:rPr>
        <w:t>Exceptions.</w:t>
      </w:r>
      <w:r>
        <w:rPr>
          <w:rFonts w:eastAsia="Segoe UI" w:cs="Segoe UI" w:ascii="Segoe UI" w:hAnsi="Segoe UI"/>
          <w:color w:val="101820"/>
          <w:sz w:val="21"/>
        </w:rPr>
        <w:t xml:space="preserve"> What happens when something goes wrong, and the message or status the user sees.</w:t>
      </w:r>
    </w:p>
    <w:p>
      <w:pPr>
        <w:pStyle w:val="Normal"/>
        <w:spacing w:lineRule="auto" w:line="276" w:before="0" w:after="120"/>
        <w:rPr/>
      </w:pPr>
      <w:r>
        <w:rPr>
          <w:rFonts w:eastAsia="Segoe UI" w:cs="Segoe UI" w:ascii="Segoe UI" w:hAnsi="Segoe UI"/>
          <w:color w:val="101820"/>
          <w:sz w:val="21"/>
        </w:rPr>
        <w:t xml:space="preserve">Settings are named by their key in Master &gt; Configuration with the value delivered, for example </w:t>
      </w:r>
      <w:r>
        <w:rPr>
          <w:rFonts w:eastAsia="Consolas" w:cs="Consolas" w:ascii="Consolas" w:hAnsi="Consolas"/>
          <w:color w:val="101820"/>
          <w:sz w:val="19"/>
        </w:rPr>
        <w:t>claims.sla_days</w:t>
      </w:r>
      <w:r>
        <w:rPr>
          <w:rFonts w:eastAsia="Segoe UI" w:cs="Segoe UI" w:ascii="Segoe UI" w:hAnsi="Segoe UI"/>
          <w:color w:val="101820"/>
          <w:sz w:val="21"/>
        </w:rPr>
        <w:t xml:space="preserve"> (20). The broker can change them. Record numbers follow the series of Master &gt; Document Numbering, for example POL-2026-00001.</w:t>
      </w:r>
    </w:p>
    <w:p>
      <w:pPr>
        <w:pStyle w:val="Heading2"/>
        <w:rPr/>
      </w:pPr>
      <w:bookmarkStart w:id="9" w:name="__RefHeading___Toc19261_1497462395"/>
      <w:bookmarkEnd w:id="9"/>
      <w:r>
        <w:rPr>
          <w:rFonts w:eastAsia="Segoe UI" w:cs="Segoe UI"/>
          <w:b/>
          <w:color w:val="0F4761"/>
          <w:sz w:val="26"/>
        </w:rPr>
        <w:t>3.3  Roles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863"/>
        <w:gridCol w:w="5150"/>
      </w:tblGrid>
      <w:tr>
        <w:trPr>
          <w:tblHeader w:val="true"/>
        </w:trPr>
        <w:tc>
          <w:tcPr>
            <w:tcW w:w="386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 in the diagrams</w:t>
            </w:r>
          </w:p>
        </w:tc>
        <w:tc>
          <w:tcPr>
            <w:tcW w:w="51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 in BrokerVerse</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(Account Executive)</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(Placement &amp; Policy Processing)</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(Client Servicing)</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Claims (second user)</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the second user is another Claims user (maker-checker)</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(second user)</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the second user is another Accounting user or the Accounting Manager</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 (Super Admin Access)</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Officer</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Compliance Officer (AML/CFT); for the Insurance Commission registers, the users with </w:t>
            </w:r>
            <w:r>
              <w:rPr>
                <w:rFonts w:eastAsia="Consolas" w:cs="Consolas" w:ascii="Consolas" w:hAnsi="Consolas"/>
                <w:color w:val="101820"/>
                <w:kern w:val="0"/>
                <w:sz w:val="16"/>
                <w:szCs w:val="24"/>
                <w:lang w:val="en-US" w:eastAsia="ja-JP" w:bidi="ar-SA"/>
              </w:rPr>
              <w:t>read:compliance</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write:compliance</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Complaints officer</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Users with </w:t>
            </w:r>
            <w:r>
              <w:rPr>
                <w:rFonts w:eastAsia="Consolas" w:cs="Consolas" w:ascii="Consolas" w:hAnsi="Consolas"/>
                <w:color w:val="101820"/>
                <w:kern w:val="0"/>
                <w:sz w:val="16"/>
                <w:szCs w:val="24"/>
                <w:lang w:val="en-US" w:eastAsia="ja-JP" w:bidi="ar-SA"/>
              </w:rPr>
              <w:t>approve:complaints</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DPO and privacy team</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Users with </w:t>
            </w:r>
            <w:r>
              <w:rPr>
                <w:rFonts w:eastAsia="Consolas" w:cs="Consolas" w:ascii="Consolas" w:hAnsi="Consolas"/>
                <w:color w:val="101820"/>
                <w:kern w:val="0"/>
                <w:sz w:val="16"/>
                <w:szCs w:val="24"/>
                <w:lang w:val="en-US" w:eastAsia="ja-JP" w:bidi="ar-SA"/>
              </w:rPr>
              <w:t>read:privacy</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write:privacy</w:t>
            </w:r>
            <w:r>
              <w:rPr>
                <w:rFonts w:eastAsia="Segoe UI" w:cs="Segoe UI" w:ascii="Segoe UI" w:hAnsi="Segoe UI"/>
                <w:color w:val="101820"/>
                <w:kern w:val="0"/>
                <w:sz w:val="18"/>
                <w:szCs w:val="24"/>
                <w:lang w:val="en-US" w:eastAsia="ja-JP" w:bidi="ar-SA"/>
              </w:rPr>
              <w:t xml:space="preserve"> (System Administrator and Operations as delivered) working for the broker's DPO</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BrokerVerse</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Work done by the system: a posting, a check, a scheduled job, a notification</w:t>
            </w:r>
          </w:p>
        </w:tc>
      </w:tr>
    </w:tbl>
    <w:p>
      <w:pPr>
        <w:pStyle w:val="Normal"/>
        <w:spacing w:before="0" w:after="80"/>
        <w:rPr/>
      </w:pPr>
      <w:r>
        <w:rPr/>
      </w:r>
    </w:p>
    <w:p>
      <w:pPr>
        <w:pStyle w:val="Heading2"/>
        <w:rPr/>
      </w:pPr>
      <w:bookmarkStart w:id="10" w:name="__RefHeading___Toc19263_1497462395"/>
      <w:bookmarkEnd w:id="10"/>
      <w:r>
        <w:rPr>
          <w:rFonts w:eastAsia="Segoe UI" w:cs="Segoe UI"/>
          <w:b/>
          <w:color w:val="0F4761"/>
          <w:sz w:val="26"/>
        </w:rPr>
        <w:t>3.4  The flows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22"/>
        <w:gridCol w:w="3062"/>
        <w:gridCol w:w="2609"/>
        <w:gridCol w:w="2721"/>
      </w:tblGrid>
      <w:tr>
        <w:trPr>
          <w:tblHeader w:val="true"/>
        </w:trPr>
        <w:tc>
          <w:tcPr>
            <w:tcW w:w="6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w:t>
            </w:r>
          </w:p>
        </w:tc>
        <w:tc>
          <w:tcPr>
            <w:tcW w:w="30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Flow</w:t>
            </w:r>
          </w:p>
        </w:tc>
        <w:tc>
          <w:tcPr>
            <w:tcW w:w="26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Trigger</w:t>
            </w:r>
          </w:p>
        </w:tc>
        <w:tc>
          <w:tcPr>
            <w:tcW w:w="272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Main roles</w:t>
            </w:r>
          </w:p>
        </w:tc>
      </w:tr>
      <w:tr>
        <w:trPr/>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F01</w:t>
            </w:r>
          </w:p>
        </w:tc>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 to quotation to policy</w:t>
            </w:r>
          </w:p>
        </w:tc>
        <w:tc>
          <w:tcPr>
            <w:tcW w:w="26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prospect asks for cover</w:t>
            </w:r>
          </w:p>
        </w:tc>
        <w:tc>
          <w:tcPr>
            <w:tcW w:w="2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client</w:t>
            </w:r>
          </w:p>
        </w:tc>
      </w:tr>
      <w:tr>
        <w:trPr/>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F02</w:t>
            </w:r>
          </w:p>
        </w:tc>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 for quotation, co-insurance and placement</w:t>
            </w:r>
          </w:p>
        </w:tc>
        <w:tc>
          <w:tcPr>
            <w:tcW w:w="26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non-package or large risk</w:t>
            </w:r>
          </w:p>
        </w:tc>
        <w:tc>
          <w:tcPr>
            <w:tcW w:w="2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insurers, client</w:t>
            </w:r>
          </w:p>
        </w:tc>
      </w:tr>
      <w:tr>
        <w:trPr/>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F03</w:t>
            </w:r>
          </w:p>
        </w:tc>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 and cancellation</w:t>
            </w:r>
          </w:p>
        </w:tc>
        <w:tc>
          <w:tcPr>
            <w:tcW w:w="26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client or insurer asks for a change or cancellation</w:t>
            </w:r>
          </w:p>
        </w:tc>
        <w:tc>
          <w:tcPr>
            <w:tcW w:w="2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Processing Team, insurer</w:t>
            </w:r>
          </w:p>
        </w:tc>
      </w:tr>
      <w:tr>
        <w:trPr/>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F04</w:t>
            </w:r>
          </w:p>
        </w:tc>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w:t>
            </w:r>
          </w:p>
        </w:tc>
        <w:tc>
          <w:tcPr>
            <w:tcW w:w="26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policy reaches 90 days before expiry</w:t>
            </w:r>
          </w:p>
        </w:tc>
        <w:tc>
          <w:tcPr>
            <w:tcW w:w="2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Sales &amp; Marketing, Processing Team</w:t>
            </w:r>
          </w:p>
        </w:tc>
      </w:tr>
      <w:tr>
        <w:trPr/>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F05</w:t>
            </w:r>
          </w:p>
        </w:tc>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 collection, receipts, post-dated cheques and instalments</w:t>
            </w:r>
          </w:p>
        </w:tc>
        <w:tc>
          <w:tcPr>
            <w:tcW w:w="26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bill is raised</w:t>
            </w:r>
          </w:p>
        </w:tc>
        <w:tc>
          <w:tcPr>
            <w:tcW w:w="2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Accounting, Accounting Manager</w:t>
            </w:r>
          </w:p>
        </w:tc>
      </w:tr>
      <w:tr>
        <w:trPr/>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F06</w:t>
            </w:r>
          </w:p>
        </w:tc>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to insurers and direct bill</w:t>
            </w:r>
          </w:p>
        </w:tc>
        <w:tc>
          <w:tcPr>
            <w:tcW w:w="26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collected; direct-bill commission due</w:t>
            </w:r>
          </w:p>
        </w:tc>
        <w:tc>
          <w:tcPr>
            <w:tcW w:w="2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(maker and checker), insurer</w:t>
            </w:r>
          </w:p>
        </w:tc>
      </w:tr>
      <w:tr>
        <w:trPr/>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F07</w:t>
            </w:r>
          </w:p>
        </w:tc>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and payout with licence check</w:t>
            </w:r>
          </w:p>
        </w:tc>
        <w:tc>
          <w:tcPr>
            <w:tcW w:w="26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policy with a referrer is issued</w:t>
            </w:r>
          </w:p>
        </w:tc>
        <w:tc>
          <w:tcPr>
            <w:tcW w:w="2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(maker and checker), compliance</w:t>
            </w:r>
          </w:p>
        </w:tc>
      </w:tr>
      <w:tr>
        <w:trPr/>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F08</w:t>
            </w:r>
          </w:p>
        </w:tc>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motor repair and claims paid through the broker</w:t>
            </w:r>
          </w:p>
        </w:tc>
        <w:tc>
          <w:tcPr>
            <w:tcW w:w="26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client reports a loss</w:t>
            </w:r>
          </w:p>
        </w:tc>
        <w:tc>
          <w:tcPr>
            <w:tcW w:w="2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(maker and checker), Accounting, insurer</w:t>
            </w:r>
          </w:p>
        </w:tc>
      </w:tr>
      <w:tr>
        <w:trPr/>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F09</w:t>
            </w:r>
          </w:p>
        </w:tc>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and year-end close</w:t>
            </w:r>
          </w:p>
        </w:tc>
        <w:tc>
          <w:tcPr>
            <w:tcW w:w="26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end</w:t>
            </w:r>
          </w:p>
        </w:tc>
        <w:tc>
          <w:tcPr>
            <w:tcW w:w="2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w:t>
            </w:r>
          </w:p>
        </w:tc>
      </w:tr>
      <w:tr>
        <w:trPr/>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F10</w:t>
            </w:r>
          </w:p>
        </w:tc>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monthly, quarterly and annual filing</w:t>
            </w:r>
          </w:p>
        </w:tc>
        <w:tc>
          <w:tcPr>
            <w:tcW w:w="26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due dates</w:t>
            </w:r>
          </w:p>
        </w:tc>
        <w:tc>
          <w:tcPr>
            <w:tcW w:w="2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 or tax adviser</w:t>
            </w:r>
          </w:p>
        </w:tc>
      </w:tr>
      <w:tr>
        <w:trPr/>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F11</w:t>
            </w:r>
          </w:p>
        </w:tc>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 onboarding, screening, EDD and AMLC reporting</w:t>
            </w:r>
          </w:p>
        </w:tc>
        <w:tc>
          <w:tcPr>
            <w:tcW w:w="26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new client; a list update; a transaction</w:t>
            </w:r>
          </w:p>
        </w:tc>
        <w:tc>
          <w:tcPr>
            <w:tcW w:w="2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Compliance Officer</w:t>
            </w:r>
          </w:p>
        </w:tc>
      </w:tr>
      <w:tr>
        <w:trPr/>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F12</w:t>
            </w:r>
          </w:p>
        </w:tc>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Complaints</w:t>
            </w:r>
          </w:p>
        </w:tc>
        <w:tc>
          <w:tcPr>
            <w:tcW w:w="26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complaint is received</w:t>
            </w:r>
          </w:p>
        </w:tc>
        <w:tc>
          <w:tcPr>
            <w:tcW w:w="2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or Claims, complaints officers</w:t>
            </w:r>
          </w:p>
        </w:tc>
      </w:tr>
      <w:tr>
        <w:trPr/>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F13</w:t>
            </w:r>
          </w:p>
        </w:tc>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data breach</w:t>
            </w:r>
          </w:p>
        </w:tc>
        <w:tc>
          <w:tcPr>
            <w:tcW w:w="26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security incident is discovered</w:t>
            </w:r>
          </w:p>
        </w:tc>
        <w:tc>
          <w:tcPr>
            <w:tcW w:w="2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IT and support, DPO</w:t>
            </w:r>
          </w:p>
        </w:tc>
      </w:tr>
      <w:tr>
        <w:trPr/>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F14</w:t>
            </w:r>
          </w:p>
        </w:tc>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data load and cutover</w:t>
            </w:r>
          </w:p>
        </w:tc>
        <w:tc>
          <w:tcPr>
            <w:tcW w:w="26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w:t>
            </w:r>
          </w:p>
        </w:tc>
        <w:tc>
          <w:tcPr>
            <w:tcW w:w="2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 migration lead, Accounting Manager</w:t>
            </w:r>
          </w:p>
        </w:tc>
      </w:tr>
      <w:tr>
        <w:trPr/>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F15</w:t>
            </w:r>
          </w:p>
        </w:tc>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promotion and masking refresh</w:t>
            </w:r>
          </w:p>
        </w:tc>
        <w:tc>
          <w:tcPr>
            <w:tcW w:w="26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release; a refresh of a test environment</w:t>
            </w:r>
          </w:p>
        </w:tc>
        <w:tc>
          <w:tcPr>
            <w:tcW w:w="2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DevOps, release manager, System Administrator, DPO</w:t>
            </w:r>
          </w:p>
        </w:tc>
      </w:tr>
      <w:tr>
        <w:trPr/>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F16</w:t>
            </w:r>
          </w:p>
        </w:tc>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Dealer programme for brand-new vehicles</w:t>
            </w:r>
          </w:p>
        </w:tc>
        <w:tc>
          <w:tcPr>
            <w:tcW w:w="26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dealer sends its sales</w:t>
            </w:r>
          </w:p>
        </w:tc>
        <w:tc>
          <w:tcPr>
            <w:tcW w:w="2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dealer, bank</w:t>
            </w:r>
          </w:p>
        </w:tc>
      </w:tr>
      <w:tr>
        <w:trPr/>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F17</w:t>
            </w:r>
          </w:p>
        </w:tc>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Fleet schedule</w:t>
            </w:r>
          </w:p>
        </w:tc>
        <w:tc>
          <w:tcPr>
            <w:tcW w:w="26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client insures many vehicles on one policy</w:t>
            </w:r>
          </w:p>
        </w:tc>
        <w:tc>
          <w:tcPr>
            <w:tcW w:w="2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Processing Team</w:t>
            </w:r>
          </w:p>
        </w:tc>
      </w:tr>
      <w:tr>
        <w:trPr/>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F18</w:t>
            </w:r>
          </w:p>
        </w:tc>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Marine open cover</w:t>
            </w:r>
          </w:p>
        </w:tc>
        <w:tc>
          <w:tcPr>
            <w:tcW w:w="26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client ships cargo through the year</w:t>
            </w:r>
          </w:p>
        </w:tc>
        <w:tc>
          <w:tcPr>
            <w:tcW w:w="2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Accounting</w:t>
            </w:r>
          </w:p>
        </w:tc>
      </w:tr>
      <w:tr>
        <w:trPr/>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F19</w:t>
            </w:r>
          </w:p>
        </w:tc>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Facultative reinsurance placement</w:t>
            </w:r>
          </w:p>
        </w:tc>
        <w:tc>
          <w:tcPr>
            <w:tcW w:w="26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 insurer cedes part of a risk</w:t>
            </w:r>
          </w:p>
        </w:tc>
        <w:tc>
          <w:tcPr>
            <w:tcW w:w="2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reinsurers, Accounting</w:t>
            </w:r>
          </w:p>
        </w:tc>
      </w:tr>
    </w:tbl>
    <w:p>
      <w:pPr>
        <w:pStyle w:val="Normal"/>
        <w:spacing w:before="0" w:after="80"/>
        <w:rPr/>
      </w:pPr>
      <w:r>
        <w:rPr/>
      </w:r>
    </w:p>
    <w:p>
      <w:pPr>
        <w:pStyle w:val="Heading2"/>
        <w:rPr/>
      </w:pPr>
      <w:bookmarkStart w:id="11" w:name="__RefHeading___Toc19265_1497462395"/>
      <w:bookmarkEnd w:id="11"/>
      <w:r>
        <w:rPr>
          <w:rFonts w:eastAsia="Segoe UI" w:cs="Segoe UI"/>
          <w:b/>
          <w:color w:val="0F4761"/>
          <w:sz w:val="26"/>
        </w:rPr>
        <w:t>3.5  Related documents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Document</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it adds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Requirements Document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requirements (BR-xx-nnn) each flow meets, and the functional specification by module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Manual</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screen-by-screen procedure, fields and messages for each role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Book</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reports named in the flows, with their columns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Schedules and Batch Jobs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jobs named in the flows, their times and what to do when one fails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Regulatory Compliance Matrix</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regulation behind the controls of F05 to F13</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 and Cutover Plan; Environment Strategy and Production Rollout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detail behind F14 and F15</w:t>
            </w:r>
          </w:p>
        </w:tc>
      </w:tr>
    </w:tbl>
    <w:p>
      <w:pPr>
        <w:pStyle w:val="Normal"/>
        <w:spacing w:before="0" w:after="80"/>
        <w:rPr/>
      </w:pPr>
      <w:r>
        <w:rPr/>
      </w:r>
    </w:p>
    <w:p>
      <w:pPr>
        <w:pStyle w:val="Heading2"/>
        <w:rPr/>
      </w:pPr>
      <w:bookmarkStart w:id="12" w:name="__RefHeading___Toc19267_1497462395"/>
      <w:bookmarkEnd w:id="12"/>
      <w:r>
        <w:rPr>
          <w:rFonts w:eastAsia="Segoe UI" w:cs="Segoe UI"/>
          <w:b/>
          <w:color w:val="0F4761"/>
          <w:sz w:val="26"/>
        </w:rPr>
        <w:t>3.6  Version history</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3"/>
        <w:gridCol w:w="1913"/>
        <w:gridCol w:w="6098"/>
      </w:tblGrid>
      <w:tr>
        <w:trPr>
          <w:tblHeader w:val="true"/>
        </w:trPr>
        <w:tc>
          <w:tcPr>
            <w:tcW w:w="10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Version</w:t>
            </w:r>
          </w:p>
        </w:tc>
        <w:tc>
          <w:tcPr>
            <w:tcW w:w="19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Date</w:t>
            </w:r>
          </w:p>
        </w:tc>
        <w:tc>
          <w:tcPr>
            <w:tcW w:w="609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Change</w:t>
            </w:r>
          </w:p>
        </w:tc>
      </w:tr>
      <w:tr>
        <w:trPr/>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19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04 October 2026</w:t>
            </w:r>
          </w:p>
        </w:tc>
        <w:tc>
          <w:tcPr>
            <w:tcW w:w="60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Initial issue: 19 flows with swimlane diagrams, covering the modules of the current release (including AML, IC and NPC compliance, BIR returns, cover notes, cancellation computation, post-dated cheques, instalment invoices, claim documents, motor repairs, dealer programmes, fleets, marine open covers, facultative reinsurance, the go-live data workbench, environment comparison and data masking)</w:t>
            </w:r>
          </w:p>
        </w:tc>
      </w:tr>
    </w:tbl>
    <w:p>
      <w:pPr>
        <w:pStyle w:val="Heading1"/>
        <w:rPr/>
      </w:pPr>
      <w:r>
        <w:br w:type="page"/>
      </w:r>
      <w:bookmarkStart w:id="13" w:name="__RefHeading___Toc19269_1497462395"/>
      <w:bookmarkEnd w:id="13"/>
      <w:r>
        <w:rPr>
          <w:rFonts w:eastAsia="Segoe UI" w:cs="Segoe UI" w:ascii="Segoe UI" w:hAnsi="Segoe UI"/>
          <w:b/>
          <w:color w:val="0F4761"/>
          <w:sz w:val="32"/>
        </w:rPr>
        <w:t>4.  Sales, placement and issue</w:t>
      </w:r>
    </w:p>
    <w:p>
      <w:pPr>
        <w:pStyle w:val="Heading2"/>
        <w:rPr/>
      </w:pPr>
      <w:bookmarkStart w:id="14" w:name="__RefHeading___Toc19271_1497462395"/>
      <w:bookmarkEnd w:id="14"/>
      <w:r>
        <w:rPr>
          <w:rFonts w:eastAsia="Segoe UI" w:cs="Segoe UI"/>
          <w:b/>
          <w:color w:val="0F4761"/>
          <w:sz w:val="26"/>
        </w:rPr>
        <w:t>4.1  F01 Lead to quotation to policy</w:t>
      </w:r>
    </w:p>
    <w:p>
      <w:pPr>
        <w:pStyle w:val="Normal"/>
        <w:spacing w:lineRule="auto" w:line="276" w:before="0" w:after="120"/>
        <w:rPr/>
      </w:pPr>
      <w:r>
        <w:rPr>
          <w:rFonts w:eastAsia="Segoe UI" w:cs="Segoe UI" w:ascii="Segoe UI" w:hAnsi="Segoe UI"/>
          <w:color w:val="101820"/>
          <w:sz w:val="21"/>
        </w:rPr>
        <w:t>A prospect is recorded, given an account executive, quoted, approved by the client and turned into a policy. This is the path for motor and package lines, where the quotation is issued without a placement slip. Risks marketed to several insurers follow F02 from step 3.</w:t>
      </w:r>
    </w:p>
    <w:p>
      <w:pPr>
        <w:pStyle w:val="Normal"/>
        <w:jc w:val="center"/>
        <w:rPr/>
      </w:pPr>
      <w:r>
        <w:rPr/>
        <w:drawing>
          <wp:inline distT="0" distB="0" distL="0" distR="0">
            <wp:extent cx="5760085" cy="7186295"/>
            <wp:effectExtent l="0" t="0" r="0" b="0"/>
            <wp:docPr id="8" name="Picture 21212881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21288188" descr=""/>
                    <pic:cNvPicPr>
                      <a:picLocks noChangeAspect="1" noChangeArrowheads="1"/>
                    </pic:cNvPicPr>
                  </pic:nvPicPr>
                  <pic:blipFill>
                    <a:blip r:embed="rId4"/>
                    <a:stretch>
                      <a:fillRect/>
                    </a:stretch>
                  </pic:blipFill>
                  <pic:spPr bwMode="auto">
                    <a:xfrm>
                      <a:off x="0" y="0"/>
                      <a:ext cx="5760085" cy="7186295"/>
                    </a:xfrm>
                    <a:prstGeom prst="rect">
                      <a:avLst/>
                    </a:prstGeom>
                  </pic:spPr>
                </pic:pic>
              </a:graphicData>
            </a:graphic>
          </wp:inline>
        </w:drawing>
      </w:r>
    </w:p>
    <w:p>
      <w:pPr>
        <w:pStyle w:val="Normal"/>
        <w:jc w:val="center"/>
        <w:rPr/>
      </w:pPr>
      <w:r>
        <w:rPr>
          <w:rFonts w:eastAsia="Segoe UI" w:cs="Segoe UI" w:ascii="Segoe UI" w:hAnsi="Segoe UI"/>
          <w:i/>
          <w:color w:val="555F6D"/>
          <w:sz w:val="18"/>
        </w:rPr>
        <w:t>F01 Lead to quotation to policy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44"/>
        <w:gridCol w:w="7370"/>
      </w:tblGrid>
      <w:tr>
        <w:trPr>
          <w:tblHeader w:val="true"/>
        </w:trPr>
        <w:tc>
          <w:tcPr>
            <w:tcW w:w="16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At a glance</w:t>
            </w:r>
          </w:p>
        </w:tc>
        <w:tc>
          <w:tcPr>
            <w:tcW w:w="73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prospect asks for cover, is referred by a channel, or comes from a dealer upload or a campaign</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or Operations; Processing Team (referrals and approvals); client; BrokerVerse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Prospects, Lead Assignment, Quick Quote, Quotations; Operations &gt; Policy</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policy.issue.broker_billed (broker billed) or directbill.commission (direct bill) at issue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Slip PDF, approval e-mail with link, policy schedule with the COC number and authentication code (motor with CTPL), premium invoice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Server re-pricing; acceptance rules of the governing product template (refer, decline, loading) with the Underwriting referral limit; quotation maker-checker (</w:t>
            </w:r>
            <w:r>
              <w:rPr>
                <w:rFonts w:eastAsia="Consolas" w:cs="Consolas" w:ascii="Consolas" w:hAnsi="Consolas"/>
                <w:color w:val="101820"/>
                <w:kern w:val="0"/>
                <w:sz w:val="16"/>
                <w:szCs w:val="24"/>
                <w:lang w:val="en-US" w:eastAsia="ja-JP" w:bidi="ar-SA"/>
              </w:rPr>
              <w:t>workflow.quote_maker_checker</w:t>
            </w:r>
            <w:r>
              <w:rPr>
                <w:rFonts w:eastAsia="Segoe UI" w:cs="Segoe UI" w:ascii="Segoe UI" w:hAnsi="Segoe UI"/>
                <w:color w:val="101820"/>
                <w:kern w:val="0"/>
                <w:sz w:val="18"/>
                <w:szCs w:val="24"/>
                <w:lang w:val="en-US" w:eastAsia="ja-JP" w:bidi="ar-SA"/>
              </w:rPr>
              <w:t>); discount limit of the Authority Matrix; KYC fields (</w:t>
            </w:r>
            <w:r>
              <w:rPr>
                <w:rFonts w:eastAsia="Consolas" w:cs="Consolas" w:ascii="Consolas" w:hAnsi="Consolas"/>
                <w:color w:val="101820"/>
                <w:kern w:val="0"/>
                <w:sz w:val="16"/>
                <w:szCs w:val="24"/>
                <w:lang w:val="en-US" w:eastAsia="ja-JP" w:bidi="ar-SA"/>
              </w:rPr>
              <w:t>policy.kyc_required_fields</w:t>
            </w:r>
            <w:r>
              <w:rPr>
                <w:rFonts w:eastAsia="Segoe UI" w:cs="Segoe UI" w:ascii="Segoe UI" w:hAnsi="Segoe UI"/>
                <w:color w:val="101820"/>
                <w:kern w:val="0"/>
                <w:sz w:val="18"/>
                <w:szCs w:val="24"/>
                <w:lang w:val="en-US" w:eastAsia="ja-JP" w:bidi="ar-SA"/>
              </w:rPr>
              <w:t>); AML checks at issue; insurer authority check (</w:t>
            </w:r>
            <w:r>
              <w:rPr>
                <w:rFonts w:eastAsia="Consolas" w:cs="Consolas" w:ascii="Consolas" w:hAnsi="Consolas"/>
                <w:color w:val="101820"/>
                <w:kern w:val="0"/>
                <w:sz w:val="16"/>
                <w:szCs w:val="24"/>
                <w:lang w:val="en-US" w:eastAsia="ja-JP" w:bidi="ar-SA"/>
              </w:rPr>
              <w:t>compliance.insurer_authority_check</w:t>
            </w:r>
            <w:r>
              <w:rPr>
                <w:rFonts w:eastAsia="Segoe UI" w:cs="Segoe UI" w:ascii="Segoe UI" w:hAnsi="Segoe UI"/>
                <w:color w:val="101820"/>
                <w:kern w:val="0"/>
                <w:sz w:val="18"/>
                <w:szCs w:val="24"/>
                <w:lang w:val="en-US" w:eastAsia="ja-JP" w:bidi="ar-SA"/>
              </w:rPr>
              <w:t>); client credit limit warning</w:t>
            </w:r>
          </w:p>
        </w:tc>
      </w:tr>
    </w:tbl>
    <w:p>
      <w:pPr>
        <w:pStyle w:val="Normal"/>
        <w:spacing w:before="0" w:after="80"/>
        <w:rPr/>
      </w:pPr>
      <w:r>
        <w:rPr/>
      </w:r>
    </w:p>
    <w:p>
      <w:pPr>
        <w:pStyle w:val="Normal"/>
        <w:numPr>
          <w:ilvl w:val="0"/>
          <w:numId w:val="23"/>
        </w:numPr>
        <w:spacing w:before="0" w:after="60"/>
        <w:rPr/>
      </w:pPr>
      <w:r>
        <w:rPr>
          <w:rFonts w:eastAsia="Segoe UI" w:cs="Segoe UI" w:ascii="Segoe UI" w:hAnsi="Segoe UI"/>
          <w:b/>
          <w:color w:val="101820"/>
          <w:sz w:val="21"/>
        </w:rPr>
        <w:t>Sales &amp; Marketing.</w:t>
      </w:r>
      <w:r>
        <w:rPr>
          <w:rFonts w:eastAsia="Segoe UI" w:cs="Segoe UI" w:ascii="Segoe UI" w:hAnsi="Segoe UI"/>
          <w:color w:val="101820"/>
          <w:sz w:val="21"/>
        </w:rPr>
        <w:t xml:space="preserve"> Operations &gt; Sales &amp; Marketing &gt; Prospects &gt; </w:t>
      </w:r>
      <w:r>
        <w:rPr>
          <w:rFonts w:eastAsia="Segoe UI" w:cs="Segoe UI" w:ascii="Segoe UI" w:hAnsi="Segoe UI"/>
          <w:b/>
          <w:color w:val="101820"/>
          <w:sz w:val="21"/>
        </w:rPr>
        <w:t>Create Prospect</w:t>
      </w:r>
      <w:r>
        <w:rPr>
          <w:rFonts w:eastAsia="Segoe UI" w:cs="Segoe UI" w:ascii="Segoe UI" w:hAnsi="Segoe UI"/>
          <w:color w:val="101820"/>
          <w:sz w:val="21"/>
        </w:rPr>
        <w:t>: new customer or existing client, the product (Motor, Fire and Allied Perils, Industrial All Risks, Employee Benefit, package products), the prospect form with the Philippine mobile number, address from the PSGC masters and 4-digit ZIP code. The prospect takes its number LD-YYYY-NNNNN with status New.</w:t>
      </w:r>
    </w:p>
    <w:p>
      <w:pPr>
        <w:pStyle w:val="Normal"/>
        <w:numPr>
          <w:ilvl w:val="0"/>
          <w:numId w:val="2"/>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The first active assignment rule that matches the prospect (line, channel, province, city, branch, source, category) gives it an account executive by round robin, fewest open prospects or a fixed person (Lead Assignment &gt; Assignment Rules). With no match, </w:t>
      </w:r>
      <w:r>
        <w:rPr>
          <w:rFonts w:eastAsia="Consolas" w:cs="Consolas" w:ascii="Consolas" w:hAnsi="Consolas"/>
          <w:color w:val="101820"/>
          <w:sz w:val="19"/>
        </w:rPr>
        <w:t>leads.assignment_fallback</w:t>
      </w:r>
      <w:r>
        <w:rPr>
          <w:rFonts w:eastAsia="Segoe UI" w:cs="Segoe UI" w:ascii="Segoe UI" w:hAnsi="Segoe UI"/>
          <w:color w:val="101820"/>
          <w:sz w:val="21"/>
        </w:rPr>
        <w:t xml:space="preserve"> keeps it with the creator or sends it to the reassignment queue. The assignment is written to the prospect's history.</w:t>
      </w:r>
    </w:p>
    <w:p>
      <w:pPr>
        <w:pStyle w:val="Normal"/>
        <w:numPr>
          <w:ilvl w:val="0"/>
          <w:numId w:val="2"/>
        </w:numPr>
        <w:spacing w:before="0" w:after="60"/>
        <w:rPr/>
      </w:pPr>
      <w:r>
        <w:rPr>
          <w:rFonts w:eastAsia="Segoe UI" w:cs="Segoe UI" w:ascii="Segoe UI" w:hAnsi="Segoe UI"/>
          <w:b/>
          <w:color w:val="101820"/>
          <w:sz w:val="21"/>
        </w:rPr>
        <w:t>Sales &amp; Marketing.</w:t>
      </w:r>
      <w:r>
        <w:rPr>
          <w:rFonts w:eastAsia="Segoe UI" w:cs="Segoe UI" w:ascii="Segoe UI" w:hAnsi="Segoe UI"/>
          <w:color w:val="101820"/>
          <w:sz w:val="21"/>
        </w:rPr>
        <w:t xml:space="preserve"> </w:t>
      </w:r>
      <w:r>
        <w:rPr>
          <w:rFonts w:eastAsia="Segoe UI" w:cs="Segoe UI" w:ascii="Segoe UI" w:hAnsi="Segoe UI"/>
          <w:b/>
          <w:color w:val="101820"/>
          <w:sz w:val="21"/>
        </w:rPr>
        <w:t>Create Quote</w:t>
      </w:r>
      <w:r>
        <w:rPr>
          <w:rFonts w:eastAsia="Segoe UI" w:cs="Segoe UI" w:ascii="Segoe UI" w:hAnsi="Segoe UI"/>
          <w:color w:val="101820"/>
          <w:sz w:val="21"/>
        </w:rPr>
        <w:t xml:space="preserve"> on the prospect, or Quick Quote &gt; </w:t>
      </w:r>
      <w:r>
        <w:rPr>
          <w:rFonts w:eastAsia="Segoe UI" w:cs="Segoe UI" w:ascii="Segoe UI" w:hAnsi="Segoe UI"/>
          <w:b/>
          <w:color w:val="101820"/>
          <w:sz w:val="21"/>
        </w:rPr>
        <w:t>Start quote</w:t>
      </w:r>
      <w:r>
        <w:rPr>
          <w:rFonts w:eastAsia="Segoe UI" w:cs="Segoe UI" w:ascii="Segoe UI" w:hAnsi="Segoe UI"/>
          <w:color w:val="101820"/>
          <w:sz w:val="21"/>
        </w:rPr>
        <w:t xml:space="preserve">: the motor wizard (policy and vehicle details, plan, coverage with </w:t>
      </w:r>
      <w:r>
        <w:rPr>
          <w:rFonts w:eastAsia="Segoe UI" w:cs="Segoe UI" w:ascii="Segoe UI" w:hAnsi="Segoe UI"/>
          <w:b/>
          <w:color w:val="101820"/>
          <w:sz w:val="21"/>
        </w:rPr>
        <w:t>Calculate</w:t>
      </w:r>
      <w:r>
        <w:rPr>
          <w:rFonts w:eastAsia="Segoe UI" w:cs="Segoe UI" w:ascii="Segoe UI" w:hAnsi="Segoe UI"/>
          <w:color w:val="101820"/>
          <w:sz w:val="21"/>
        </w:rPr>
        <w:t>, accessories, order summary with discount, referrer and signatory) or the package product. Products without a wizard go to a Request for Quotation (F02).</w:t>
      </w:r>
    </w:p>
    <w:p>
      <w:pPr>
        <w:pStyle w:val="Normal"/>
        <w:numPr>
          <w:ilvl w:val="0"/>
          <w:numId w:val="2"/>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On </w:t>
      </w:r>
      <w:r>
        <w:rPr>
          <w:rFonts w:eastAsia="Segoe UI" w:cs="Segoe UI" w:ascii="Segoe UI" w:hAnsi="Segoe UI"/>
          <w:b/>
          <w:color w:val="101820"/>
          <w:sz w:val="21"/>
        </w:rPr>
        <w:t>Completed Quote</w:t>
      </w:r>
      <w:r>
        <w:rPr>
          <w:rFonts w:eastAsia="Segoe UI" w:cs="Segoe UI" w:ascii="Segoe UI" w:hAnsi="Segoe UI"/>
          <w:color w:val="101820"/>
          <w:sz w:val="21"/>
        </w:rPr>
        <w:t xml:space="preserve"> the server prices the quotation again from the configured rates and taxes (VAT 12%, DST PHP 0.50 per PHP 4.00, LGT by city or municipality, CTPL from the tariff), applies the rating factors and acceptance rules of the governing product template, and saves the quotation as Draft (QT-YYYY-NNNNN), valid 30 days (</w:t>
      </w:r>
      <w:r>
        <w:rPr>
          <w:rFonts w:eastAsia="Consolas" w:cs="Consolas" w:ascii="Consolas" w:hAnsi="Consolas"/>
          <w:color w:val="101820"/>
          <w:sz w:val="19"/>
        </w:rPr>
        <w:t>limits.quote_validity_days</w:t>
      </w:r>
      <w:r>
        <w:rPr>
          <w:rFonts w:eastAsia="Segoe UI" w:cs="Segoe UI" w:ascii="Segoe UI" w:hAnsi="Segoe UI"/>
          <w:color w:val="101820"/>
          <w:sz w:val="21"/>
        </w:rPr>
        <w:t>). The prospect becomes QuoteGenerated.</w:t>
      </w:r>
    </w:p>
    <w:p>
      <w:pPr>
        <w:pStyle w:val="Normal"/>
        <w:numPr>
          <w:ilvl w:val="0"/>
          <w:numId w:val="2"/>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Decision: a rule with the action Refer matched (for example a vehicle older than the insurer's limit). A Decline rule refuses the quotation with the rule's message; an Apply Loading rule adds its loading to the net premium.</w:t>
      </w:r>
    </w:p>
    <w:p>
      <w:pPr>
        <w:pStyle w:val="Normal"/>
        <w:numPr>
          <w:ilvl w:val="0"/>
          <w:numId w:val="2"/>
        </w:numPr>
        <w:spacing w:before="0" w:after="60"/>
        <w:rPr/>
      </w:pPr>
      <w:r>
        <w:rPr>
          <w:rFonts w:eastAsia="Segoe UI" w:cs="Segoe UI" w:ascii="Segoe UI" w:hAnsi="Segoe UI"/>
          <w:b/>
          <w:color w:val="101820"/>
          <w:sz w:val="21"/>
        </w:rPr>
        <w:t>Processing Team</w:t>
      </w:r>
      <w:r>
        <w:rPr>
          <w:rFonts w:eastAsia="Segoe UI" w:cs="Segoe UI" w:ascii="Segoe UI" w:hAnsi="Segoe UI"/>
          <w:color w:val="101820"/>
          <w:sz w:val="21"/>
        </w:rPr>
        <w:t xml:space="preserve"> (or the rule's authority role). Approves the referral within its Underwriting referral limit of the Authority Matrix (sum insured). Until then the quotation cannot be sent, approved, placed or issued.</w:t>
      </w:r>
    </w:p>
    <w:p>
      <w:pPr>
        <w:pStyle w:val="Normal"/>
        <w:numPr>
          <w:ilvl w:val="0"/>
          <w:numId w:val="2"/>
        </w:numPr>
        <w:spacing w:before="0" w:after="60"/>
        <w:rPr/>
      </w:pPr>
      <w:r>
        <w:rPr>
          <w:rFonts w:eastAsia="Segoe UI" w:cs="Segoe UI" w:ascii="Segoe UI" w:hAnsi="Segoe UI"/>
          <w:b/>
          <w:color w:val="101820"/>
          <w:sz w:val="21"/>
        </w:rPr>
        <w:t>Sales &amp; Marketing.</w:t>
      </w:r>
      <w:r>
        <w:rPr>
          <w:rFonts w:eastAsia="Segoe UI" w:cs="Segoe UI" w:ascii="Segoe UI" w:hAnsi="Segoe UI"/>
          <w:color w:val="101820"/>
          <w:sz w:val="21"/>
        </w:rPr>
        <w:t xml:space="preserve"> </w:t>
      </w:r>
      <w:r>
        <w:rPr>
          <w:rFonts w:eastAsia="Segoe UI" w:cs="Segoe UI" w:ascii="Segoe UI" w:hAnsi="Segoe UI"/>
          <w:b/>
          <w:color w:val="101820"/>
          <w:sz w:val="21"/>
        </w:rPr>
        <w:t>Send for Customer Approval</w:t>
      </w:r>
      <w:r>
        <w:rPr>
          <w:rFonts w:eastAsia="Segoe UI" w:cs="Segoe UI" w:ascii="Segoe UI" w:hAnsi="Segoe UI"/>
          <w:color w:val="101820"/>
          <w:sz w:val="21"/>
        </w:rPr>
        <w:t>: the client must have an e-mail address. A signed approval link valid for 7 days is e-mailed, the status becomes Pending Customer and the Processing Team is notified.</w:t>
      </w:r>
    </w:p>
    <w:p>
      <w:pPr>
        <w:pStyle w:val="Normal"/>
        <w:numPr>
          <w:ilvl w:val="0"/>
          <w:numId w:val="2"/>
        </w:numPr>
        <w:spacing w:before="0" w:after="60"/>
        <w:rPr/>
      </w:pPr>
      <w:r>
        <w:rPr>
          <w:rFonts w:eastAsia="Segoe UI" w:cs="Segoe UI" w:ascii="Segoe UI" w:hAnsi="Segoe UI"/>
          <w:b/>
          <w:color w:val="101820"/>
          <w:sz w:val="21"/>
        </w:rPr>
        <w:t>Client.</w:t>
      </w:r>
      <w:r>
        <w:rPr>
          <w:rFonts w:eastAsia="Segoe UI" w:cs="Segoe UI" w:ascii="Segoe UI" w:hAnsi="Segoe UI"/>
          <w:color w:val="101820"/>
          <w:sz w:val="21"/>
        </w:rPr>
        <w:t xml:space="preserve"> Approves through the link without signing in, or answers by e-mail, phone, Viber, meeting or signed form; the account executive then uses </w:t>
      </w:r>
      <w:r>
        <w:rPr>
          <w:rFonts w:eastAsia="Segoe UI" w:cs="Segoe UI" w:ascii="Segoe UI" w:hAnsi="Segoe UI"/>
          <w:b/>
          <w:color w:val="101820"/>
          <w:sz w:val="21"/>
        </w:rPr>
        <w:t>Record customer response</w:t>
      </w:r>
      <w:r>
        <w:rPr>
          <w:rFonts w:eastAsia="Segoe UI" w:cs="Segoe UI" w:ascii="Segoe UI" w:hAnsi="Segoe UI"/>
          <w:color w:val="101820"/>
          <w:sz w:val="21"/>
        </w:rPr>
        <w:t>. Accepted gives Customer Accepted; Revise returns the quotation to Draft (step 3); Declined gives Rejected (step 14).</w:t>
      </w:r>
    </w:p>
    <w:p>
      <w:pPr>
        <w:pStyle w:val="Normal"/>
        <w:numPr>
          <w:ilvl w:val="0"/>
          <w:numId w:val="2"/>
        </w:numPr>
        <w:spacing w:before="0" w:after="60"/>
        <w:rPr/>
      </w:pPr>
      <w:r>
        <w:rPr>
          <w:rFonts w:eastAsia="Segoe UI" w:cs="Segoe UI" w:ascii="Segoe UI" w:hAnsi="Segoe UI"/>
          <w:b/>
          <w:color w:val="101820"/>
          <w:sz w:val="21"/>
        </w:rPr>
        <w:t>Sales &amp; Marketing.</w:t>
      </w:r>
      <w:r>
        <w:rPr>
          <w:rFonts w:eastAsia="Segoe UI" w:cs="Segoe UI" w:ascii="Segoe UI" w:hAnsi="Segoe UI"/>
          <w:color w:val="101820"/>
          <w:sz w:val="21"/>
        </w:rPr>
        <w:t xml:space="preserve"> </w:t>
      </w:r>
      <w:r>
        <w:rPr>
          <w:rFonts w:eastAsia="Segoe UI" w:cs="Segoe UI" w:ascii="Segoe UI" w:hAnsi="Segoe UI"/>
          <w:b/>
          <w:color w:val="101820"/>
          <w:sz w:val="21"/>
        </w:rPr>
        <w:t>Proceed to Policy</w:t>
      </w:r>
      <w:r>
        <w:rPr>
          <w:rFonts w:eastAsia="Segoe UI" w:cs="Segoe UI" w:ascii="Segoe UI" w:hAnsi="Segoe UI"/>
          <w:color w:val="101820"/>
          <w:sz w:val="21"/>
        </w:rPr>
        <w:t xml:space="preserve">: government ID type, number and scan (PhilSys, UMID, passport, driver's licence and the other types of </w:t>
      </w:r>
      <w:r>
        <w:rPr>
          <w:rFonts w:eastAsia="Consolas" w:cs="Consolas" w:ascii="Consolas" w:hAnsi="Consolas"/>
          <w:color w:val="101820"/>
          <w:sz w:val="19"/>
        </w:rPr>
        <w:t>policy.kyc_id_types</w:t>
      </w:r>
      <w:r>
        <w:rPr>
          <w:rFonts w:eastAsia="Segoe UI" w:cs="Segoe UI" w:ascii="Segoe UI" w:hAnsi="Segoe UI"/>
          <w:color w:val="101820"/>
          <w:sz w:val="21"/>
        </w:rPr>
        <w:t>), motor, chassis and plate or MV file number, mortgagee, five vehicle photos, then the billing mode (broker billed or direct bill, default from the insurer). A cover note can be issued from the accepted quotation while the insurer prepares the policy (Operations &gt; Cover Notes).</w:t>
      </w:r>
    </w:p>
    <w:p>
      <w:pPr>
        <w:pStyle w:val="Normal"/>
        <w:numPr>
          <w:ilvl w:val="0"/>
          <w:numId w:val="2"/>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Checks before issue: the KYC fields; the client's AML status (no undecided or confirmed screening match, an approved EDD review for a High-risk client, F11); the insurer's IC certificate of authority (warn as delivered, block when set); the placement journey of the line (a line that requires a placement slip is refused); the client's credit limit (issued with a warning to Accounting).</w:t>
      </w:r>
    </w:p>
    <w:p>
      <w:pPr>
        <w:pStyle w:val="Normal"/>
        <w:numPr>
          <w:ilvl w:val="0"/>
          <w:numId w:val="2"/>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Issues the policy (POL-YYYY-NNNNN), creates the client from the prospect (CL-YYYY-NNNNN), copies the participants, raises the bill (INV-) and posts the journal, accrues the referrer's commission (F07), allocates the next COC number of the insurer's series and sends the CTPL authentication request (</w:t>
      </w:r>
      <w:r>
        <w:rPr>
          <w:rFonts w:eastAsia="Consolas" w:cs="Consolas" w:ascii="Consolas" w:hAnsi="Consolas"/>
          <w:color w:val="101820"/>
          <w:sz w:val="19"/>
        </w:rPr>
        <w:t>ctpl.register_on_issue</w:t>
      </w:r>
      <w:r>
        <w:rPr>
          <w:rFonts w:eastAsia="Segoe UI" w:cs="Segoe UI" w:ascii="Segoe UI" w:hAnsi="Segoe UI"/>
          <w:color w:val="101820"/>
          <w:sz w:val="21"/>
        </w:rPr>
        <w:t xml:space="preserve">, </w:t>
      </w:r>
      <w:r>
        <w:rPr>
          <w:rFonts w:eastAsia="Consolas" w:cs="Consolas" w:ascii="Consolas" w:hAnsi="Consolas"/>
          <w:color w:val="101820"/>
          <w:sz w:val="19"/>
        </w:rPr>
        <w:t>ctpl.authenticate_on_issue</w:t>
      </w:r>
      <w:r>
        <w:rPr>
          <w:rFonts w:eastAsia="Segoe UI" w:cs="Segoe UI" w:ascii="Segoe UI" w:hAnsi="Segoe UI"/>
          <w:color w:val="101820"/>
          <w:sz w:val="21"/>
        </w:rPr>
        <w:t>). The quotation becomes Converted to Policy and an active cover note becomes Superseded.</w:t>
      </w:r>
    </w:p>
    <w:p>
      <w:pPr>
        <w:pStyle w:val="Normal"/>
        <w:numPr>
          <w:ilvl w:val="0"/>
          <w:numId w:val="2"/>
        </w:numPr>
        <w:spacing w:before="0" w:after="60"/>
        <w:rPr/>
      </w:pPr>
      <w:r>
        <w:rPr>
          <w:rFonts w:eastAsia="Segoe UI" w:cs="Segoe UI" w:ascii="Segoe UI" w:hAnsi="Segoe UI"/>
          <w:b/>
          <w:color w:val="101820"/>
          <w:sz w:val="21"/>
        </w:rPr>
        <w:t>Sales &amp; Marketing.</w:t>
      </w:r>
      <w:r>
        <w:rPr>
          <w:rFonts w:eastAsia="Segoe UI" w:cs="Segoe UI" w:ascii="Segoe UI" w:hAnsi="Segoe UI"/>
          <w:color w:val="101820"/>
          <w:sz w:val="21"/>
        </w:rPr>
        <w:t xml:space="preserve"> Uploads the insurer's policy document (PDF or image, 10 MB) and chooses </w:t>
      </w:r>
      <w:r>
        <w:rPr>
          <w:rFonts w:eastAsia="Segoe UI" w:cs="Segoe UI" w:ascii="Segoe UI" w:hAnsi="Segoe UI"/>
          <w:b/>
          <w:color w:val="101820"/>
          <w:sz w:val="21"/>
        </w:rPr>
        <w:t>Pay Later</w:t>
      </w:r>
      <w:r>
        <w:rPr>
          <w:rFonts w:eastAsia="Segoe UI" w:cs="Segoe UI" w:ascii="Segoe UI" w:hAnsi="Segoe UI"/>
          <w:color w:val="101820"/>
          <w:sz w:val="21"/>
        </w:rPr>
        <w:t xml:space="preserve"> or </w:t>
      </w:r>
      <w:r>
        <w:rPr>
          <w:rFonts w:eastAsia="Segoe UI" w:cs="Segoe UI" w:ascii="Segoe UI" w:hAnsi="Segoe UI"/>
          <w:b/>
          <w:color w:val="101820"/>
          <w:sz w:val="21"/>
        </w:rPr>
        <w:t>Proceed to Payment</w:t>
      </w:r>
      <w:r>
        <w:rPr>
          <w:rFonts w:eastAsia="Segoe UI" w:cs="Segoe UI" w:ascii="Segoe UI" w:hAnsi="Segoe UI"/>
          <w:color w:val="101820"/>
          <w:sz w:val="21"/>
        </w:rPr>
        <w:t xml:space="preserve"> (F05).</w:t>
      </w:r>
    </w:p>
    <w:p>
      <w:pPr>
        <w:pStyle w:val="Normal"/>
        <w:numPr>
          <w:ilvl w:val="0"/>
          <w:numId w:val="2"/>
        </w:numPr>
        <w:spacing w:before="0" w:after="60"/>
        <w:rPr/>
      </w:pPr>
      <w:r>
        <w:rPr>
          <w:rFonts w:eastAsia="Segoe UI" w:cs="Segoe UI" w:ascii="Segoe UI" w:hAnsi="Segoe UI"/>
          <w:b/>
          <w:color w:val="101820"/>
          <w:sz w:val="21"/>
        </w:rPr>
        <w:t>End.</w:t>
      </w:r>
      <w:r>
        <w:rPr>
          <w:rFonts w:eastAsia="Segoe UI" w:cs="Segoe UI" w:ascii="Segoe UI" w:hAnsi="Segoe UI"/>
          <w:color w:val="101820"/>
          <w:sz w:val="21"/>
        </w:rPr>
        <w:t xml:space="preserve"> The policy is Active with payment status Pending.</w:t>
      </w:r>
    </w:p>
    <w:p>
      <w:pPr>
        <w:pStyle w:val="Normal"/>
        <w:numPr>
          <w:ilvl w:val="0"/>
          <w:numId w:val="2"/>
        </w:numPr>
        <w:spacing w:before="0" w:after="60"/>
        <w:rPr/>
      </w:pPr>
      <w:r>
        <w:rPr>
          <w:rFonts w:eastAsia="Segoe UI" w:cs="Segoe UI" w:ascii="Segoe UI" w:hAnsi="Segoe UI"/>
          <w:b/>
          <w:color w:val="101820"/>
          <w:sz w:val="21"/>
        </w:rPr>
        <w:t>End.</w:t>
      </w:r>
      <w:r>
        <w:rPr>
          <w:rFonts w:eastAsia="Segoe UI" w:cs="Segoe UI" w:ascii="Segoe UI" w:hAnsi="Segoe UI"/>
          <w:color w:val="101820"/>
          <w:sz w:val="21"/>
        </w:rPr>
        <w:t xml:space="preserve"> The quotation is Rejected; it can be reopened as Draft.</w:t>
      </w:r>
    </w:p>
    <w:p>
      <w:pPr>
        <w:pStyle w:val="Normal"/>
        <w:spacing w:lineRule="auto" w:line="276" w:before="0" w:after="120"/>
        <w:rPr/>
      </w:pPr>
      <w:r>
        <w:rPr>
          <w:rFonts w:eastAsia="Segoe UI" w:cs="Segoe UI" w:ascii="Segoe UI" w:hAnsi="Segoe UI"/>
          <w:b/>
          <w:color w:val="101820"/>
          <w:sz w:val="21"/>
        </w:rPr>
        <w:t>Exceptions</w:t>
      </w:r>
    </w:p>
    <w:p>
      <w:pPr>
        <w:pStyle w:val="Normal"/>
        <w:numPr>
          <w:ilvl w:val="0"/>
          <w:numId w:val="1"/>
        </w:numPr>
        <w:spacing w:before="0" w:after="60"/>
        <w:rPr/>
      </w:pPr>
      <w:r>
        <w:rPr>
          <w:rFonts w:eastAsia="Segoe UI" w:cs="Segoe UI" w:ascii="Segoe UI" w:hAnsi="Segoe UI"/>
          <w:color w:val="101820"/>
          <w:sz w:val="21"/>
        </w:rPr>
        <w:t>A premium changed in the browser is ignored: the server price is saved. A discount above the role's limit is refused by the Authority Matrix.</w:t>
      </w:r>
    </w:p>
    <w:p>
      <w:pPr>
        <w:pStyle w:val="Normal"/>
        <w:numPr>
          <w:ilvl w:val="0"/>
          <w:numId w:val="1"/>
        </w:numPr>
        <w:spacing w:before="0" w:after="60"/>
        <w:rPr/>
      </w:pPr>
      <w:r>
        <w:rPr>
          <w:rFonts w:eastAsia="Segoe UI" w:cs="Segoe UI" w:ascii="Segoe UI" w:hAnsi="Segoe UI"/>
          <w:color w:val="101820"/>
          <w:sz w:val="21"/>
        </w:rPr>
        <w:t>A quotation not converted within its validity becomes Expired (Quotation expiry job, daily 00:30); it can be reopened as Draft.</w:t>
      </w:r>
    </w:p>
    <w:p>
      <w:pPr>
        <w:pStyle w:val="Normal"/>
        <w:numPr>
          <w:ilvl w:val="0"/>
          <w:numId w:val="1"/>
        </w:numPr>
        <w:spacing w:before="0" w:after="60"/>
        <w:rPr/>
      </w:pPr>
      <w:r>
        <w:rPr>
          <w:rFonts w:eastAsia="Segoe UI" w:cs="Segoe UI" w:ascii="Segoe UI" w:hAnsi="Segoe UI"/>
          <w:color w:val="101820"/>
          <w:sz w:val="21"/>
        </w:rPr>
        <w:t>Issue refused for missing KYC or vehicle identifiers; for an open screening hit or a pending EDD review; for an insurer whose certificate of authority has expired when the check is set to block.</w:t>
      </w:r>
    </w:p>
    <w:p>
      <w:pPr>
        <w:pStyle w:val="Normal"/>
        <w:numPr>
          <w:ilvl w:val="0"/>
          <w:numId w:val="1"/>
        </w:numPr>
        <w:spacing w:before="0" w:after="60"/>
        <w:rPr/>
      </w:pPr>
      <w:r>
        <w:rPr>
          <w:rFonts w:eastAsia="Segoe UI" w:cs="Segoe UI" w:ascii="Segoe UI" w:hAnsi="Segoe UI"/>
          <w:color w:val="101820"/>
          <w:sz w:val="21"/>
        </w:rPr>
        <w:t xml:space="preserve">A COC series with no numbers left: the cover waits on Operations &gt; CTPL Authentication, where the number is entered by hand under </w:t>
      </w:r>
      <w:r>
        <w:rPr>
          <w:rFonts w:eastAsia="Segoe UI" w:cs="Segoe UI" w:ascii="Segoe UI" w:hAnsi="Segoe UI"/>
          <w:b/>
          <w:color w:val="101820"/>
          <w:sz w:val="21"/>
        </w:rPr>
        <w:t>Vehicle details</w:t>
      </w:r>
      <w:r>
        <w:rPr>
          <w:rFonts w:eastAsia="Segoe UI" w:cs="Segoe UI" w:ascii="Segoe UI" w:hAnsi="Segoe UI"/>
          <w:color w:val="101820"/>
          <w:sz w:val="21"/>
        </w:rPr>
        <w:t>; an authentication not received within 24 hours is flagged (</w:t>
      </w:r>
      <w:r>
        <w:rPr>
          <w:rFonts w:eastAsia="Consolas" w:cs="Consolas" w:ascii="Consolas" w:hAnsi="Consolas"/>
          <w:color w:val="101820"/>
          <w:sz w:val="19"/>
        </w:rPr>
        <w:t>ctpl.unauthenticated_alert_hours</w:t>
      </w:r>
      <w:r>
        <w:rPr>
          <w:rFonts w:eastAsia="Segoe UI" w:cs="Segoe UI" w:ascii="Segoe UI" w:hAnsi="Segoe UI"/>
          <w:color w:val="101820"/>
          <w:sz w:val="21"/>
        </w:rPr>
        <w:t>).</w:t>
      </w:r>
    </w:p>
    <w:p>
      <w:pPr>
        <w:pStyle w:val="Heading2"/>
        <w:rPr/>
      </w:pPr>
      <w:bookmarkStart w:id="15" w:name="__RefHeading___Toc19273_1497462395"/>
      <w:bookmarkEnd w:id="15"/>
      <w:r>
        <w:rPr>
          <w:rFonts w:eastAsia="Segoe UI" w:cs="Segoe UI"/>
          <w:b/>
          <w:color w:val="0F4761"/>
          <w:sz w:val="26"/>
        </w:rPr>
        <w:t>4.2  F02 Request for quotation, co-insurance and placement</w:t>
      </w:r>
    </w:p>
    <w:p>
      <w:pPr>
        <w:pStyle w:val="Normal"/>
        <w:spacing w:lineRule="auto" w:line="276" w:before="0" w:after="120"/>
        <w:rPr/>
      </w:pPr>
      <w:r>
        <w:rPr>
          <w:rFonts w:eastAsia="Segoe UI" w:cs="Segoe UI" w:ascii="Segoe UI" w:hAnsi="Segoe UI"/>
          <w:color w:val="101820"/>
          <w:sz w:val="21"/>
        </w:rPr>
        <w:t>A non-package or large risk is presented to several insurers, the offers are compared, the security is chosen (one insurer, or a lead and co-insurers with shares totalling 100%), the firm order is confirmed by every participant and the policy is issued from the bound slip.</w:t>
      </w:r>
    </w:p>
    <w:p>
      <w:pPr>
        <w:pStyle w:val="Normal"/>
        <w:jc w:val="center"/>
        <w:rPr/>
      </w:pPr>
      <w:r>
        <w:rPr/>
        <w:drawing>
          <wp:inline distT="0" distB="0" distL="0" distR="0">
            <wp:extent cx="5760085" cy="6859905"/>
            <wp:effectExtent l="0" t="0" r="0" b="0"/>
            <wp:docPr id="9" name="Picture 21212881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121288189" descr=""/>
                    <pic:cNvPicPr>
                      <a:picLocks noChangeAspect="1" noChangeArrowheads="1"/>
                    </pic:cNvPicPr>
                  </pic:nvPicPr>
                  <pic:blipFill>
                    <a:blip r:embed="rId5"/>
                    <a:stretch>
                      <a:fillRect/>
                    </a:stretch>
                  </pic:blipFill>
                  <pic:spPr bwMode="auto">
                    <a:xfrm>
                      <a:off x="0" y="0"/>
                      <a:ext cx="5760085" cy="6859905"/>
                    </a:xfrm>
                    <a:prstGeom prst="rect">
                      <a:avLst/>
                    </a:prstGeom>
                  </pic:spPr>
                </pic:pic>
              </a:graphicData>
            </a:graphic>
          </wp:inline>
        </w:drawing>
      </w:r>
    </w:p>
    <w:p>
      <w:pPr>
        <w:pStyle w:val="Normal"/>
        <w:jc w:val="center"/>
        <w:rPr/>
      </w:pPr>
      <w:r>
        <w:rPr>
          <w:rFonts w:eastAsia="Segoe UI" w:cs="Segoe UI" w:ascii="Segoe UI" w:hAnsi="Segoe UI"/>
          <w:i/>
          <w:color w:val="555F6D"/>
          <w:sz w:val="18"/>
        </w:rPr>
        <w:t>F02 Request for quotation, co-insurance and placement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44"/>
        <w:gridCol w:w="7370"/>
      </w:tblGrid>
      <w:tr>
        <w:trPr>
          <w:tblHeader w:val="true"/>
        </w:trPr>
        <w:tc>
          <w:tcPr>
            <w:tcW w:w="16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At a glance</w:t>
            </w:r>
          </w:p>
        </w:tc>
        <w:tc>
          <w:tcPr>
            <w:tcW w:w="73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risk that needs the insurers' terms (fire, IAR, marine, engineering, casualty, employee benefits) or a line whose placement journey requires a placement slip</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Sales &amp; Marketing; insurers; client; BrokerVerse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Requests for Quotation, Quotations, Comparison Reports, Placement Slips</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policy.issue.broker_billed with one payable and commission line per insurer (rounding to the lead)</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 PDF (whole market or per insurer), Quotation Slip, client comparison report, placing slip per participant, policy schedule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Insurer authority check at submission and at the firm order; insurer market of the product (Market Mapping, </w:t>
            </w:r>
            <w:r>
              <w:rPr>
                <w:rFonts w:eastAsia="Consolas" w:cs="Consolas" w:ascii="Consolas" w:hAnsi="Consolas"/>
                <w:color w:val="101820"/>
                <w:kern w:val="0"/>
                <w:sz w:val="16"/>
                <w:szCs w:val="24"/>
                <w:lang w:val="en-US" w:eastAsia="ja-JP" w:bidi="ar-SA"/>
              </w:rPr>
              <w:t>product.market_panel_enforced</w:t>
            </w:r>
            <w:r>
              <w:rPr>
                <w:rFonts w:eastAsia="Segoe UI" w:cs="Segoe UI" w:ascii="Segoe UI" w:hAnsi="Segoe UI"/>
                <w:color w:val="101820"/>
                <w:kern w:val="0"/>
                <w:sz w:val="18"/>
                <w:szCs w:val="24"/>
                <w:lang w:val="en-US" w:eastAsia="ja-JP" w:bidi="ar-SA"/>
              </w:rPr>
              <w:t>); acceptance rules per insurer (a Decline rule refuses that insurer); shares exactly 100% with one lead; issue only when every participant has confirmed</w:t>
            </w:r>
          </w:p>
        </w:tc>
      </w:tr>
    </w:tbl>
    <w:p>
      <w:pPr>
        <w:pStyle w:val="Normal"/>
        <w:spacing w:before="0" w:after="80"/>
        <w:rPr/>
      </w:pPr>
      <w:r>
        <w:rPr/>
      </w:r>
    </w:p>
    <w:p>
      <w:pPr>
        <w:pStyle w:val="Normal"/>
        <w:numPr>
          <w:ilvl w:val="0"/>
          <w:numId w:val="24"/>
        </w:numPr>
        <w:spacing w:before="0" w:after="60"/>
        <w:rPr/>
      </w:pPr>
      <w:r>
        <w:rPr>
          <w:rFonts w:eastAsia="Segoe UI" w:cs="Segoe UI" w:ascii="Segoe UI" w:hAnsi="Segoe UI"/>
          <w:b/>
          <w:color w:val="101820"/>
          <w:sz w:val="21"/>
        </w:rPr>
        <w:t>Processing Team</w:t>
      </w:r>
      <w:r>
        <w:rPr>
          <w:rFonts w:eastAsia="Segoe UI" w:cs="Segoe UI" w:ascii="Segoe UI" w:hAnsi="Segoe UI"/>
          <w:color w:val="101820"/>
          <w:sz w:val="21"/>
        </w:rPr>
        <w:t xml:space="preserve"> (Sales and Operations can start one). </w:t>
      </w:r>
      <w:r>
        <w:rPr>
          <w:rFonts w:eastAsia="Segoe UI" w:cs="Segoe UI" w:ascii="Segoe UI" w:hAnsi="Segoe UI"/>
          <w:b/>
          <w:color w:val="101820"/>
          <w:sz w:val="21"/>
        </w:rPr>
        <w:t>New Request for Quotation</w:t>
      </w:r>
      <w:r>
        <w:rPr>
          <w:rFonts w:eastAsia="Segoe UI" w:cs="Segoe UI" w:ascii="Segoe UI" w:hAnsi="Segoe UI"/>
          <w:color w:val="101820"/>
          <w:sz w:val="21"/>
        </w:rPr>
        <w:t>: customer (client, prospect or new prospect), product, insured, inception and expiry, response due, risk details as items and values, requested covers with sums insured and deductibles, insurers to approach, remarks.</w:t>
      </w:r>
    </w:p>
    <w:p>
      <w:pPr>
        <w:pStyle w:val="Normal"/>
        <w:numPr>
          <w:ilvl w:val="0"/>
          <w:numId w:val="25"/>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On </w:t>
      </w:r>
      <w:r>
        <w:rPr>
          <w:rFonts w:eastAsia="Segoe UI" w:cs="Segoe UI" w:ascii="Segoe UI" w:hAnsi="Segoe UI"/>
          <w:b/>
          <w:color w:val="101820"/>
          <w:sz w:val="21"/>
        </w:rPr>
        <w:t>Save and submit to market</w:t>
      </w:r>
      <w:r>
        <w:rPr>
          <w:rFonts w:eastAsia="Segoe UI" w:cs="Segoe UI" w:ascii="Segoe UI" w:hAnsi="Segoe UI"/>
          <w:color w:val="101820"/>
          <w:sz w:val="21"/>
        </w:rPr>
        <w:t>: checks each insurer's certificate of authority and the product's insurer market, numbers the slip BS-YYYY-NNNNN, creates one offer record per insurer (OFR-, Pending) and queues the request e-mail to each insurer.</w:t>
      </w:r>
    </w:p>
    <w:p>
      <w:pPr>
        <w:pStyle w:val="Normal"/>
        <w:numPr>
          <w:ilvl w:val="0"/>
          <w:numId w:val="26"/>
        </w:numPr>
        <w:spacing w:before="0" w:after="60"/>
        <w:rPr/>
      </w:pPr>
      <w:r>
        <w:rPr>
          <w:rFonts w:eastAsia="Segoe UI" w:cs="Segoe UI" w:ascii="Segoe UI" w:hAnsi="Segoe UI"/>
          <w:b/>
          <w:color w:val="101820"/>
          <w:sz w:val="21"/>
        </w:rPr>
        <w:t>Insurer.</w:t>
      </w:r>
      <w:r>
        <w:rPr>
          <w:rFonts w:eastAsia="Segoe UI" w:cs="Segoe UI" w:ascii="Segoe UI" w:hAnsi="Segoe UI"/>
          <w:color w:val="101820"/>
          <w:sz w:val="21"/>
        </w:rPr>
        <w:t xml:space="preserve"> Answers with terms (net premium, rate, line offered, taxes, deductibles, special terms, validity) or declines.</w:t>
      </w:r>
    </w:p>
    <w:p>
      <w:pPr>
        <w:pStyle w:val="Normal"/>
        <w:numPr>
          <w:ilvl w:val="0"/>
          <w:numId w:val="27"/>
        </w:numPr>
        <w:spacing w:before="0" w:after="60"/>
        <w:rPr/>
      </w:pPr>
      <w:r>
        <w:rPr>
          <w:rFonts w:eastAsia="Segoe UI" w:cs="Segoe UI" w:ascii="Segoe UI" w:hAnsi="Segoe UI"/>
          <w:b/>
          <w:color w:val="101820"/>
          <w:sz w:val="21"/>
        </w:rPr>
        <w:t>Processing Team.</w:t>
      </w:r>
      <w:r>
        <w:rPr>
          <w:rFonts w:eastAsia="Segoe UI" w:cs="Segoe UI" w:ascii="Segoe UI" w:hAnsi="Segoe UI"/>
          <w:color w:val="101820"/>
          <w:sz w:val="21"/>
        </w:rPr>
        <w:t xml:space="preserve"> Market responses &gt; </w:t>
      </w:r>
      <w:r>
        <w:rPr>
          <w:rFonts w:eastAsia="Segoe UI" w:cs="Segoe UI" w:ascii="Segoe UI" w:hAnsi="Segoe UI"/>
          <w:b/>
          <w:color w:val="101820"/>
          <w:sz w:val="21"/>
        </w:rPr>
        <w:t>Record response</w:t>
      </w:r>
      <w:r>
        <w:rPr>
          <w:rFonts w:eastAsia="Segoe UI" w:cs="Segoe UI" w:ascii="Segoe UI" w:hAnsi="Segoe UI"/>
          <w:color w:val="101820"/>
          <w:sz w:val="21"/>
        </w:rPr>
        <w:t xml:space="preserve"> (or </w:t>
      </w:r>
      <w:r>
        <w:rPr>
          <w:rFonts w:eastAsia="Segoe UI" w:cs="Segoe UI" w:ascii="Segoe UI" w:hAnsi="Segoe UI"/>
          <w:b/>
          <w:color w:val="101820"/>
          <w:sz w:val="21"/>
        </w:rPr>
        <w:t>Record decline</w:t>
      </w:r>
      <w:r>
        <w:rPr>
          <w:rFonts w:eastAsia="Segoe UI" w:cs="Segoe UI" w:ascii="Segoe UI" w:hAnsi="Segoe UI"/>
          <w:color w:val="101820"/>
          <w:sz w:val="21"/>
        </w:rPr>
        <w:t xml:space="preserve"> with the reason). The slip becomes Responses in with the first answer. </w:t>
      </w:r>
      <w:r>
        <w:rPr>
          <w:rFonts w:eastAsia="Segoe UI" w:cs="Segoe UI" w:ascii="Segoe UI" w:hAnsi="Segoe UI"/>
          <w:b/>
          <w:color w:val="101820"/>
          <w:sz w:val="21"/>
        </w:rPr>
        <w:t>Add insurer</w:t>
      </w:r>
      <w:r>
        <w:rPr>
          <w:rFonts w:eastAsia="Segoe UI" w:cs="Segoe UI" w:ascii="Segoe UI" w:hAnsi="Segoe UI"/>
          <w:color w:val="101820"/>
          <w:sz w:val="21"/>
        </w:rPr>
        <w:t xml:space="preserve"> approaches another insurer on an open slip.</w:t>
      </w:r>
    </w:p>
    <w:p>
      <w:pPr>
        <w:pStyle w:val="Normal"/>
        <w:numPr>
          <w:ilvl w:val="0"/>
          <w:numId w:val="28"/>
        </w:numPr>
        <w:spacing w:before="0" w:after="60"/>
        <w:rPr/>
      </w:pPr>
      <w:r>
        <w:rPr>
          <w:rFonts w:eastAsia="Segoe UI" w:cs="Segoe UI" w:ascii="Segoe UI" w:hAnsi="Segoe UI"/>
          <w:b/>
          <w:color w:val="101820"/>
          <w:sz w:val="21"/>
        </w:rPr>
        <w:t>Processing Team.</w:t>
      </w:r>
      <w:r>
        <w:rPr>
          <w:rFonts w:eastAsia="Segoe UI" w:cs="Segoe UI" w:ascii="Segoe UI" w:hAnsi="Segoe UI"/>
          <w:color w:val="101820"/>
          <w:sz w:val="21"/>
        </w:rPr>
        <w:t xml:space="preserve"> Compare offers: the offers ranked by gross premium with the best marked; tick </w:t>
      </w:r>
      <w:r>
        <w:rPr>
          <w:rFonts w:eastAsia="Segoe UI" w:cs="Segoe UI" w:ascii="Segoe UI" w:hAnsi="Segoe UI"/>
          <w:b/>
          <w:color w:val="101820"/>
          <w:sz w:val="21"/>
        </w:rPr>
        <w:t>Select</w:t>
      </w:r>
      <w:r>
        <w:rPr>
          <w:rFonts w:eastAsia="Segoe UI" w:cs="Segoe UI" w:ascii="Segoe UI" w:hAnsi="Segoe UI"/>
          <w:color w:val="101820"/>
          <w:sz w:val="21"/>
        </w:rPr>
        <w:t xml:space="preserve"> on each offer placed, choose the </w:t>
      </w:r>
      <w:r>
        <w:rPr>
          <w:rFonts w:eastAsia="Segoe UI" w:cs="Segoe UI" w:ascii="Segoe UI" w:hAnsi="Segoe UI"/>
          <w:b/>
          <w:color w:val="101820"/>
          <w:sz w:val="21"/>
        </w:rPr>
        <w:t>Lead</w:t>
      </w:r>
      <w:r>
        <w:rPr>
          <w:rFonts w:eastAsia="Segoe UI" w:cs="Segoe UI" w:ascii="Segoe UI" w:hAnsi="Segoe UI"/>
          <w:color w:val="101820"/>
          <w:sz w:val="21"/>
        </w:rPr>
        <w:t xml:space="preserve">, enter each </w:t>
      </w:r>
      <w:r>
        <w:rPr>
          <w:rFonts w:eastAsia="Segoe UI" w:cs="Segoe UI" w:ascii="Segoe UI" w:hAnsi="Segoe UI"/>
          <w:b/>
          <w:color w:val="101820"/>
          <w:sz w:val="21"/>
        </w:rPr>
        <w:t>Share taken</w:t>
      </w:r>
      <w:r>
        <w:rPr>
          <w:rFonts w:eastAsia="Segoe UI" w:cs="Segoe UI" w:ascii="Segoe UI" w:hAnsi="Segoe UI"/>
          <w:color w:val="101820"/>
          <w:sz w:val="21"/>
        </w:rPr>
        <w:t>; the total must be 100%.</w:t>
      </w:r>
    </w:p>
    <w:p>
      <w:pPr>
        <w:pStyle w:val="Normal"/>
        <w:numPr>
          <w:ilvl w:val="0"/>
          <w:numId w:val="29"/>
        </w:numPr>
        <w:spacing w:before="0" w:after="60"/>
        <w:rPr/>
      </w:pPr>
      <w:r>
        <w:rPr>
          <w:rFonts w:eastAsia="Segoe UI" w:cs="Segoe UI" w:ascii="Segoe UI" w:hAnsi="Segoe UI"/>
          <w:b/>
          <w:color w:val="101820"/>
          <w:sz w:val="21"/>
        </w:rPr>
        <w:t>Processing Team.</w:t>
      </w:r>
      <w:r>
        <w:rPr>
          <w:rFonts w:eastAsia="Segoe UI" w:cs="Segoe UI" w:ascii="Segoe UI" w:hAnsi="Segoe UI"/>
          <w:color w:val="101820"/>
          <w:sz w:val="21"/>
        </w:rPr>
        <w:t xml:space="preserve"> Decision: must the client see and accept the terms first? The buttons offered follow the placement journey of the line (</w:t>
      </w:r>
      <w:r>
        <w:rPr>
          <w:rFonts w:eastAsia="Consolas" w:cs="Consolas" w:ascii="Consolas" w:hAnsi="Consolas"/>
          <w:color w:val="101820"/>
          <w:sz w:val="19"/>
        </w:rPr>
        <w:t>placement.journey</w:t>
      </w:r>
      <w:r>
        <w:rPr>
          <w:rFonts w:eastAsia="Segoe UI" w:cs="Segoe UI" w:ascii="Segoe UI" w:hAnsi="Segoe UI"/>
          <w:color w:val="101820"/>
          <w:sz w:val="21"/>
        </w:rPr>
        <w:t>).</w:t>
      </w:r>
    </w:p>
    <w:p>
      <w:pPr>
        <w:pStyle w:val="Normal"/>
        <w:numPr>
          <w:ilvl w:val="0"/>
          <w:numId w:val="30"/>
        </w:numPr>
        <w:spacing w:before="0" w:after="60"/>
        <w:rPr/>
      </w:pPr>
      <w:r>
        <w:rPr>
          <w:rFonts w:eastAsia="Segoe UI" w:cs="Segoe UI" w:ascii="Segoe UI" w:hAnsi="Segoe UI"/>
          <w:b/>
          <w:color w:val="101820"/>
          <w:sz w:val="21"/>
        </w:rPr>
        <w:t>Sales &amp; Marketing.</w:t>
      </w:r>
      <w:r>
        <w:rPr>
          <w:rFonts w:eastAsia="Segoe UI" w:cs="Segoe UI" w:ascii="Segoe UI" w:hAnsi="Segoe UI"/>
          <w:color w:val="101820"/>
          <w:sz w:val="21"/>
        </w:rPr>
        <w:t xml:space="preserve"> </w:t>
      </w:r>
      <w:r>
        <w:rPr>
          <w:rFonts w:eastAsia="Segoe UI" w:cs="Segoe UI" w:ascii="Segoe UI" w:hAnsi="Segoe UI"/>
          <w:b/>
          <w:color w:val="101820"/>
          <w:sz w:val="21"/>
        </w:rPr>
        <w:t>Prepare Quotation Slip</w:t>
      </w:r>
      <w:r>
        <w:rPr>
          <w:rFonts w:eastAsia="Segoe UI" w:cs="Segoe UI" w:ascii="Segoe UI" w:hAnsi="Segoe UI"/>
          <w:color w:val="101820"/>
          <w:sz w:val="21"/>
        </w:rPr>
        <w:t xml:space="preserve"> gives a quotation (QT-) with the chosen insurers and shares; the account executive sends it for customer approval as in F01, and may give the client a comparison report (Comparison Reports &gt; </w:t>
      </w:r>
      <w:r>
        <w:rPr>
          <w:rFonts w:eastAsia="Segoe UI" w:cs="Segoe UI" w:ascii="Segoe UI" w:hAnsi="Segoe UI"/>
          <w:b/>
          <w:color w:val="101820"/>
          <w:sz w:val="21"/>
        </w:rPr>
        <w:t>New report</w:t>
      </w:r>
      <w:r>
        <w:rPr>
          <w:rFonts w:eastAsia="Segoe UI" w:cs="Segoe UI" w:ascii="Segoe UI" w:hAnsi="Segoe UI"/>
          <w:color w:val="101820"/>
          <w:sz w:val="21"/>
        </w:rPr>
        <w:t xml:space="preserve"> from the slip: options ranked by premium, the recommended option and the reasons, never the commission).</w:t>
      </w:r>
    </w:p>
    <w:p>
      <w:pPr>
        <w:pStyle w:val="Normal"/>
        <w:numPr>
          <w:ilvl w:val="0"/>
          <w:numId w:val="31"/>
        </w:numPr>
        <w:spacing w:before="0" w:after="60"/>
        <w:rPr/>
      </w:pPr>
      <w:r>
        <w:rPr>
          <w:rFonts w:eastAsia="Segoe UI" w:cs="Segoe UI" w:ascii="Segoe UI" w:hAnsi="Segoe UI"/>
          <w:b/>
          <w:color w:val="101820"/>
          <w:sz w:val="21"/>
        </w:rPr>
        <w:t>Client.</w:t>
      </w:r>
      <w:r>
        <w:rPr>
          <w:rFonts w:eastAsia="Segoe UI" w:cs="Segoe UI" w:ascii="Segoe UI" w:hAnsi="Segoe UI"/>
          <w:color w:val="101820"/>
          <w:sz w:val="21"/>
        </w:rPr>
        <w:t xml:space="preserve"> Accepts the quotation (link or recorded response). </w:t>
      </w:r>
      <w:r>
        <w:rPr>
          <w:rFonts w:eastAsia="Segoe UI" w:cs="Segoe UI" w:ascii="Segoe UI" w:hAnsi="Segoe UI"/>
          <w:b/>
          <w:color w:val="101820"/>
          <w:sz w:val="21"/>
        </w:rPr>
        <w:t>Create Placement Slip</w:t>
      </w:r>
      <w:r>
        <w:rPr>
          <w:rFonts w:eastAsia="Segoe UI" w:cs="Segoe UI" w:ascii="Segoe UI" w:hAnsi="Segoe UI"/>
          <w:color w:val="101820"/>
          <w:sz w:val="21"/>
        </w:rPr>
        <w:t xml:space="preserve"> on the accepted quotation.</w:t>
      </w:r>
    </w:p>
    <w:p>
      <w:pPr>
        <w:pStyle w:val="Normal"/>
        <w:numPr>
          <w:ilvl w:val="0"/>
          <w:numId w:val="32"/>
        </w:numPr>
        <w:spacing w:before="0" w:after="60"/>
        <w:rPr/>
      </w:pPr>
      <w:r>
        <w:rPr>
          <w:rFonts w:eastAsia="Segoe UI" w:cs="Segoe UI" w:ascii="Segoe UI" w:hAnsi="Segoe UI"/>
          <w:b/>
          <w:color w:val="101820"/>
          <w:sz w:val="21"/>
        </w:rPr>
        <w:t>Processing Team.</w:t>
      </w:r>
      <w:r>
        <w:rPr>
          <w:rFonts w:eastAsia="Segoe UI" w:cs="Segoe UI" w:ascii="Segoe UI" w:hAnsi="Segoe UI"/>
          <w:color w:val="101820"/>
          <w:sz w:val="21"/>
        </w:rPr>
        <w:t xml:space="preserve"> The placement slip (PS-YYYY-NNNNN) in Draft lists each participant with role, share, sum insured, premium, taxes, gross and commission. </w:t>
      </w:r>
      <w:r>
        <w:rPr>
          <w:rFonts w:eastAsia="Segoe UI" w:cs="Segoe UI" w:ascii="Segoe UI" w:hAnsi="Segoe UI"/>
          <w:b/>
          <w:color w:val="101820"/>
          <w:sz w:val="21"/>
        </w:rPr>
        <w:t>Send to insurer(s)</w:t>
      </w:r>
      <w:r>
        <w:rPr>
          <w:rFonts w:eastAsia="Segoe UI" w:cs="Segoe UI" w:ascii="Segoe UI" w:hAnsi="Segoe UI"/>
          <w:color w:val="101820"/>
          <w:sz w:val="21"/>
        </w:rPr>
        <w:t xml:space="preserve"> e-mails each participant a placing slip showing its own share; the status becomes Sent to insurer. A cover note can be issued from a sent or bound slip.</w:t>
      </w:r>
    </w:p>
    <w:p>
      <w:pPr>
        <w:pStyle w:val="Normal"/>
        <w:numPr>
          <w:ilvl w:val="0"/>
          <w:numId w:val="33"/>
        </w:numPr>
        <w:spacing w:before="0" w:after="60"/>
        <w:rPr/>
      </w:pPr>
      <w:r>
        <w:rPr>
          <w:rFonts w:eastAsia="Segoe UI" w:cs="Segoe UI" w:ascii="Segoe UI" w:hAnsi="Segoe UI"/>
          <w:b/>
          <w:color w:val="101820"/>
          <w:sz w:val="21"/>
        </w:rPr>
        <w:t>Insurer.</w:t>
      </w:r>
      <w:r>
        <w:rPr>
          <w:rFonts w:eastAsia="Segoe UI" w:cs="Segoe UI" w:ascii="Segoe UI" w:hAnsi="Segoe UI"/>
          <w:color w:val="101820"/>
          <w:sz w:val="21"/>
        </w:rPr>
        <w:t xml:space="preserve"> Each participant confirms its share with its policy or certificate number, or declines its line.</w:t>
      </w:r>
    </w:p>
    <w:p>
      <w:pPr>
        <w:pStyle w:val="Normal"/>
        <w:numPr>
          <w:ilvl w:val="0"/>
          <w:numId w:val="34"/>
        </w:numPr>
        <w:spacing w:before="0" w:after="60"/>
        <w:rPr/>
      </w:pPr>
      <w:r>
        <w:rPr>
          <w:rFonts w:eastAsia="Segoe UI" w:cs="Segoe UI" w:ascii="Segoe UI" w:hAnsi="Segoe UI"/>
          <w:b/>
          <w:color w:val="101820"/>
          <w:sz w:val="21"/>
        </w:rPr>
        <w:t>Processing Team.</w:t>
      </w:r>
      <w:r>
        <w:rPr>
          <w:rFonts w:eastAsia="Segoe UI" w:cs="Segoe UI" w:ascii="Segoe UI" w:hAnsi="Segoe UI"/>
          <w:color w:val="101820"/>
          <w:sz w:val="21"/>
        </w:rPr>
        <w:t xml:space="preserve"> </w:t>
      </w:r>
      <w:r>
        <w:rPr>
          <w:rFonts w:eastAsia="Segoe UI" w:cs="Segoe UI" w:ascii="Segoe UI" w:hAnsi="Segoe UI"/>
          <w:b/>
          <w:color w:val="101820"/>
          <w:sz w:val="21"/>
        </w:rPr>
        <w:t>Confirm</w:t>
      </w:r>
      <w:r>
        <w:rPr>
          <w:rFonts w:eastAsia="Segoe UI" w:cs="Segoe UI" w:ascii="Segoe UI" w:hAnsi="Segoe UI"/>
          <w:color w:val="101820"/>
          <w:sz w:val="21"/>
        </w:rPr>
        <w:t xml:space="preserve"> on each row with the insurer's number, or </w:t>
      </w:r>
      <w:r>
        <w:rPr>
          <w:rFonts w:eastAsia="Segoe UI" w:cs="Segoe UI" w:ascii="Segoe UI" w:hAnsi="Segoe UI"/>
          <w:b/>
          <w:color w:val="101820"/>
          <w:sz w:val="21"/>
        </w:rPr>
        <w:t>Declined</w:t>
      </w:r>
      <w:r>
        <w:rPr>
          <w:rFonts w:eastAsia="Segoe UI" w:cs="Segoe UI" w:ascii="Segoe UI" w:hAnsi="Segoe UI"/>
          <w:color w:val="101820"/>
          <w:sz w:val="21"/>
        </w:rPr>
        <w:t xml:space="preserve"> with the reason. Decision: all confirmed? A decline returns to step 9: </w:t>
      </w:r>
      <w:r>
        <w:rPr>
          <w:rFonts w:eastAsia="Segoe UI" w:cs="Segoe UI" w:ascii="Segoe UI" w:hAnsi="Segoe UI"/>
          <w:b/>
          <w:color w:val="101820"/>
          <w:sz w:val="21"/>
        </w:rPr>
        <w:t>Edit participants</w:t>
      </w:r>
      <w:r>
        <w:rPr>
          <w:rFonts w:eastAsia="Segoe UI" w:cs="Segoe UI" w:ascii="Segoe UI" w:hAnsi="Segoe UI"/>
          <w:color w:val="101820"/>
          <w:sz w:val="21"/>
        </w:rPr>
        <w:t xml:space="preserve"> to replace the insurer or change the shares.</w:t>
      </w:r>
    </w:p>
    <w:p>
      <w:pPr>
        <w:pStyle w:val="Normal"/>
        <w:numPr>
          <w:ilvl w:val="0"/>
          <w:numId w:val="35"/>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When every participant has confirmed the slip is Bound.</w:t>
      </w:r>
    </w:p>
    <w:p>
      <w:pPr>
        <w:pStyle w:val="Normal"/>
        <w:numPr>
          <w:ilvl w:val="0"/>
          <w:numId w:val="36"/>
        </w:numPr>
        <w:spacing w:before="0" w:after="60"/>
        <w:rPr/>
      </w:pPr>
      <w:r>
        <w:rPr>
          <w:rFonts w:eastAsia="Segoe UI" w:cs="Segoe UI" w:ascii="Segoe UI" w:hAnsi="Segoe UI"/>
          <w:b/>
          <w:color w:val="101820"/>
          <w:sz w:val="21"/>
        </w:rPr>
        <w:t>Processing Team.</w:t>
      </w:r>
      <w:r>
        <w:rPr>
          <w:rFonts w:eastAsia="Segoe UI" w:cs="Segoe UI" w:ascii="Segoe UI" w:hAnsi="Segoe UI"/>
          <w:color w:val="101820"/>
          <w:sz w:val="21"/>
        </w:rPr>
        <w:t xml:space="preserve"> </w:t>
      </w:r>
      <w:r>
        <w:rPr>
          <w:rFonts w:eastAsia="Segoe UI" w:cs="Segoe UI" w:ascii="Segoe UI" w:hAnsi="Segoe UI"/>
          <w:b/>
          <w:color w:val="101820"/>
          <w:sz w:val="21"/>
        </w:rPr>
        <w:t>Issue Policy</w:t>
      </w:r>
      <w:r>
        <w:rPr>
          <w:rFonts w:eastAsia="Segoe UI" w:cs="Segoe UI" w:ascii="Segoe UI" w:hAnsi="Segoe UI"/>
          <w:color w:val="101820"/>
          <w:sz w:val="21"/>
        </w:rPr>
        <w:t xml:space="preserve"> on the bound slip (a user with policy issuing rights): the participants, shares and insurer references are copied to the policy, the client is created if needed, the bill is raised (or the direct-bill commission booked) and the journal posts each insurer's payable and commission on its own line. The slip becomes Policy issued.</w:t>
      </w:r>
    </w:p>
    <w:p>
      <w:pPr>
        <w:pStyle w:val="Normal"/>
        <w:numPr>
          <w:ilvl w:val="0"/>
          <w:numId w:val="37"/>
        </w:numPr>
        <w:spacing w:before="0" w:after="60"/>
        <w:rPr/>
      </w:pPr>
      <w:r>
        <w:rPr>
          <w:rFonts w:eastAsia="Segoe UI" w:cs="Segoe UI" w:ascii="Segoe UI" w:hAnsi="Segoe UI"/>
          <w:b/>
          <w:color w:val="101820"/>
          <w:sz w:val="21"/>
        </w:rPr>
        <w:t>End.</w:t>
      </w:r>
      <w:r>
        <w:rPr>
          <w:rFonts w:eastAsia="Segoe UI" w:cs="Segoe UI" w:ascii="Segoe UI" w:hAnsi="Segoe UI"/>
          <w:color w:val="101820"/>
          <w:sz w:val="21"/>
        </w:rPr>
        <w:t xml:space="preserve"> The policy is issued; remittance (F06) pays each insurer its share.</w:t>
      </w:r>
    </w:p>
    <w:p>
      <w:pPr>
        <w:pStyle w:val="Normal"/>
        <w:spacing w:lineRule="auto" w:line="276" w:before="0" w:after="120"/>
        <w:rPr/>
      </w:pPr>
      <w:r>
        <w:rPr>
          <w:rFonts w:eastAsia="Segoe UI" w:cs="Segoe UI" w:ascii="Segoe UI" w:hAnsi="Segoe UI"/>
          <w:b/>
          <w:color w:val="101820"/>
          <w:sz w:val="21"/>
        </w:rPr>
        <w:t>Exceptions</w:t>
      </w:r>
    </w:p>
    <w:p>
      <w:pPr>
        <w:pStyle w:val="Normal"/>
        <w:numPr>
          <w:ilvl w:val="0"/>
          <w:numId w:val="1"/>
        </w:numPr>
        <w:spacing w:before="0" w:after="60"/>
        <w:rPr/>
      </w:pPr>
      <w:r>
        <w:rPr>
          <w:rFonts w:eastAsia="Segoe UI" w:cs="Segoe UI" w:ascii="Segoe UI" w:hAnsi="Segoe UI"/>
          <w:color w:val="101820"/>
          <w:sz w:val="21"/>
        </w:rPr>
        <w:t>Shares that do not total exactly 100%, no lead or two leads: refused with the message on screen.</w:t>
      </w:r>
    </w:p>
    <w:p>
      <w:pPr>
        <w:pStyle w:val="Normal"/>
        <w:numPr>
          <w:ilvl w:val="0"/>
          <w:numId w:val="1"/>
        </w:numPr>
        <w:spacing w:before="0" w:after="60"/>
        <w:rPr/>
      </w:pPr>
      <w:r>
        <w:rPr>
          <w:rFonts w:eastAsia="Segoe UI" w:cs="Segoe UI" w:ascii="Segoe UI" w:hAnsi="Segoe UI"/>
          <w:b/>
          <w:color w:val="101820"/>
          <w:sz w:val="21"/>
        </w:rPr>
        <w:t>Cancel / close</w:t>
      </w:r>
      <w:r>
        <w:rPr>
          <w:rFonts w:eastAsia="Segoe UI" w:cs="Segoe UI" w:ascii="Segoe UI" w:hAnsi="Segoe UI"/>
          <w:color w:val="101820"/>
          <w:sz w:val="21"/>
        </w:rPr>
        <w:t xml:space="preserve"> on the request: </w:t>
      </w:r>
      <w:r>
        <w:rPr>
          <w:rFonts w:eastAsia="Segoe UI" w:cs="Segoe UI" w:ascii="Segoe UI" w:hAnsi="Segoe UI"/>
          <w:b/>
          <w:color w:val="101820"/>
          <w:sz w:val="21"/>
        </w:rPr>
        <w:t>Cancel slip</w:t>
      </w:r>
      <w:r>
        <w:rPr>
          <w:rFonts w:eastAsia="Segoe UI" w:cs="Segoe UI" w:ascii="Segoe UI" w:hAnsi="Segoe UI"/>
          <w:color w:val="101820"/>
          <w:sz w:val="21"/>
        </w:rPr>
        <w:t xml:space="preserve"> (withdrawn) or </w:t>
      </w:r>
      <w:r>
        <w:rPr>
          <w:rFonts w:eastAsia="Segoe UI" w:cs="Segoe UI" w:ascii="Segoe UI" w:hAnsi="Segoe UI"/>
          <w:b/>
          <w:color w:val="101820"/>
          <w:sz w:val="21"/>
        </w:rPr>
        <w:t>Close (not taken up)</w:t>
      </w:r>
      <w:r>
        <w:rPr>
          <w:rFonts w:eastAsia="Segoe UI" w:cs="Segoe UI" w:ascii="Segoe UI" w:hAnsi="Segoe UI"/>
          <w:color w:val="101820"/>
          <w:sz w:val="21"/>
        </w:rPr>
        <w:t xml:space="preserve"> with the reason.</w:t>
      </w:r>
    </w:p>
    <w:p>
      <w:pPr>
        <w:pStyle w:val="Normal"/>
        <w:numPr>
          <w:ilvl w:val="0"/>
          <w:numId w:val="1"/>
        </w:numPr>
        <w:spacing w:before="0" w:after="60"/>
        <w:rPr/>
      </w:pPr>
      <w:r>
        <w:rPr>
          <w:rFonts w:eastAsia="Segoe UI" w:cs="Segoe UI" w:ascii="Segoe UI" w:hAnsi="Segoe UI"/>
          <w:color w:val="101820"/>
          <w:sz w:val="21"/>
        </w:rPr>
        <w:t xml:space="preserve">A policy the insurer issued before the account came to BrokerVerse: Placement Slips &gt; </w:t>
      </w:r>
      <w:r>
        <w:rPr>
          <w:rFonts w:eastAsia="Segoe UI" w:cs="Segoe UI" w:ascii="Segoe UI" w:hAnsi="Segoe UI"/>
          <w:b/>
          <w:color w:val="101820"/>
          <w:sz w:val="21"/>
        </w:rPr>
        <w:t>Record Issued Policy</w:t>
      </w:r>
      <w:r>
        <w:rPr>
          <w:rFonts w:eastAsia="Segoe UI" w:cs="Segoe UI" w:ascii="Segoe UI" w:hAnsi="Segoe UI"/>
          <w:color w:val="101820"/>
          <w:sz w:val="21"/>
        </w:rPr>
        <w:t xml:space="preserve"> creates the policy, bill and commission in one step, where the line's journey allows it.</w:t>
      </w:r>
    </w:p>
    <w:p>
      <w:pPr>
        <w:pStyle w:val="Heading2"/>
        <w:rPr/>
      </w:pPr>
      <w:bookmarkStart w:id="16" w:name="__RefHeading___Toc19275_1497462395"/>
      <w:bookmarkEnd w:id="16"/>
      <w:r>
        <w:rPr>
          <w:rFonts w:eastAsia="Segoe UI" w:cs="Segoe UI"/>
          <w:b/>
          <w:color w:val="0F4761"/>
          <w:sz w:val="26"/>
        </w:rPr>
        <w:t>4.3  F16 Dealer programme for brand-new vehicles</w:t>
      </w:r>
    </w:p>
    <w:p>
      <w:pPr>
        <w:pStyle w:val="Normal"/>
        <w:spacing w:lineRule="auto" w:line="276" w:before="0" w:after="120"/>
        <w:rPr/>
      </w:pPr>
      <w:r>
        <w:rPr>
          <w:rFonts w:eastAsia="Segoe UI" w:cs="Segoe UI" w:ascii="Segoe UI" w:hAnsi="Segoe UI"/>
          <w:color w:val="101820"/>
          <w:sz w:val="21"/>
        </w:rPr>
        <w:t>A dealer, and often its financing bank, agrees terms with the broker for the brand-new vehicles it sells. The dealer's sales are uploaded and become prospects, quotations or issued policies with the bank as mortgagee.</w:t>
      </w:r>
    </w:p>
    <w:p>
      <w:pPr>
        <w:pStyle w:val="Normal"/>
        <w:jc w:val="center"/>
        <w:rPr/>
      </w:pPr>
      <w:r>
        <w:rPr/>
        <w:drawing>
          <wp:inline distT="0" distB="0" distL="0" distR="0">
            <wp:extent cx="5760085" cy="5027295"/>
            <wp:effectExtent l="0" t="0" r="0" b="0"/>
            <wp:docPr id="10" name="Picture 21212881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21288190" descr=""/>
                    <pic:cNvPicPr>
                      <a:picLocks noChangeAspect="1" noChangeArrowheads="1"/>
                    </pic:cNvPicPr>
                  </pic:nvPicPr>
                  <pic:blipFill>
                    <a:blip r:embed="rId6"/>
                    <a:stretch>
                      <a:fillRect/>
                    </a:stretch>
                  </pic:blipFill>
                  <pic:spPr bwMode="auto">
                    <a:xfrm>
                      <a:off x="0" y="0"/>
                      <a:ext cx="5760085" cy="5027295"/>
                    </a:xfrm>
                    <a:prstGeom prst="rect">
                      <a:avLst/>
                    </a:prstGeom>
                  </pic:spPr>
                </pic:pic>
              </a:graphicData>
            </a:graphic>
          </wp:inline>
        </w:drawing>
      </w:r>
    </w:p>
    <w:p>
      <w:pPr>
        <w:pStyle w:val="Normal"/>
        <w:jc w:val="center"/>
        <w:rPr/>
      </w:pPr>
      <w:r>
        <w:rPr>
          <w:rFonts w:eastAsia="Segoe UI" w:cs="Segoe UI" w:ascii="Segoe UI" w:hAnsi="Segoe UI"/>
          <w:i/>
          <w:color w:val="555F6D"/>
          <w:sz w:val="18"/>
        </w:rPr>
        <w:t>F16 Dealer programme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44"/>
        <w:gridCol w:w="7370"/>
      </w:tblGrid>
      <w:tr>
        <w:trPr>
          <w:tblHeader w:val="true"/>
        </w:trPr>
        <w:tc>
          <w:tcPr>
            <w:tcW w:w="16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At a glance</w:t>
            </w:r>
          </w:p>
        </w:tc>
        <w:tc>
          <w:tcPr>
            <w:tcW w:w="73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dealer sends its list of vehicles sold</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(or Processing Team); dealer; financing bank; Accounting; BrokerVerse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Insurance &gt; Distribution Channels; Operations &gt; Sales &amp; Marketing &gt; Dealer Programmes; Reports &gt; Operational Reports &gt; Dealer Production</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bill per payer (dealer or bank for its subsidy, buyer for the rest), each with its booking journal; commission split in proportion</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Dealer Sales upload template, upload result, bank endorsement letter per sale or per batch</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Row checks (required fields, vehicle class, chassis number not already uploaded); </w:t>
            </w:r>
            <w:r>
              <w:rPr>
                <w:rFonts w:eastAsia="Consolas" w:cs="Consolas" w:ascii="Consolas" w:hAnsi="Consolas"/>
                <w:color w:val="101820"/>
                <w:kern w:val="0"/>
                <w:sz w:val="16"/>
                <w:szCs w:val="24"/>
                <w:lang w:val="en-US" w:eastAsia="ja-JP" w:bidi="ar-SA"/>
              </w:rPr>
              <w:t>read:motor-programmes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write:motor-programmes</w:t>
            </w:r>
          </w:p>
        </w:tc>
      </w:tr>
    </w:tbl>
    <w:p>
      <w:pPr>
        <w:pStyle w:val="Normal"/>
        <w:spacing w:before="0" w:after="80"/>
        <w:rPr/>
      </w:pPr>
      <w:r>
        <w:rPr/>
      </w:r>
    </w:p>
    <w:p>
      <w:pPr>
        <w:pStyle w:val="Normal"/>
        <w:numPr>
          <w:ilvl w:val="0"/>
          <w:numId w:val="38"/>
        </w:numPr>
        <w:spacing w:before="0" w:after="60"/>
        <w:rPr/>
      </w:pPr>
      <w:r>
        <w:rPr>
          <w:rFonts w:eastAsia="Segoe UI" w:cs="Segoe UI" w:ascii="Segoe UI" w:hAnsi="Segoe UI"/>
          <w:b/>
          <w:color w:val="101820"/>
          <w:sz w:val="21"/>
        </w:rPr>
        <w:t>Sales &amp; Marketing.</w:t>
      </w:r>
      <w:r>
        <w:rPr>
          <w:rFonts w:eastAsia="Segoe UI" w:cs="Segoe UI" w:ascii="Segoe UI" w:hAnsi="Segoe UI"/>
          <w:color w:val="101820"/>
          <w:sz w:val="21"/>
        </w:rPr>
        <w:t xml:space="preserve"> Dealer Programmes &gt; </w:t>
      </w:r>
      <w:r>
        <w:rPr>
          <w:rFonts w:eastAsia="Segoe UI" w:cs="Segoe UI" w:ascii="Segoe UI" w:hAnsi="Segoe UI"/>
          <w:b/>
          <w:color w:val="101820"/>
          <w:sz w:val="21"/>
        </w:rPr>
        <w:t>Add programme</w:t>
      </w:r>
      <w:r>
        <w:rPr>
          <w:rFonts w:eastAsia="Segoe UI" w:cs="Segoe UI" w:ascii="Segoe UI" w:hAnsi="Segoe UI"/>
          <w:color w:val="101820"/>
          <w:sz w:val="21"/>
        </w:rPr>
        <w:t xml:space="preserve">: code, name, dealer (group or branch, from Distribution Channels), financing bank, insurer, own damage and acts of nature rates, excess bodily injury and property damage limits, default vehicle class, CTPL included and for how many years, who pays (free first year, subsidy by dealer or bank as percent, amount or full premium), what the upload creates (quotation to follow up or policy issued), effective dates. </w:t>
      </w:r>
      <w:r>
        <w:rPr>
          <w:rFonts w:eastAsia="Segoe UI" w:cs="Segoe UI" w:ascii="Segoe UI" w:hAnsi="Segoe UI"/>
          <w:b/>
          <w:color w:val="101820"/>
          <w:sz w:val="21"/>
        </w:rPr>
        <w:t>Premium preview</w:t>
      </w:r>
      <w:r>
        <w:rPr>
          <w:rFonts w:eastAsia="Segoe UI" w:cs="Segoe UI" w:ascii="Segoe UI" w:hAnsi="Segoe UI"/>
          <w:color w:val="101820"/>
          <w:sz w:val="21"/>
        </w:rPr>
        <w:t xml:space="preserve"> shows a sample vehicle.</w:t>
      </w:r>
    </w:p>
    <w:p>
      <w:pPr>
        <w:pStyle w:val="Normal"/>
        <w:numPr>
          <w:ilvl w:val="0"/>
          <w:numId w:val="39"/>
        </w:numPr>
        <w:spacing w:before="0" w:after="60"/>
        <w:rPr/>
      </w:pPr>
      <w:r>
        <w:rPr>
          <w:rFonts w:eastAsia="Segoe UI" w:cs="Segoe UI" w:ascii="Segoe UI" w:hAnsi="Segoe UI"/>
          <w:b/>
          <w:color w:val="101820"/>
          <w:sz w:val="21"/>
        </w:rPr>
        <w:t>Dealer.</w:t>
      </w:r>
      <w:r>
        <w:rPr>
          <w:rFonts w:eastAsia="Segoe UI" w:cs="Segoe UI" w:ascii="Segoe UI" w:hAnsi="Segoe UI"/>
          <w:color w:val="101820"/>
          <w:sz w:val="21"/>
        </w:rPr>
        <w:t xml:space="preserve"> Sends the vehicles sold in the Dealer Sales template: branch, date sold, invoice, buyer and contact, make, model, variant, year, colour, vehicle class, plate or conduction sticker, chassis and engine numbers, invoice price, bank branch and loan amount.</w:t>
      </w:r>
    </w:p>
    <w:p>
      <w:pPr>
        <w:pStyle w:val="Normal"/>
        <w:numPr>
          <w:ilvl w:val="0"/>
          <w:numId w:val="40"/>
        </w:numPr>
        <w:spacing w:before="0" w:after="60"/>
        <w:rPr/>
      </w:pPr>
      <w:r>
        <w:rPr>
          <w:rFonts w:eastAsia="Segoe UI" w:cs="Segoe UI" w:ascii="Segoe UI" w:hAnsi="Segoe UI"/>
          <w:b/>
          <w:color w:val="101820"/>
          <w:sz w:val="21"/>
        </w:rPr>
        <w:t>Sales &amp; Marketing.</w:t>
      </w:r>
      <w:r>
        <w:rPr>
          <w:rFonts w:eastAsia="Segoe UI" w:cs="Segoe UI" w:ascii="Segoe UI" w:hAnsi="Segoe UI"/>
          <w:color w:val="101820"/>
          <w:sz w:val="21"/>
        </w:rPr>
        <w:t xml:space="preserve"> </w:t>
      </w:r>
      <w:r>
        <w:rPr>
          <w:rFonts w:eastAsia="Segoe UI" w:cs="Segoe UI" w:ascii="Segoe UI" w:hAnsi="Segoe UI"/>
          <w:b/>
          <w:color w:val="101820"/>
          <w:sz w:val="21"/>
        </w:rPr>
        <w:t>Upload sales</w:t>
      </w:r>
      <w:r>
        <w:rPr>
          <w:rFonts w:eastAsia="Segoe UI" w:cs="Segoe UI" w:ascii="Segoe UI" w:hAnsi="Segoe UI"/>
          <w:color w:val="101820"/>
          <w:sz w:val="21"/>
        </w:rPr>
        <w:t xml:space="preserve"> on the programme.</w:t>
      </w:r>
    </w:p>
    <w:p>
      <w:pPr>
        <w:pStyle w:val="Normal"/>
        <w:numPr>
          <w:ilvl w:val="0"/>
          <w:numId w:val="41"/>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Checks every row and, for each valid row, creates the prospect (channel: the dealer branch) and the quotation priced with the programme's rates and the motor tariff.</w:t>
      </w:r>
    </w:p>
    <w:p>
      <w:pPr>
        <w:pStyle w:val="Normal"/>
        <w:numPr>
          <w:ilvl w:val="0"/>
          <w:numId w:val="42"/>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Decision: the programme's upload mode.</w:t>
      </w:r>
    </w:p>
    <w:p>
      <w:pPr>
        <w:pStyle w:val="Normal"/>
        <w:numPr>
          <w:ilvl w:val="0"/>
          <w:numId w:val="43"/>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Policy issued mode: the client and the policy are issued with the financing bank as mortgagee (the bank's mortgagee clause), billed to each payer, with the commission split.</w:t>
      </w:r>
    </w:p>
    <w:p>
      <w:pPr>
        <w:pStyle w:val="Normal"/>
        <w:numPr>
          <w:ilvl w:val="0"/>
          <w:numId w:val="44"/>
        </w:numPr>
        <w:spacing w:before="0" w:after="60"/>
        <w:rPr/>
      </w:pPr>
      <w:r>
        <w:rPr>
          <w:rFonts w:eastAsia="Segoe UI" w:cs="Segoe UI" w:ascii="Segoe UI" w:hAnsi="Segoe UI"/>
          <w:b/>
          <w:color w:val="101820"/>
          <w:sz w:val="21"/>
        </w:rPr>
        <w:t>Financing bank.</w:t>
      </w:r>
      <w:r>
        <w:rPr>
          <w:rFonts w:eastAsia="Segoe UI" w:cs="Segoe UI" w:ascii="Segoe UI" w:hAnsi="Segoe UI"/>
          <w:color w:val="101820"/>
          <w:sz w:val="21"/>
        </w:rPr>
        <w:t xml:space="preserve"> Receives the bank endorsement letter (policy, vehicle, loan, mortgagee clause), printed per sale or for the batch, or e-mailed automatically when </w:t>
      </w:r>
      <w:r>
        <w:rPr>
          <w:rFonts w:eastAsia="Consolas" w:cs="Consolas" w:ascii="Consolas" w:hAnsi="Consolas"/>
          <w:color w:val="101820"/>
          <w:sz w:val="19"/>
        </w:rPr>
        <w:t>motor_programmes.email_bank_letter</w:t>
      </w:r>
      <w:r>
        <w:rPr>
          <w:rFonts w:eastAsia="Segoe UI" w:cs="Segoe UI" w:ascii="Segoe UI" w:hAnsi="Segoe UI"/>
          <w:color w:val="101820"/>
          <w:sz w:val="21"/>
        </w:rPr>
        <w:t xml:space="preserve"> is on.</w:t>
      </w:r>
    </w:p>
    <w:p>
      <w:pPr>
        <w:pStyle w:val="Normal"/>
        <w:numPr>
          <w:ilvl w:val="0"/>
          <w:numId w:val="45"/>
        </w:numPr>
        <w:spacing w:before="0" w:after="60"/>
        <w:rPr/>
      </w:pPr>
      <w:r>
        <w:rPr>
          <w:rFonts w:eastAsia="Segoe UI" w:cs="Segoe UI" w:ascii="Segoe UI" w:hAnsi="Segoe UI"/>
          <w:b/>
          <w:color w:val="101820"/>
          <w:sz w:val="21"/>
        </w:rPr>
        <w:t>Sales &amp; Marketing.</w:t>
      </w:r>
      <w:r>
        <w:rPr>
          <w:rFonts w:eastAsia="Segoe UI" w:cs="Segoe UI" w:ascii="Segoe UI" w:hAnsi="Segoe UI"/>
          <w:color w:val="101820"/>
          <w:sz w:val="21"/>
        </w:rPr>
        <w:t xml:space="preserve"> Quotation mode: completes each draft quotation with the buyer and continues as F01 from step 7.</w:t>
      </w:r>
    </w:p>
    <w:p>
      <w:pPr>
        <w:pStyle w:val="Normal"/>
        <w:numPr>
          <w:ilvl w:val="0"/>
          <w:numId w:val="46"/>
        </w:numPr>
        <w:spacing w:before="0" w:after="60"/>
        <w:rPr/>
      </w:pPr>
      <w:r>
        <w:rPr>
          <w:rFonts w:eastAsia="Segoe UI" w:cs="Segoe UI" w:ascii="Segoe UI" w:hAnsi="Segoe UI"/>
          <w:b/>
          <w:color w:val="101820"/>
          <w:sz w:val="21"/>
        </w:rPr>
        <w:t>Sales &amp; Marketing.</w:t>
      </w:r>
      <w:r>
        <w:rPr>
          <w:rFonts w:eastAsia="Segoe UI" w:cs="Segoe UI" w:ascii="Segoe UI" w:hAnsi="Segoe UI"/>
          <w:color w:val="101820"/>
          <w:sz w:val="21"/>
        </w:rPr>
        <w:t xml:space="preserve"> Corrects the rows listed as Failed with their reason and uploads them again.</w:t>
      </w:r>
    </w:p>
    <w:p>
      <w:pPr>
        <w:pStyle w:val="Normal"/>
        <w:numPr>
          <w:ilvl w:val="0"/>
          <w:numId w:val="47"/>
        </w:numPr>
        <w:spacing w:before="0" w:after="60"/>
        <w:rPr/>
      </w:pPr>
      <w:r>
        <w:rPr>
          <w:rFonts w:eastAsia="Segoe UI" w:cs="Segoe UI" w:ascii="Segoe UI" w:hAnsi="Segoe UI"/>
          <w:b/>
          <w:color w:val="101820"/>
          <w:sz w:val="21"/>
        </w:rPr>
        <w:t>Accounting.</w:t>
      </w:r>
      <w:r>
        <w:rPr>
          <w:rFonts w:eastAsia="Segoe UI" w:cs="Segoe UI" w:ascii="Segoe UI" w:hAnsi="Segoe UI"/>
          <w:color w:val="101820"/>
          <w:sz w:val="21"/>
        </w:rPr>
        <w:t xml:space="preserve"> Collects each bill from the dealer, the bank and the buyer (F05).</w:t>
      </w:r>
    </w:p>
    <w:p>
      <w:pPr>
        <w:pStyle w:val="Normal"/>
        <w:numPr>
          <w:ilvl w:val="0"/>
          <w:numId w:val="48"/>
        </w:numPr>
        <w:spacing w:before="0" w:after="60"/>
        <w:rPr/>
      </w:pPr>
      <w:r>
        <w:rPr>
          <w:rFonts w:eastAsia="Segoe UI" w:cs="Segoe UI" w:ascii="Segoe UI" w:hAnsi="Segoe UI"/>
          <w:b/>
          <w:color w:val="101820"/>
          <w:sz w:val="21"/>
        </w:rPr>
        <w:t>End.</w:t>
      </w:r>
      <w:r>
        <w:rPr>
          <w:rFonts w:eastAsia="Segoe UI" w:cs="Segoe UI" w:ascii="Segoe UI" w:hAnsi="Segoe UI"/>
          <w:color w:val="101820"/>
          <w:sz w:val="21"/>
        </w:rPr>
        <w:t xml:space="preserve"> The Dealer Production report shows prospects, quotations, policies, premium and commission per dealer group and channel.</w:t>
      </w:r>
    </w:p>
    <w:p>
      <w:pPr>
        <w:pStyle w:val="Normal"/>
        <w:spacing w:lineRule="auto" w:line="276" w:before="0" w:after="120"/>
        <w:rPr/>
      </w:pPr>
      <w:r>
        <w:rPr>
          <w:rFonts w:eastAsia="Segoe UI" w:cs="Segoe UI" w:ascii="Segoe UI" w:hAnsi="Segoe UI"/>
          <w:b/>
          <w:color w:val="101820"/>
          <w:sz w:val="21"/>
        </w:rPr>
        <w:t>Exceptions</w:t>
      </w:r>
    </w:p>
    <w:p>
      <w:pPr>
        <w:pStyle w:val="Normal"/>
        <w:numPr>
          <w:ilvl w:val="0"/>
          <w:numId w:val="1"/>
        </w:numPr>
        <w:spacing w:before="0" w:after="60"/>
        <w:rPr/>
      </w:pPr>
      <w:r>
        <w:rPr>
          <w:rFonts w:eastAsia="Segoe UI" w:cs="Segoe UI" w:ascii="Segoe UI" w:hAnsi="Segoe UI"/>
          <w:color w:val="101820"/>
          <w:sz w:val="21"/>
        </w:rPr>
        <w:t>A chassis number already uploaded, an unknown vehicle class or a missing required field: the row fails with its reason; the other rows are created.</w:t>
      </w:r>
    </w:p>
    <w:p>
      <w:pPr>
        <w:pStyle w:val="Normal"/>
        <w:numPr>
          <w:ilvl w:val="0"/>
          <w:numId w:val="1"/>
        </w:numPr>
        <w:spacing w:before="0" w:after="60"/>
        <w:rPr/>
      </w:pPr>
      <w:r>
        <w:rPr>
          <w:rFonts w:eastAsia="Segoe UI" w:cs="Segoe UI" w:ascii="Segoe UI" w:hAnsi="Segoe UI"/>
          <w:color w:val="101820"/>
          <w:sz w:val="21"/>
        </w:rPr>
        <w:t>A channel with business cannot be deleted; it is made Inactive so its history stays.</w:t>
      </w:r>
    </w:p>
    <w:p>
      <w:pPr>
        <w:pStyle w:val="Heading2"/>
        <w:rPr/>
      </w:pPr>
      <w:bookmarkStart w:id="17" w:name="__RefHeading___Toc19277_1497462395"/>
      <w:bookmarkEnd w:id="17"/>
      <w:r>
        <w:rPr>
          <w:rFonts w:eastAsia="Segoe UI" w:cs="Segoe UI"/>
          <w:b/>
          <w:color w:val="0F4761"/>
          <w:sz w:val="26"/>
        </w:rPr>
        <w:t>4.4  F17 Fleet schedule</w:t>
      </w:r>
    </w:p>
    <w:p>
      <w:pPr>
        <w:pStyle w:val="Normal"/>
        <w:spacing w:lineRule="auto" w:line="276" w:before="0" w:after="120"/>
        <w:rPr/>
      </w:pPr>
      <w:r>
        <w:rPr>
          <w:rFonts w:eastAsia="Segoe UI" w:cs="Segoe UI" w:ascii="Segoe UI" w:hAnsi="Segoe UI"/>
          <w:color w:val="101820"/>
          <w:sz w:val="21"/>
        </w:rPr>
        <w:t>One motor policy covers many vehicles of a client, each priced on its own, with vehicles added and removed during the term by endorsement.</w:t>
      </w:r>
    </w:p>
    <w:p>
      <w:pPr>
        <w:pStyle w:val="Normal"/>
        <w:jc w:val="center"/>
        <w:rPr/>
      </w:pPr>
      <w:r>
        <w:rPr/>
        <w:drawing>
          <wp:inline distT="0" distB="0" distL="0" distR="0">
            <wp:extent cx="5760085" cy="6283960"/>
            <wp:effectExtent l="0" t="0" r="0" b="0"/>
            <wp:docPr id="11" name="Picture 21212881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21288191" descr=""/>
                    <pic:cNvPicPr>
                      <a:picLocks noChangeAspect="1" noChangeArrowheads="1"/>
                    </pic:cNvPicPr>
                  </pic:nvPicPr>
                  <pic:blipFill>
                    <a:blip r:embed="rId7"/>
                    <a:stretch>
                      <a:fillRect/>
                    </a:stretch>
                  </pic:blipFill>
                  <pic:spPr bwMode="auto">
                    <a:xfrm>
                      <a:off x="0" y="0"/>
                      <a:ext cx="5760085" cy="6283960"/>
                    </a:xfrm>
                    <a:prstGeom prst="rect">
                      <a:avLst/>
                    </a:prstGeom>
                  </pic:spPr>
                </pic:pic>
              </a:graphicData>
            </a:graphic>
          </wp:inline>
        </w:drawing>
      </w:r>
    </w:p>
    <w:p>
      <w:pPr>
        <w:pStyle w:val="Normal"/>
        <w:jc w:val="center"/>
        <w:rPr/>
      </w:pPr>
      <w:r>
        <w:rPr>
          <w:rFonts w:eastAsia="Segoe UI" w:cs="Segoe UI" w:ascii="Segoe UI" w:hAnsi="Segoe UI"/>
          <w:i/>
          <w:color w:val="555F6D"/>
          <w:sz w:val="18"/>
        </w:rPr>
        <w:t>F17 Fleet schedule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44"/>
        <w:gridCol w:w="7370"/>
      </w:tblGrid>
      <w:tr>
        <w:trPr>
          <w:tblHeader w:val="true"/>
        </w:trPr>
        <w:tc>
          <w:tcPr>
            <w:tcW w:w="16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At a glance</w:t>
            </w:r>
          </w:p>
        </w:tc>
        <w:tc>
          <w:tcPr>
            <w:tcW w:w="73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corporate client insures its vehicles on one policy</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(or Processing Team); client; BrokerVerse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Fleet Schedules</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policy.issue.broker_billed for the totals; endorsement.additional_premium or endorsement.return_premium for vehicles added or deleted</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Fleet Vehicles upload template, schedule of vehicles PDF and Excel</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At least </w:t>
            </w:r>
            <w:r>
              <w:rPr>
                <w:rFonts w:eastAsia="Consolas" w:cs="Consolas" w:ascii="Consolas" w:hAnsi="Consolas"/>
                <w:color w:val="101820"/>
                <w:kern w:val="0"/>
                <w:sz w:val="16"/>
                <w:szCs w:val="24"/>
                <w:lang w:val="en-US" w:eastAsia="ja-JP" w:bidi="ar-SA"/>
              </w:rPr>
              <w:t>fleet.minimum_vehicles</w:t>
            </w:r>
            <w:r>
              <w:rPr>
                <w:rFonts w:eastAsia="Segoe UI" w:cs="Segoe UI" w:ascii="Segoe UI" w:hAnsi="Segoe UI"/>
                <w:color w:val="101820"/>
                <w:kern w:val="0"/>
                <w:sz w:val="18"/>
                <w:szCs w:val="24"/>
                <w:lang w:val="en-US" w:eastAsia="ja-JP" w:bidi="ar-SA"/>
              </w:rPr>
              <w:t xml:space="preserve"> vehicles; pro-rata premium for changes (</w:t>
            </w:r>
            <w:r>
              <w:rPr>
                <w:rFonts w:eastAsia="Consolas" w:cs="Consolas" w:ascii="Consolas" w:hAnsi="Consolas"/>
                <w:color w:val="101820"/>
                <w:kern w:val="0"/>
                <w:sz w:val="16"/>
                <w:szCs w:val="24"/>
                <w:lang w:val="en-US" w:eastAsia="ja-JP" w:bidi="ar-SA"/>
              </w:rPr>
              <w:t>fleet.pro_rata_basis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read:fleet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write:fleet</w:t>
            </w:r>
          </w:p>
        </w:tc>
      </w:tr>
    </w:tbl>
    <w:p>
      <w:pPr>
        <w:pStyle w:val="Normal"/>
        <w:spacing w:before="0" w:after="80"/>
        <w:rPr/>
      </w:pPr>
      <w:r>
        <w:rPr/>
      </w:r>
    </w:p>
    <w:p>
      <w:pPr>
        <w:pStyle w:val="Normal"/>
        <w:numPr>
          <w:ilvl w:val="0"/>
          <w:numId w:val="49"/>
        </w:numPr>
        <w:spacing w:before="0" w:after="60"/>
        <w:rPr/>
      </w:pPr>
      <w:r>
        <w:rPr>
          <w:rFonts w:eastAsia="Segoe UI" w:cs="Segoe UI" w:ascii="Segoe UI" w:hAnsi="Segoe UI"/>
          <w:b/>
          <w:color w:val="101820"/>
          <w:sz w:val="21"/>
        </w:rPr>
        <w:t>Operations.</w:t>
      </w:r>
      <w:r>
        <w:rPr>
          <w:rFonts w:eastAsia="Segoe UI" w:cs="Segoe UI" w:ascii="Segoe UI" w:hAnsi="Segoe UI"/>
          <w:color w:val="101820"/>
          <w:sz w:val="21"/>
        </w:rPr>
        <w:t xml:space="preserve"> </w:t>
      </w:r>
      <w:r>
        <w:rPr>
          <w:rFonts w:eastAsia="Segoe UI" w:cs="Segoe UI" w:ascii="Segoe UI" w:hAnsi="Segoe UI"/>
          <w:b/>
          <w:color w:val="101820"/>
          <w:sz w:val="21"/>
        </w:rPr>
        <w:t>New fleet schedule</w:t>
      </w:r>
      <w:r>
        <w:rPr>
          <w:rFonts w:eastAsia="Segoe UI" w:cs="Segoe UI" w:ascii="Segoe UI" w:hAnsi="Segoe UI"/>
          <w:color w:val="101820"/>
          <w:sz w:val="21"/>
        </w:rPr>
        <w:t>: client, insurer, period, own damage and acts of nature rates, excess bodily injury and property damage.</w:t>
      </w:r>
    </w:p>
    <w:p>
      <w:pPr>
        <w:pStyle w:val="Normal"/>
        <w:numPr>
          <w:ilvl w:val="0"/>
          <w:numId w:val="50"/>
        </w:numPr>
        <w:spacing w:before="0" w:after="60"/>
        <w:rPr/>
      </w:pPr>
      <w:r>
        <w:rPr>
          <w:rFonts w:eastAsia="Segoe UI" w:cs="Segoe UI" w:ascii="Segoe UI" w:hAnsi="Segoe UI"/>
          <w:b/>
          <w:color w:val="101820"/>
          <w:sz w:val="21"/>
        </w:rPr>
        <w:t>Operations.</w:t>
      </w:r>
      <w:r>
        <w:rPr>
          <w:rFonts w:eastAsia="Segoe UI" w:cs="Segoe UI" w:ascii="Segoe UI" w:hAnsi="Segoe UI"/>
          <w:color w:val="101820"/>
          <w:sz w:val="21"/>
        </w:rPr>
        <w:t xml:space="preserve"> </w:t>
      </w:r>
      <w:r>
        <w:rPr>
          <w:rFonts w:eastAsia="Segoe UI" w:cs="Segoe UI" w:ascii="Segoe UI" w:hAnsi="Segoe UI"/>
          <w:b/>
          <w:color w:val="101820"/>
          <w:sz w:val="21"/>
        </w:rPr>
        <w:t>Add vehicle</w:t>
      </w:r>
      <w:r>
        <w:rPr>
          <w:rFonts w:eastAsia="Segoe UI" w:cs="Segoe UI" w:ascii="Segoe UI" w:hAnsi="Segoe UI"/>
          <w:color w:val="101820"/>
          <w:sz w:val="21"/>
        </w:rPr>
        <w:t xml:space="preserve">, or </w:t>
      </w:r>
      <w:r>
        <w:rPr>
          <w:rFonts w:eastAsia="Segoe UI" w:cs="Segoe UI" w:ascii="Segoe UI" w:hAnsi="Segoe UI"/>
          <w:b/>
          <w:color w:val="101820"/>
          <w:sz w:val="21"/>
        </w:rPr>
        <w:t>Template</w:t>
      </w:r>
      <w:r>
        <w:rPr>
          <w:rFonts w:eastAsia="Segoe UI" w:cs="Segoe UI" w:ascii="Segoe UI" w:hAnsi="Segoe UI"/>
          <w:color w:val="101820"/>
          <w:sz w:val="21"/>
        </w:rPr>
        <w:t xml:space="preserve"> and </w:t>
      </w:r>
      <w:r>
        <w:rPr>
          <w:rFonts w:eastAsia="Segoe UI" w:cs="Segoe UI" w:ascii="Segoe UI" w:hAnsi="Segoe UI"/>
          <w:b/>
          <w:color w:val="101820"/>
          <w:sz w:val="21"/>
        </w:rPr>
        <w:t>Upload vehicles</w:t>
      </w:r>
      <w:r>
        <w:rPr>
          <w:rFonts w:eastAsia="Segoe UI" w:cs="Segoe UI" w:ascii="Segoe UI" w:hAnsi="Segoe UI"/>
          <w:color w:val="101820"/>
          <w:sz w:val="21"/>
        </w:rPr>
        <w:t>: plate or conduction sticker, chassis and engine numbers, make, model, year, colour, vehicle class (CTPL tariff), usage, sum insured, mortgagee.</w:t>
      </w:r>
    </w:p>
    <w:p>
      <w:pPr>
        <w:pStyle w:val="Normal"/>
        <w:numPr>
          <w:ilvl w:val="0"/>
          <w:numId w:val="51"/>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Prices each vehicle: own damage and acts of nature on its sum insured, the excess liability premium, the CTPL of its class and the premium taxes; the totals show under </w:t>
      </w:r>
      <w:r>
        <w:rPr>
          <w:rFonts w:eastAsia="Segoe UI" w:cs="Segoe UI" w:ascii="Segoe UI" w:hAnsi="Segoe UI"/>
          <w:b/>
          <w:color w:val="101820"/>
          <w:sz w:val="21"/>
        </w:rPr>
        <w:t>Vehicles on cover</w:t>
      </w:r>
      <w:r>
        <w:rPr>
          <w:rFonts w:eastAsia="Segoe UI" w:cs="Segoe UI" w:ascii="Segoe UI" w:hAnsi="Segoe UI"/>
          <w:color w:val="101820"/>
          <w:sz w:val="21"/>
        </w:rPr>
        <w:t>.</w:t>
      </w:r>
    </w:p>
    <w:p>
      <w:pPr>
        <w:pStyle w:val="Normal"/>
        <w:numPr>
          <w:ilvl w:val="0"/>
          <w:numId w:val="52"/>
        </w:numPr>
        <w:spacing w:before="0" w:after="60"/>
        <w:rPr/>
      </w:pPr>
      <w:r>
        <w:rPr>
          <w:rFonts w:eastAsia="Segoe UI" w:cs="Segoe UI" w:ascii="Segoe UI" w:hAnsi="Segoe UI"/>
          <w:b/>
          <w:color w:val="101820"/>
          <w:sz w:val="21"/>
        </w:rPr>
        <w:t>Operations.</w:t>
      </w:r>
      <w:r>
        <w:rPr>
          <w:rFonts w:eastAsia="Segoe UI" w:cs="Segoe UI" w:ascii="Segoe UI" w:hAnsi="Segoe UI"/>
          <w:color w:val="101820"/>
          <w:sz w:val="21"/>
        </w:rPr>
        <w:t xml:space="preserve"> </w:t>
      </w:r>
      <w:r>
        <w:rPr>
          <w:rFonts w:eastAsia="Segoe UI" w:cs="Segoe UI" w:ascii="Segoe UI" w:hAnsi="Segoe UI"/>
          <w:b/>
          <w:color w:val="101820"/>
          <w:sz w:val="21"/>
        </w:rPr>
        <w:t>Issue policy</w:t>
      </w:r>
      <w:r>
        <w:rPr>
          <w:rFonts w:eastAsia="Segoe UI" w:cs="Segoe UI" w:ascii="Segoe UI" w:hAnsi="Segoe UI"/>
          <w:color w:val="101820"/>
          <w:sz w:val="21"/>
        </w:rPr>
        <w:t>.</w:t>
      </w:r>
    </w:p>
    <w:p>
      <w:pPr>
        <w:pStyle w:val="Normal"/>
        <w:numPr>
          <w:ilvl w:val="0"/>
          <w:numId w:val="53"/>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Issues the policy for the totals, raises the bill with its booking journal and accrues the commission, as for any policy.</w:t>
      </w:r>
    </w:p>
    <w:p>
      <w:pPr>
        <w:pStyle w:val="Normal"/>
        <w:numPr>
          <w:ilvl w:val="0"/>
          <w:numId w:val="54"/>
        </w:numPr>
        <w:spacing w:before="0" w:after="60"/>
        <w:rPr/>
      </w:pPr>
      <w:r>
        <w:rPr>
          <w:rFonts w:eastAsia="Segoe UI" w:cs="Segoe UI" w:ascii="Segoe UI" w:hAnsi="Segoe UI"/>
          <w:b/>
          <w:color w:val="101820"/>
          <w:sz w:val="21"/>
        </w:rPr>
        <w:t>Client.</w:t>
      </w:r>
      <w:r>
        <w:rPr>
          <w:rFonts w:eastAsia="Segoe UI" w:cs="Segoe UI" w:ascii="Segoe UI" w:hAnsi="Segoe UI"/>
          <w:color w:val="101820"/>
          <w:sz w:val="21"/>
        </w:rPr>
        <w:t xml:space="preserve"> Asks to add or remove a vehicle during the term.</w:t>
      </w:r>
    </w:p>
    <w:p>
      <w:pPr>
        <w:pStyle w:val="Normal"/>
        <w:numPr>
          <w:ilvl w:val="0"/>
          <w:numId w:val="55"/>
        </w:numPr>
        <w:spacing w:before="0" w:after="60"/>
        <w:rPr/>
      </w:pPr>
      <w:r>
        <w:rPr>
          <w:rFonts w:eastAsia="Segoe UI" w:cs="Segoe UI" w:ascii="Segoe UI" w:hAnsi="Segoe UI"/>
          <w:b/>
          <w:color w:val="101820"/>
          <w:sz w:val="21"/>
        </w:rPr>
        <w:t>Operations.</w:t>
      </w:r>
      <w:r>
        <w:rPr>
          <w:rFonts w:eastAsia="Segoe UI" w:cs="Segoe UI" w:ascii="Segoe UI" w:hAnsi="Segoe UI"/>
          <w:color w:val="101820"/>
          <w:sz w:val="21"/>
        </w:rPr>
        <w:t xml:space="preserve"> </w:t>
      </w:r>
      <w:r>
        <w:rPr>
          <w:rFonts w:eastAsia="Segoe UI" w:cs="Segoe UI" w:ascii="Segoe UI" w:hAnsi="Segoe UI"/>
          <w:b/>
          <w:color w:val="101820"/>
          <w:sz w:val="21"/>
        </w:rPr>
        <w:t>Add vehicle by endorsement</w:t>
      </w:r>
      <w:r>
        <w:rPr>
          <w:rFonts w:eastAsia="Segoe UI" w:cs="Segoe UI" w:ascii="Segoe UI" w:hAnsi="Segoe UI"/>
          <w:color w:val="101820"/>
          <w:sz w:val="21"/>
        </w:rPr>
        <w:t xml:space="preserve">, or </w:t>
      </w:r>
      <w:r>
        <w:rPr>
          <w:rFonts w:eastAsia="Segoe UI" w:cs="Segoe UI" w:ascii="Segoe UI" w:hAnsi="Segoe UI"/>
          <w:b/>
          <w:color w:val="101820"/>
          <w:sz w:val="21"/>
        </w:rPr>
        <w:t>Delete</w:t>
      </w:r>
      <w:r>
        <w:rPr>
          <w:rFonts w:eastAsia="Segoe UI" w:cs="Segoe UI" w:ascii="Segoe UI" w:hAnsi="Segoe UI"/>
          <w:color w:val="101820"/>
          <w:sz w:val="21"/>
        </w:rPr>
        <w:t xml:space="preserve"> on the vehicle row.</w:t>
      </w:r>
    </w:p>
    <w:p>
      <w:pPr>
        <w:pStyle w:val="Normal"/>
        <w:numPr>
          <w:ilvl w:val="0"/>
          <w:numId w:val="56"/>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Each change is an endorsement whose premium is the vehicle's annual premium pro-rata to the days left.</w:t>
      </w:r>
    </w:p>
    <w:p>
      <w:pPr>
        <w:pStyle w:val="Normal"/>
        <w:numPr>
          <w:ilvl w:val="0"/>
          <w:numId w:val="57"/>
        </w:numPr>
        <w:spacing w:before="0" w:after="60"/>
        <w:rPr/>
      </w:pPr>
      <w:r>
        <w:rPr>
          <w:rFonts w:eastAsia="Segoe UI" w:cs="Segoe UI" w:ascii="Segoe UI" w:hAnsi="Segoe UI"/>
          <w:b/>
          <w:color w:val="101820"/>
          <w:sz w:val="21"/>
        </w:rPr>
        <w:t>Processing Team.</w:t>
      </w:r>
      <w:r>
        <w:rPr>
          <w:rFonts w:eastAsia="Segoe UI" w:cs="Segoe UI" w:ascii="Segoe UI" w:hAnsi="Segoe UI"/>
          <w:color w:val="101820"/>
          <w:sz w:val="21"/>
        </w:rPr>
        <w:t xml:space="preserve"> Completes the endorsement with the insurer's document (F03 from step 7): additional premium billed, or return premium credited (</w:t>
      </w:r>
      <w:r>
        <w:rPr>
          <w:rFonts w:eastAsia="Consolas" w:cs="Consolas" w:ascii="Consolas" w:hAnsi="Consolas"/>
          <w:color w:val="101820"/>
          <w:sz w:val="19"/>
        </w:rPr>
        <w:t>fleet.return_premium_on_delete</w:t>
      </w:r>
      <w:r>
        <w:rPr>
          <w:rFonts w:eastAsia="Segoe UI" w:cs="Segoe UI" w:ascii="Segoe UI" w:hAnsi="Segoe UI"/>
          <w:color w:val="101820"/>
          <w:sz w:val="21"/>
        </w:rPr>
        <w:t>).</w:t>
      </w:r>
    </w:p>
    <w:p>
      <w:pPr>
        <w:pStyle w:val="Normal"/>
        <w:numPr>
          <w:ilvl w:val="0"/>
          <w:numId w:val="58"/>
        </w:numPr>
        <w:spacing w:before="0" w:after="60"/>
        <w:rPr/>
      </w:pPr>
      <w:r>
        <w:rPr>
          <w:rFonts w:eastAsia="Segoe UI" w:cs="Segoe UI" w:ascii="Segoe UI" w:hAnsi="Segoe UI"/>
          <w:b/>
          <w:color w:val="101820"/>
          <w:sz w:val="21"/>
        </w:rPr>
        <w:t>End.</w:t>
      </w:r>
      <w:r>
        <w:rPr>
          <w:rFonts w:eastAsia="Segoe UI" w:cs="Segoe UI" w:ascii="Segoe UI" w:hAnsi="Segoe UI"/>
          <w:color w:val="101820"/>
          <w:sz w:val="21"/>
        </w:rPr>
        <w:t xml:space="preserve"> </w:t>
      </w:r>
      <w:r>
        <w:rPr>
          <w:rFonts w:eastAsia="Segoe UI" w:cs="Segoe UI" w:ascii="Segoe UI" w:hAnsi="Segoe UI"/>
          <w:b/>
          <w:color w:val="101820"/>
          <w:sz w:val="21"/>
        </w:rPr>
        <w:t>Schedule PDF</w:t>
      </w:r>
      <w:r>
        <w:rPr>
          <w:rFonts w:eastAsia="Segoe UI" w:cs="Segoe UI" w:ascii="Segoe UI" w:hAnsi="Segoe UI"/>
          <w:color w:val="101820"/>
          <w:sz w:val="21"/>
        </w:rPr>
        <w:t xml:space="preserve"> and </w:t>
      </w:r>
      <w:r>
        <w:rPr>
          <w:rFonts w:eastAsia="Segoe UI" w:cs="Segoe UI" w:ascii="Segoe UI" w:hAnsi="Segoe UI"/>
          <w:b/>
          <w:color w:val="101820"/>
          <w:sz w:val="21"/>
        </w:rPr>
        <w:t>Excel</w:t>
      </w:r>
      <w:r>
        <w:rPr>
          <w:rFonts w:eastAsia="Segoe UI" w:cs="Segoe UI" w:ascii="Segoe UI" w:hAnsi="Segoe UI"/>
          <w:color w:val="101820"/>
          <w:sz w:val="21"/>
        </w:rPr>
        <w:t xml:space="preserve"> give the current schedule of vehicles with each vehicle's premium and CTPL.</w:t>
      </w:r>
    </w:p>
    <w:p>
      <w:pPr>
        <w:pStyle w:val="Heading2"/>
        <w:rPr/>
      </w:pPr>
      <w:bookmarkStart w:id="18" w:name="__RefHeading___Toc19279_1497462395"/>
      <w:bookmarkEnd w:id="18"/>
      <w:r>
        <w:rPr>
          <w:rFonts w:eastAsia="Segoe UI" w:cs="Segoe UI"/>
          <w:b/>
          <w:color w:val="0F4761"/>
          <w:sz w:val="26"/>
        </w:rPr>
        <w:t>4.5  F18 Marine open cover</w:t>
      </w:r>
    </w:p>
    <w:p>
      <w:pPr>
        <w:pStyle w:val="Normal"/>
        <w:spacing w:lineRule="auto" w:line="276" w:before="0" w:after="120"/>
        <w:rPr/>
      </w:pPr>
      <w:r>
        <w:rPr>
          <w:rFonts w:eastAsia="Segoe UI" w:cs="Segoe UI" w:ascii="Segoe UI" w:hAnsi="Segoe UI"/>
          <w:color w:val="101820"/>
          <w:sz w:val="21"/>
        </w:rPr>
        <w:t>An open cover insures a client's cargo shipments for a period. Each shipment is certified or declared, and the premium is billed per declaration period on the open policy.</w:t>
      </w:r>
    </w:p>
    <w:p>
      <w:pPr>
        <w:pStyle w:val="Normal"/>
        <w:jc w:val="center"/>
        <w:rPr/>
      </w:pPr>
      <w:r>
        <w:rPr/>
        <w:drawing>
          <wp:inline distT="0" distB="0" distL="0" distR="0">
            <wp:extent cx="5760085" cy="6283960"/>
            <wp:effectExtent l="0" t="0" r="0" b="0"/>
            <wp:docPr id="12" name="Picture 21212881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121288192" descr=""/>
                    <pic:cNvPicPr>
                      <a:picLocks noChangeAspect="1" noChangeArrowheads="1"/>
                    </pic:cNvPicPr>
                  </pic:nvPicPr>
                  <pic:blipFill>
                    <a:blip r:embed="rId8"/>
                    <a:stretch>
                      <a:fillRect/>
                    </a:stretch>
                  </pic:blipFill>
                  <pic:spPr bwMode="auto">
                    <a:xfrm>
                      <a:off x="0" y="0"/>
                      <a:ext cx="5760085" cy="6283960"/>
                    </a:xfrm>
                    <a:prstGeom prst="rect">
                      <a:avLst/>
                    </a:prstGeom>
                  </pic:spPr>
                </pic:pic>
              </a:graphicData>
            </a:graphic>
          </wp:inline>
        </w:drawing>
      </w:r>
    </w:p>
    <w:p>
      <w:pPr>
        <w:pStyle w:val="Normal"/>
        <w:jc w:val="center"/>
        <w:rPr/>
      </w:pPr>
      <w:r>
        <w:rPr>
          <w:rFonts w:eastAsia="Segoe UI" w:cs="Segoe UI" w:ascii="Segoe UI" w:hAnsi="Segoe UI"/>
          <w:i/>
          <w:color w:val="555F6D"/>
          <w:sz w:val="18"/>
        </w:rPr>
        <w:t>F18 Marine open cover</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44"/>
        <w:gridCol w:w="7370"/>
      </w:tblGrid>
      <w:tr>
        <w:trPr>
          <w:tblHeader w:val="true"/>
        </w:trPr>
        <w:tc>
          <w:tcPr>
            <w:tcW w:w="16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At a glance</w:t>
            </w:r>
          </w:p>
        </w:tc>
        <w:tc>
          <w:tcPr>
            <w:tcW w:w="73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client ships goods regularly</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(or Processing Team); client; Accounting; BrokerVerse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Marine Open Covers</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Booking journal of each declaration bill (premium receivable, due to insurer with the premium taxes of the marine line, commission)</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Certificate of insurance per shipment (</w:t>
            </w:r>
            <w:r>
              <w:rPr>
                <w:rFonts w:eastAsia="Consolas" w:cs="Consolas" w:ascii="Consolas" w:hAnsi="Consolas"/>
                <w:color w:val="101820"/>
                <w:kern w:val="0"/>
                <w:sz w:val="16"/>
                <w:szCs w:val="24"/>
                <w:lang w:val="en-US" w:eastAsia="ja-JP" w:bidi="ar-SA"/>
              </w:rPr>
              <w:t>marine.certificate_wording</w:t>
            </w:r>
            <w:r>
              <w:rPr>
                <w:rFonts w:eastAsia="Segoe UI" w:cs="Segoe UI" w:ascii="Segoe UI" w:hAnsi="Segoe UI"/>
                <w:color w:val="101820"/>
                <w:kern w:val="0"/>
                <w:sz w:val="18"/>
                <w:szCs w:val="24"/>
                <w:lang w:val="en-US" w:eastAsia="ja-JP" w:bidi="ar-SA"/>
              </w:rPr>
              <w:t>), declaration, bill</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Limit per conveyance and cover period checked per shipment; minimum premium per certificate; declarations due </w:t>
            </w:r>
            <w:r>
              <w:rPr>
                <w:rFonts w:eastAsia="Consolas" w:cs="Consolas" w:ascii="Consolas" w:hAnsi="Consolas"/>
                <w:color w:val="101820"/>
                <w:kern w:val="0"/>
                <w:sz w:val="16"/>
                <w:szCs w:val="24"/>
                <w:lang w:val="en-US" w:eastAsia="ja-JP" w:bidi="ar-SA"/>
              </w:rPr>
              <w:t>marine.declaration_due_days</w:t>
            </w:r>
            <w:r>
              <w:rPr>
                <w:rFonts w:eastAsia="Segoe UI" w:cs="Segoe UI" w:ascii="Segoe UI" w:hAnsi="Segoe UI"/>
                <w:color w:val="101820"/>
                <w:kern w:val="0"/>
                <w:sz w:val="18"/>
                <w:szCs w:val="24"/>
                <w:lang w:val="en-US" w:eastAsia="ja-JP" w:bidi="ar-SA"/>
              </w:rPr>
              <w:t xml:space="preserve"> after the period; </w:t>
            </w:r>
            <w:r>
              <w:rPr>
                <w:rFonts w:eastAsia="Consolas" w:cs="Consolas" w:ascii="Consolas" w:hAnsi="Consolas"/>
                <w:color w:val="101820"/>
                <w:kern w:val="0"/>
                <w:sz w:val="16"/>
                <w:szCs w:val="24"/>
                <w:lang w:val="en-US" w:eastAsia="ja-JP" w:bidi="ar-SA"/>
              </w:rPr>
              <w:t>read:marine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write:marine</w:t>
            </w:r>
          </w:p>
        </w:tc>
      </w:tr>
    </w:tbl>
    <w:p>
      <w:pPr>
        <w:pStyle w:val="Normal"/>
        <w:spacing w:before="0" w:after="80"/>
        <w:rPr/>
      </w:pPr>
      <w:r>
        <w:rPr/>
      </w:r>
    </w:p>
    <w:p>
      <w:pPr>
        <w:pStyle w:val="Normal"/>
        <w:numPr>
          <w:ilvl w:val="0"/>
          <w:numId w:val="59"/>
        </w:numPr>
        <w:spacing w:before="0" w:after="60"/>
        <w:rPr/>
      </w:pPr>
      <w:r>
        <w:rPr>
          <w:rFonts w:eastAsia="Segoe UI" w:cs="Segoe UI" w:ascii="Segoe UI" w:hAnsi="Segoe UI"/>
          <w:b/>
          <w:color w:val="101820"/>
          <w:sz w:val="21"/>
        </w:rPr>
        <w:t>Operations.</w:t>
      </w:r>
      <w:r>
        <w:rPr>
          <w:rFonts w:eastAsia="Segoe UI" w:cs="Segoe UI" w:ascii="Segoe UI" w:hAnsi="Segoe UI"/>
          <w:color w:val="101820"/>
          <w:sz w:val="21"/>
        </w:rPr>
        <w:t xml:space="preserve"> </w:t>
      </w:r>
      <w:r>
        <w:rPr>
          <w:rFonts w:eastAsia="Segoe UI" w:cs="Segoe UI" w:ascii="Segoe UI" w:hAnsi="Segoe UI"/>
          <w:b/>
          <w:color w:val="101820"/>
          <w:sz w:val="21"/>
        </w:rPr>
        <w:t>New open cover</w:t>
      </w:r>
      <w:r>
        <w:rPr>
          <w:rFonts w:eastAsia="Segoe UI" w:cs="Segoe UI" w:ascii="Segoe UI" w:hAnsi="Segoe UI"/>
          <w:color w:val="101820"/>
          <w:sz w:val="21"/>
        </w:rPr>
        <w:t>: client, insurer, period, goods insured, voyages, clauses; for each conveyance (Sea, Air, Land) the rate and the limit any one conveyance; mark-up on invoice (</w:t>
      </w:r>
      <w:r>
        <w:rPr>
          <w:rFonts w:eastAsia="Consolas" w:cs="Consolas" w:ascii="Consolas" w:hAnsi="Consolas"/>
          <w:color w:val="101820"/>
          <w:sz w:val="19"/>
        </w:rPr>
        <w:t>marine.default_markup_percent</w:t>
      </w:r>
      <w:r>
        <w:rPr>
          <w:rFonts w:eastAsia="Segoe UI" w:cs="Segoe UI" w:ascii="Segoe UI" w:hAnsi="Segoe UI"/>
          <w:color w:val="101820"/>
          <w:sz w:val="21"/>
        </w:rPr>
        <w:t>), minimum premium per certificate, declaration frequency (monthly or quarterly).</w:t>
      </w:r>
    </w:p>
    <w:p>
      <w:pPr>
        <w:pStyle w:val="Normal"/>
        <w:numPr>
          <w:ilvl w:val="0"/>
          <w:numId w:val="60"/>
        </w:numPr>
        <w:spacing w:before="0" w:after="60"/>
        <w:rPr/>
      </w:pPr>
      <w:r>
        <w:rPr>
          <w:rFonts w:eastAsia="Segoe UI" w:cs="Segoe UI" w:ascii="Segoe UI" w:hAnsi="Segoe UI"/>
          <w:b/>
          <w:color w:val="101820"/>
          <w:sz w:val="21"/>
        </w:rPr>
        <w:t>Operations.</w:t>
      </w:r>
      <w:r>
        <w:rPr>
          <w:rFonts w:eastAsia="Segoe UI" w:cs="Segoe UI" w:ascii="Segoe UI" w:hAnsi="Segoe UI"/>
          <w:color w:val="101820"/>
          <w:sz w:val="21"/>
        </w:rPr>
        <w:t xml:space="preserve"> </w:t>
      </w:r>
      <w:r>
        <w:rPr>
          <w:rFonts w:eastAsia="Segoe UI" w:cs="Segoe UI" w:ascii="Segoe UI" w:hAnsi="Segoe UI"/>
          <w:b/>
          <w:color w:val="101820"/>
          <w:sz w:val="21"/>
        </w:rPr>
        <w:t>Save</w:t>
      </w:r>
      <w:r>
        <w:rPr>
          <w:rFonts w:eastAsia="Segoe UI" w:cs="Segoe UI" w:ascii="Segoe UI" w:hAnsi="Segoe UI"/>
          <w:color w:val="101820"/>
          <w:sz w:val="21"/>
        </w:rPr>
        <w:t xml:space="preserve">, then </w:t>
      </w:r>
      <w:r>
        <w:rPr>
          <w:rFonts w:eastAsia="Segoe UI" w:cs="Segoe UI" w:ascii="Segoe UI" w:hAnsi="Segoe UI"/>
          <w:b/>
          <w:color w:val="101820"/>
          <w:sz w:val="21"/>
        </w:rPr>
        <w:t>Activate</w:t>
      </w:r>
      <w:r>
        <w:rPr>
          <w:rFonts w:eastAsia="Segoe UI" w:cs="Segoe UI" w:ascii="Segoe UI" w:hAnsi="Segoe UI"/>
          <w:color w:val="101820"/>
          <w:sz w:val="21"/>
        </w:rPr>
        <w:t>.</w:t>
      </w:r>
    </w:p>
    <w:p>
      <w:pPr>
        <w:pStyle w:val="Normal"/>
        <w:numPr>
          <w:ilvl w:val="0"/>
          <w:numId w:val="61"/>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Activating issues the open policy without a bill.</w:t>
      </w:r>
    </w:p>
    <w:p>
      <w:pPr>
        <w:pStyle w:val="Normal"/>
        <w:numPr>
          <w:ilvl w:val="0"/>
          <w:numId w:val="62"/>
        </w:numPr>
        <w:spacing w:before="0" w:after="60"/>
        <w:rPr/>
      </w:pPr>
      <w:r>
        <w:rPr>
          <w:rFonts w:eastAsia="Segoe UI" w:cs="Segoe UI" w:ascii="Segoe UI" w:hAnsi="Segoe UI"/>
          <w:b/>
          <w:color w:val="101820"/>
          <w:sz w:val="21"/>
        </w:rPr>
        <w:t>Client.</w:t>
      </w:r>
      <w:r>
        <w:rPr>
          <w:rFonts w:eastAsia="Segoe UI" w:cs="Segoe UI" w:ascii="Segoe UI" w:hAnsi="Segoe UI"/>
          <w:color w:val="101820"/>
          <w:sz w:val="21"/>
        </w:rPr>
        <w:t xml:space="preserve"> Ships goods and asks for a certificate, or declares a shipment made.</w:t>
      </w:r>
    </w:p>
    <w:p>
      <w:pPr>
        <w:pStyle w:val="Normal"/>
        <w:numPr>
          <w:ilvl w:val="0"/>
          <w:numId w:val="63"/>
        </w:numPr>
        <w:spacing w:before="0" w:after="60"/>
        <w:rPr/>
      </w:pPr>
      <w:r>
        <w:rPr>
          <w:rFonts w:eastAsia="Segoe UI" w:cs="Segoe UI" w:ascii="Segoe UI" w:hAnsi="Segoe UI"/>
          <w:b/>
          <w:color w:val="101820"/>
          <w:sz w:val="21"/>
        </w:rPr>
        <w:t>Operations.</w:t>
      </w:r>
      <w:r>
        <w:rPr>
          <w:rFonts w:eastAsia="Segoe UI" w:cs="Segoe UI" w:ascii="Segoe UI" w:hAnsi="Segoe UI"/>
          <w:color w:val="101820"/>
          <w:sz w:val="21"/>
        </w:rPr>
        <w:t xml:space="preserve"> </w:t>
      </w:r>
      <w:r>
        <w:rPr>
          <w:rFonts w:eastAsia="Segoe UI" w:cs="Segoe UI" w:ascii="Segoe UI" w:hAnsi="Segoe UI"/>
          <w:b/>
          <w:color w:val="101820"/>
          <w:sz w:val="21"/>
        </w:rPr>
        <w:t>Issue certificate</w:t>
      </w:r>
      <w:r>
        <w:rPr>
          <w:rFonts w:eastAsia="Segoe UI" w:cs="Segoe UI" w:ascii="Segoe UI" w:hAnsi="Segoe UI"/>
          <w:color w:val="101820"/>
          <w:sz w:val="21"/>
        </w:rPr>
        <w:t xml:space="preserve"> (shipment date, conveyance, vessel or flight, voyage from and to, bill of lading or airway bill, consignee, packing, goods, invoice value) and </w:t>
      </w:r>
      <w:r>
        <w:rPr>
          <w:rFonts w:eastAsia="Segoe UI" w:cs="Segoe UI" w:ascii="Segoe UI" w:hAnsi="Segoe UI"/>
          <w:b/>
          <w:color w:val="101820"/>
          <w:sz w:val="21"/>
        </w:rPr>
        <w:t>Print</w:t>
      </w:r>
      <w:r>
        <w:rPr>
          <w:rFonts w:eastAsia="Segoe UI" w:cs="Segoe UI" w:ascii="Segoe UI" w:hAnsi="Segoe UI"/>
          <w:color w:val="101820"/>
          <w:sz w:val="21"/>
        </w:rPr>
        <w:t xml:space="preserve">; or </w:t>
      </w:r>
      <w:r>
        <w:rPr>
          <w:rFonts w:eastAsia="Segoe UI" w:cs="Segoe UI" w:ascii="Segoe UI" w:hAnsi="Segoe UI"/>
          <w:b/>
          <w:color w:val="101820"/>
          <w:sz w:val="21"/>
        </w:rPr>
        <w:t>Shipment without certificate</w:t>
      </w:r>
      <w:r>
        <w:rPr>
          <w:rFonts w:eastAsia="Segoe UI" w:cs="Segoe UI" w:ascii="Segoe UI" w:hAnsi="Segoe UI"/>
          <w:color w:val="101820"/>
          <w:sz w:val="21"/>
        </w:rPr>
        <w:t xml:space="preserve"> for a declared shipment.</w:t>
      </w:r>
    </w:p>
    <w:p>
      <w:pPr>
        <w:pStyle w:val="Normal"/>
        <w:numPr>
          <w:ilvl w:val="0"/>
          <w:numId w:val="64"/>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Insured value = invoice value plus the mark-up; premium at the conveyance rate and at least the minimum; a shipment over the limit or outside the period is refused.</w:t>
      </w:r>
    </w:p>
    <w:p>
      <w:pPr>
        <w:pStyle w:val="Normal"/>
        <w:numPr>
          <w:ilvl w:val="0"/>
          <w:numId w:val="65"/>
        </w:numPr>
        <w:spacing w:before="0" w:after="60"/>
        <w:rPr/>
      </w:pPr>
      <w:r>
        <w:rPr>
          <w:rFonts w:eastAsia="Segoe UI" w:cs="Segoe UI" w:ascii="Segoe UI" w:hAnsi="Segoe UI"/>
          <w:b/>
          <w:color w:val="101820"/>
          <w:sz w:val="21"/>
        </w:rPr>
        <w:t>Operations.</w:t>
      </w:r>
      <w:r>
        <w:rPr>
          <w:rFonts w:eastAsia="Segoe UI" w:cs="Segoe UI" w:ascii="Segoe UI" w:hAnsi="Segoe UI"/>
          <w:color w:val="101820"/>
          <w:sz w:val="21"/>
        </w:rPr>
        <w:t xml:space="preserve"> </w:t>
      </w:r>
      <w:r>
        <w:rPr>
          <w:rFonts w:eastAsia="Segoe UI" w:cs="Segoe UI" w:ascii="Segoe UI" w:hAnsi="Segoe UI"/>
          <w:b/>
          <w:color w:val="101820"/>
          <w:sz w:val="21"/>
        </w:rPr>
        <w:t>Declarations</w:t>
      </w:r>
      <w:r>
        <w:rPr>
          <w:rFonts w:eastAsia="Segoe UI" w:cs="Segoe UI" w:ascii="Segoe UI" w:hAnsi="Segoe UI"/>
          <w:color w:val="101820"/>
          <w:sz w:val="21"/>
        </w:rPr>
        <w:t xml:space="preserve"> &gt; </w:t>
      </w:r>
      <w:r>
        <w:rPr>
          <w:rFonts w:eastAsia="Segoe UI" w:cs="Segoe UI" w:ascii="Segoe UI" w:hAnsi="Segoe UI"/>
          <w:b/>
          <w:color w:val="101820"/>
          <w:sz w:val="21"/>
        </w:rPr>
        <w:t>New declaration</w:t>
      </w:r>
      <w:r>
        <w:rPr>
          <w:rFonts w:eastAsia="Segoe UI" w:cs="Segoe UI" w:ascii="Segoe UI" w:hAnsi="Segoe UI"/>
          <w:color w:val="101820"/>
          <w:sz w:val="21"/>
        </w:rPr>
        <w:t xml:space="preserve"> for the period gathers the certificates and declared shipments with their premium and taxes (a period without shipments is a nil declaration); </w:t>
      </w:r>
      <w:r>
        <w:rPr>
          <w:rFonts w:eastAsia="Segoe UI" w:cs="Segoe UI" w:ascii="Segoe UI" w:hAnsi="Segoe UI"/>
          <w:b/>
          <w:color w:val="101820"/>
          <w:sz w:val="21"/>
        </w:rPr>
        <w:t>Submit</w:t>
      </w:r>
      <w:r>
        <w:rPr>
          <w:rFonts w:eastAsia="Segoe UI" w:cs="Segoe UI" w:ascii="Segoe UI" w:hAnsi="Segoe UI"/>
          <w:color w:val="101820"/>
          <w:sz w:val="21"/>
        </w:rPr>
        <w:t>.</w:t>
      </w:r>
    </w:p>
    <w:p>
      <w:pPr>
        <w:pStyle w:val="Normal"/>
        <w:numPr>
          <w:ilvl w:val="0"/>
          <w:numId w:val="66"/>
        </w:numPr>
        <w:spacing w:before="0" w:after="60"/>
        <w:rPr/>
      </w:pPr>
      <w:r>
        <w:rPr>
          <w:rFonts w:eastAsia="Segoe UI" w:cs="Segoe UI" w:ascii="Segoe UI" w:hAnsi="Segoe UI"/>
          <w:b/>
          <w:color w:val="101820"/>
          <w:sz w:val="21"/>
        </w:rPr>
        <w:t>Operations.</w:t>
      </w:r>
      <w:r>
        <w:rPr>
          <w:rFonts w:eastAsia="Segoe UI" w:cs="Segoe UI" w:ascii="Segoe UI" w:hAnsi="Segoe UI"/>
          <w:color w:val="101820"/>
          <w:sz w:val="21"/>
        </w:rPr>
        <w:t xml:space="preserve"> </w:t>
      </w:r>
      <w:r>
        <w:rPr>
          <w:rFonts w:eastAsia="Segoe UI" w:cs="Segoe UI" w:ascii="Segoe UI" w:hAnsi="Segoe UI"/>
          <w:b/>
          <w:color w:val="101820"/>
          <w:sz w:val="21"/>
        </w:rPr>
        <w:t>Bill</w:t>
      </w:r>
      <w:r>
        <w:rPr>
          <w:rFonts w:eastAsia="Segoe UI" w:cs="Segoe UI" w:ascii="Segoe UI" w:hAnsi="Segoe UI"/>
          <w:color w:val="101820"/>
          <w:sz w:val="21"/>
        </w:rPr>
        <w:t xml:space="preserve"> the declaration.</w:t>
      </w:r>
    </w:p>
    <w:p>
      <w:pPr>
        <w:pStyle w:val="Normal"/>
        <w:numPr>
          <w:ilvl w:val="0"/>
          <w:numId w:val="67"/>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Raises the bill on the open policy with its booking journal, collection item and commission.</w:t>
      </w:r>
    </w:p>
    <w:p>
      <w:pPr>
        <w:pStyle w:val="Normal"/>
        <w:numPr>
          <w:ilvl w:val="0"/>
          <w:numId w:val="68"/>
        </w:numPr>
        <w:spacing w:before="0" w:after="60"/>
        <w:rPr/>
      </w:pPr>
      <w:r>
        <w:rPr>
          <w:rFonts w:eastAsia="Segoe UI" w:cs="Segoe UI" w:ascii="Segoe UI" w:hAnsi="Segoe UI"/>
          <w:b/>
          <w:color w:val="101820"/>
          <w:sz w:val="21"/>
        </w:rPr>
        <w:t>End.</w:t>
      </w:r>
      <w:r>
        <w:rPr>
          <w:rFonts w:eastAsia="Segoe UI" w:cs="Segoe UI" w:ascii="Segoe UI" w:hAnsi="Segoe UI"/>
          <w:color w:val="101820"/>
          <w:sz w:val="21"/>
        </w:rPr>
        <w:t xml:space="preserve"> The bill is collected, receipted and remitted as any bill (F05, F06).</w:t>
      </w:r>
    </w:p>
    <w:p>
      <w:pPr>
        <w:pStyle w:val="Heading2"/>
        <w:rPr/>
      </w:pPr>
      <w:bookmarkStart w:id="19" w:name="__RefHeading___Toc19281_1497462395"/>
      <w:bookmarkEnd w:id="19"/>
      <w:r>
        <w:rPr>
          <w:rFonts w:eastAsia="Segoe UI" w:cs="Segoe UI"/>
          <w:b/>
          <w:color w:val="0F4761"/>
          <w:sz w:val="26"/>
        </w:rPr>
        <w:t>4.6  F19 Facultative reinsurance placement</w:t>
      </w:r>
    </w:p>
    <w:p>
      <w:pPr>
        <w:pStyle w:val="Normal"/>
        <w:spacing w:lineRule="auto" w:line="276" w:before="0" w:after="120"/>
        <w:rPr/>
      </w:pPr>
      <w:r>
        <w:rPr>
          <w:rFonts w:eastAsia="Segoe UI" w:cs="Segoe UI" w:ascii="Segoe UI" w:hAnsi="Segoe UI"/>
          <w:color w:val="101820"/>
          <w:sz w:val="21"/>
        </w:rPr>
        <w:t>The broker acts as reinsurance broker: an insurer (the cedant) offers part of a risk to the facultative market.</w:t>
      </w:r>
    </w:p>
    <w:p>
      <w:pPr>
        <w:pStyle w:val="Normal"/>
        <w:jc w:val="center"/>
        <w:rPr/>
      </w:pPr>
      <w:r>
        <w:rPr/>
        <w:drawing>
          <wp:inline distT="0" distB="0" distL="0" distR="0">
            <wp:extent cx="5760085" cy="6401435"/>
            <wp:effectExtent l="0" t="0" r="0" b="0"/>
            <wp:docPr id="13" name="Picture 21212881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121288193" descr=""/>
                    <pic:cNvPicPr>
                      <a:picLocks noChangeAspect="1" noChangeArrowheads="1"/>
                    </pic:cNvPicPr>
                  </pic:nvPicPr>
                  <pic:blipFill>
                    <a:blip r:embed="rId9"/>
                    <a:stretch>
                      <a:fillRect/>
                    </a:stretch>
                  </pic:blipFill>
                  <pic:spPr bwMode="auto">
                    <a:xfrm>
                      <a:off x="0" y="0"/>
                      <a:ext cx="5760085" cy="6401435"/>
                    </a:xfrm>
                    <a:prstGeom prst="rect">
                      <a:avLst/>
                    </a:prstGeom>
                  </pic:spPr>
                </pic:pic>
              </a:graphicData>
            </a:graphic>
          </wp:inline>
        </w:drawing>
      </w:r>
    </w:p>
    <w:p>
      <w:pPr>
        <w:pStyle w:val="Normal"/>
        <w:jc w:val="center"/>
        <w:rPr/>
      </w:pPr>
      <w:r>
        <w:rPr>
          <w:rFonts w:eastAsia="Segoe UI" w:cs="Segoe UI" w:ascii="Segoe UI" w:hAnsi="Segoe UI"/>
          <w:i/>
          <w:color w:val="555F6D"/>
          <w:sz w:val="18"/>
        </w:rPr>
        <w:t>F19 Facultative reinsurance placement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44"/>
        <w:gridCol w:w="7370"/>
      </w:tblGrid>
      <w:tr>
        <w:trPr>
          <w:tblHeader w:val="true"/>
        </w:trPr>
        <w:tc>
          <w:tcPr>
            <w:tcW w:w="16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At a glance</w:t>
            </w:r>
          </w:p>
        </w:tc>
        <w:tc>
          <w:tcPr>
            <w:tcW w:w="73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cedant asks the broker to place a share of a risk with reinsurers</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cedant; reinsurers; Accounting; BrokerVerse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 &gt; Facultative Placements</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ri.facultative.bind at binding; ri.facultative.premium_received; ri.facultative.premium_paid</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Slip PDF to each reinsurer, cover note to the cedant, debit note (premium due from the cedant), credit note per reinsurer, bordereau of the period</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Only reinsurers that meet the security rating of the Reinsurers master can be added; the slip is Placed only when the accepted lines reach 100% of the share offered</w:t>
            </w:r>
          </w:p>
        </w:tc>
      </w:tr>
    </w:tbl>
    <w:p>
      <w:pPr>
        <w:pStyle w:val="Normal"/>
        <w:spacing w:before="0" w:after="80"/>
        <w:rPr/>
      </w:pPr>
      <w:r>
        <w:rPr/>
      </w:r>
    </w:p>
    <w:p>
      <w:pPr>
        <w:pStyle w:val="Normal"/>
        <w:numPr>
          <w:ilvl w:val="0"/>
          <w:numId w:val="69"/>
        </w:numPr>
        <w:spacing w:before="0" w:after="60"/>
        <w:rPr/>
      </w:pPr>
      <w:r>
        <w:rPr>
          <w:rFonts w:eastAsia="Segoe UI" w:cs="Segoe UI" w:ascii="Segoe UI" w:hAnsi="Segoe UI"/>
          <w:b/>
          <w:color w:val="101820"/>
          <w:sz w:val="21"/>
        </w:rPr>
        <w:t>Cedant.</w:t>
      </w:r>
      <w:r>
        <w:rPr>
          <w:rFonts w:eastAsia="Segoe UI" w:cs="Segoe UI" w:ascii="Segoe UI" w:hAnsi="Segoe UI"/>
          <w:color w:val="101820"/>
          <w:sz w:val="21"/>
        </w:rPr>
        <w:t xml:space="preserve"> Offers part of a risk to the broker.</w:t>
      </w:r>
    </w:p>
    <w:p>
      <w:pPr>
        <w:pStyle w:val="Normal"/>
        <w:numPr>
          <w:ilvl w:val="0"/>
          <w:numId w:val="70"/>
        </w:numPr>
        <w:spacing w:before="0" w:after="60"/>
        <w:rPr/>
      </w:pPr>
      <w:r>
        <w:rPr>
          <w:rFonts w:eastAsia="Segoe UI" w:cs="Segoe UI" w:ascii="Segoe UI" w:hAnsi="Segoe UI"/>
          <w:b/>
          <w:color w:val="101820"/>
          <w:sz w:val="21"/>
        </w:rPr>
        <w:t>Processing Team.</w:t>
      </w:r>
      <w:r>
        <w:rPr>
          <w:rFonts w:eastAsia="Segoe UI" w:cs="Segoe UI" w:ascii="Segoe UI" w:hAnsi="Segoe UI"/>
          <w:color w:val="101820"/>
          <w:sz w:val="21"/>
        </w:rPr>
        <w:t xml:space="preserve"> </w:t>
      </w:r>
      <w:r>
        <w:rPr>
          <w:rFonts w:eastAsia="Segoe UI" w:cs="Segoe UI" w:ascii="Segoe UI" w:hAnsi="Segoe UI"/>
          <w:b/>
          <w:color w:val="101820"/>
          <w:sz w:val="21"/>
        </w:rPr>
        <w:t>New slip</w:t>
      </w:r>
      <w:r>
        <w:rPr>
          <w:rFonts w:eastAsia="Segoe UI" w:cs="Segoe UI" w:ascii="Segoe UI" w:hAnsi="Segoe UI"/>
          <w:color w:val="101820"/>
          <w:sz w:val="21"/>
        </w:rPr>
        <w:t xml:space="preserve">: cedant, original insured, original policy number, class, risk, location, period, currency, sum insured and premium at 100%, share offered, reinsurance commission to the cedant and brokerage (defaults </w:t>
      </w:r>
      <w:r>
        <w:rPr>
          <w:rFonts w:eastAsia="Consolas" w:cs="Consolas" w:ascii="Consolas" w:hAnsi="Consolas"/>
          <w:color w:val="101820"/>
          <w:sz w:val="19"/>
        </w:rPr>
        <w:t>reinsurance.fac_default_ceding_commission_pct</w:t>
      </w:r>
      <w:r>
        <w:rPr>
          <w:rFonts w:eastAsia="Segoe UI" w:cs="Segoe UI" w:ascii="Segoe UI" w:hAnsi="Segoe UI"/>
          <w:color w:val="101820"/>
          <w:sz w:val="21"/>
        </w:rPr>
        <w:t xml:space="preserve"> 25, </w:t>
      </w:r>
      <w:r>
        <w:rPr>
          <w:rFonts w:eastAsia="Consolas" w:cs="Consolas" w:ascii="Consolas" w:hAnsi="Consolas"/>
          <w:color w:val="101820"/>
          <w:sz w:val="19"/>
        </w:rPr>
        <w:t>reinsurance.fac_default_brokerage_pct</w:t>
      </w:r>
      <w:r>
        <w:rPr>
          <w:rFonts w:eastAsia="Segoe UI" w:cs="Segoe UI" w:ascii="Segoe UI" w:hAnsi="Segoe UI"/>
          <w:color w:val="101820"/>
          <w:sz w:val="21"/>
        </w:rPr>
        <w:t xml:space="preserve"> 10), deductibles, conditions.</w:t>
      </w:r>
    </w:p>
    <w:p>
      <w:pPr>
        <w:pStyle w:val="Normal"/>
        <w:numPr>
          <w:ilvl w:val="0"/>
          <w:numId w:val="71"/>
        </w:numPr>
        <w:spacing w:before="0" w:after="60"/>
        <w:rPr/>
      </w:pPr>
      <w:r>
        <w:rPr>
          <w:rFonts w:eastAsia="Segoe UI" w:cs="Segoe UI" w:ascii="Segoe UI" w:hAnsi="Segoe UI"/>
          <w:b/>
          <w:color w:val="101820"/>
          <w:sz w:val="21"/>
        </w:rPr>
        <w:t>Processing Team.</w:t>
      </w:r>
      <w:r>
        <w:rPr>
          <w:rFonts w:eastAsia="Segoe UI" w:cs="Segoe UI" w:ascii="Segoe UI" w:hAnsi="Segoe UI"/>
          <w:color w:val="101820"/>
          <w:sz w:val="21"/>
        </w:rPr>
        <w:t xml:space="preserve"> </w:t>
      </w:r>
      <w:r>
        <w:rPr>
          <w:rFonts w:eastAsia="Segoe UI" w:cs="Segoe UI" w:ascii="Segoe UI" w:hAnsi="Segoe UI"/>
          <w:b/>
          <w:color w:val="101820"/>
          <w:sz w:val="21"/>
        </w:rPr>
        <w:t>Add reinsurer</w:t>
      </w:r>
      <w:r>
        <w:rPr>
          <w:rFonts w:eastAsia="Segoe UI" w:cs="Segoe UI" w:ascii="Segoe UI" w:hAnsi="Segoe UI"/>
          <w:color w:val="101820"/>
          <w:sz w:val="21"/>
        </w:rPr>
        <w:t xml:space="preserve"> for each reinsurer approached.</w:t>
      </w:r>
    </w:p>
    <w:p>
      <w:pPr>
        <w:pStyle w:val="Normal"/>
        <w:numPr>
          <w:ilvl w:val="0"/>
          <w:numId w:val="72"/>
        </w:numPr>
        <w:spacing w:before="0" w:after="60"/>
        <w:rPr/>
      </w:pPr>
      <w:r>
        <w:rPr>
          <w:rFonts w:eastAsia="Segoe UI" w:cs="Segoe UI" w:ascii="Segoe UI" w:hAnsi="Segoe UI"/>
          <w:b/>
          <w:color w:val="101820"/>
          <w:sz w:val="21"/>
        </w:rPr>
        <w:t>Processing Team.</w:t>
      </w:r>
      <w:r>
        <w:rPr>
          <w:rFonts w:eastAsia="Segoe UI" w:cs="Segoe UI" w:ascii="Segoe UI" w:hAnsi="Segoe UI"/>
          <w:color w:val="101820"/>
          <w:sz w:val="21"/>
        </w:rPr>
        <w:t xml:space="preserve"> </w:t>
      </w:r>
      <w:r>
        <w:rPr>
          <w:rFonts w:eastAsia="Segoe UI" w:cs="Segoe UI" w:ascii="Segoe UI" w:hAnsi="Segoe UI"/>
          <w:b/>
          <w:color w:val="101820"/>
          <w:sz w:val="21"/>
        </w:rPr>
        <w:t>Send to market</w:t>
      </w:r>
      <w:r>
        <w:rPr>
          <w:rFonts w:eastAsia="Segoe UI" w:cs="Segoe UI" w:ascii="Segoe UI" w:hAnsi="Segoe UI"/>
          <w:color w:val="101820"/>
          <w:sz w:val="21"/>
        </w:rPr>
        <w:t>: the slip is in market and the slip PDF can be e-mailed to each reinsurer.</w:t>
      </w:r>
    </w:p>
    <w:p>
      <w:pPr>
        <w:pStyle w:val="Normal"/>
        <w:numPr>
          <w:ilvl w:val="0"/>
          <w:numId w:val="73"/>
        </w:numPr>
        <w:spacing w:before="0" w:after="60"/>
        <w:rPr/>
      </w:pPr>
      <w:r>
        <w:rPr>
          <w:rFonts w:eastAsia="Segoe UI" w:cs="Segoe UI" w:ascii="Segoe UI" w:hAnsi="Segoe UI"/>
          <w:b/>
          <w:color w:val="101820"/>
          <w:sz w:val="21"/>
        </w:rPr>
        <w:t>Reinsurers.</w:t>
      </w:r>
      <w:r>
        <w:rPr>
          <w:rFonts w:eastAsia="Segoe UI" w:cs="Segoe UI" w:ascii="Segoe UI" w:hAnsi="Segoe UI"/>
          <w:color w:val="101820"/>
          <w:sz w:val="21"/>
        </w:rPr>
        <w:t xml:space="preserve"> Accept a line (percent of the share offered, with a reference) or decline.</w:t>
      </w:r>
    </w:p>
    <w:p>
      <w:pPr>
        <w:pStyle w:val="Normal"/>
        <w:numPr>
          <w:ilvl w:val="0"/>
          <w:numId w:val="74"/>
        </w:numPr>
        <w:spacing w:before="0" w:after="60"/>
        <w:rPr/>
      </w:pPr>
      <w:r>
        <w:rPr>
          <w:rFonts w:eastAsia="Segoe UI" w:cs="Segoe UI" w:ascii="Segoe UI" w:hAnsi="Segoe UI"/>
          <w:b/>
          <w:color w:val="101820"/>
          <w:sz w:val="21"/>
        </w:rPr>
        <w:t>Processing Team.</w:t>
      </w:r>
      <w:r>
        <w:rPr>
          <w:rFonts w:eastAsia="Segoe UI" w:cs="Segoe UI" w:ascii="Segoe UI" w:hAnsi="Segoe UI"/>
          <w:color w:val="101820"/>
          <w:sz w:val="21"/>
        </w:rPr>
        <w:t xml:space="preserve"> Records each answer. Decision: the accepted lines reach 100% (the slip is Placed), or more reinsurers are approached (step 3).</w:t>
      </w:r>
    </w:p>
    <w:p>
      <w:pPr>
        <w:pStyle w:val="Normal"/>
        <w:numPr>
          <w:ilvl w:val="0"/>
          <w:numId w:val="75"/>
        </w:numPr>
        <w:spacing w:before="0" w:after="60"/>
        <w:rPr/>
      </w:pPr>
      <w:r>
        <w:rPr>
          <w:rFonts w:eastAsia="Segoe UI" w:cs="Segoe UI" w:ascii="Segoe UI" w:hAnsi="Segoe UI"/>
          <w:b/>
          <w:color w:val="101820"/>
          <w:sz w:val="21"/>
        </w:rPr>
        <w:t>Processing Team.</w:t>
      </w:r>
      <w:r>
        <w:rPr>
          <w:rFonts w:eastAsia="Segoe UI" w:cs="Segoe UI" w:ascii="Segoe UI" w:hAnsi="Segoe UI"/>
          <w:color w:val="101820"/>
          <w:sz w:val="21"/>
        </w:rPr>
        <w:t xml:space="preserve"> </w:t>
      </w:r>
      <w:r>
        <w:rPr>
          <w:rFonts w:eastAsia="Segoe UI" w:cs="Segoe UI" w:ascii="Segoe UI" w:hAnsi="Segoe UI"/>
          <w:b/>
          <w:color w:val="101820"/>
          <w:sz w:val="21"/>
        </w:rPr>
        <w:t>Bind</w:t>
      </w:r>
      <w:r>
        <w:rPr>
          <w:rFonts w:eastAsia="Segoe UI" w:cs="Segoe UI" w:ascii="Segoe UI" w:hAnsi="Segoe UI"/>
          <w:color w:val="101820"/>
          <w:sz w:val="21"/>
        </w:rPr>
        <w:t xml:space="preserve"> the slip.</w:t>
      </w:r>
    </w:p>
    <w:p>
      <w:pPr>
        <w:pStyle w:val="Normal"/>
        <w:numPr>
          <w:ilvl w:val="0"/>
          <w:numId w:val="76"/>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Posts ri.facultative.bind: the premium due from the cedant net of its reinsurance commission, the net premium due to each reinsurer and the brokerage income.</w:t>
      </w:r>
    </w:p>
    <w:p>
      <w:pPr>
        <w:pStyle w:val="Normal"/>
        <w:numPr>
          <w:ilvl w:val="0"/>
          <w:numId w:val="77"/>
        </w:numPr>
        <w:spacing w:before="0" w:after="60"/>
        <w:rPr/>
      </w:pPr>
      <w:r>
        <w:rPr>
          <w:rFonts w:eastAsia="Segoe UI" w:cs="Segoe UI" w:ascii="Segoe UI" w:hAnsi="Segoe UI"/>
          <w:b/>
          <w:color w:val="101820"/>
          <w:sz w:val="21"/>
        </w:rPr>
        <w:t>Processing Team.</w:t>
      </w:r>
      <w:r>
        <w:rPr>
          <w:rFonts w:eastAsia="Segoe UI" w:cs="Segoe UI" w:ascii="Segoe UI" w:hAnsi="Segoe UI"/>
          <w:color w:val="101820"/>
          <w:sz w:val="21"/>
        </w:rPr>
        <w:t xml:space="preserve"> Prints the cover note to the cedant, the debit note and a credit note per reinsurer.</w:t>
      </w:r>
    </w:p>
    <w:p>
      <w:pPr>
        <w:pStyle w:val="Normal"/>
        <w:numPr>
          <w:ilvl w:val="0"/>
          <w:numId w:val="78"/>
        </w:numPr>
        <w:spacing w:before="0" w:after="60"/>
        <w:rPr/>
      </w:pPr>
      <w:r>
        <w:rPr>
          <w:rFonts w:eastAsia="Segoe UI" w:cs="Segoe UI" w:ascii="Segoe UI" w:hAnsi="Segoe UI"/>
          <w:b/>
          <w:color w:val="101820"/>
          <w:sz w:val="21"/>
        </w:rPr>
        <w:t>Cedant.</w:t>
      </w:r>
      <w:r>
        <w:rPr>
          <w:rFonts w:eastAsia="Segoe UI" w:cs="Segoe UI" w:ascii="Segoe UI" w:hAnsi="Segoe UI"/>
          <w:color w:val="101820"/>
          <w:sz w:val="21"/>
        </w:rPr>
        <w:t xml:space="preserve"> Pays the premium.</w:t>
      </w:r>
    </w:p>
    <w:p>
      <w:pPr>
        <w:pStyle w:val="Normal"/>
        <w:numPr>
          <w:ilvl w:val="0"/>
          <w:numId w:val="79"/>
        </w:numPr>
        <w:spacing w:before="0" w:after="60"/>
        <w:rPr/>
      </w:pPr>
      <w:r>
        <w:rPr>
          <w:rFonts w:eastAsia="Segoe UI" w:cs="Segoe UI" w:ascii="Segoe UI" w:hAnsi="Segoe UI"/>
          <w:b/>
          <w:color w:val="101820"/>
          <w:sz w:val="21"/>
        </w:rPr>
        <w:t>Accounting.</w:t>
      </w:r>
      <w:r>
        <w:rPr>
          <w:rFonts w:eastAsia="Segoe UI" w:cs="Segoe UI" w:ascii="Segoe UI" w:hAnsi="Segoe UI"/>
          <w:color w:val="101820"/>
          <w:sz w:val="21"/>
        </w:rPr>
        <w:t xml:space="preserve"> </w:t>
      </w:r>
      <w:r>
        <w:rPr>
          <w:rFonts w:eastAsia="Segoe UI" w:cs="Segoe UI" w:ascii="Segoe UI" w:hAnsi="Segoe UI"/>
          <w:b/>
          <w:color w:val="101820"/>
          <w:sz w:val="21"/>
        </w:rPr>
        <w:t>Record premium received</w:t>
      </w:r>
      <w:r>
        <w:rPr>
          <w:rFonts w:eastAsia="Segoe UI" w:cs="Segoe UI" w:ascii="Segoe UI" w:hAnsi="Segoe UI"/>
          <w:color w:val="101820"/>
          <w:sz w:val="21"/>
        </w:rPr>
        <w:t>.</w:t>
      </w:r>
    </w:p>
    <w:p>
      <w:pPr>
        <w:pStyle w:val="Normal"/>
        <w:numPr>
          <w:ilvl w:val="0"/>
          <w:numId w:val="80"/>
        </w:numPr>
        <w:spacing w:before="0" w:after="60"/>
        <w:rPr/>
      </w:pPr>
      <w:r>
        <w:rPr>
          <w:rFonts w:eastAsia="Segoe UI" w:cs="Segoe UI" w:ascii="Segoe UI" w:hAnsi="Segoe UI"/>
          <w:b/>
          <w:color w:val="101820"/>
          <w:sz w:val="21"/>
        </w:rPr>
        <w:t>Accounting.</w:t>
      </w:r>
      <w:r>
        <w:rPr>
          <w:rFonts w:eastAsia="Segoe UI" w:cs="Segoe UI" w:ascii="Segoe UI" w:hAnsi="Segoe UI"/>
          <w:color w:val="101820"/>
          <w:sz w:val="21"/>
        </w:rPr>
        <w:t xml:space="preserve"> </w:t>
      </w:r>
      <w:r>
        <w:rPr>
          <w:rFonts w:eastAsia="Segoe UI" w:cs="Segoe UI" w:ascii="Segoe UI" w:hAnsi="Segoe UI"/>
          <w:b/>
          <w:color w:val="101820"/>
          <w:sz w:val="21"/>
        </w:rPr>
        <w:t>Record payment</w:t>
      </w:r>
      <w:r>
        <w:rPr>
          <w:rFonts w:eastAsia="Segoe UI" w:cs="Segoe UI" w:ascii="Segoe UI" w:hAnsi="Segoe UI"/>
          <w:color w:val="101820"/>
          <w:sz w:val="21"/>
        </w:rPr>
        <w:t xml:space="preserve"> to each reinsurer.</w:t>
      </w:r>
    </w:p>
    <w:p>
      <w:pPr>
        <w:pStyle w:val="Normal"/>
        <w:numPr>
          <w:ilvl w:val="0"/>
          <w:numId w:val="81"/>
        </w:numPr>
        <w:spacing w:before="0" w:after="60"/>
        <w:rPr/>
      </w:pPr>
      <w:r>
        <w:rPr>
          <w:rFonts w:eastAsia="Segoe UI" w:cs="Segoe UI" w:ascii="Segoe UI" w:hAnsi="Segoe UI"/>
          <w:b/>
          <w:color w:val="101820"/>
          <w:sz w:val="21"/>
        </w:rPr>
        <w:t>End.</w:t>
      </w:r>
      <w:r>
        <w:rPr>
          <w:rFonts w:eastAsia="Segoe UI" w:cs="Segoe UI" w:ascii="Segoe UI" w:hAnsi="Segoe UI"/>
          <w:color w:val="101820"/>
          <w:sz w:val="21"/>
        </w:rPr>
        <w:t xml:space="preserve"> The slip closes when both sides are settled. </w:t>
      </w:r>
      <w:r>
        <w:rPr>
          <w:rFonts w:eastAsia="Segoe UI" w:cs="Segoe UI" w:ascii="Segoe UI" w:hAnsi="Segoe UI"/>
          <w:b/>
          <w:color w:val="101820"/>
          <w:sz w:val="21"/>
        </w:rPr>
        <w:t>Bordereau</w:t>
      </w:r>
      <w:r>
        <w:rPr>
          <w:rFonts w:eastAsia="Segoe UI" w:cs="Segoe UI" w:ascii="Segoe UI" w:hAnsi="Segoe UI"/>
          <w:color w:val="101820"/>
          <w:sz w:val="21"/>
        </w:rPr>
        <w:t xml:space="preserve"> lists the facultative premium of a period by reinsurer; </w:t>
      </w:r>
      <w:r>
        <w:rPr>
          <w:rFonts w:eastAsia="Segoe UI" w:cs="Segoe UI" w:ascii="Segoe UI" w:hAnsi="Segoe UI"/>
          <w:b/>
          <w:color w:val="101820"/>
          <w:sz w:val="21"/>
        </w:rPr>
        <w:t>Generate and keep</w:t>
      </w:r>
      <w:r>
        <w:rPr>
          <w:rFonts w:eastAsia="Segoe UI" w:cs="Segoe UI" w:ascii="Segoe UI" w:hAnsi="Segoe UI"/>
          <w:color w:val="101820"/>
          <w:sz w:val="21"/>
        </w:rPr>
        <w:t xml:space="preserve"> saves it as a document of the month.</w:t>
      </w:r>
      <w:r>
        <w:br w:type="page"/>
      </w:r>
    </w:p>
    <w:p>
      <w:pPr>
        <w:pStyle w:val="Heading1"/>
        <w:rPr/>
      </w:pPr>
      <w:bookmarkStart w:id="20" w:name="__RefHeading___Toc19283_1497462395"/>
      <w:bookmarkEnd w:id="20"/>
      <w:r>
        <w:rPr>
          <w:rFonts w:eastAsia="Segoe UI" w:cs="Segoe UI" w:ascii="Segoe UI" w:hAnsi="Segoe UI"/>
          <w:b/>
          <w:color w:val="0F4761"/>
          <w:sz w:val="32"/>
        </w:rPr>
        <w:t>5.  Policy servicing</w:t>
      </w:r>
    </w:p>
    <w:p>
      <w:pPr>
        <w:pStyle w:val="Heading2"/>
        <w:rPr/>
      </w:pPr>
      <w:bookmarkStart w:id="21" w:name="__RefHeading___Toc19285_1497462395"/>
      <w:bookmarkEnd w:id="21"/>
      <w:r>
        <w:rPr>
          <w:rFonts w:eastAsia="Segoe UI" w:cs="Segoe UI"/>
          <w:b/>
          <w:color w:val="0F4761"/>
          <w:sz w:val="26"/>
        </w:rPr>
        <w:t>5.1  F03 Endorsement and cancellation</w:t>
      </w:r>
    </w:p>
    <w:p>
      <w:pPr>
        <w:pStyle w:val="Normal"/>
        <w:spacing w:lineRule="auto" w:line="276" w:before="0" w:after="120"/>
        <w:rPr/>
      </w:pPr>
      <w:r>
        <w:rPr>
          <w:rFonts w:eastAsia="Segoe UI" w:cs="Segoe UI" w:ascii="Segoe UI" w:hAnsi="Segoe UI"/>
          <w:color w:val="101820"/>
          <w:sz w:val="21"/>
        </w:rPr>
        <w:t>A change to an issued policy, or its cancellation, is raised by Operations, sent to the insurer, completed with the insurer's endorsement and then billed or credited. The return premium of a cancellation is always computed by the system.</w:t>
      </w:r>
    </w:p>
    <w:p>
      <w:pPr>
        <w:pStyle w:val="Normal"/>
        <w:jc w:val="center"/>
        <w:rPr/>
      </w:pPr>
      <w:r>
        <w:rPr/>
        <w:drawing>
          <wp:inline distT="0" distB="0" distL="0" distR="0">
            <wp:extent cx="5760085" cy="6401435"/>
            <wp:effectExtent l="0" t="0" r="0" b="0"/>
            <wp:docPr id="14" name="Picture 21212881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121288194" descr=""/>
                    <pic:cNvPicPr>
                      <a:picLocks noChangeAspect="1" noChangeArrowheads="1"/>
                    </pic:cNvPicPr>
                  </pic:nvPicPr>
                  <pic:blipFill>
                    <a:blip r:embed="rId10"/>
                    <a:stretch>
                      <a:fillRect/>
                    </a:stretch>
                  </pic:blipFill>
                  <pic:spPr bwMode="auto">
                    <a:xfrm>
                      <a:off x="0" y="0"/>
                      <a:ext cx="5760085" cy="6401435"/>
                    </a:xfrm>
                    <a:prstGeom prst="rect">
                      <a:avLst/>
                    </a:prstGeom>
                  </pic:spPr>
                </pic:pic>
              </a:graphicData>
            </a:graphic>
          </wp:inline>
        </w:drawing>
      </w:r>
    </w:p>
    <w:p>
      <w:pPr>
        <w:pStyle w:val="Normal"/>
        <w:jc w:val="center"/>
        <w:rPr/>
      </w:pPr>
      <w:r>
        <w:rPr>
          <w:rFonts w:eastAsia="Segoe UI" w:cs="Segoe UI" w:ascii="Segoe UI" w:hAnsi="Segoe UI"/>
          <w:i/>
          <w:color w:val="555F6D"/>
          <w:sz w:val="18"/>
        </w:rPr>
        <w:t>F03 Endorsement and cancellation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44"/>
        <w:gridCol w:w="7370"/>
      </w:tblGrid>
      <w:tr>
        <w:trPr>
          <w:tblHeader w:val="true"/>
        </w:trPr>
        <w:tc>
          <w:tcPr>
            <w:tcW w:w="16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At a glance</w:t>
            </w:r>
          </w:p>
        </w:tc>
        <w:tc>
          <w:tcPr>
            <w:tcW w:w="73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client asks for a change; the client or the insurer cancels the policy</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Processing Team; insurer; client; BrokerVerse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Operations &gt; Policy &gt; </w:t>
            </w:r>
            <w:r>
              <w:rPr>
                <w:rFonts w:eastAsia="Segoe UI" w:cs="Segoe UI" w:ascii="Segoe UI" w:hAnsi="Segoe UI"/>
                <w:b/>
                <w:color w:val="101820"/>
                <w:kern w:val="0"/>
                <w:sz w:val="18"/>
                <w:szCs w:val="24"/>
                <w:lang w:val="en-US" w:eastAsia="ja-JP" w:bidi="ar-SA"/>
              </w:rPr>
              <w:t>More actions</w:t>
            </w:r>
            <w:r>
              <w:rPr>
                <w:rFonts w:eastAsia="Segoe UI" w:cs="Segoe UI" w:ascii="Segoe UI" w:hAnsi="Segoe UI"/>
                <w:color w:val="101820"/>
                <w:kern w:val="0"/>
                <w:sz w:val="18"/>
                <w:szCs w:val="24"/>
                <w:lang w:val="en-US" w:eastAsia="ja-JP" w:bidi="ar-SA"/>
              </w:rPr>
              <w:t xml:space="preserve"> &gt; </w:t>
            </w:r>
            <w:r>
              <w:rPr>
                <w:rFonts w:eastAsia="Segoe UI" w:cs="Segoe UI" w:ascii="Segoe UI" w:hAnsi="Segoe UI"/>
                <w:b/>
                <w:color w:val="101820"/>
                <w:kern w:val="0"/>
                <w:sz w:val="18"/>
                <w:szCs w:val="24"/>
                <w:lang w:val="en-US" w:eastAsia="ja-JP" w:bidi="ar-SA"/>
              </w:rPr>
              <w:t>Endorsement</w:t>
            </w:r>
            <w:r>
              <w:rPr>
                <w:rFonts w:eastAsia="Segoe UI" w:cs="Segoe UI" w:ascii="Segoe UI" w:hAnsi="Segoe UI"/>
                <w:color w:val="101820"/>
                <w:kern w:val="0"/>
                <w:sz w:val="18"/>
                <w:szCs w:val="24"/>
                <w:lang w:val="en-US" w:eastAsia="ja-JP" w:bidi="ar-SA"/>
              </w:rPr>
              <w:t>; Operations &gt; Policy Cancellation; Master &gt; Insurance &gt; Short-Period Rates, Cancellation Reasons</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endorsement.additional_premium; endorsement.return_premium (partial cancellation, return premium); policy.cancel (cancellation); commission.clawback</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 (END-), additional premium bill or credit, client notice by e-mail</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 not offered while the premium is Pending or Reviewing, or for expired, lapsed, cancelled or renewed policies; re-pricing and return premium computed on the server (</w:t>
            </w:r>
            <w:r>
              <w:rPr>
                <w:rFonts w:eastAsia="Consolas" w:cs="Consolas" w:ascii="Consolas" w:hAnsi="Consolas"/>
                <w:color w:val="101820"/>
                <w:kern w:val="0"/>
                <w:sz w:val="16"/>
                <w:szCs w:val="24"/>
                <w:lang w:val="en-US" w:eastAsia="ja-JP" w:bidi="ar-SA"/>
              </w:rPr>
              <w:t>endorsements.compute_cancellation_return</w:t>
            </w:r>
            <w:r>
              <w:rPr>
                <w:rFonts w:eastAsia="Segoe UI" w:cs="Segoe UI" w:ascii="Segoe UI" w:hAnsi="Segoe UI"/>
                <w:color w:val="101820"/>
                <w:kern w:val="0"/>
                <w:sz w:val="18"/>
                <w:szCs w:val="24"/>
                <w:lang w:val="en-US" w:eastAsia="ja-JP" w:bidi="ar-SA"/>
              </w:rPr>
              <w:t>); completion only with the insurer's document</w:t>
            </w:r>
          </w:p>
        </w:tc>
      </w:tr>
    </w:tbl>
    <w:p>
      <w:pPr>
        <w:pStyle w:val="Normal"/>
        <w:spacing w:before="0" w:after="80"/>
        <w:rPr/>
      </w:pPr>
      <w:r>
        <w:rPr/>
      </w:r>
    </w:p>
    <w:p>
      <w:pPr>
        <w:pStyle w:val="Normal"/>
        <w:numPr>
          <w:ilvl w:val="0"/>
          <w:numId w:val="82"/>
        </w:numPr>
        <w:spacing w:before="0" w:after="60"/>
        <w:rPr/>
      </w:pPr>
      <w:r>
        <w:rPr>
          <w:rFonts w:eastAsia="Segoe UI" w:cs="Segoe UI" w:ascii="Segoe UI" w:hAnsi="Segoe UI"/>
          <w:b/>
          <w:color w:val="101820"/>
          <w:sz w:val="21"/>
        </w:rPr>
        <w:t>Operations.</w:t>
      </w:r>
      <w:r>
        <w:rPr>
          <w:rFonts w:eastAsia="Segoe UI" w:cs="Segoe UI" w:ascii="Segoe UI" w:hAnsi="Segoe UI"/>
          <w:color w:val="101820"/>
          <w:sz w:val="21"/>
        </w:rPr>
        <w:t xml:space="preserve"> Decision: a change (step 2) or a cancellation (step 3).</w:t>
      </w:r>
    </w:p>
    <w:p>
      <w:pPr>
        <w:pStyle w:val="Normal"/>
        <w:numPr>
          <w:ilvl w:val="0"/>
          <w:numId w:val="83"/>
        </w:numPr>
        <w:spacing w:before="0" w:after="60"/>
        <w:rPr/>
      </w:pPr>
      <w:r>
        <w:rPr>
          <w:rFonts w:eastAsia="Segoe UI" w:cs="Segoe UI" w:ascii="Segoe UI" w:hAnsi="Segoe UI"/>
          <w:b/>
          <w:color w:val="101820"/>
          <w:sz w:val="21"/>
        </w:rPr>
        <w:t>Operations.</w:t>
      </w:r>
      <w:r>
        <w:rPr>
          <w:rFonts w:eastAsia="Segoe UI" w:cs="Segoe UI" w:ascii="Segoe UI" w:hAnsi="Segoe UI"/>
          <w:color w:val="101820"/>
          <w:sz w:val="21"/>
        </w:rPr>
        <w:t xml:space="preserve"> On the policy row </w:t>
      </w:r>
      <w:r>
        <w:rPr>
          <w:rFonts w:eastAsia="Segoe UI" w:cs="Segoe UI" w:ascii="Segoe UI" w:hAnsi="Segoe UI"/>
          <w:b/>
          <w:color w:val="101820"/>
          <w:sz w:val="21"/>
        </w:rPr>
        <w:t>More actions</w:t>
      </w:r>
      <w:r>
        <w:rPr>
          <w:rFonts w:eastAsia="Segoe UI" w:cs="Segoe UI" w:ascii="Segoe UI" w:hAnsi="Segoe UI"/>
          <w:color w:val="101820"/>
          <w:sz w:val="21"/>
        </w:rPr>
        <w:t xml:space="preserve"> &gt; </w:t>
      </w:r>
      <w:r>
        <w:rPr>
          <w:rFonts w:eastAsia="Segoe UI" w:cs="Segoe UI" w:ascii="Segoe UI" w:hAnsi="Segoe UI"/>
          <w:b/>
          <w:color w:val="101820"/>
          <w:sz w:val="21"/>
        </w:rPr>
        <w:t>Endorsement</w:t>
      </w:r>
      <w:r>
        <w:rPr>
          <w:rFonts w:eastAsia="Segoe UI" w:cs="Segoe UI" w:ascii="Segoe UI" w:hAnsi="Segoe UI"/>
          <w:color w:val="101820"/>
          <w:sz w:val="21"/>
        </w:rPr>
        <w:t xml:space="preserve">, tick the types (motor: Personal Details Change, Motor Details Change, Coverage Change, Policy Extend, Policy Cancel; fire: premium change, cancellation) and enter the changes. A coverage change is priced again: net premium, VAT, DST, LGT, gross premium and </w:t>
      </w:r>
      <w:r>
        <w:rPr>
          <w:rFonts w:eastAsia="Segoe UI" w:cs="Segoe UI" w:ascii="Segoe UI" w:hAnsi="Segoe UI"/>
          <w:b/>
          <w:color w:val="101820"/>
          <w:sz w:val="21"/>
        </w:rPr>
        <w:t>Premium change</w:t>
      </w:r>
      <w:r>
        <w:rPr>
          <w:rFonts w:eastAsia="Segoe UI" w:cs="Segoe UI" w:ascii="Segoe UI" w:hAnsi="Segoe UI"/>
          <w:color w:val="101820"/>
          <w:sz w:val="21"/>
        </w:rPr>
        <w:t>; CTPL stays as issued. Continue at step 5.</w:t>
      </w:r>
    </w:p>
    <w:p>
      <w:pPr>
        <w:pStyle w:val="Normal"/>
        <w:numPr>
          <w:ilvl w:val="0"/>
          <w:numId w:val="84"/>
        </w:numPr>
        <w:spacing w:before="0" w:after="60"/>
        <w:rPr/>
      </w:pPr>
      <w:r>
        <w:rPr>
          <w:rFonts w:eastAsia="Segoe UI" w:cs="Segoe UI" w:ascii="Segoe UI" w:hAnsi="Segoe UI"/>
          <w:b/>
          <w:color w:val="101820"/>
          <w:sz w:val="21"/>
        </w:rPr>
        <w:t>Operations.</w:t>
      </w:r>
      <w:r>
        <w:rPr>
          <w:rFonts w:eastAsia="Segoe UI" w:cs="Segoe UI" w:ascii="Segoe UI" w:hAnsi="Segoe UI"/>
          <w:color w:val="101820"/>
          <w:sz w:val="21"/>
        </w:rPr>
        <w:t xml:space="preserve"> Operations &gt; Policy Cancellation: the policy, the </w:t>
      </w:r>
      <w:r>
        <w:rPr>
          <w:rFonts w:eastAsia="Segoe UI" w:cs="Segoe UI" w:ascii="Segoe UI" w:hAnsi="Segoe UI"/>
          <w:b/>
          <w:color w:val="101820"/>
          <w:sz w:val="21"/>
        </w:rPr>
        <w:t>Cancellation date</w:t>
      </w:r>
      <w:r>
        <w:rPr>
          <w:rFonts w:eastAsia="Segoe UI" w:cs="Segoe UI" w:ascii="Segoe UI" w:hAnsi="Segoe UI"/>
          <w:color w:val="101820"/>
          <w:sz w:val="21"/>
        </w:rPr>
        <w:t xml:space="preserve">, the </w:t>
      </w:r>
      <w:r>
        <w:rPr>
          <w:rFonts w:eastAsia="Segoe UI" w:cs="Segoe UI" w:ascii="Segoe UI" w:hAnsi="Segoe UI"/>
          <w:b/>
          <w:color w:val="101820"/>
          <w:sz w:val="21"/>
        </w:rPr>
        <w:t>Reason</w:t>
      </w:r>
      <w:r>
        <w:rPr>
          <w:rFonts w:eastAsia="Segoe UI" w:cs="Segoe UI" w:ascii="Segoe UI" w:hAnsi="Segoe UI"/>
          <w:color w:val="101820"/>
          <w:sz w:val="21"/>
        </w:rPr>
        <w:t xml:space="preserve"> (Cancellation Reasons master: who initiates it and its method), the </w:t>
      </w:r>
      <w:r>
        <w:rPr>
          <w:rFonts w:eastAsia="Segoe UI" w:cs="Segoe UI" w:ascii="Segoe UI" w:hAnsi="Segoe UI"/>
          <w:b/>
          <w:color w:val="101820"/>
          <w:sz w:val="21"/>
        </w:rPr>
        <w:t>Return premium method</w:t>
      </w:r>
      <w:r>
        <w:rPr>
          <w:rFonts w:eastAsia="Segoe UI" w:cs="Segoe UI" w:ascii="Segoe UI" w:hAnsi="Segoe UI"/>
          <w:color w:val="101820"/>
          <w:sz w:val="21"/>
        </w:rPr>
        <w:t xml:space="preserve"> (from the reason unless chosen), and </w:t>
      </w:r>
      <w:r>
        <w:rPr>
          <w:rFonts w:eastAsia="Segoe UI" w:cs="Segoe UI" w:ascii="Segoe UI" w:hAnsi="Segoe UI"/>
          <w:b/>
          <w:color w:val="101820"/>
          <w:sz w:val="21"/>
        </w:rPr>
        <w:t>Part of the cover</w:t>
      </w:r>
      <w:r>
        <w:rPr>
          <w:rFonts w:eastAsia="Segoe UI" w:cs="Segoe UI" w:ascii="Segoe UI" w:hAnsi="Segoe UI"/>
          <w:color w:val="101820"/>
          <w:sz w:val="21"/>
        </w:rPr>
        <w:t xml:space="preserve"> for a partial cancellation. </w:t>
      </w:r>
      <w:r>
        <w:rPr>
          <w:rFonts w:eastAsia="Segoe UI" w:cs="Segoe UI" w:ascii="Segoe UI" w:hAnsi="Segoe UI"/>
          <w:b/>
          <w:color w:val="101820"/>
          <w:sz w:val="21"/>
        </w:rPr>
        <w:t>Compute return premium</w:t>
      </w:r>
      <w:r>
        <w:rPr>
          <w:rFonts w:eastAsia="Segoe UI" w:cs="Segoe UI" w:ascii="Segoe UI" w:hAnsi="Segoe UI"/>
          <w:color w:val="101820"/>
          <w:sz w:val="21"/>
        </w:rPr>
        <w:t>.</w:t>
      </w:r>
    </w:p>
    <w:p>
      <w:pPr>
        <w:pStyle w:val="Normal"/>
        <w:numPr>
          <w:ilvl w:val="0"/>
          <w:numId w:val="85"/>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Computes the return premium: pro-rata (net premium x days left / days of the period) when the insurer cancels; short-period (the insurer keeps the percentage of the Short-Period Rates scale for the days in force) when the insured cancels (</w:t>
      </w:r>
      <w:r>
        <w:rPr>
          <w:rFonts w:eastAsia="Consolas" w:cs="Consolas" w:ascii="Consolas" w:hAnsi="Consolas"/>
          <w:color w:val="101820"/>
          <w:sz w:val="19"/>
        </w:rPr>
        <w:t>endorsements.short_period_for_insured</w:t>
      </w:r>
      <w:r>
        <w:rPr>
          <w:rFonts w:eastAsia="Segoe UI" w:cs="Segoe UI" w:ascii="Segoe UI" w:hAnsi="Segoe UI"/>
          <w:color w:val="101820"/>
          <w:sz w:val="21"/>
        </w:rPr>
        <w:t>); flat from inception. Adds the premium taxes returned (</w:t>
      </w:r>
      <w:r>
        <w:rPr>
          <w:rFonts w:eastAsia="Consolas" w:cs="Consolas" w:ascii="Consolas" w:hAnsi="Consolas"/>
          <w:color w:val="101820"/>
          <w:sz w:val="19"/>
        </w:rPr>
        <w:t>endorsements.cancellation_returned_taxes</w:t>
      </w:r>
      <w:r>
        <w:rPr>
          <w:rFonts w:eastAsia="Segoe UI" w:cs="Segoe UI" w:ascii="Segoe UI" w:hAnsi="Segoe UI"/>
          <w:color w:val="101820"/>
          <w:sz w:val="21"/>
        </w:rPr>
        <w:t xml:space="preserve">; DST not refundable as delivered) and the commission taken back. </w:t>
      </w:r>
      <w:r>
        <w:rPr>
          <w:rFonts w:eastAsia="Segoe UI" w:cs="Segoe UI" w:ascii="Segoe UI" w:hAnsi="Segoe UI"/>
          <w:b/>
          <w:color w:val="101820"/>
          <w:sz w:val="21"/>
        </w:rPr>
        <w:t>Create cancellation endorsement</w:t>
      </w:r>
      <w:r>
        <w:rPr>
          <w:rFonts w:eastAsia="Segoe UI" w:cs="Segoe UI" w:ascii="Segoe UI" w:hAnsi="Segoe UI"/>
          <w:color w:val="101820"/>
          <w:sz w:val="21"/>
        </w:rPr>
        <w:t>.</w:t>
      </w:r>
    </w:p>
    <w:p>
      <w:pPr>
        <w:pStyle w:val="Normal"/>
        <w:numPr>
          <w:ilvl w:val="0"/>
          <w:numId w:val="86"/>
        </w:numPr>
        <w:spacing w:before="0" w:after="60"/>
        <w:rPr/>
      </w:pPr>
      <w:r>
        <w:rPr>
          <w:rFonts w:eastAsia="Segoe UI" w:cs="Segoe UI" w:ascii="Segoe UI" w:hAnsi="Segoe UI"/>
          <w:b/>
          <w:color w:val="101820"/>
          <w:sz w:val="21"/>
        </w:rPr>
        <w:t>Operations.</w:t>
      </w:r>
      <w:r>
        <w:rPr>
          <w:rFonts w:eastAsia="Segoe UI" w:cs="Segoe UI" w:ascii="Segoe UI" w:hAnsi="Segoe UI"/>
          <w:color w:val="101820"/>
          <w:sz w:val="21"/>
        </w:rPr>
        <w:t xml:space="preserve"> </w:t>
      </w:r>
      <w:r>
        <w:rPr>
          <w:rFonts w:eastAsia="Segoe UI" w:cs="Segoe UI" w:ascii="Segoe UI" w:hAnsi="Segoe UI"/>
          <w:b/>
          <w:color w:val="101820"/>
          <w:sz w:val="21"/>
        </w:rPr>
        <w:t>Save &amp; Next</w:t>
      </w:r>
      <w:r>
        <w:rPr>
          <w:rFonts w:eastAsia="Segoe UI" w:cs="Segoe UI" w:ascii="Segoe UI" w:hAnsi="Segoe UI"/>
          <w:color w:val="101820"/>
          <w:sz w:val="21"/>
        </w:rPr>
        <w:t>, check the summary and send it to the insurer. The endorsement waits as Waiting for Update.</w:t>
      </w:r>
    </w:p>
    <w:p>
      <w:pPr>
        <w:pStyle w:val="Normal"/>
        <w:numPr>
          <w:ilvl w:val="0"/>
          <w:numId w:val="87"/>
        </w:numPr>
        <w:spacing w:before="0" w:after="60"/>
        <w:rPr/>
      </w:pPr>
      <w:r>
        <w:rPr>
          <w:rFonts w:eastAsia="Segoe UI" w:cs="Segoe UI" w:ascii="Segoe UI" w:hAnsi="Segoe UI"/>
          <w:b/>
          <w:color w:val="101820"/>
          <w:sz w:val="21"/>
        </w:rPr>
        <w:t>Insurer.</w:t>
      </w:r>
      <w:r>
        <w:rPr>
          <w:rFonts w:eastAsia="Segoe UI" w:cs="Segoe UI" w:ascii="Segoe UI" w:hAnsi="Segoe UI"/>
          <w:color w:val="101820"/>
          <w:sz w:val="21"/>
        </w:rPr>
        <w:t xml:space="preserve"> Issues its endorsement.</w:t>
      </w:r>
    </w:p>
    <w:p>
      <w:pPr>
        <w:pStyle w:val="Normal"/>
        <w:numPr>
          <w:ilvl w:val="0"/>
          <w:numId w:val="88"/>
        </w:numPr>
        <w:spacing w:before="0" w:after="60"/>
        <w:rPr/>
      </w:pPr>
      <w:r>
        <w:rPr>
          <w:rFonts w:eastAsia="Segoe UI" w:cs="Segoe UI" w:ascii="Segoe UI" w:hAnsi="Segoe UI"/>
          <w:b/>
          <w:color w:val="101820"/>
          <w:sz w:val="21"/>
        </w:rPr>
        <w:t>Processing Team.</w:t>
      </w:r>
      <w:r>
        <w:rPr>
          <w:rFonts w:eastAsia="Segoe UI" w:cs="Segoe UI" w:ascii="Segoe UI" w:hAnsi="Segoe UI"/>
          <w:color w:val="101820"/>
          <w:sz w:val="21"/>
        </w:rPr>
        <w:t xml:space="preserve"> Opens the endorsement (notification, policy or client), </w:t>
      </w:r>
      <w:r>
        <w:rPr>
          <w:rFonts w:eastAsia="Segoe UI" w:cs="Segoe UI" w:ascii="Segoe UI" w:hAnsi="Segoe UI"/>
          <w:b/>
          <w:color w:val="101820"/>
          <w:sz w:val="21"/>
        </w:rPr>
        <w:t>Proceed</w:t>
      </w:r>
      <w:r>
        <w:rPr>
          <w:rFonts w:eastAsia="Segoe UI" w:cs="Segoe UI" w:ascii="Segoe UI" w:hAnsi="Segoe UI"/>
          <w:color w:val="101820"/>
          <w:sz w:val="21"/>
        </w:rPr>
        <w:t>, uploads the insurer's endorsement with its number and dates and completes it.</w:t>
      </w:r>
    </w:p>
    <w:p>
      <w:pPr>
        <w:pStyle w:val="Normal"/>
        <w:numPr>
          <w:ilvl w:val="0"/>
          <w:numId w:val="89"/>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Applies the change to the policy and the client (a Personal Details Change updates the client record). For a cancellation the server computes the figures again, so a figure changed on the screen is not used.</w:t>
      </w:r>
    </w:p>
    <w:p>
      <w:pPr>
        <w:pStyle w:val="Normal"/>
        <w:numPr>
          <w:ilvl w:val="0"/>
          <w:numId w:val="90"/>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Decision: additional premium or return premium.</w:t>
      </w:r>
    </w:p>
    <w:p>
      <w:pPr>
        <w:pStyle w:val="Normal"/>
        <w:numPr>
          <w:ilvl w:val="0"/>
          <w:numId w:val="91"/>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Additional premium: a bill (INV-) with endorsement.additional_premium, split by share for a co-insured policy; commission accrued on the additional premium.</w:t>
      </w:r>
    </w:p>
    <w:p>
      <w:pPr>
        <w:pStyle w:val="Normal"/>
        <w:numPr>
          <w:ilvl w:val="0"/>
          <w:numId w:val="92"/>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Return premium: the open bill is credited; what the client already paid becomes a refund payable; if the premium was already remitted, the refund due from each insurer is booked and netted on its next remittance; the referrer's comsub is clawed back on the returned part (policy.cancel or endorsement.return_premium; commission.clawback).</w:t>
      </w:r>
    </w:p>
    <w:p>
      <w:pPr>
        <w:pStyle w:val="Normal"/>
        <w:numPr>
          <w:ilvl w:val="0"/>
          <w:numId w:val="93"/>
        </w:numPr>
        <w:spacing w:before="0" w:after="60"/>
        <w:rPr/>
      </w:pPr>
      <w:r>
        <w:rPr>
          <w:rFonts w:eastAsia="Segoe UI" w:cs="Segoe UI" w:ascii="Segoe UI" w:hAnsi="Segoe UI"/>
          <w:b/>
          <w:color w:val="101820"/>
          <w:sz w:val="21"/>
        </w:rPr>
        <w:t>Client.</w:t>
      </w:r>
      <w:r>
        <w:rPr>
          <w:rFonts w:eastAsia="Segoe UI" w:cs="Segoe UI" w:ascii="Segoe UI" w:hAnsi="Segoe UI"/>
          <w:color w:val="101820"/>
          <w:sz w:val="21"/>
        </w:rPr>
        <w:t xml:space="preserve"> Is notified by e-mail; pays the additional premium (</w:t>
      </w:r>
      <w:r>
        <w:rPr>
          <w:rFonts w:eastAsia="Segoe UI" w:cs="Segoe UI" w:ascii="Segoe UI" w:hAnsi="Segoe UI"/>
          <w:b/>
          <w:color w:val="101820"/>
          <w:sz w:val="21"/>
        </w:rPr>
        <w:t>Proceed to Payment</w:t>
      </w:r>
      <w:r>
        <w:rPr>
          <w:rFonts w:eastAsia="Segoe UI" w:cs="Segoe UI" w:ascii="Segoe UI" w:hAnsi="Segoe UI"/>
          <w:color w:val="101820"/>
          <w:sz w:val="21"/>
        </w:rPr>
        <w:t>, F05) or receives the refund by payment voucher.</w:t>
      </w:r>
    </w:p>
    <w:p>
      <w:pPr>
        <w:pStyle w:val="Normal"/>
        <w:numPr>
          <w:ilvl w:val="0"/>
          <w:numId w:val="94"/>
        </w:numPr>
        <w:spacing w:before="0" w:after="60"/>
        <w:rPr/>
      </w:pPr>
      <w:r>
        <w:rPr>
          <w:rFonts w:eastAsia="Segoe UI" w:cs="Segoe UI" w:ascii="Segoe UI" w:hAnsi="Segoe UI"/>
          <w:b/>
          <w:color w:val="101820"/>
          <w:sz w:val="21"/>
        </w:rPr>
        <w:t>End.</w:t>
      </w:r>
      <w:r>
        <w:rPr>
          <w:rFonts w:eastAsia="Segoe UI" w:cs="Segoe UI" w:ascii="Segoe UI" w:hAnsi="Segoe UI"/>
          <w:color w:val="101820"/>
          <w:sz w:val="21"/>
        </w:rPr>
        <w:t xml:space="preserve"> The endorsement is Completed (a cancellation: Cancelled).</w:t>
      </w:r>
    </w:p>
    <w:p>
      <w:pPr>
        <w:pStyle w:val="Normal"/>
        <w:spacing w:lineRule="auto" w:line="276" w:before="0" w:after="120"/>
        <w:rPr/>
      </w:pPr>
      <w:r>
        <w:rPr>
          <w:rFonts w:eastAsia="Segoe UI" w:cs="Segoe UI" w:ascii="Segoe UI" w:hAnsi="Segoe UI"/>
          <w:b/>
          <w:color w:val="101820"/>
          <w:sz w:val="21"/>
        </w:rPr>
        <w:t>Exceptions</w:t>
      </w:r>
    </w:p>
    <w:p>
      <w:pPr>
        <w:pStyle w:val="Normal"/>
        <w:numPr>
          <w:ilvl w:val="0"/>
          <w:numId w:val="1"/>
        </w:numPr>
        <w:spacing w:before="0" w:after="60"/>
        <w:rPr/>
      </w:pPr>
      <w:r>
        <w:rPr>
          <w:rFonts w:eastAsia="Segoe UI" w:cs="Segoe UI" w:ascii="Segoe UI" w:hAnsi="Segoe UI"/>
          <w:b/>
          <w:color w:val="101820"/>
          <w:sz w:val="21"/>
        </w:rPr>
        <w:t>Endorsement</w:t>
      </w:r>
      <w:r>
        <w:rPr>
          <w:rFonts w:eastAsia="Segoe UI" w:cs="Segoe UI" w:ascii="Segoe UI" w:hAnsi="Segoe UI"/>
          <w:color w:val="101820"/>
          <w:sz w:val="21"/>
        </w:rPr>
        <w:t xml:space="preserve"> greyed out: payment Pending or Reviewing, or the policy is expired, lapsed, cancelled or renewed.</w:t>
      </w:r>
    </w:p>
    <w:p>
      <w:pPr>
        <w:pStyle w:val="Normal"/>
        <w:numPr>
          <w:ilvl w:val="0"/>
          <w:numId w:val="1"/>
        </w:numPr>
        <w:spacing w:before="0" w:after="60"/>
        <w:rPr/>
      </w:pPr>
      <w:r>
        <w:rPr>
          <w:rFonts w:eastAsia="Segoe UI" w:cs="Segoe UI" w:ascii="Segoe UI" w:hAnsi="Segoe UI"/>
          <w:color w:val="101820"/>
          <w:sz w:val="21"/>
        </w:rPr>
        <w:t>The insurer refuses: the endorsement is Rejected.</w:t>
      </w:r>
    </w:p>
    <w:p>
      <w:pPr>
        <w:pStyle w:val="Normal"/>
        <w:numPr>
          <w:ilvl w:val="0"/>
          <w:numId w:val="1"/>
        </w:numPr>
        <w:spacing w:before="0" w:after="60"/>
        <w:rPr/>
      </w:pPr>
      <w:r>
        <w:rPr>
          <w:rFonts w:eastAsia="Segoe UI" w:cs="Segoe UI" w:ascii="Segoe UI" w:hAnsi="Segoe UI"/>
          <w:color w:val="101820"/>
          <w:sz w:val="21"/>
        </w:rPr>
        <w:t>A cancellation for non-payment can start from Accounts &gt; Credit Control &gt; Premium Warranty Monitor, which creates a draft cancellation endorsement; nothing is cancelled automatically.</w:t>
      </w:r>
    </w:p>
    <w:p>
      <w:pPr>
        <w:pStyle w:val="Normal"/>
        <w:numPr>
          <w:ilvl w:val="0"/>
          <w:numId w:val="1"/>
        </w:numPr>
        <w:spacing w:before="0" w:after="60"/>
        <w:rPr/>
      </w:pPr>
      <w:r>
        <w:rPr>
          <w:rFonts w:eastAsia="Segoe UI" w:cs="Segoe UI" w:ascii="Segoe UI" w:hAnsi="Segoe UI"/>
          <w:color w:val="101820"/>
          <w:sz w:val="21"/>
        </w:rPr>
        <w:t>A cancellation within 90 days of inception with return premium raises an AML alert (F11).</w:t>
      </w:r>
    </w:p>
    <w:p>
      <w:pPr>
        <w:pStyle w:val="Heading2"/>
        <w:rPr/>
      </w:pPr>
      <w:bookmarkStart w:id="22" w:name="__RefHeading___Toc19287_1497462395"/>
      <w:bookmarkEnd w:id="22"/>
      <w:r>
        <w:rPr>
          <w:rFonts w:eastAsia="Segoe UI" w:cs="Segoe UI"/>
          <w:b/>
          <w:color w:val="0F4761"/>
          <w:sz w:val="26"/>
        </w:rPr>
        <w:t>5.2  F04 Renewal</w:t>
      </w:r>
    </w:p>
    <w:p>
      <w:pPr>
        <w:pStyle w:val="Normal"/>
        <w:spacing w:lineRule="auto" w:line="276" w:before="0" w:after="120"/>
        <w:rPr/>
      </w:pPr>
      <w:r>
        <w:rPr>
          <w:rFonts w:eastAsia="Segoe UI" w:cs="Segoe UI" w:ascii="Segoe UI" w:hAnsi="Segoe UI"/>
          <w:color w:val="101820"/>
          <w:sz w:val="21"/>
        </w:rPr>
        <w:t>Every policy enters the renewal pipeline before it expires. Notices go out, the renewal is negotiated and re-rated, the terms are approved, and the accepted renewal becomes the next term.</w:t>
      </w:r>
    </w:p>
    <w:p>
      <w:pPr>
        <w:pStyle w:val="Normal"/>
        <w:jc w:val="center"/>
        <w:rPr/>
      </w:pPr>
      <w:r>
        <w:rPr/>
        <w:drawing>
          <wp:inline distT="0" distB="0" distL="0" distR="0">
            <wp:extent cx="5760085" cy="7186295"/>
            <wp:effectExtent l="0" t="0" r="0" b="0"/>
            <wp:docPr id="15" name="Picture 21212881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121288195" descr=""/>
                    <pic:cNvPicPr>
                      <a:picLocks noChangeAspect="1" noChangeArrowheads="1"/>
                    </pic:cNvPicPr>
                  </pic:nvPicPr>
                  <pic:blipFill>
                    <a:blip r:embed="rId11"/>
                    <a:stretch>
                      <a:fillRect/>
                    </a:stretch>
                  </pic:blipFill>
                  <pic:spPr bwMode="auto">
                    <a:xfrm>
                      <a:off x="0" y="0"/>
                      <a:ext cx="5760085" cy="7186295"/>
                    </a:xfrm>
                    <a:prstGeom prst="rect">
                      <a:avLst/>
                    </a:prstGeom>
                  </pic:spPr>
                </pic:pic>
              </a:graphicData>
            </a:graphic>
          </wp:inline>
        </w:drawing>
      </w:r>
    </w:p>
    <w:p>
      <w:pPr>
        <w:pStyle w:val="Normal"/>
        <w:jc w:val="center"/>
        <w:rPr/>
      </w:pPr>
      <w:r>
        <w:rPr>
          <w:rFonts w:eastAsia="Segoe UI" w:cs="Segoe UI" w:ascii="Segoe UI" w:hAnsi="Segoe UI"/>
          <w:i/>
          <w:color w:val="555F6D"/>
          <w:sz w:val="18"/>
        </w:rPr>
        <w:t>F04 Renewal</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44"/>
        <w:gridCol w:w="7370"/>
      </w:tblGrid>
      <w:tr>
        <w:trPr>
          <w:tblHeader w:val="true"/>
        </w:trPr>
        <w:tc>
          <w:tcPr>
            <w:tcW w:w="16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At a glance</w:t>
            </w:r>
          </w:p>
        </w:tc>
        <w:tc>
          <w:tcPr>
            <w:tcW w:w="73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 policy reaches </w:t>
            </w:r>
            <w:r>
              <w:rPr>
                <w:rFonts w:eastAsia="Consolas" w:cs="Consolas" w:ascii="Consolas" w:hAnsi="Consolas"/>
                <w:color w:val="101820"/>
                <w:kern w:val="0"/>
                <w:sz w:val="16"/>
                <w:szCs w:val="24"/>
                <w:lang w:val="en-US" w:eastAsia="ja-JP" w:bidi="ar-SA"/>
              </w:rPr>
              <w:t>renewals.pipeline_days</w:t>
            </w:r>
            <w:r>
              <w:rPr>
                <w:rFonts w:eastAsia="Segoe UI" w:cs="Segoe UI" w:ascii="Segoe UI" w:hAnsi="Segoe UI"/>
                <w:color w:val="101820"/>
                <w:kern w:val="0"/>
                <w:sz w:val="18"/>
                <w:szCs w:val="24"/>
                <w:lang w:val="en-US" w:eastAsia="ja-JP" w:bidi="ar-SA"/>
              </w:rPr>
              <w:t xml:space="preserve"> (90) before expiry</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BrokerVerse (jobs); Operations and Sales &amp; Marketing; Processing Team (approval); client</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Renewals (Renewal Policy, Renewal Batch, Renewal Queue, Retention Analytics, At-Risk Policies, Negotiations, Lapse Management, Performance); Operations &gt; My Work</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policy.renewal.broker_billed</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notices (First, Second, Final), renewal quotation, renewal SMS when switched on</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terms maker-checker (</w:t>
            </w:r>
            <w:r>
              <w:rPr>
                <w:rFonts w:eastAsia="Consolas" w:cs="Consolas" w:ascii="Consolas" w:hAnsi="Consolas"/>
                <w:color w:val="101820"/>
                <w:kern w:val="0"/>
                <w:sz w:val="16"/>
                <w:szCs w:val="24"/>
                <w:lang w:val="en-US" w:eastAsia="ja-JP" w:bidi="ar-SA"/>
              </w:rPr>
              <w:t>renewals.maker_checker</w:t>
            </w:r>
            <w:r>
              <w:rPr>
                <w:rFonts w:eastAsia="Segoe UI" w:cs="Segoe UI" w:ascii="Segoe UI" w:hAnsi="Segoe UI"/>
                <w:color w:val="101820"/>
                <w:kern w:val="0"/>
                <w:sz w:val="18"/>
                <w:szCs w:val="24"/>
                <w:lang w:val="en-US" w:eastAsia="ja-JP" w:bidi="ar-SA"/>
              </w:rPr>
              <w:t xml:space="preserve">, approvers </w:t>
            </w:r>
            <w:r>
              <w:rPr>
                <w:rFonts w:eastAsia="Consolas" w:cs="Consolas" w:ascii="Consolas" w:hAnsi="Consolas"/>
                <w:color w:val="101820"/>
                <w:kern w:val="0"/>
                <w:sz w:val="16"/>
                <w:szCs w:val="24"/>
                <w:lang w:val="en-US" w:eastAsia="ja-JP" w:bidi="ar-SA"/>
              </w:rPr>
              <w:t>renewals.approver_roles</w:t>
            </w:r>
            <w:r>
              <w:rPr>
                <w:rFonts w:eastAsia="Segoe UI" w:cs="Segoe UI" w:ascii="Segoe UI" w:hAnsi="Segoe UI"/>
                <w:color w:val="101820"/>
                <w:kern w:val="0"/>
                <w:sz w:val="18"/>
                <w:szCs w:val="24"/>
                <w:lang w:val="en-US" w:eastAsia="ja-JP" w:bidi="ar-SA"/>
              </w:rPr>
              <w:t>); optional placement journey for renewals (</w:t>
            </w:r>
            <w:r>
              <w:rPr>
                <w:rFonts w:eastAsia="Consolas" w:cs="Consolas" w:ascii="Consolas" w:hAnsi="Consolas"/>
                <w:color w:val="101820"/>
                <w:kern w:val="0"/>
                <w:sz w:val="16"/>
                <w:szCs w:val="24"/>
                <w:lang w:val="en-US" w:eastAsia="ja-JP" w:bidi="ar-SA"/>
              </w:rPr>
              <w:t>placement.journey_applies_to_renewals</w:t>
            </w:r>
            <w:r>
              <w:rPr>
                <w:rFonts w:eastAsia="Segoe UI" w:cs="Segoe UI" w:ascii="Segoe UI" w:hAnsi="Segoe UI"/>
                <w:color w:val="101820"/>
                <w:kern w:val="0"/>
                <w:sz w:val="18"/>
                <w:szCs w:val="24"/>
                <w:lang w:val="en-US" w:eastAsia="ja-JP" w:bidi="ar-SA"/>
              </w:rPr>
              <w:t>)</w:t>
            </w:r>
          </w:p>
        </w:tc>
      </w:tr>
    </w:tbl>
    <w:p>
      <w:pPr>
        <w:pStyle w:val="Normal"/>
        <w:spacing w:before="0" w:after="80"/>
        <w:rPr/>
      </w:pPr>
      <w:r>
        <w:rPr/>
      </w:r>
    </w:p>
    <w:p>
      <w:pPr>
        <w:pStyle w:val="Normal"/>
        <w:numPr>
          <w:ilvl w:val="0"/>
          <w:numId w:val="95"/>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The Renewal pipeline job (05:30) puts each policy into the queue 90 days before expiry.</w:t>
      </w:r>
    </w:p>
    <w:p>
      <w:pPr>
        <w:pStyle w:val="Normal"/>
        <w:numPr>
          <w:ilvl w:val="0"/>
          <w:numId w:val="96"/>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The Renewal notices job (06:00) e-mails notices 60, 30 and 15 days before expiry (</w:t>
      </w:r>
      <w:r>
        <w:rPr>
          <w:rFonts w:eastAsia="Consolas" w:cs="Consolas" w:ascii="Consolas" w:hAnsi="Consolas"/>
          <w:color w:val="101820"/>
          <w:sz w:val="19"/>
        </w:rPr>
        <w:t>limits.renewal_notice_days</w:t>
      </w:r>
      <w:r>
        <w:rPr>
          <w:rFonts w:eastAsia="Segoe UI" w:cs="Segoe UI" w:ascii="Segoe UI" w:hAnsi="Segoe UI"/>
          <w:color w:val="101820"/>
          <w:sz w:val="21"/>
        </w:rPr>
        <w:t xml:space="preserve">); </w:t>
      </w:r>
      <w:r>
        <w:rPr>
          <w:rFonts w:eastAsia="Consolas" w:cs="Consolas" w:ascii="Consolas" w:hAnsi="Consolas"/>
          <w:color w:val="101820"/>
          <w:sz w:val="19"/>
        </w:rPr>
        <w:t>sms-renewal-notices</w:t>
      </w:r>
      <w:r>
        <w:rPr>
          <w:rFonts w:eastAsia="Segoe UI" w:cs="Segoe UI" w:ascii="Segoe UI" w:hAnsi="Segoe UI"/>
          <w:color w:val="101820"/>
          <w:sz w:val="21"/>
        </w:rPr>
        <w:t xml:space="preserve"> sends SMS 30 and 7 days before when switched on. </w:t>
      </w:r>
      <w:r>
        <w:rPr>
          <w:rFonts w:eastAsia="Segoe UI" w:cs="Segoe UI" w:ascii="Segoe UI" w:hAnsi="Segoe UI"/>
          <w:b/>
          <w:color w:val="101820"/>
          <w:sz w:val="21"/>
        </w:rPr>
        <w:t>Renewal Batch</w:t>
      </w:r>
      <w:r>
        <w:rPr>
          <w:rFonts w:eastAsia="Segoe UI" w:cs="Segoe UI" w:ascii="Segoe UI" w:hAnsi="Segoe UI"/>
          <w:color w:val="101820"/>
          <w:sz w:val="21"/>
        </w:rPr>
        <w:t xml:space="preserve"> sends the notices or renewal quotes of up to 500 policies expiring within 30 days in one go.</w:t>
      </w:r>
    </w:p>
    <w:p>
      <w:pPr>
        <w:pStyle w:val="Normal"/>
        <w:numPr>
          <w:ilvl w:val="0"/>
          <w:numId w:val="97"/>
        </w:numPr>
        <w:spacing w:before="0" w:after="60"/>
        <w:rPr/>
      </w:pPr>
      <w:r>
        <w:rPr>
          <w:rFonts w:eastAsia="Segoe UI" w:cs="Segoe UI" w:ascii="Segoe UI" w:hAnsi="Segoe UI"/>
          <w:b/>
          <w:color w:val="101820"/>
          <w:sz w:val="21"/>
        </w:rPr>
        <w:t>Operations</w:t>
      </w:r>
      <w:r>
        <w:rPr>
          <w:rFonts w:eastAsia="Segoe UI" w:cs="Segoe UI" w:ascii="Segoe UI" w:hAnsi="Segoe UI"/>
          <w:color w:val="101820"/>
          <w:sz w:val="21"/>
        </w:rPr>
        <w:t xml:space="preserve"> (or Sales &amp; Marketing for its own clients). Works the Renewal Queue (days to expiry, status, risk, attempts), At-Risk Policies (risk score from claims, unpaid premium, premium increase, first renewal, expiry within 15 days, no contact) and Negotiations (</w:t>
      </w:r>
      <w:r>
        <w:rPr>
          <w:rFonts w:eastAsia="Segoe UI" w:cs="Segoe UI" w:ascii="Segoe UI" w:hAnsi="Segoe UI"/>
          <w:b/>
          <w:color w:val="101820"/>
          <w:sz w:val="21"/>
        </w:rPr>
        <w:t>Add note</w:t>
      </w:r>
      <w:r>
        <w:rPr>
          <w:rFonts w:eastAsia="Segoe UI" w:cs="Segoe UI" w:ascii="Segoe UI" w:hAnsi="Segoe UI"/>
          <w:color w:val="101820"/>
          <w:sz w:val="21"/>
        </w:rPr>
        <w:t xml:space="preserve"> with the next action and follow-up date, which also becomes a task in My Work).</w:t>
      </w:r>
    </w:p>
    <w:p>
      <w:pPr>
        <w:pStyle w:val="Normal"/>
        <w:numPr>
          <w:ilvl w:val="0"/>
          <w:numId w:val="98"/>
        </w:numPr>
        <w:spacing w:before="0" w:after="60"/>
        <w:rPr/>
      </w:pPr>
      <w:r>
        <w:rPr>
          <w:rFonts w:eastAsia="Segoe UI" w:cs="Segoe UI" w:ascii="Segoe UI" w:hAnsi="Segoe UI"/>
          <w:b/>
          <w:color w:val="101820"/>
          <w:sz w:val="21"/>
        </w:rPr>
        <w:t>Operations.</w:t>
      </w:r>
      <w:r>
        <w:rPr>
          <w:rFonts w:eastAsia="Segoe UI" w:cs="Segoe UI" w:ascii="Segoe UI" w:hAnsi="Segoe UI"/>
          <w:color w:val="101820"/>
          <w:sz w:val="21"/>
        </w:rPr>
        <w:t xml:space="preserve"> </w:t>
      </w:r>
      <w:r>
        <w:rPr>
          <w:rFonts w:eastAsia="Segoe UI" w:cs="Segoe UI" w:ascii="Segoe UI" w:hAnsi="Segoe UI"/>
          <w:b/>
          <w:color w:val="101820"/>
          <w:sz w:val="21"/>
        </w:rPr>
        <w:t>Renew</w:t>
      </w:r>
      <w:r>
        <w:rPr>
          <w:rFonts w:eastAsia="Segoe UI" w:cs="Segoe UI" w:ascii="Segoe UI" w:hAnsi="Segoe UI"/>
          <w:color w:val="101820"/>
          <w:sz w:val="21"/>
        </w:rPr>
        <w:t xml:space="preserve"> on Renewal Policy: the renewal quotation opens with the covers of the expiring term, re-rated at the current base rates, a claims loading of 10% per claim in the term up to 30% and a loyalty discount of 2% per completed renewal up to 10%.</w:t>
      </w:r>
    </w:p>
    <w:p>
      <w:pPr>
        <w:pStyle w:val="Normal"/>
        <w:numPr>
          <w:ilvl w:val="0"/>
          <w:numId w:val="99"/>
        </w:numPr>
        <w:spacing w:before="0" w:after="60"/>
        <w:rPr/>
      </w:pPr>
      <w:r>
        <w:rPr>
          <w:rFonts w:eastAsia="Segoe UI" w:cs="Segoe UI" w:ascii="Segoe UI" w:hAnsi="Segoe UI"/>
          <w:b/>
          <w:color w:val="101820"/>
          <w:sz w:val="21"/>
        </w:rPr>
        <w:t>Operations.</w:t>
      </w:r>
      <w:r>
        <w:rPr>
          <w:rFonts w:eastAsia="Segoe UI" w:cs="Segoe UI" w:ascii="Segoe UI" w:hAnsi="Segoe UI"/>
          <w:color w:val="101820"/>
          <w:sz w:val="21"/>
        </w:rPr>
        <w:t xml:space="preserve"> </w:t>
      </w:r>
      <w:r>
        <w:rPr>
          <w:rFonts w:eastAsia="Segoe UI" w:cs="Segoe UI" w:ascii="Segoe UI" w:hAnsi="Segoe UI"/>
          <w:b/>
          <w:color w:val="101820"/>
          <w:sz w:val="21"/>
        </w:rPr>
        <w:t>Request approval</w:t>
      </w:r>
      <w:r>
        <w:rPr>
          <w:rFonts w:eastAsia="Segoe UI" w:cs="Segoe UI" w:ascii="Segoe UI" w:hAnsi="Segoe UI"/>
          <w:color w:val="101820"/>
          <w:sz w:val="21"/>
        </w:rPr>
        <w:t xml:space="preserve"> of the renewal terms.</w:t>
      </w:r>
    </w:p>
    <w:p>
      <w:pPr>
        <w:pStyle w:val="Normal"/>
        <w:numPr>
          <w:ilvl w:val="0"/>
          <w:numId w:val="100"/>
        </w:numPr>
        <w:spacing w:before="0" w:after="60"/>
        <w:rPr/>
      </w:pPr>
      <w:r>
        <w:rPr>
          <w:rFonts w:eastAsia="Segoe UI" w:cs="Segoe UI" w:ascii="Segoe UI" w:hAnsi="Segoe UI"/>
          <w:b/>
          <w:color w:val="101820"/>
          <w:sz w:val="21"/>
        </w:rPr>
        <w:t>Processing Team.</w:t>
      </w:r>
      <w:r>
        <w:rPr>
          <w:rFonts w:eastAsia="Segoe UI" w:cs="Segoe UI" w:ascii="Segoe UI" w:hAnsi="Segoe UI"/>
          <w:color w:val="101820"/>
          <w:sz w:val="21"/>
        </w:rPr>
        <w:t xml:space="preserve"> Approves the terms or returns them (step 4). The maker cannot approve his or her own terms.</w:t>
      </w:r>
    </w:p>
    <w:p>
      <w:pPr>
        <w:pStyle w:val="Normal"/>
        <w:numPr>
          <w:ilvl w:val="0"/>
          <w:numId w:val="101"/>
        </w:numPr>
        <w:spacing w:before="0" w:after="60"/>
        <w:rPr/>
      </w:pPr>
      <w:r>
        <w:rPr>
          <w:rFonts w:eastAsia="Segoe UI" w:cs="Segoe UI" w:ascii="Segoe UI" w:hAnsi="Segoe UI"/>
          <w:b/>
          <w:color w:val="101820"/>
          <w:sz w:val="21"/>
        </w:rPr>
        <w:t>Operations.</w:t>
      </w:r>
      <w:r>
        <w:rPr>
          <w:rFonts w:eastAsia="Segoe UI" w:cs="Segoe UI" w:ascii="Segoe UI" w:hAnsi="Segoe UI"/>
          <w:color w:val="101820"/>
          <w:sz w:val="21"/>
        </w:rPr>
        <w:t xml:space="preserve"> Sends the renewal quotation for customer approval as in F01.</w:t>
      </w:r>
    </w:p>
    <w:p>
      <w:pPr>
        <w:pStyle w:val="Normal"/>
        <w:numPr>
          <w:ilvl w:val="0"/>
          <w:numId w:val="102"/>
        </w:numPr>
        <w:spacing w:before="0" w:after="60"/>
        <w:rPr/>
      </w:pPr>
      <w:r>
        <w:rPr>
          <w:rFonts w:eastAsia="Segoe UI" w:cs="Segoe UI" w:ascii="Segoe UI" w:hAnsi="Segoe UI"/>
          <w:b/>
          <w:color w:val="101820"/>
          <w:sz w:val="21"/>
        </w:rPr>
        <w:t>Client.</w:t>
      </w:r>
      <w:r>
        <w:rPr>
          <w:rFonts w:eastAsia="Segoe UI" w:cs="Segoe UI" w:ascii="Segoe UI" w:hAnsi="Segoe UI"/>
          <w:color w:val="101820"/>
          <w:sz w:val="21"/>
        </w:rPr>
        <w:t xml:space="preserve"> Decision: renews (step 9) or not (step 12).</w:t>
      </w:r>
    </w:p>
    <w:p>
      <w:pPr>
        <w:pStyle w:val="Normal"/>
        <w:numPr>
          <w:ilvl w:val="0"/>
          <w:numId w:val="103"/>
        </w:numPr>
        <w:spacing w:before="0" w:after="60"/>
        <w:rPr/>
      </w:pPr>
      <w:r>
        <w:rPr>
          <w:rFonts w:eastAsia="Segoe UI" w:cs="Segoe UI" w:ascii="Segoe UI" w:hAnsi="Segoe UI"/>
          <w:b/>
          <w:color w:val="101820"/>
          <w:sz w:val="21"/>
        </w:rPr>
        <w:t>Operations.</w:t>
      </w:r>
      <w:r>
        <w:rPr>
          <w:rFonts w:eastAsia="Segoe UI" w:cs="Segoe UI" w:ascii="Segoe UI" w:hAnsi="Segoe UI"/>
          <w:color w:val="101820"/>
          <w:sz w:val="21"/>
        </w:rPr>
        <w:t xml:space="preserve"> Issues the renewal; where the line's journey applies to renewals, through a placement slip (F02).</w:t>
      </w:r>
    </w:p>
    <w:p>
      <w:pPr>
        <w:pStyle w:val="Normal"/>
        <w:numPr>
          <w:ilvl w:val="0"/>
          <w:numId w:val="104"/>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Issues the new term, marks the old policy Renewed, bills the premium (</w:t>
      </w:r>
      <w:r>
        <w:rPr>
          <w:rFonts w:eastAsia="Consolas" w:cs="Consolas" w:ascii="Consolas" w:hAnsi="Consolas"/>
          <w:color w:val="101820"/>
          <w:sz w:val="19"/>
        </w:rPr>
        <w:t>renewals.create_receivable</w:t>
      </w:r>
      <w:r>
        <w:rPr>
          <w:rFonts w:eastAsia="Segoe UI" w:cs="Segoe UI" w:ascii="Segoe UI" w:hAnsi="Segoe UI"/>
          <w:color w:val="101820"/>
          <w:sz w:val="21"/>
        </w:rPr>
        <w:t>) and accrues the commission to the original referrer.</w:t>
      </w:r>
    </w:p>
    <w:p>
      <w:pPr>
        <w:pStyle w:val="Normal"/>
        <w:numPr>
          <w:ilvl w:val="0"/>
          <w:numId w:val="105"/>
        </w:numPr>
        <w:spacing w:before="0" w:after="60"/>
        <w:rPr/>
      </w:pPr>
      <w:r>
        <w:rPr>
          <w:rFonts w:eastAsia="Segoe UI" w:cs="Segoe UI" w:ascii="Segoe UI" w:hAnsi="Segoe UI"/>
          <w:b/>
          <w:color w:val="101820"/>
          <w:sz w:val="21"/>
        </w:rPr>
        <w:t>End.</w:t>
      </w:r>
      <w:r>
        <w:rPr>
          <w:rFonts w:eastAsia="Segoe UI" w:cs="Segoe UI" w:ascii="Segoe UI" w:hAnsi="Segoe UI"/>
          <w:color w:val="101820"/>
          <w:sz w:val="21"/>
        </w:rPr>
        <w:t xml:space="preserve"> Renewed.</w:t>
      </w:r>
    </w:p>
    <w:p>
      <w:pPr>
        <w:pStyle w:val="Normal"/>
        <w:numPr>
          <w:ilvl w:val="0"/>
          <w:numId w:val="106"/>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The Policy expiry job (00:15) marks the policy Expired; 30 days after expiry (</w:t>
      </w:r>
      <w:r>
        <w:rPr>
          <w:rFonts w:eastAsia="Consolas" w:cs="Consolas" w:ascii="Consolas" w:hAnsi="Consolas"/>
          <w:color w:val="101820"/>
          <w:sz w:val="19"/>
        </w:rPr>
        <w:t>renewals.grace_period_days</w:t>
      </w:r>
      <w:r>
        <w:rPr>
          <w:rFonts w:eastAsia="Segoe UI" w:cs="Segoe UI" w:ascii="Segoe UI" w:hAnsi="Segoe UI"/>
          <w:color w:val="101820"/>
          <w:sz w:val="21"/>
        </w:rPr>
        <w:t>) it is Lapsed. A lapsed policy can still be renewed for 90 days (</w:t>
      </w:r>
      <w:r>
        <w:rPr>
          <w:rFonts w:eastAsia="Consolas" w:cs="Consolas" w:ascii="Consolas" w:hAnsi="Consolas"/>
          <w:color w:val="101820"/>
          <w:sz w:val="19"/>
        </w:rPr>
        <w:t>renewals.lapsed_renewal_days</w:t>
      </w:r>
      <w:r>
        <w:rPr>
          <w:rFonts w:eastAsia="Segoe UI" w:cs="Segoe UI" w:ascii="Segoe UI" w:hAnsi="Segoe UI"/>
          <w:color w:val="101820"/>
          <w:sz w:val="21"/>
        </w:rPr>
        <w:t>).</w:t>
      </w:r>
    </w:p>
    <w:p>
      <w:pPr>
        <w:pStyle w:val="Normal"/>
        <w:numPr>
          <w:ilvl w:val="0"/>
          <w:numId w:val="107"/>
        </w:numPr>
        <w:spacing w:before="0" w:after="60"/>
        <w:rPr/>
      </w:pPr>
      <w:r>
        <w:rPr>
          <w:rFonts w:eastAsia="Segoe UI" w:cs="Segoe UI" w:ascii="Segoe UI" w:hAnsi="Segoe UI"/>
          <w:b/>
          <w:color w:val="101820"/>
          <w:sz w:val="21"/>
        </w:rPr>
        <w:t>Operations.</w:t>
      </w:r>
      <w:r>
        <w:rPr>
          <w:rFonts w:eastAsia="Segoe UI" w:cs="Segoe UI" w:ascii="Segoe UI" w:hAnsi="Segoe UI"/>
          <w:color w:val="101820"/>
          <w:sz w:val="21"/>
        </w:rPr>
        <w:t xml:space="preserve"> Lapse Management: </w:t>
      </w:r>
      <w:r>
        <w:rPr>
          <w:rFonts w:eastAsia="Segoe UI" w:cs="Segoe UI" w:ascii="Segoe UI" w:hAnsi="Segoe UI"/>
          <w:b/>
          <w:color w:val="101820"/>
          <w:sz w:val="21"/>
        </w:rPr>
        <w:t>Create Campaign</w:t>
      </w:r>
      <w:r>
        <w:rPr>
          <w:rFonts w:eastAsia="Segoe UI" w:cs="Segoe UI" w:ascii="Segoe UI" w:hAnsi="Segoe UI"/>
          <w:color w:val="101820"/>
          <w:sz w:val="21"/>
        </w:rPr>
        <w:t xml:space="preserve"> for a win-back offer (segment, dates, discount, budget, benefits).</w:t>
      </w:r>
    </w:p>
    <w:p>
      <w:pPr>
        <w:pStyle w:val="Normal"/>
        <w:numPr>
          <w:ilvl w:val="0"/>
          <w:numId w:val="108"/>
        </w:numPr>
        <w:spacing w:before="0" w:after="60"/>
        <w:rPr/>
      </w:pPr>
      <w:r>
        <w:rPr>
          <w:rFonts w:eastAsia="Segoe UI" w:cs="Segoe UI" w:ascii="Segoe UI" w:hAnsi="Segoe UI"/>
          <w:b/>
          <w:color w:val="101820"/>
          <w:sz w:val="21"/>
        </w:rPr>
        <w:t>End.</w:t>
      </w:r>
      <w:r>
        <w:rPr>
          <w:rFonts w:eastAsia="Segoe UI" w:cs="Segoe UI" w:ascii="Segoe UI" w:hAnsi="Segoe UI"/>
          <w:color w:val="101820"/>
          <w:sz w:val="21"/>
        </w:rPr>
        <w:t xml:space="preserve"> The client is won back (renewed as a lapsed renewal) or lost; Retention Analytics and Performance show the renewal rate, premium retention and cycle time against the targets.</w:t>
      </w:r>
      <w:r>
        <w:br w:type="page"/>
      </w:r>
    </w:p>
    <w:p>
      <w:pPr>
        <w:pStyle w:val="Heading1"/>
        <w:rPr/>
      </w:pPr>
      <w:bookmarkStart w:id="23" w:name="__RefHeading___Toc19289_1497462395"/>
      <w:bookmarkEnd w:id="23"/>
      <w:r>
        <w:rPr>
          <w:rFonts w:eastAsia="Segoe UI" w:cs="Segoe UI" w:ascii="Segoe UI" w:hAnsi="Segoe UI"/>
          <w:b/>
          <w:color w:val="0F4761"/>
          <w:sz w:val="32"/>
        </w:rPr>
        <w:t>6.  Money</w:t>
      </w:r>
    </w:p>
    <w:p>
      <w:pPr>
        <w:pStyle w:val="Heading2"/>
        <w:rPr/>
      </w:pPr>
      <w:bookmarkStart w:id="24" w:name="__RefHeading___Toc19291_1497462395"/>
      <w:bookmarkEnd w:id="24"/>
      <w:r>
        <w:rPr>
          <w:rFonts w:eastAsia="Segoe UI" w:cs="Segoe UI"/>
          <w:b/>
          <w:color w:val="0F4761"/>
          <w:sz w:val="26"/>
        </w:rPr>
        <w:t>6.1  F05 Billing, collection, receipts, post-dated cheques and instalments</w:t>
      </w:r>
    </w:p>
    <w:p>
      <w:pPr>
        <w:pStyle w:val="Normal"/>
        <w:spacing w:lineRule="auto" w:line="276" w:before="0" w:after="120"/>
        <w:rPr/>
      </w:pPr>
      <w:r>
        <w:rPr>
          <w:rFonts w:eastAsia="Segoe UI" w:cs="Segoe UI" w:ascii="Segoe UI" w:hAnsi="Segoe UI"/>
          <w:color w:val="101820"/>
          <w:sz w:val="21"/>
        </w:rPr>
        <w:t>Every bill is followed until it is paid. Only Accounting posts official receipts: the other roles record how the client paid, and Accounting verifies it.</w:t>
      </w:r>
    </w:p>
    <w:p>
      <w:pPr>
        <w:pStyle w:val="Normal"/>
        <w:jc w:val="center"/>
        <w:rPr/>
      </w:pPr>
      <w:r>
        <w:rPr/>
        <w:drawing>
          <wp:inline distT="0" distB="0" distL="0" distR="0">
            <wp:extent cx="5760085" cy="5942965"/>
            <wp:effectExtent l="0" t="0" r="0" b="0"/>
            <wp:docPr id="16" name="Picture 21212881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121288196" descr=""/>
                    <pic:cNvPicPr>
                      <a:picLocks noChangeAspect="1" noChangeArrowheads="1"/>
                    </pic:cNvPicPr>
                  </pic:nvPicPr>
                  <pic:blipFill>
                    <a:blip r:embed="rId12"/>
                    <a:stretch>
                      <a:fillRect/>
                    </a:stretch>
                  </pic:blipFill>
                  <pic:spPr bwMode="auto">
                    <a:xfrm>
                      <a:off x="0" y="0"/>
                      <a:ext cx="5760085" cy="5942965"/>
                    </a:xfrm>
                    <a:prstGeom prst="rect">
                      <a:avLst/>
                    </a:prstGeom>
                  </pic:spPr>
                </pic:pic>
              </a:graphicData>
            </a:graphic>
          </wp:inline>
        </w:drawing>
      </w:r>
    </w:p>
    <w:p>
      <w:pPr>
        <w:pStyle w:val="Normal"/>
        <w:jc w:val="center"/>
        <w:rPr/>
      </w:pPr>
      <w:r>
        <w:rPr>
          <w:rFonts w:eastAsia="Segoe UI" w:cs="Segoe UI" w:ascii="Segoe UI" w:hAnsi="Segoe UI"/>
          <w:i/>
          <w:color w:val="555F6D"/>
          <w:sz w:val="18"/>
        </w:rPr>
        <w:t>F05 Billing, collection, receipts, post-dated cheques and instalments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44"/>
        <w:gridCol w:w="7370"/>
      </w:tblGrid>
      <w:tr>
        <w:trPr>
          <w:tblHeader w:val="true"/>
        </w:trPr>
        <w:tc>
          <w:tcPr>
            <w:tcW w:w="16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At a glance</w:t>
            </w:r>
          </w:p>
        </w:tc>
        <w:tc>
          <w:tcPr>
            <w:tcW w:w="73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bill is raised at issue, endorsement, renewal, fleet change or marine declaration</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Operations, Sales &amp; Marketing or Processing Team (payment capture); Accounting; Accounting Manager; BrokerVerse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Operations &gt; Policy &gt; </w:t>
            </w:r>
            <w:r>
              <w:rPr>
                <w:rFonts w:eastAsia="Segoe UI" w:cs="Segoe UI" w:ascii="Segoe UI" w:hAnsi="Segoe UI"/>
                <w:b/>
                <w:color w:val="101820"/>
                <w:kern w:val="0"/>
                <w:sz w:val="18"/>
                <w:szCs w:val="24"/>
                <w:lang w:val="en-US" w:eastAsia="ja-JP" w:bidi="ar-SA"/>
              </w:rPr>
              <w:t>Proceed to Payment</w:t>
            </w:r>
            <w:r>
              <w:rPr>
                <w:rFonts w:eastAsia="Segoe UI" w:cs="Segoe UI" w:ascii="Segoe UI" w:hAnsi="Segoe UI"/>
                <w:color w:val="101820"/>
                <w:kern w:val="0"/>
                <w:sz w:val="18"/>
                <w:szCs w:val="24"/>
                <w:lang w:val="en-US" w:eastAsia="ja-JP" w:bidi="ar-SA"/>
              </w:rPr>
              <w:t>; Operations &gt; Payments; Accounts &gt; Receipts, Collections, Credit Control (Instalment Plans, Premium Warranty Monitor, Client Credit Limits), Post-Dated Cheques</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receipt.apply (Dr cash in bank or the account of the receipt mode, Cr Premiums Receivable); reversal of the receipt journal on a bounced cheque; booking journal per instalment invoice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invoice and statement of account, payment reminders, official receipt (OR-YYYY-NNNNN, receipt transaction RT-) e-mailed with the PDF, PDC register</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 not above the bill balance; payment verification by Accounting; PDCs on hand not above the bill balance; warranty extensions and credit limits by the Accounting Manager; AML covered transaction monitoring on cash</w:t>
            </w:r>
          </w:p>
        </w:tc>
      </w:tr>
    </w:tbl>
    <w:p>
      <w:pPr>
        <w:pStyle w:val="Normal"/>
        <w:spacing w:before="0" w:after="80"/>
        <w:rPr/>
      </w:pPr>
      <w:r>
        <w:rPr/>
      </w:r>
    </w:p>
    <w:p>
      <w:pPr>
        <w:pStyle w:val="Normal"/>
        <w:numPr>
          <w:ilvl w:val="0"/>
          <w:numId w:val="109"/>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The bill (INV-YYYY-NNNNN) is raised with its due date: the insurer's premium payment warranty, else </w:t>
      </w:r>
      <w:r>
        <w:rPr>
          <w:rFonts w:eastAsia="Consolas" w:cs="Consolas" w:ascii="Consolas" w:hAnsi="Consolas"/>
          <w:color w:val="101820"/>
          <w:sz w:val="19"/>
        </w:rPr>
        <w:t>collections.default_credit_days</w:t>
      </w:r>
      <w:r>
        <w:rPr>
          <w:rFonts w:eastAsia="Segoe UI" w:cs="Segoe UI" w:ascii="Segoe UI" w:hAnsi="Segoe UI"/>
          <w:color w:val="101820"/>
          <w:sz w:val="21"/>
        </w:rPr>
        <w:t xml:space="preserve"> (30). With </w:t>
      </w:r>
      <w:r>
        <w:rPr>
          <w:rFonts w:eastAsia="Consolas" w:cs="Consolas" w:ascii="Consolas" w:hAnsi="Consolas"/>
          <w:color w:val="101820"/>
          <w:sz w:val="19"/>
        </w:rPr>
        <w:t>billing.email_on_issue</w:t>
      </w:r>
      <w:r>
        <w:rPr>
          <w:rFonts w:eastAsia="Segoe UI" w:cs="Segoe UI" w:ascii="Segoe UI" w:hAnsi="Segoe UI"/>
          <w:color w:val="101820"/>
          <w:sz w:val="21"/>
        </w:rPr>
        <w:t xml:space="preserve"> on, the invoice is e-mailed with the PDF.</w:t>
      </w:r>
    </w:p>
    <w:p>
      <w:pPr>
        <w:pStyle w:val="Normal"/>
        <w:numPr>
          <w:ilvl w:val="0"/>
          <w:numId w:val="110"/>
        </w:numPr>
        <w:spacing w:before="0" w:after="60"/>
        <w:rPr/>
      </w:pPr>
      <w:r>
        <w:rPr>
          <w:rFonts w:eastAsia="Segoe UI" w:cs="Segoe UI" w:ascii="Segoe UI" w:hAnsi="Segoe UI"/>
          <w:b/>
          <w:color w:val="101820"/>
          <w:sz w:val="21"/>
        </w:rPr>
        <w:t>Accounting.</w:t>
      </w:r>
      <w:r>
        <w:rPr>
          <w:rFonts w:eastAsia="Segoe UI" w:cs="Segoe UI" w:ascii="Segoe UI" w:hAnsi="Segoe UI"/>
          <w:color w:val="101820"/>
          <w:sz w:val="21"/>
        </w:rPr>
        <w:t xml:space="preserve"> Decision: is the premium paid by instalments?</w:t>
      </w:r>
    </w:p>
    <w:p>
      <w:pPr>
        <w:pStyle w:val="Normal"/>
        <w:numPr>
          <w:ilvl w:val="0"/>
          <w:numId w:val="111"/>
        </w:numPr>
        <w:spacing w:before="0" w:after="60"/>
        <w:rPr/>
      </w:pPr>
      <w:r>
        <w:rPr>
          <w:rFonts w:eastAsia="Segoe UI" w:cs="Segoe UI" w:ascii="Segoe UI" w:hAnsi="Segoe UI"/>
          <w:b/>
          <w:color w:val="101820"/>
          <w:sz w:val="21"/>
        </w:rPr>
        <w:t>Accounting.</w:t>
      </w:r>
      <w:r>
        <w:rPr>
          <w:rFonts w:eastAsia="Segoe UI" w:cs="Segoe UI" w:ascii="Segoe UI" w:hAnsi="Segoe UI"/>
          <w:color w:val="101820"/>
          <w:sz w:val="21"/>
        </w:rPr>
        <w:t xml:space="preserve"> Credit Control &gt; Instalment Plans: the schedule from the terms (4 instalments proposed, up to 12; monthly, quarterly or semi-annual), adjusted as agreed. </w:t>
      </w:r>
      <w:r>
        <w:rPr>
          <w:rFonts w:eastAsia="Segoe UI" w:cs="Segoe UI" w:ascii="Segoe UI" w:hAnsi="Segoe UI"/>
          <w:b/>
          <w:color w:val="101820"/>
          <w:sz w:val="21"/>
        </w:rPr>
        <w:t>Issue instalment invoices</w:t>
      </w:r>
      <w:r>
        <w:rPr>
          <w:rFonts w:eastAsia="Segoe UI" w:cs="Segoe UI" w:ascii="Segoe UI" w:hAnsi="Segoe UI"/>
          <w:color w:val="101820"/>
          <w:sz w:val="21"/>
        </w:rPr>
        <w:t xml:space="preserve"> (before any payment, or automatically with </w:t>
      </w:r>
      <w:r>
        <w:rPr>
          <w:rFonts w:eastAsia="Consolas" w:cs="Consolas" w:ascii="Consolas" w:hAnsi="Consolas"/>
          <w:color w:val="101820"/>
          <w:sz w:val="19"/>
        </w:rPr>
        <w:t>credit.instalment_invoices_on_save</w:t>
      </w:r>
      <w:r>
        <w:rPr>
          <w:rFonts w:eastAsia="Segoe UI" w:cs="Segoe UI" w:ascii="Segoe UI" w:hAnsi="Segoe UI"/>
          <w:color w:val="101820"/>
          <w:sz w:val="21"/>
        </w:rPr>
        <w:t>) cancels the bill with the reversal of its booking journal and gives each instalment its own invoice, due date, share of premium, taxes and commission, booking journal and collection item.</w:t>
      </w:r>
    </w:p>
    <w:p>
      <w:pPr>
        <w:pStyle w:val="Normal"/>
        <w:numPr>
          <w:ilvl w:val="0"/>
          <w:numId w:val="112"/>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The Collection reminders job (08:00) e-mails the client 7 days before the due date and then every 7 days; </w:t>
      </w:r>
      <w:r>
        <w:rPr>
          <w:rFonts w:eastAsia="Consolas" w:cs="Consolas" w:ascii="Consolas" w:hAnsi="Consolas"/>
          <w:color w:val="101820"/>
          <w:sz w:val="19"/>
        </w:rPr>
        <w:t>sms-payment-reminders</w:t>
      </w:r>
      <w:r>
        <w:rPr>
          <w:rFonts w:eastAsia="Segoe UI" w:cs="Segoe UI" w:ascii="Segoe UI" w:hAnsi="Segoe UI"/>
          <w:color w:val="101820"/>
          <w:sz w:val="21"/>
        </w:rPr>
        <w:t xml:space="preserve"> sends SMS 3 days before and on the due date when switched on. The Premium Warranty Monitor lists broker-billed policies unpaid past, or within 7 days of, the insurer's warranty.</w:t>
      </w:r>
    </w:p>
    <w:p>
      <w:pPr>
        <w:pStyle w:val="Normal"/>
        <w:numPr>
          <w:ilvl w:val="0"/>
          <w:numId w:val="113"/>
        </w:numPr>
        <w:spacing w:before="0" w:after="60"/>
        <w:rPr/>
      </w:pPr>
      <w:r>
        <w:rPr>
          <w:rFonts w:eastAsia="Segoe UI" w:cs="Segoe UI" w:ascii="Segoe UI" w:hAnsi="Segoe UI"/>
          <w:b/>
          <w:color w:val="101820"/>
          <w:sz w:val="21"/>
        </w:rPr>
        <w:t>Client.</w:t>
      </w:r>
      <w:r>
        <w:rPr>
          <w:rFonts w:eastAsia="Segoe UI" w:cs="Segoe UI" w:ascii="Segoe UI" w:hAnsi="Segoe UI"/>
          <w:color w:val="101820"/>
          <w:sz w:val="21"/>
        </w:rPr>
        <w:t xml:space="preserve"> Pays by cash, cheque, bank transfer, the online payment link, or hands over post-dated cheques.</w:t>
      </w:r>
    </w:p>
    <w:p>
      <w:pPr>
        <w:pStyle w:val="Normal"/>
        <w:numPr>
          <w:ilvl w:val="0"/>
          <w:numId w:val="114"/>
        </w:numPr>
        <w:spacing w:before="0" w:after="60"/>
        <w:rPr/>
      </w:pPr>
      <w:r>
        <w:rPr>
          <w:rFonts w:eastAsia="Segoe UI" w:cs="Segoe UI" w:ascii="Segoe UI" w:hAnsi="Segoe UI"/>
          <w:b/>
          <w:color w:val="101820"/>
          <w:sz w:val="21"/>
        </w:rPr>
        <w:t>Accounting.</w:t>
      </w:r>
      <w:r>
        <w:rPr>
          <w:rFonts w:eastAsia="Segoe UI" w:cs="Segoe UI" w:ascii="Segoe UI" w:hAnsi="Segoe UI"/>
          <w:color w:val="101820"/>
          <w:sz w:val="21"/>
        </w:rPr>
        <w:t xml:space="preserve"> Decision: post-dated cheques?</w:t>
      </w:r>
    </w:p>
    <w:p>
      <w:pPr>
        <w:pStyle w:val="Normal"/>
        <w:numPr>
          <w:ilvl w:val="0"/>
          <w:numId w:val="115"/>
        </w:numPr>
        <w:spacing w:before="0" w:after="60"/>
        <w:rPr/>
      </w:pPr>
      <w:r>
        <w:rPr>
          <w:rFonts w:eastAsia="Segoe UI" w:cs="Segoe UI" w:ascii="Segoe UI" w:hAnsi="Segoe UI"/>
          <w:b/>
          <w:color w:val="101820"/>
          <w:sz w:val="21"/>
        </w:rPr>
        <w:t>Accounting.</w:t>
      </w:r>
      <w:r>
        <w:rPr>
          <w:rFonts w:eastAsia="Segoe UI" w:cs="Segoe UI" w:ascii="Segoe UI" w:hAnsi="Segoe UI"/>
          <w:color w:val="101820"/>
          <w:sz w:val="21"/>
        </w:rPr>
        <w:t xml:space="preserve"> Accounts &gt; Post-Dated Cheques &gt; </w:t>
      </w:r>
      <w:r>
        <w:rPr>
          <w:rFonts w:eastAsia="Segoe UI" w:cs="Segoe UI" w:ascii="Segoe UI" w:hAnsi="Segoe UI"/>
          <w:b/>
          <w:color w:val="101820"/>
          <w:sz w:val="21"/>
        </w:rPr>
        <w:t>Register cheque</w:t>
      </w:r>
      <w:r>
        <w:rPr>
          <w:rFonts w:eastAsia="Segoe UI" w:cs="Segoe UI" w:ascii="Segoe UI" w:hAnsi="Segoe UI"/>
          <w:color w:val="101820"/>
          <w:sz w:val="21"/>
        </w:rPr>
        <w:t xml:space="preserve"> (bill or policy, drawee bank, number, date, amount, </w:t>
      </w:r>
      <w:r>
        <w:rPr>
          <w:rFonts w:eastAsia="Segoe UI" w:cs="Segoe UI" w:ascii="Segoe UI" w:hAnsi="Segoe UI"/>
          <w:b/>
          <w:color w:val="101820"/>
          <w:sz w:val="21"/>
        </w:rPr>
        <w:t>Kept in</w:t>
      </w:r>
      <w:r>
        <w:rPr>
          <w:rFonts w:eastAsia="Segoe UI" w:cs="Segoe UI" w:ascii="Segoe UI" w:hAnsi="Segoe UI"/>
          <w:color w:val="101820"/>
          <w:sz w:val="21"/>
        </w:rPr>
        <w:t xml:space="preserve">); nothing is posted. The </w:t>
      </w:r>
      <w:r>
        <w:rPr>
          <w:rFonts w:eastAsia="Segoe UI" w:cs="Segoe UI" w:ascii="Segoe UI" w:hAnsi="Segoe UI"/>
          <w:b/>
          <w:color w:val="101820"/>
          <w:sz w:val="21"/>
        </w:rPr>
        <w:t>Deposit due</w:t>
      </w:r>
      <w:r>
        <w:rPr>
          <w:rFonts w:eastAsia="Segoe UI" w:cs="Segoe UI" w:ascii="Segoe UI" w:hAnsi="Segoe UI"/>
          <w:color w:val="101820"/>
          <w:sz w:val="21"/>
        </w:rPr>
        <w:t xml:space="preserve"> tab lists the cheques dated within 3 days (</w:t>
      </w:r>
      <w:r>
        <w:rPr>
          <w:rFonts w:eastAsia="Consolas" w:cs="Consolas" w:ascii="Consolas" w:hAnsi="Consolas"/>
          <w:color w:val="101820"/>
          <w:sz w:val="19"/>
        </w:rPr>
        <w:t>pdc.due_window_days</w:t>
      </w:r>
      <w:r>
        <w:rPr>
          <w:rFonts w:eastAsia="Segoe UI" w:cs="Segoe UI" w:ascii="Segoe UI" w:hAnsi="Segoe UI"/>
          <w:color w:val="101820"/>
          <w:sz w:val="21"/>
        </w:rPr>
        <w:t xml:space="preserve">) and the daily job tells Accounting. On or after the date, </w:t>
      </w:r>
      <w:r>
        <w:rPr>
          <w:rFonts w:eastAsia="Segoe UI" w:cs="Segoe UI" w:ascii="Segoe UI" w:hAnsi="Segoe UI"/>
          <w:b/>
          <w:color w:val="101820"/>
          <w:sz w:val="21"/>
        </w:rPr>
        <w:t>Deposit</w:t>
      </w:r>
      <w:r>
        <w:rPr>
          <w:rFonts w:eastAsia="Segoe UI" w:cs="Segoe UI" w:ascii="Segoe UI" w:hAnsi="Segoe UI"/>
          <w:color w:val="101820"/>
          <w:sz w:val="21"/>
        </w:rPr>
        <w:t xml:space="preserve"> to a bank account creates and posts the official receipt (step 10); then </w:t>
      </w:r>
      <w:r>
        <w:rPr>
          <w:rFonts w:eastAsia="Segoe UI" w:cs="Segoe UI" w:ascii="Segoe UI" w:hAnsi="Segoe UI"/>
          <w:b/>
          <w:color w:val="101820"/>
          <w:sz w:val="21"/>
        </w:rPr>
        <w:t>Cleared</w:t>
      </w:r>
      <w:r>
        <w:rPr>
          <w:rFonts w:eastAsia="Segoe UI" w:cs="Segoe UI" w:ascii="Segoe UI" w:hAnsi="Segoe UI"/>
          <w:color w:val="101820"/>
          <w:sz w:val="21"/>
        </w:rPr>
        <w:t xml:space="preserve"> when the bank confirms.</w:t>
      </w:r>
    </w:p>
    <w:p>
      <w:pPr>
        <w:pStyle w:val="Normal"/>
        <w:numPr>
          <w:ilvl w:val="0"/>
          <w:numId w:val="116"/>
        </w:numPr>
        <w:spacing w:before="0" w:after="60"/>
        <w:rPr/>
      </w:pPr>
      <w:r>
        <w:rPr>
          <w:rFonts w:eastAsia="Segoe UI" w:cs="Segoe UI" w:ascii="Segoe UI" w:hAnsi="Segoe UI"/>
          <w:b/>
          <w:color w:val="101820"/>
          <w:sz w:val="21"/>
        </w:rPr>
        <w:t>Operations</w:t>
      </w:r>
      <w:r>
        <w:rPr>
          <w:rFonts w:eastAsia="Segoe UI" w:cs="Segoe UI" w:ascii="Segoe UI" w:hAnsi="Segoe UI"/>
          <w:color w:val="101820"/>
          <w:sz w:val="21"/>
        </w:rPr>
        <w:t xml:space="preserve"> (or Sales &amp; Marketing, Processing Team). Policy &gt; </w:t>
      </w:r>
      <w:r>
        <w:rPr>
          <w:rFonts w:eastAsia="Segoe UI" w:cs="Segoe UI" w:ascii="Segoe UI" w:hAnsi="Segoe UI"/>
          <w:b/>
          <w:color w:val="101820"/>
          <w:sz w:val="21"/>
        </w:rPr>
        <w:t>Proceed to Payment</w:t>
      </w:r>
      <w:r>
        <w:rPr>
          <w:rFonts w:eastAsia="Segoe UI" w:cs="Segoe UI" w:ascii="Segoe UI" w:hAnsi="Segoe UI"/>
          <w:color w:val="101820"/>
          <w:sz w:val="21"/>
        </w:rPr>
        <w:t xml:space="preserve">: how the client paid, reference, amount, date, proof; </w:t>
      </w:r>
      <w:r>
        <w:rPr>
          <w:rFonts w:eastAsia="Segoe UI" w:cs="Segoe UI" w:ascii="Segoe UI" w:hAnsi="Segoe UI"/>
          <w:b/>
          <w:color w:val="101820"/>
          <w:sz w:val="21"/>
        </w:rPr>
        <w:t>Record payment</w:t>
      </w:r>
      <w:r>
        <w:rPr>
          <w:rFonts w:eastAsia="Segoe UI" w:cs="Segoe UI" w:ascii="Segoe UI" w:hAnsi="Segoe UI"/>
          <w:color w:val="101820"/>
          <w:sz w:val="21"/>
        </w:rPr>
        <w:t>. The payment status becomes Reviewing and Accounting is notified.</w:t>
      </w:r>
    </w:p>
    <w:p>
      <w:pPr>
        <w:pStyle w:val="Normal"/>
        <w:numPr>
          <w:ilvl w:val="0"/>
          <w:numId w:val="117"/>
        </w:numPr>
        <w:spacing w:before="0" w:after="60"/>
        <w:rPr/>
      </w:pPr>
      <w:r>
        <w:rPr>
          <w:rFonts w:eastAsia="Segoe UI" w:cs="Segoe UI" w:ascii="Segoe UI" w:hAnsi="Segoe UI"/>
          <w:b/>
          <w:color w:val="101820"/>
          <w:sz w:val="21"/>
        </w:rPr>
        <w:t>Accounting.</w:t>
      </w:r>
      <w:r>
        <w:rPr>
          <w:rFonts w:eastAsia="Segoe UI" w:cs="Segoe UI" w:ascii="Segoe UI" w:hAnsi="Segoe UI"/>
          <w:color w:val="101820"/>
          <w:sz w:val="21"/>
        </w:rPr>
        <w:t xml:space="preserve"> Checks the payment against the bank and confirms it, or rejects it with a reason (back to step 8). Accounting can also post directly on Accounts &gt; Receipts &gt; </w:t>
      </w:r>
      <w:r>
        <w:rPr>
          <w:rFonts w:eastAsia="Segoe UI" w:cs="Segoe UI" w:ascii="Segoe UI" w:hAnsi="Segoe UI"/>
          <w:b/>
          <w:color w:val="101820"/>
          <w:sz w:val="21"/>
        </w:rPr>
        <w:t>Receipt</w:t>
      </w:r>
      <w:r>
        <w:rPr>
          <w:rFonts w:eastAsia="Segoe UI" w:cs="Segoe UI" w:ascii="Segoe UI" w:hAnsi="Segoe UI"/>
          <w:color w:val="101820"/>
          <w:sz w:val="21"/>
        </w:rPr>
        <w:t>.</w:t>
      </w:r>
    </w:p>
    <w:p>
      <w:pPr>
        <w:pStyle w:val="Normal"/>
        <w:numPr>
          <w:ilvl w:val="0"/>
          <w:numId w:val="118"/>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Posts the official receipt (receipt.apply), sets the bill to Partial or Paid, closes the collection item when paid, makes the referrer's commission eligible on full payment (F07), and e-mails the receipt PDF when </w:t>
      </w:r>
      <w:r>
        <w:rPr>
          <w:rFonts w:eastAsia="Consolas" w:cs="Consolas" w:ascii="Consolas" w:hAnsi="Consolas"/>
          <w:color w:val="101820"/>
          <w:sz w:val="19"/>
        </w:rPr>
        <w:t>receipts.email_on_record</w:t>
      </w:r>
      <w:r>
        <w:rPr>
          <w:rFonts w:eastAsia="Segoe UI" w:cs="Segoe UI" w:ascii="Segoe UI" w:hAnsi="Segoe UI"/>
          <w:color w:val="101820"/>
          <w:sz w:val="21"/>
        </w:rPr>
        <w:t xml:space="preserve"> is on.</w:t>
      </w:r>
    </w:p>
    <w:p>
      <w:pPr>
        <w:pStyle w:val="Normal"/>
        <w:numPr>
          <w:ilvl w:val="0"/>
          <w:numId w:val="119"/>
        </w:numPr>
        <w:spacing w:before="0" w:after="60"/>
        <w:rPr/>
      </w:pPr>
      <w:r>
        <w:rPr>
          <w:rFonts w:eastAsia="Segoe UI" w:cs="Segoe UI" w:ascii="Segoe UI" w:hAnsi="Segoe UI"/>
          <w:b/>
          <w:color w:val="101820"/>
          <w:sz w:val="21"/>
        </w:rPr>
        <w:t>Accounting Manager.</w:t>
      </w:r>
      <w:r>
        <w:rPr>
          <w:rFonts w:eastAsia="Segoe UI" w:cs="Segoe UI" w:ascii="Segoe UI" w:hAnsi="Segoe UI"/>
          <w:color w:val="101820"/>
          <w:sz w:val="21"/>
        </w:rPr>
        <w:t xml:space="preserve"> Decides the exceptions: premium warranty extensions requested by Accounting (up to 90 days after inception, </w:t>
      </w:r>
      <w:r>
        <w:rPr>
          <w:rFonts w:eastAsia="Consolas" w:cs="Consolas" w:ascii="Consolas" w:hAnsi="Consolas"/>
          <w:color w:val="101820"/>
          <w:sz w:val="19"/>
        </w:rPr>
        <w:t>credit.max_warranty_extension_days</w:t>
      </w:r>
      <w:r>
        <w:rPr>
          <w:rFonts w:eastAsia="Segoe UI" w:cs="Segoe UI" w:ascii="Segoe UI" w:hAnsi="Segoe UI"/>
          <w:color w:val="101820"/>
          <w:sz w:val="21"/>
        </w:rPr>
        <w:t>) and client credit limits; a policy issued over a client's limit is acknowledged on Client Credit Limits.</w:t>
      </w:r>
    </w:p>
    <w:p>
      <w:pPr>
        <w:pStyle w:val="Normal"/>
        <w:numPr>
          <w:ilvl w:val="0"/>
          <w:numId w:val="120"/>
        </w:numPr>
        <w:spacing w:before="0" w:after="60"/>
        <w:rPr/>
      </w:pPr>
      <w:r>
        <w:rPr>
          <w:rFonts w:eastAsia="Segoe UI" w:cs="Segoe UI" w:ascii="Segoe UI" w:hAnsi="Segoe UI"/>
          <w:b/>
          <w:color w:val="101820"/>
          <w:sz w:val="21"/>
        </w:rPr>
        <w:t>End.</w:t>
      </w:r>
      <w:r>
        <w:rPr>
          <w:rFonts w:eastAsia="Segoe UI" w:cs="Segoe UI" w:ascii="Segoe UI" w:hAnsi="Segoe UI"/>
          <w:color w:val="101820"/>
          <w:sz w:val="21"/>
        </w:rPr>
        <w:t xml:space="preserve"> The premium is collected; it becomes due to the insurer (F06).</w:t>
      </w:r>
    </w:p>
    <w:p>
      <w:pPr>
        <w:pStyle w:val="Normal"/>
        <w:spacing w:lineRule="auto" w:line="276" w:before="0" w:after="120"/>
        <w:rPr/>
      </w:pPr>
      <w:r>
        <w:rPr>
          <w:rFonts w:eastAsia="Segoe UI" w:cs="Segoe UI" w:ascii="Segoe UI" w:hAnsi="Segoe UI"/>
          <w:b/>
          <w:color w:val="101820"/>
          <w:sz w:val="21"/>
        </w:rPr>
        <w:t>Exceptions</w:t>
      </w:r>
    </w:p>
    <w:p>
      <w:pPr>
        <w:pStyle w:val="Normal"/>
        <w:numPr>
          <w:ilvl w:val="0"/>
          <w:numId w:val="1"/>
        </w:numPr>
        <w:spacing w:before="0" w:after="60"/>
        <w:rPr/>
      </w:pPr>
      <w:r>
        <w:rPr>
          <w:rFonts w:eastAsia="Segoe UI" w:cs="Segoe UI" w:ascii="Segoe UI" w:hAnsi="Segoe UI"/>
          <w:b/>
          <w:color w:val="101820"/>
          <w:sz w:val="21"/>
        </w:rPr>
        <w:t>Bounced</w:t>
      </w:r>
      <w:r>
        <w:rPr>
          <w:rFonts w:eastAsia="Segoe UI" w:cs="Segoe UI" w:ascii="Segoe UI" w:hAnsi="Segoe UI"/>
          <w:color w:val="101820"/>
          <w:sz w:val="21"/>
        </w:rPr>
        <w:t xml:space="preserve"> PDC (or a cheque returned on the bank statement): the receipt is cancelled, its journal reversed and the bill reopened; Accounting is notified and the client e-mailed (</w:t>
      </w:r>
      <w:r>
        <w:rPr>
          <w:rFonts w:eastAsia="Consolas" w:cs="Consolas" w:ascii="Consolas" w:hAnsi="Consolas"/>
          <w:color w:val="101820"/>
          <w:sz w:val="19"/>
        </w:rPr>
        <w:t>pdc.notify_client_on_bounce</w:t>
      </w:r>
      <w:r>
        <w:rPr>
          <w:rFonts w:eastAsia="Segoe UI" w:cs="Segoe UI" w:ascii="Segoe UI" w:hAnsi="Segoe UI"/>
          <w:color w:val="101820"/>
          <w:sz w:val="21"/>
        </w:rPr>
        <w:t xml:space="preserve">). </w:t>
      </w:r>
      <w:r>
        <w:rPr>
          <w:rFonts w:eastAsia="Segoe UI" w:cs="Segoe UI" w:ascii="Segoe UI" w:hAnsi="Segoe UI"/>
          <w:b/>
          <w:color w:val="101820"/>
          <w:sz w:val="21"/>
        </w:rPr>
        <w:t>Replace</w:t>
      </w:r>
      <w:r>
        <w:rPr>
          <w:rFonts w:eastAsia="Segoe UI" w:cs="Segoe UI" w:ascii="Segoe UI" w:hAnsi="Segoe UI"/>
          <w:color w:val="101820"/>
          <w:sz w:val="21"/>
        </w:rPr>
        <w:t xml:space="preserve"> registers the new cheque linked to the bounced one; </w:t>
      </w:r>
      <w:r>
        <w:rPr>
          <w:rFonts w:eastAsia="Segoe UI" w:cs="Segoe UI" w:ascii="Segoe UI" w:hAnsi="Segoe UI"/>
          <w:b/>
          <w:color w:val="101820"/>
          <w:sz w:val="21"/>
        </w:rPr>
        <w:t>Return</w:t>
      </w:r>
      <w:r>
        <w:rPr>
          <w:rFonts w:eastAsia="Segoe UI" w:cs="Segoe UI" w:ascii="Segoe UI" w:hAnsi="Segoe UI"/>
          <w:color w:val="101820"/>
          <w:sz w:val="21"/>
        </w:rPr>
        <w:t xml:space="preserve"> gives an unused cheque back.</w:t>
      </w:r>
    </w:p>
    <w:p>
      <w:pPr>
        <w:pStyle w:val="Normal"/>
        <w:numPr>
          <w:ilvl w:val="0"/>
          <w:numId w:val="1"/>
        </w:numPr>
        <w:spacing w:before="0" w:after="60"/>
        <w:rPr/>
      </w:pPr>
      <w:r>
        <w:rPr>
          <w:rFonts w:eastAsia="Segoe UI" w:cs="Segoe UI" w:ascii="Segoe UI" w:hAnsi="Segoe UI"/>
          <w:color w:val="101820"/>
          <w:sz w:val="21"/>
        </w:rPr>
        <w:t>An online payment that cannot be applied is notified to Accounting.</w:t>
      </w:r>
    </w:p>
    <w:p>
      <w:pPr>
        <w:pStyle w:val="Normal"/>
        <w:numPr>
          <w:ilvl w:val="0"/>
          <w:numId w:val="1"/>
        </w:numPr>
        <w:spacing w:before="0" w:after="60"/>
        <w:rPr/>
      </w:pPr>
      <w:r>
        <w:rPr>
          <w:rFonts w:eastAsia="Segoe UI" w:cs="Segoe UI" w:ascii="Segoe UI" w:hAnsi="Segoe UI"/>
          <w:color w:val="101820"/>
          <w:sz w:val="21"/>
        </w:rPr>
        <w:t>Unpaid premium past the warranty: remind, request an extension or ask Operations to cancel for non-payment (F03).</w:t>
      </w:r>
    </w:p>
    <w:p>
      <w:pPr>
        <w:pStyle w:val="Normal"/>
        <w:numPr>
          <w:ilvl w:val="0"/>
          <w:numId w:val="1"/>
        </w:numPr>
        <w:spacing w:before="0" w:after="60"/>
        <w:rPr/>
      </w:pPr>
      <w:r>
        <w:rPr>
          <w:rFonts w:eastAsia="Segoe UI" w:cs="Segoe UI" w:ascii="Segoe UI" w:hAnsi="Segoe UI"/>
          <w:color w:val="101820"/>
          <w:sz w:val="21"/>
        </w:rPr>
        <w:t>Cash above PHP 500,000 in one banking day, or several smaller cash payments, raises an AML alert (F11).</w:t>
      </w:r>
    </w:p>
    <w:p>
      <w:pPr>
        <w:pStyle w:val="Normal"/>
        <w:numPr>
          <w:ilvl w:val="0"/>
          <w:numId w:val="1"/>
        </w:numPr>
        <w:spacing w:before="0" w:after="60"/>
        <w:rPr/>
      </w:pPr>
      <w:r>
        <w:rPr>
          <w:rFonts w:eastAsia="Segoe UI" w:cs="Segoe UI" w:ascii="Segoe UI" w:hAnsi="Segoe UI"/>
          <w:color w:val="101820"/>
          <w:sz w:val="21"/>
        </w:rPr>
        <w:t>At go-live, open bills of the old system are loaded with the migration workbook (F14) and chased like any bill.</w:t>
      </w:r>
    </w:p>
    <w:p>
      <w:pPr>
        <w:pStyle w:val="Heading2"/>
        <w:rPr/>
      </w:pPr>
      <w:bookmarkStart w:id="25" w:name="__RefHeading___Toc19293_1497462395"/>
      <w:bookmarkEnd w:id="25"/>
      <w:r>
        <w:rPr>
          <w:rFonts w:eastAsia="Segoe UI" w:cs="Segoe UI"/>
          <w:b/>
          <w:color w:val="0F4761"/>
          <w:sz w:val="26"/>
        </w:rPr>
        <w:t>6.2  F06 Remittance to insurers and direct bill</w:t>
      </w:r>
    </w:p>
    <w:p>
      <w:pPr>
        <w:pStyle w:val="Normal"/>
        <w:spacing w:lineRule="auto" w:line="276" w:before="0" w:after="120"/>
        <w:rPr/>
      </w:pPr>
      <w:r>
        <w:rPr>
          <w:rFonts w:eastAsia="Segoe UI" w:cs="Segoe UI" w:ascii="Segoe UI" w:hAnsi="Segoe UI"/>
          <w:color w:val="101820"/>
          <w:sz w:val="21"/>
        </w:rPr>
        <w:t>For broker-billed policies, collected premium net of commission is remitted to each insurer by its share. For direct-bill policies the client pays the insurer and the broker bills its commission with a debit note.</w:t>
      </w:r>
    </w:p>
    <w:p>
      <w:pPr>
        <w:pStyle w:val="Normal"/>
        <w:jc w:val="center"/>
        <w:rPr/>
      </w:pPr>
      <w:r>
        <w:rPr/>
        <w:drawing>
          <wp:inline distT="0" distB="0" distL="0" distR="0">
            <wp:extent cx="5760085" cy="7185025"/>
            <wp:effectExtent l="0" t="0" r="0" b="0"/>
            <wp:docPr id="17" name="Picture 21212881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121288197" descr=""/>
                    <pic:cNvPicPr>
                      <a:picLocks noChangeAspect="1" noChangeArrowheads="1"/>
                    </pic:cNvPicPr>
                  </pic:nvPicPr>
                  <pic:blipFill>
                    <a:blip r:embed="rId13"/>
                    <a:stretch>
                      <a:fillRect/>
                    </a:stretch>
                  </pic:blipFill>
                  <pic:spPr bwMode="auto">
                    <a:xfrm>
                      <a:off x="0" y="0"/>
                      <a:ext cx="5760085" cy="7185025"/>
                    </a:xfrm>
                    <a:prstGeom prst="rect">
                      <a:avLst/>
                    </a:prstGeom>
                  </pic:spPr>
                </pic:pic>
              </a:graphicData>
            </a:graphic>
          </wp:inline>
        </w:drawing>
      </w:r>
    </w:p>
    <w:p>
      <w:pPr>
        <w:pStyle w:val="Normal"/>
        <w:jc w:val="center"/>
        <w:rPr/>
      </w:pPr>
      <w:r>
        <w:rPr>
          <w:rFonts w:eastAsia="Segoe UI" w:cs="Segoe UI" w:ascii="Segoe UI" w:hAnsi="Segoe UI"/>
          <w:i/>
          <w:color w:val="555F6D"/>
          <w:sz w:val="18"/>
        </w:rPr>
        <w:t>F06 Remittance to insurers and direct bill</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44"/>
        <w:gridCol w:w="7370"/>
      </w:tblGrid>
      <w:tr>
        <w:trPr>
          <w:tblHeader w:val="true"/>
        </w:trPr>
        <w:tc>
          <w:tcPr>
            <w:tcW w:w="16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At a glance</w:t>
            </w:r>
          </w:p>
        </w:tc>
        <w:tc>
          <w:tcPr>
            <w:tcW w:w="73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collected and not yet remitted; direct-bill commission not yet billed</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(maker); a second Accounting user or the Accounting Manager (checker); insurer; BrokerVerse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 (Automated Processing, Tracking, Settlement, Approval Workflow, Direct Bill Processing); Accounts &gt; Disbursement; Accounts &gt; Bank Payment Files; Accounts &gt; Insurer Reconciliation &gt; Insurer Statements</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remittance.settlement (adjustments); disbursement.payment (Dr Premiums Payable to Insurers, Cr Cash in Bank); directbill.commission at issue; directbill.collection (Dr cash, Dr Creditable Withholding Tax, Cr Commission Receivable)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(REM-), settlement (SET-), payment voucher (PV-) and cheque or bank file, remittance statement, commission debit note (DN-) e-mailed with the PDF, sales invoice (SI-)</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initiator cannot approve; approval within the Remittance approval and Remittance settlement limits of the Authority Matrix (Accounting up to PHP 1,000,000.00, Accounting Manager without limit); debit note maker-checker; billing mode change refused once premium was collected or remitted</w:t>
            </w:r>
          </w:p>
        </w:tc>
      </w:tr>
    </w:tbl>
    <w:p>
      <w:pPr>
        <w:pStyle w:val="Normal"/>
        <w:spacing w:before="0" w:after="80"/>
        <w:rPr/>
      </w:pPr>
      <w:r>
        <w:rPr/>
      </w:r>
    </w:p>
    <w:p>
      <w:pPr>
        <w:pStyle w:val="Normal"/>
        <w:numPr>
          <w:ilvl w:val="0"/>
          <w:numId w:val="121"/>
        </w:numPr>
        <w:spacing w:before="0" w:after="60"/>
        <w:rPr/>
      </w:pPr>
      <w:r>
        <w:rPr>
          <w:rFonts w:eastAsia="Segoe UI" w:cs="Segoe UI" w:ascii="Segoe UI" w:hAnsi="Segoe UI"/>
          <w:b/>
          <w:color w:val="101820"/>
          <w:sz w:val="21"/>
        </w:rPr>
        <w:t>Accounting.</w:t>
      </w:r>
      <w:r>
        <w:rPr>
          <w:rFonts w:eastAsia="Segoe UI" w:cs="Segoe UI" w:ascii="Segoe UI" w:hAnsi="Segoe UI"/>
          <w:color w:val="101820"/>
          <w:sz w:val="21"/>
        </w:rPr>
        <w:t xml:space="preserve"> Automated Processing: the scheduled remittances per insurer with policies and estimated amount; tick the insurers, </w:t>
      </w:r>
      <w:r>
        <w:rPr>
          <w:rFonts w:eastAsia="Segoe UI" w:cs="Segoe UI" w:ascii="Segoe UI" w:hAnsi="Segoe UI"/>
          <w:b/>
          <w:color w:val="101820"/>
          <w:sz w:val="21"/>
        </w:rPr>
        <w:t>Validate</w:t>
      </w:r>
      <w:r>
        <w:rPr>
          <w:rFonts w:eastAsia="Segoe UI" w:cs="Segoe UI" w:ascii="Segoe UI" w:hAnsi="Segoe UI"/>
          <w:color w:val="101820"/>
          <w:sz w:val="21"/>
        </w:rPr>
        <w:t xml:space="preserve">, </w:t>
      </w:r>
      <w:r>
        <w:rPr>
          <w:rFonts w:eastAsia="Segoe UI" w:cs="Segoe UI" w:ascii="Segoe UI" w:hAnsi="Segoe UI"/>
          <w:b/>
          <w:color w:val="101820"/>
          <w:sz w:val="21"/>
        </w:rPr>
        <w:t>Process Selected</w:t>
      </w:r>
      <w:r>
        <w:rPr>
          <w:rFonts w:eastAsia="Segoe UI" w:cs="Segoe UI" w:ascii="Segoe UI" w:hAnsi="Segoe UI"/>
          <w:color w:val="101820"/>
          <w:sz w:val="21"/>
        </w:rPr>
        <w:t xml:space="preserve">. Draft remittances (REM-) are created, due on the insurer's remittance terms, else </w:t>
      </w:r>
      <w:r>
        <w:rPr>
          <w:rFonts w:eastAsia="Consolas" w:cs="Consolas" w:ascii="Consolas" w:hAnsi="Consolas"/>
          <w:color w:val="101820"/>
          <w:sz w:val="19"/>
        </w:rPr>
        <w:t>remittance.default_due_days</w:t>
      </w:r>
      <w:r>
        <w:rPr>
          <w:rFonts w:eastAsia="Segoe UI" w:cs="Segoe UI" w:ascii="Segoe UI" w:hAnsi="Segoe UI"/>
          <w:color w:val="101820"/>
          <w:sz w:val="21"/>
        </w:rPr>
        <w:t xml:space="preserve"> (30). Credit Control &gt; Remittance Ageing shows what is overdue.</w:t>
      </w:r>
    </w:p>
    <w:p>
      <w:pPr>
        <w:pStyle w:val="Normal"/>
        <w:numPr>
          <w:ilvl w:val="0"/>
          <w:numId w:val="122"/>
        </w:numPr>
        <w:spacing w:before="0" w:after="60"/>
        <w:rPr/>
      </w:pPr>
      <w:r>
        <w:rPr>
          <w:rFonts w:eastAsia="Segoe UI" w:cs="Segoe UI" w:ascii="Segoe UI" w:hAnsi="Segoe UI"/>
          <w:b/>
          <w:color w:val="101820"/>
          <w:sz w:val="21"/>
        </w:rPr>
        <w:t>Accounting.</w:t>
      </w:r>
      <w:r>
        <w:rPr>
          <w:rFonts w:eastAsia="Segoe UI" w:cs="Segoe UI" w:ascii="Segoe UI" w:hAnsi="Segoe UI"/>
          <w:color w:val="101820"/>
          <w:sz w:val="21"/>
        </w:rPr>
        <w:t xml:space="preserve"> Tracking: process the remittance; it goes for approval.</w:t>
      </w:r>
    </w:p>
    <w:p>
      <w:pPr>
        <w:pStyle w:val="Normal"/>
        <w:numPr>
          <w:ilvl w:val="0"/>
          <w:numId w:val="123"/>
        </w:numPr>
        <w:spacing w:before="0" w:after="60"/>
        <w:rPr/>
      </w:pPr>
      <w:r>
        <w:rPr>
          <w:rFonts w:eastAsia="Segoe UI" w:cs="Segoe UI" w:ascii="Segoe UI" w:hAnsi="Segoe UI"/>
          <w:b/>
          <w:color w:val="101820"/>
          <w:sz w:val="21"/>
        </w:rPr>
        <w:t>Second user.</w:t>
      </w:r>
      <w:r>
        <w:rPr>
          <w:rFonts w:eastAsia="Segoe UI" w:cs="Segoe UI" w:ascii="Segoe UI" w:hAnsi="Segoe UI"/>
          <w:color w:val="101820"/>
          <w:sz w:val="21"/>
        </w:rPr>
        <w:t xml:space="preserve"> Approval Workflow: approves within his or her limit; a larger remittance waits for the Accounting Manager. Delegations cover leave.</w:t>
      </w:r>
    </w:p>
    <w:p>
      <w:pPr>
        <w:pStyle w:val="Normal"/>
        <w:numPr>
          <w:ilvl w:val="0"/>
          <w:numId w:val="124"/>
        </w:numPr>
        <w:spacing w:before="0" w:after="60"/>
        <w:rPr/>
      </w:pPr>
      <w:r>
        <w:rPr>
          <w:rFonts w:eastAsia="Segoe UI" w:cs="Segoe UI" w:ascii="Segoe UI" w:hAnsi="Segoe UI"/>
          <w:b/>
          <w:color w:val="101820"/>
          <w:sz w:val="21"/>
        </w:rPr>
        <w:t>Accounting.</w:t>
      </w:r>
      <w:r>
        <w:rPr>
          <w:rFonts w:eastAsia="Segoe UI" w:cs="Segoe UI" w:ascii="Segoe UI" w:hAnsi="Segoe UI"/>
          <w:color w:val="101820"/>
          <w:sz w:val="21"/>
        </w:rPr>
        <w:t xml:space="preserve"> Settlement: the insurer, </w:t>
      </w:r>
      <w:r>
        <w:rPr>
          <w:rFonts w:eastAsia="Segoe UI" w:cs="Segoe UI" w:ascii="Segoe UI" w:hAnsi="Segoe UI"/>
          <w:b/>
          <w:color w:val="101820"/>
          <w:sz w:val="21"/>
        </w:rPr>
        <w:t>Add policies</w:t>
      </w:r>
      <w:r>
        <w:rPr>
          <w:rFonts w:eastAsia="Segoe UI" w:cs="Segoe UI" w:ascii="Segoe UI" w:hAnsi="Segoe UI"/>
          <w:color w:val="101820"/>
          <w:sz w:val="21"/>
        </w:rPr>
        <w:t xml:space="preserve"> (or </w:t>
      </w:r>
      <w:r>
        <w:rPr>
          <w:rFonts w:eastAsia="Segoe UI" w:cs="Segoe UI" w:ascii="Segoe UI" w:hAnsi="Segoe UI"/>
          <w:b/>
          <w:color w:val="101820"/>
          <w:sz w:val="21"/>
        </w:rPr>
        <w:t>Import</w:t>
      </w:r>
      <w:r>
        <w:rPr>
          <w:rFonts w:eastAsia="Segoe UI" w:cs="Segoe UI" w:ascii="Segoe UI" w:hAnsi="Segoe UI"/>
          <w:color w:val="101820"/>
          <w:sz w:val="21"/>
        </w:rPr>
        <w:t xml:space="preserve">), </w:t>
      </w:r>
      <w:r>
        <w:rPr>
          <w:rFonts w:eastAsia="Segoe UI" w:cs="Segoe UI" w:ascii="Segoe UI" w:hAnsi="Segoe UI"/>
          <w:b/>
          <w:color w:val="101820"/>
          <w:sz w:val="21"/>
        </w:rPr>
        <w:t>Calculate</w:t>
      </w:r>
      <w:r>
        <w:rPr>
          <w:rFonts w:eastAsia="Segoe UI" w:cs="Segoe UI" w:ascii="Segoe UI" w:hAnsi="Segoe UI"/>
          <w:color w:val="101820"/>
          <w:sz w:val="21"/>
        </w:rPr>
        <w:t xml:space="preserve">: premium less commission less tax plus or minus adjustments gives the net settlement; refunds due from the insurer are netted here. </w:t>
      </w:r>
      <w:r>
        <w:rPr>
          <w:rFonts w:eastAsia="Segoe UI" w:cs="Segoe UI" w:ascii="Segoe UI" w:hAnsi="Segoe UI"/>
          <w:b/>
          <w:color w:val="101820"/>
          <w:sz w:val="21"/>
        </w:rPr>
        <w:t>Submit for approval</w:t>
      </w:r>
      <w:r>
        <w:rPr>
          <w:rFonts w:eastAsia="Segoe UI" w:cs="Segoe UI" w:ascii="Segoe UI" w:hAnsi="Segoe UI"/>
          <w:color w:val="101820"/>
          <w:sz w:val="21"/>
        </w:rPr>
        <w:t>.</w:t>
      </w:r>
    </w:p>
    <w:p>
      <w:pPr>
        <w:pStyle w:val="Normal"/>
        <w:numPr>
          <w:ilvl w:val="0"/>
          <w:numId w:val="125"/>
        </w:numPr>
        <w:spacing w:before="0" w:after="60"/>
        <w:rPr/>
      </w:pPr>
      <w:r>
        <w:rPr>
          <w:rFonts w:eastAsia="Segoe UI" w:cs="Segoe UI" w:ascii="Segoe UI" w:hAnsi="Segoe UI"/>
          <w:b/>
          <w:color w:val="101820"/>
          <w:sz w:val="21"/>
        </w:rPr>
        <w:t>Second user.</w:t>
      </w:r>
      <w:r>
        <w:rPr>
          <w:rFonts w:eastAsia="Segoe UI" w:cs="Segoe UI" w:ascii="Segoe UI" w:hAnsi="Segoe UI"/>
          <w:color w:val="101820"/>
          <w:sz w:val="21"/>
        </w:rPr>
        <w:t xml:space="preserve"> Approves the settlement (SET-); the insurer payment voucher is raised in Disbursement for the net amount.</w:t>
      </w:r>
    </w:p>
    <w:p>
      <w:pPr>
        <w:pStyle w:val="Normal"/>
        <w:numPr>
          <w:ilvl w:val="0"/>
          <w:numId w:val="126"/>
        </w:numPr>
        <w:spacing w:before="0" w:after="60"/>
        <w:rPr/>
      </w:pPr>
      <w:r>
        <w:rPr>
          <w:rFonts w:eastAsia="Segoe UI" w:cs="Segoe UI" w:ascii="Segoe UI" w:hAnsi="Segoe UI"/>
          <w:b/>
          <w:color w:val="101820"/>
          <w:sz w:val="21"/>
        </w:rPr>
        <w:t>Second user.</w:t>
      </w:r>
      <w:r>
        <w:rPr>
          <w:rFonts w:eastAsia="Segoe UI" w:cs="Segoe UI" w:ascii="Segoe UI" w:hAnsi="Segoe UI"/>
          <w:color w:val="101820"/>
          <w:sz w:val="21"/>
        </w:rPr>
        <w:t xml:space="preserve"> Approves the payment voucher; the cheque is printed. Or the voucher goes into a bank payment file batch (Accounts &gt; Bank Payment Files: layout, pay-from account, channel bulk credit, InstaPay up to PHP 50,000 or PESONet, value date), approved by a user who is not the maker of the batch or its vouchers, written, uploaded to the bank portal and closed with the bank's status file.</w:t>
      </w:r>
    </w:p>
    <w:p>
      <w:pPr>
        <w:pStyle w:val="Normal"/>
        <w:numPr>
          <w:ilvl w:val="0"/>
          <w:numId w:val="127"/>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Posts the payment journal (disbursement.payment); the voucher is Paid and the remittance Completed.</w:t>
      </w:r>
    </w:p>
    <w:p>
      <w:pPr>
        <w:pStyle w:val="Normal"/>
        <w:numPr>
          <w:ilvl w:val="0"/>
          <w:numId w:val="128"/>
        </w:numPr>
        <w:spacing w:before="0" w:after="60"/>
        <w:rPr/>
      </w:pPr>
      <w:r>
        <w:rPr>
          <w:rFonts w:eastAsia="Segoe UI" w:cs="Segoe UI" w:ascii="Segoe UI" w:hAnsi="Segoe UI"/>
          <w:b/>
          <w:color w:val="101820"/>
          <w:sz w:val="21"/>
        </w:rPr>
        <w:t>Insurer.</w:t>
      </w:r>
      <w:r>
        <w:rPr>
          <w:rFonts w:eastAsia="Segoe UI" w:cs="Segoe UI" w:ascii="Segoe UI" w:hAnsi="Segoe UI"/>
          <w:color w:val="101820"/>
          <w:sz w:val="21"/>
        </w:rPr>
        <w:t xml:space="preserve"> Sends its statement of account; Accounting imports it on Insurer Reconciliation (ISR-), resolves every difference and submits it; the Accounting Manager approves (F09).</w:t>
      </w:r>
    </w:p>
    <w:p>
      <w:pPr>
        <w:pStyle w:val="Normal"/>
        <w:numPr>
          <w:ilvl w:val="0"/>
          <w:numId w:val="129"/>
        </w:numPr>
        <w:spacing w:before="0" w:after="60"/>
        <w:rPr/>
      </w:pPr>
      <w:r>
        <w:rPr>
          <w:rFonts w:eastAsia="Segoe UI" w:cs="Segoe UI" w:ascii="Segoe UI" w:hAnsi="Segoe UI"/>
          <w:b/>
          <w:color w:val="101820"/>
          <w:sz w:val="21"/>
        </w:rPr>
        <w:t>Accounting.</w:t>
      </w:r>
      <w:r>
        <w:rPr>
          <w:rFonts w:eastAsia="Segoe UI" w:cs="Segoe UI" w:ascii="Segoe UI" w:hAnsi="Segoe UI"/>
          <w:color w:val="101820"/>
          <w:sz w:val="21"/>
        </w:rPr>
        <w:t xml:space="preserve"> Direct Bill Processing &gt; </w:t>
      </w:r>
      <w:r>
        <w:rPr>
          <w:rFonts w:eastAsia="Segoe UI" w:cs="Segoe UI" w:ascii="Segoe UI" w:hAnsi="Segoe UI"/>
          <w:b/>
          <w:color w:val="101820"/>
          <w:sz w:val="21"/>
        </w:rPr>
        <w:t>1. Raise Debit Note</w:t>
      </w:r>
      <w:r>
        <w:rPr>
          <w:rFonts w:eastAsia="Segoe UI" w:cs="Segoe UI" w:ascii="Segoe UI" w:hAnsi="Segoe UI"/>
          <w:color w:val="101820"/>
          <w:sz w:val="21"/>
        </w:rPr>
        <w:t xml:space="preserve">: the insurer, issued from and to, line of business; </w:t>
      </w:r>
      <w:r>
        <w:rPr>
          <w:rFonts w:eastAsia="Segoe UI" w:cs="Segoe UI" w:ascii="Segoe UI" w:hAnsi="Segoe UI"/>
          <w:b/>
          <w:color w:val="101820"/>
          <w:sz w:val="21"/>
        </w:rPr>
        <w:t>Load policies</w:t>
      </w:r>
      <w:r>
        <w:rPr>
          <w:rFonts w:eastAsia="Segoe UI" w:cs="Segoe UI" w:ascii="Segoe UI" w:hAnsi="Segoe UI"/>
          <w:color w:val="101820"/>
          <w:sz w:val="21"/>
        </w:rPr>
        <w:t>; tick the policies: commission, VAT 12%, total due, EWT 10% (</w:t>
      </w:r>
      <w:r>
        <w:rPr>
          <w:rFonts w:eastAsia="Consolas" w:cs="Consolas" w:ascii="Consolas" w:hAnsi="Consolas"/>
          <w:color w:val="101820"/>
          <w:sz w:val="19"/>
        </w:rPr>
        <w:t>direct_bill.insurer_ewt_rate</w:t>
      </w:r>
      <w:r>
        <w:rPr>
          <w:rFonts w:eastAsia="Segoe UI" w:cs="Segoe UI" w:ascii="Segoe UI" w:hAnsi="Segoe UI"/>
          <w:color w:val="101820"/>
          <w:sz w:val="21"/>
        </w:rPr>
        <w:t>), net cash expected. Due 30 days later (</w:t>
      </w:r>
      <w:r>
        <w:rPr>
          <w:rFonts w:eastAsia="Consolas" w:cs="Consolas" w:ascii="Consolas" w:hAnsi="Consolas"/>
          <w:color w:val="101820"/>
          <w:sz w:val="19"/>
        </w:rPr>
        <w:t>direct_bill.debit_note_due_days</w:t>
      </w:r>
      <w:r>
        <w:rPr>
          <w:rFonts w:eastAsia="Segoe UI" w:cs="Segoe UI" w:ascii="Segoe UI" w:hAnsi="Segoe UI"/>
          <w:color w:val="101820"/>
          <w:sz w:val="21"/>
        </w:rPr>
        <w:t>). Submit for approval.</w:t>
      </w:r>
    </w:p>
    <w:p>
      <w:pPr>
        <w:pStyle w:val="Normal"/>
        <w:numPr>
          <w:ilvl w:val="0"/>
          <w:numId w:val="130"/>
        </w:numPr>
        <w:spacing w:before="0" w:after="60"/>
        <w:rPr/>
      </w:pPr>
      <w:r>
        <w:rPr>
          <w:rFonts w:eastAsia="Segoe UI" w:cs="Segoe UI" w:ascii="Segoe UI" w:hAnsi="Segoe UI"/>
          <w:b/>
          <w:color w:val="101820"/>
          <w:sz w:val="21"/>
        </w:rPr>
        <w:t>Second user.</w:t>
      </w:r>
      <w:r>
        <w:rPr>
          <w:rFonts w:eastAsia="Segoe UI" w:cs="Segoe UI" w:ascii="Segoe UI" w:hAnsi="Segoe UI"/>
          <w:color w:val="101820"/>
          <w:sz w:val="21"/>
        </w:rPr>
        <w:t xml:space="preserve"> Approves the debit note (DN-) on </w:t>
      </w:r>
      <w:r>
        <w:rPr>
          <w:rFonts w:eastAsia="Segoe UI" w:cs="Segoe UI" w:ascii="Segoe UI" w:hAnsi="Segoe UI"/>
          <w:b/>
          <w:color w:val="101820"/>
          <w:sz w:val="21"/>
        </w:rPr>
        <w:t>2. Debit Notes</w:t>
      </w:r>
      <w:r>
        <w:rPr>
          <w:rFonts w:eastAsia="Segoe UI" w:cs="Segoe UI" w:ascii="Segoe UI" w:hAnsi="Segoe UI"/>
          <w:color w:val="101820"/>
          <w:sz w:val="21"/>
        </w:rPr>
        <w:t>: printed on the letterhead and e-mailed to the insurer with the PDF. Accounts &gt; Tax &gt; Sales Invoices makes out the sales invoice for it (EOPT).</w:t>
      </w:r>
    </w:p>
    <w:p>
      <w:pPr>
        <w:pStyle w:val="Normal"/>
        <w:numPr>
          <w:ilvl w:val="0"/>
          <w:numId w:val="131"/>
        </w:numPr>
        <w:spacing w:before="0" w:after="60"/>
        <w:rPr/>
      </w:pPr>
      <w:r>
        <w:rPr>
          <w:rFonts w:eastAsia="Segoe UI" w:cs="Segoe UI" w:ascii="Segoe UI" w:hAnsi="Segoe UI"/>
          <w:b/>
          <w:color w:val="101820"/>
          <w:sz w:val="21"/>
        </w:rPr>
        <w:t>Insurer.</w:t>
      </w:r>
      <w:r>
        <w:rPr>
          <w:rFonts w:eastAsia="Segoe UI" w:cs="Segoe UI" w:ascii="Segoe UI" w:hAnsi="Segoe UI"/>
          <w:color w:val="101820"/>
          <w:sz w:val="21"/>
        </w:rPr>
        <w:t xml:space="preserve"> Pays the commission net of EWT and issues BIR Form 2307.</w:t>
      </w:r>
    </w:p>
    <w:p>
      <w:pPr>
        <w:pStyle w:val="Normal"/>
        <w:numPr>
          <w:ilvl w:val="0"/>
          <w:numId w:val="132"/>
        </w:numPr>
        <w:spacing w:before="0" w:after="60"/>
        <w:rPr/>
      </w:pPr>
      <w:r>
        <w:rPr>
          <w:rFonts w:eastAsia="Segoe UI" w:cs="Segoe UI" w:ascii="Segoe UI" w:hAnsi="Segoe UI"/>
          <w:b/>
          <w:color w:val="101820"/>
          <w:sz w:val="21"/>
        </w:rPr>
        <w:t>Accounting.</w:t>
      </w:r>
      <w:r>
        <w:rPr>
          <w:rFonts w:eastAsia="Segoe UI" w:cs="Segoe UI" w:ascii="Segoe UI" w:hAnsi="Segoe UI"/>
          <w:color w:val="101820"/>
          <w:sz w:val="21"/>
        </w:rPr>
        <w:t xml:space="preserve"> Opens the debit note and records the collection: cash received, tax withheld, mode, reference (partial payments allowed); directbill.collection posts.</w:t>
      </w:r>
    </w:p>
    <w:p>
      <w:pPr>
        <w:pStyle w:val="Normal"/>
        <w:numPr>
          <w:ilvl w:val="0"/>
          <w:numId w:val="133"/>
        </w:numPr>
        <w:spacing w:before="0" w:after="60"/>
        <w:rPr/>
      </w:pPr>
      <w:r>
        <w:rPr>
          <w:rFonts w:eastAsia="Segoe UI" w:cs="Segoe UI" w:ascii="Segoe UI" w:hAnsi="Segoe UI"/>
          <w:b/>
          <w:color w:val="101820"/>
          <w:sz w:val="21"/>
        </w:rPr>
        <w:t>End.</w:t>
      </w:r>
      <w:r>
        <w:rPr>
          <w:rFonts w:eastAsia="Segoe UI" w:cs="Segoe UI" w:ascii="Segoe UI" w:hAnsi="Segoe UI"/>
          <w:color w:val="101820"/>
          <w:sz w:val="21"/>
        </w:rPr>
        <w:t xml:space="preserve"> The commission receivable is cleared; the 2307 appears under BIR Form 2307 &gt; Received.</w:t>
      </w:r>
    </w:p>
    <w:p>
      <w:pPr>
        <w:pStyle w:val="Normal"/>
        <w:spacing w:lineRule="auto" w:line="276" w:before="0" w:after="120"/>
        <w:rPr/>
      </w:pPr>
      <w:r>
        <w:rPr>
          <w:rFonts w:eastAsia="Segoe UI" w:cs="Segoe UI" w:ascii="Segoe UI" w:hAnsi="Segoe UI"/>
          <w:b/>
          <w:color w:val="101820"/>
          <w:sz w:val="21"/>
        </w:rPr>
        <w:t>Exceptions</w:t>
      </w:r>
    </w:p>
    <w:p>
      <w:pPr>
        <w:pStyle w:val="Normal"/>
        <w:numPr>
          <w:ilvl w:val="0"/>
          <w:numId w:val="1"/>
        </w:numPr>
        <w:spacing w:before="0" w:after="60"/>
        <w:rPr/>
      </w:pPr>
      <w:r>
        <w:rPr>
          <w:rFonts w:eastAsia="Segoe UI" w:cs="Segoe UI" w:ascii="Segoe UI" w:hAnsi="Segoe UI"/>
          <w:color w:val="101820"/>
          <w:sz w:val="21"/>
        </w:rPr>
        <w:t>An insurer with nothing to remit shows Below minimum.</w:t>
      </w:r>
    </w:p>
    <w:p>
      <w:pPr>
        <w:pStyle w:val="Normal"/>
        <w:numPr>
          <w:ilvl w:val="0"/>
          <w:numId w:val="1"/>
        </w:numPr>
        <w:spacing w:before="0" w:after="60"/>
        <w:rPr/>
      </w:pPr>
      <w:r>
        <w:rPr>
          <w:rFonts w:eastAsia="Segoe UI" w:cs="Segoe UI" w:ascii="Segoe UI" w:hAnsi="Segoe UI"/>
          <w:color w:val="101820"/>
          <w:sz w:val="21"/>
        </w:rPr>
        <w:t>A bank file payment rejected by the bank keeps its reason; its voucher is free for another batch or a cheque.</w:t>
      </w:r>
    </w:p>
    <w:p>
      <w:pPr>
        <w:pStyle w:val="Normal"/>
        <w:numPr>
          <w:ilvl w:val="0"/>
          <w:numId w:val="1"/>
        </w:numPr>
        <w:spacing w:before="0" w:after="60"/>
        <w:rPr/>
      </w:pPr>
      <w:r>
        <w:rPr>
          <w:rFonts w:eastAsia="Segoe UI" w:cs="Segoe UI" w:ascii="Segoe UI" w:hAnsi="Segoe UI"/>
          <w:b/>
          <w:color w:val="101820"/>
          <w:sz w:val="21"/>
        </w:rPr>
        <w:t>3. Billing Mode</w:t>
      </w:r>
      <w:r>
        <w:rPr>
          <w:rFonts w:eastAsia="Segoe UI" w:cs="Segoe UI" w:ascii="Segoe UI" w:hAnsi="Segoe UI"/>
          <w:color w:val="101820"/>
          <w:sz w:val="21"/>
        </w:rPr>
        <w:t xml:space="preserve"> changes an issued policy between direct bill and broker billed with a reason; refused once premium was collected or remitted, or once the commission is on a debit note.</w:t>
      </w:r>
    </w:p>
    <w:p>
      <w:pPr>
        <w:pStyle w:val="Heading2"/>
        <w:rPr/>
      </w:pPr>
      <w:bookmarkStart w:id="26" w:name="__RefHeading___Toc19295_1497462395"/>
      <w:bookmarkEnd w:id="26"/>
      <w:r>
        <w:rPr>
          <w:rFonts w:eastAsia="Segoe UI" w:cs="Segoe UI"/>
          <w:b/>
          <w:color w:val="0F4761"/>
          <w:sz w:val="26"/>
        </w:rPr>
        <w:t>6.3  F07 Commission and payout with licence check</w:t>
      </w:r>
    </w:p>
    <w:p>
      <w:pPr>
        <w:pStyle w:val="Normal"/>
        <w:spacing w:lineRule="auto" w:line="276" w:before="0" w:after="120"/>
        <w:rPr/>
      </w:pPr>
      <w:r>
        <w:rPr>
          <w:rFonts w:eastAsia="Segoe UI" w:cs="Segoe UI" w:ascii="Segoe UI" w:hAnsi="Segoe UI"/>
          <w:color w:val="101820"/>
          <w:sz w:val="21"/>
        </w:rPr>
        <w:t>The share of the brokerage paid to an agent or referrer (comsub) is accrued at issue, becomes eligible when the premium is fully collected, is approved by a second user and is paid less withholding tax, only to a referrer whose IC licence is in force where one is required.</w:t>
      </w:r>
    </w:p>
    <w:p>
      <w:pPr>
        <w:pStyle w:val="Normal"/>
        <w:jc w:val="center"/>
        <w:rPr/>
      </w:pPr>
      <w:r>
        <w:rPr/>
        <w:drawing>
          <wp:inline distT="0" distB="0" distL="0" distR="0">
            <wp:extent cx="5760085" cy="5485130"/>
            <wp:effectExtent l="0" t="0" r="0" b="0"/>
            <wp:docPr id="18" name="Picture 21212881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121288198" descr=""/>
                    <pic:cNvPicPr>
                      <a:picLocks noChangeAspect="1" noChangeArrowheads="1"/>
                    </pic:cNvPicPr>
                  </pic:nvPicPr>
                  <pic:blipFill>
                    <a:blip r:embed="rId14"/>
                    <a:stretch>
                      <a:fillRect/>
                    </a:stretch>
                  </pic:blipFill>
                  <pic:spPr bwMode="auto">
                    <a:xfrm>
                      <a:off x="0" y="0"/>
                      <a:ext cx="5760085" cy="5485130"/>
                    </a:xfrm>
                    <a:prstGeom prst="rect">
                      <a:avLst/>
                    </a:prstGeom>
                  </pic:spPr>
                </pic:pic>
              </a:graphicData>
            </a:graphic>
          </wp:inline>
        </w:drawing>
      </w:r>
    </w:p>
    <w:p>
      <w:pPr>
        <w:pStyle w:val="Normal"/>
        <w:jc w:val="center"/>
        <w:rPr/>
      </w:pPr>
      <w:r>
        <w:rPr>
          <w:rFonts w:eastAsia="Segoe UI" w:cs="Segoe UI" w:ascii="Segoe UI" w:hAnsi="Segoe UI"/>
          <w:i/>
          <w:color w:val="555F6D"/>
          <w:sz w:val="18"/>
        </w:rPr>
        <w:t>F07 Commission and payout with licence check</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44"/>
        <w:gridCol w:w="7370"/>
      </w:tblGrid>
      <w:tr>
        <w:trPr>
          <w:tblHeader w:val="true"/>
        </w:trPr>
        <w:tc>
          <w:tcPr>
            <w:tcW w:w="16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At a glance</w:t>
            </w:r>
          </w:p>
        </w:tc>
        <w:tc>
          <w:tcPr>
            <w:tcW w:w="73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policy with a referrer, or from a channel with a comsub rate, is issued</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team (licence register); Accounting (maker); a second Accounting user (checker); agent or referrer; BrokerVerse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&gt; Insurance Commission &gt; Licence Register; Commission &gt; Agents/Referrer Accounts, Commission Dashboard; Accounts &gt; Disbursement; Accounts &gt; Tax &gt; BIR Form 2307</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commission.approve (comsub accrual); commission.payout (Dr Commission Payable, Cr Cash in Bank and Withholding Tax Payable); commission.clawback</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Payout voucher (PV-), BIR Form 2307 issued per payee and quarter (CWT-), Broker Commission Statement</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Payable only after full collection (</w:t>
            </w:r>
            <w:r>
              <w:rPr>
                <w:rFonts w:eastAsia="Consolas" w:cs="Consolas" w:ascii="Consolas" w:hAnsi="Consolas"/>
                <w:color w:val="101820"/>
                <w:kern w:val="0"/>
                <w:sz w:val="16"/>
                <w:szCs w:val="24"/>
                <w:lang w:val="en-US" w:eastAsia="ja-JP" w:bidi="ar-SA"/>
              </w:rPr>
              <w:t>commission.require_full_payment</w:t>
            </w:r>
            <w:r>
              <w:rPr>
                <w:rFonts w:eastAsia="Segoe UI" w:cs="Segoe UI" w:ascii="Segoe UI" w:hAnsi="Segoe UI"/>
                <w:color w:val="101820"/>
                <w:kern w:val="0"/>
                <w:sz w:val="18"/>
                <w:szCs w:val="24"/>
                <w:lang w:val="en-US" w:eastAsia="ja-JP" w:bidi="ar-SA"/>
              </w:rPr>
              <w:t>); bank account required (</w:t>
            </w:r>
            <w:r>
              <w:rPr>
                <w:rFonts w:eastAsia="Consolas" w:cs="Consolas" w:ascii="Consolas" w:hAnsi="Consolas"/>
                <w:color w:val="101820"/>
                <w:kern w:val="0"/>
                <w:sz w:val="16"/>
                <w:szCs w:val="24"/>
                <w:lang w:val="en-US" w:eastAsia="ja-JP" w:bidi="ar-SA"/>
              </w:rPr>
              <w:t>commission.require_bank_account</w:t>
            </w:r>
            <w:r>
              <w:rPr>
                <w:rFonts w:eastAsia="Segoe UI" w:cs="Segoe UI" w:ascii="Segoe UI" w:hAnsi="Segoe UI"/>
                <w:color w:val="101820"/>
                <w:kern w:val="0"/>
                <w:sz w:val="18"/>
                <w:szCs w:val="24"/>
                <w:lang w:val="en-US" w:eastAsia="ja-JP" w:bidi="ar-SA"/>
              </w:rPr>
              <w:t xml:space="preserve">); approval by another Accounting user; licence check </w:t>
            </w:r>
            <w:r>
              <w:rPr>
                <w:rFonts w:eastAsia="Consolas" w:cs="Consolas" w:ascii="Consolas" w:hAnsi="Consolas"/>
                <w:color w:val="101820"/>
                <w:kern w:val="0"/>
                <w:sz w:val="16"/>
                <w:szCs w:val="24"/>
                <w:lang w:val="en-US" w:eastAsia="ja-JP" w:bidi="ar-SA"/>
              </w:rPr>
              <w:t>compliance.referrer_licence_check</w:t>
            </w:r>
            <w:r>
              <w:rPr>
                <w:rFonts w:eastAsia="Segoe UI" w:cs="Segoe UI" w:ascii="Segoe UI" w:hAnsi="Segoe UI"/>
                <w:color w:val="101820"/>
                <w:kern w:val="0"/>
                <w:sz w:val="18"/>
                <w:szCs w:val="24"/>
                <w:lang w:val="en-US" w:eastAsia="ja-JP" w:bidi="ar-SA"/>
              </w:rPr>
              <w:t xml:space="preserve"> (block as delivered) for the referrer types in </w:t>
            </w:r>
            <w:r>
              <w:rPr>
                <w:rFonts w:eastAsia="Consolas" w:cs="Consolas" w:ascii="Consolas" w:hAnsi="Consolas"/>
                <w:color w:val="101820"/>
                <w:kern w:val="0"/>
                <w:sz w:val="16"/>
                <w:szCs w:val="24"/>
                <w:lang w:val="en-US" w:eastAsia="ja-JP" w:bidi="ar-SA"/>
              </w:rPr>
              <w:t>compliance.licence_required_referrer_types</w:t>
            </w:r>
            <w:r>
              <w:rPr>
                <w:rFonts w:eastAsia="Segoe UI" w:cs="Segoe UI" w:ascii="Segoe UI" w:hAnsi="Segoe UI"/>
                <w:color w:val="101820"/>
                <w:kern w:val="0"/>
                <w:sz w:val="18"/>
                <w:szCs w:val="24"/>
                <w:lang w:val="en-US" w:eastAsia="ja-JP" w:bidi="ar-SA"/>
              </w:rPr>
              <w:t xml:space="preserve"> (Agent, Sub-agent)</w:t>
            </w:r>
          </w:p>
        </w:tc>
      </w:tr>
    </w:tbl>
    <w:p>
      <w:pPr>
        <w:pStyle w:val="Normal"/>
        <w:spacing w:before="0" w:after="80"/>
        <w:rPr/>
      </w:pPr>
      <w:r>
        <w:rPr/>
      </w:r>
    </w:p>
    <w:p>
      <w:pPr>
        <w:pStyle w:val="Normal"/>
        <w:numPr>
          <w:ilvl w:val="0"/>
          <w:numId w:val="134"/>
        </w:numPr>
        <w:spacing w:before="0" w:after="60"/>
        <w:rPr/>
      </w:pPr>
      <w:r>
        <w:rPr>
          <w:rFonts w:eastAsia="Segoe UI" w:cs="Segoe UI" w:ascii="Segoe UI" w:hAnsi="Segoe UI"/>
          <w:b/>
          <w:color w:val="101820"/>
          <w:sz w:val="21"/>
        </w:rPr>
        <w:t>Compliance team.</w:t>
      </w:r>
      <w:r>
        <w:rPr>
          <w:rFonts w:eastAsia="Segoe UI" w:cs="Segoe UI" w:ascii="Segoe UI" w:hAnsi="Segoe UI"/>
          <w:color w:val="101820"/>
          <w:sz w:val="21"/>
        </w:rPr>
        <w:t xml:space="preserve"> Keeps each agent's licence in the Licence Register (type, number, issue and expiry, documents); records each renewal as a new term. The </w:t>
      </w:r>
      <w:r>
        <w:rPr>
          <w:rFonts w:eastAsia="Consolas" w:cs="Consolas" w:ascii="Consolas" w:hAnsi="Consolas"/>
          <w:color w:val="101820"/>
          <w:sz w:val="19"/>
        </w:rPr>
        <w:t>compliance-reminders</w:t>
      </w:r>
      <w:r>
        <w:rPr>
          <w:rFonts w:eastAsia="Segoe UI" w:cs="Segoe UI" w:ascii="Segoe UI" w:hAnsi="Segoe UI"/>
          <w:color w:val="101820"/>
          <w:sz w:val="21"/>
        </w:rPr>
        <w:t xml:space="preserve"> job reminds the team 90, 60, 30, 15 and 7 days before expiry.</w:t>
      </w:r>
    </w:p>
    <w:p>
      <w:pPr>
        <w:pStyle w:val="Normal"/>
        <w:numPr>
          <w:ilvl w:val="0"/>
          <w:numId w:val="135"/>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At issue the comsub line is Accrued at the rate of the referrer's level (</w:t>
      </w:r>
      <w:r>
        <w:rPr>
          <w:rFonts w:eastAsia="Consolas" w:cs="Consolas" w:ascii="Consolas" w:hAnsi="Consolas"/>
          <w:color w:val="101820"/>
          <w:sz w:val="19"/>
        </w:rPr>
        <w:t>commission.comsub_rate_by_level</w:t>
      </w:r>
      <w:r>
        <w:rPr>
          <w:rFonts w:eastAsia="Segoe UI" w:cs="Segoe UI" w:ascii="Segoe UI" w:hAnsi="Segoe UI"/>
          <w:color w:val="101820"/>
          <w:sz w:val="21"/>
        </w:rPr>
        <w:t>: L1 8%, L2 5%) or of the channel.</w:t>
      </w:r>
    </w:p>
    <w:p>
      <w:pPr>
        <w:pStyle w:val="Normal"/>
        <w:numPr>
          <w:ilvl w:val="0"/>
          <w:numId w:val="136"/>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When the premium is fully collected the line becomes Eligible (</w:t>
      </w:r>
      <w:r>
        <w:rPr>
          <w:rFonts w:eastAsia="Consolas" w:cs="Consolas" w:ascii="Consolas" w:hAnsi="Consolas"/>
          <w:color w:val="101820"/>
          <w:sz w:val="19"/>
        </w:rPr>
        <w:t>commission.auto_eligible_on_full_payment</w:t>
      </w:r>
      <w:r>
        <w:rPr>
          <w:rFonts w:eastAsia="Segoe UI" w:cs="Segoe UI" w:ascii="Segoe UI" w:hAnsi="Segoe UI"/>
          <w:color w:val="101820"/>
          <w:sz w:val="21"/>
        </w:rPr>
        <w:t xml:space="preserve">); Accounting can also </w:t>
      </w:r>
      <w:r>
        <w:rPr>
          <w:rFonts w:eastAsia="Segoe UI" w:cs="Segoe UI" w:ascii="Segoe UI" w:hAnsi="Segoe UI"/>
          <w:b/>
          <w:color w:val="101820"/>
          <w:sz w:val="21"/>
        </w:rPr>
        <w:t>Mark eligible</w:t>
      </w:r>
      <w:r>
        <w:rPr>
          <w:rFonts w:eastAsia="Segoe UI" w:cs="Segoe UI" w:ascii="Segoe UI" w:hAnsi="Segoe UI"/>
          <w:color w:val="101820"/>
          <w:sz w:val="21"/>
        </w:rPr>
        <w:t>.</w:t>
      </w:r>
    </w:p>
    <w:p>
      <w:pPr>
        <w:pStyle w:val="Normal"/>
        <w:numPr>
          <w:ilvl w:val="0"/>
          <w:numId w:val="137"/>
        </w:numPr>
        <w:spacing w:before="0" w:after="60"/>
        <w:rPr/>
      </w:pPr>
      <w:r>
        <w:rPr>
          <w:rFonts w:eastAsia="Segoe UI" w:cs="Segoe UI" w:ascii="Segoe UI" w:hAnsi="Segoe UI"/>
          <w:b/>
          <w:color w:val="101820"/>
          <w:sz w:val="21"/>
        </w:rPr>
        <w:t>Accounting.</w:t>
      </w:r>
      <w:r>
        <w:rPr>
          <w:rFonts w:eastAsia="Segoe UI" w:cs="Segoe UI" w:ascii="Segoe UI" w:hAnsi="Segoe UI"/>
          <w:color w:val="101820"/>
          <w:sz w:val="21"/>
        </w:rPr>
        <w:t xml:space="preserve"> Opens the referrer account (current cycle, future cycles, paid history), checks </w:t>
      </w:r>
      <w:r>
        <w:rPr>
          <w:rFonts w:eastAsia="Segoe UI" w:cs="Segoe UI" w:ascii="Segoe UI" w:hAnsi="Segoe UI"/>
          <w:b/>
          <w:color w:val="101820"/>
          <w:sz w:val="21"/>
        </w:rPr>
        <w:t>Apply WHT</w:t>
      </w:r>
      <w:r>
        <w:rPr>
          <w:rFonts w:eastAsia="Segoe UI" w:cs="Segoe UI" w:ascii="Segoe UI" w:hAnsi="Segoe UI"/>
          <w:color w:val="101820"/>
          <w:sz w:val="21"/>
        </w:rPr>
        <w:t xml:space="preserve"> (</w:t>
      </w:r>
      <w:r>
        <w:rPr>
          <w:rFonts w:eastAsia="Consolas" w:cs="Consolas" w:ascii="Consolas" w:hAnsi="Consolas"/>
          <w:color w:val="101820"/>
          <w:sz w:val="19"/>
        </w:rPr>
        <w:t>commission.wht_rate_by_type</w:t>
      </w:r>
      <w:r>
        <w:rPr>
          <w:rFonts w:eastAsia="Segoe UI" w:cs="Segoe UI" w:ascii="Segoe UI" w:hAnsi="Segoe UI"/>
          <w:color w:val="101820"/>
          <w:sz w:val="21"/>
        </w:rPr>
        <w:t>: Agent and Sub-agent 5%, External 10%) and the bank account.</w:t>
      </w:r>
    </w:p>
    <w:p>
      <w:pPr>
        <w:pStyle w:val="Normal"/>
        <w:numPr>
          <w:ilvl w:val="0"/>
          <w:numId w:val="138"/>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Decision: does the referrer hold a licence in force today? Checked at </w:t>
      </w:r>
      <w:r>
        <w:rPr>
          <w:rFonts w:eastAsia="Segoe UI" w:cs="Segoe UI" w:ascii="Segoe UI" w:hAnsi="Segoe UI"/>
          <w:b/>
          <w:color w:val="101820"/>
          <w:sz w:val="21"/>
        </w:rPr>
        <w:t>Approve</w:t>
      </w:r>
      <w:r>
        <w:rPr>
          <w:rFonts w:eastAsia="Segoe UI" w:cs="Segoe UI" w:ascii="Segoe UI" w:hAnsi="Segoe UI"/>
          <w:color w:val="101820"/>
          <w:sz w:val="21"/>
        </w:rPr>
        <w:t xml:space="preserve">, </w:t>
      </w:r>
      <w:r>
        <w:rPr>
          <w:rFonts w:eastAsia="Segoe UI" w:cs="Segoe UI" w:ascii="Segoe UI" w:hAnsi="Segoe UI"/>
          <w:b/>
          <w:color w:val="101820"/>
          <w:sz w:val="21"/>
        </w:rPr>
        <w:t>Generate payout</w:t>
      </w:r>
      <w:r>
        <w:rPr>
          <w:rFonts w:eastAsia="Segoe UI" w:cs="Segoe UI" w:ascii="Segoe UI" w:hAnsi="Segoe UI"/>
          <w:color w:val="101820"/>
          <w:sz w:val="21"/>
        </w:rPr>
        <w:t>, single-line payment and the approval of the payout voucher.</w:t>
      </w:r>
    </w:p>
    <w:p>
      <w:pPr>
        <w:pStyle w:val="Normal"/>
        <w:numPr>
          <w:ilvl w:val="0"/>
          <w:numId w:val="139"/>
        </w:numPr>
        <w:spacing w:before="0" w:after="60"/>
        <w:rPr/>
      </w:pPr>
      <w:r>
        <w:rPr>
          <w:rFonts w:eastAsia="Segoe UI" w:cs="Segoe UI" w:ascii="Segoe UI" w:hAnsi="Segoe UI"/>
          <w:b/>
          <w:color w:val="101820"/>
          <w:sz w:val="21"/>
        </w:rPr>
        <w:t>Second user.</w:t>
      </w:r>
      <w:r>
        <w:rPr>
          <w:rFonts w:eastAsia="Segoe UI" w:cs="Segoe UI" w:ascii="Segoe UI" w:hAnsi="Segoe UI"/>
          <w:color w:val="101820"/>
          <w:sz w:val="21"/>
        </w:rPr>
        <w:t xml:space="preserve"> </w:t>
      </w:r>
      <w:r>
        <w:rPr>
          <w:rFonts w:eastAsia="Segoe UI" w:cs="Segoe UI" w:ascii="Segoe UI" w:hAnsi="Segoe UI"/>
          <w:b/>
          <w:color w:val="101820"/>
          <w:sz w:val="21"/>
        </w:rPr>
        <w:t>Approve</w:t>
      </w:r>
      <w:r>
        <w:rPr>
          <w:rFonts w:eastAsia="Segoe UI" w:cs="Segoe UI" w:ascii="Segoe UI" w:hAnsi="Segoe UI"/>
          <w:color w:val="101820"/>
          <w:sz w:val="21"/>
        </w:rPr>
        <w:t xml:space="preserve"> on the eligible lines prepared by another user; commission.approve posts.</w:t>
      </w:r>
    </w:p>
    <w:p>
      <w:pPr>
        <w:pStyle w:val="Normal"/>
        <w:numPr>
          <w:ilvl w:val="0"/>
          <w:numId w:val="140"/>
        </w:numPr>
        <w:spacing w:before="0" w:after="60"/>
        <w:rPr/>
      </w:pPr>
      <w:r>
        <w:rPr>
          <w:rFonts w:eastAsia="Segoe UI" w:cs="Segoe UI" w:ascii="Segoe UI" w:hAnsi="Segoe UI"/>
          <w:b/>
          <w:color w:val="101820"/>
          <w:sz w:val="21"/>
        </w:rPr>
        <w:t>Accounting.</w:t>
      </w:r>
      <w:r>
        <w:rPr>
          <w:rFonts w:eastAsia="Segoe UI" w:cs="Segoe UI" w:ascii="Segoe UI" w:hAnsi="Segoe UI"/>
          <w:color w:val="101820"/>
          <w:sz w:val="21"/>
        </w:rPr>
        <w:t xml:space="preserve"> </w:t>
      </w:r>
      <w:r>
        <w:rPr>
          <w:rFonts w:eastAsia="Segoe UI" w:cs="Segoe UI" w:ascii="Segoe UI" w:hAnsi="Segoe UI"/>
          <w:b/>
          <w:color w:val="101820"/>
          <w:sz w:val="21"/>
        </w:rPr>
        <w:t>Generate payout</w:t>
      </w:r>
      <w:r>
        <w:rPr>
          <w:rFonts w:eastAsia="Segoe UI" w:cs="Segoe UI" w:ascii="Segoe UI" w:hAnsi="Segoe UI"/>
          <w:color w:val="101820"/>
          <w:sz w:val="21"/>
        </w:rPr>
        <w:t>: a draft payout voucher in Disbursement (or a bulk payout).</w:t>
      </w:r>
    </w:p>
    <w:p>
      <w:pPr>
        <w:pStyle w:val="Normal"/>
        <w:numPr>
          <w:ilvl w:val="0"/>
          <w:numId w:val="141"/>
        </w:numPr>
        <w:spacing w:before="0" w:after="60"/>
        <w:rPr/>
      </w:pPr>
      <w:r>
        <w:rPr>
          <w:rFonts w:eastAsia="Segoe UI" w:cs="Segoe UI" w:ascii="Segoe UI" w:hAnsi="Segoe UI"/>
          <w:b/>
          <w:color w:val="101820"/>
          <w:sz w:val="21"/>
        </w:rPr>
        <w:t>Second user.</w:t>
      </w:r>
      <w:r>
        <w:rPr>
          <w:rFonts w:eastAsia="Segoe UI" w:cs="Segoe UI" w:ascii="Segoe UI" w:hAnsi="Segoe UI"/>
          <w:color w:val="101820"/>
          <w:sz w:val="21"/>
        </w:rPr>
        <w:t xml:space="preserve"> Approves the voucher, or the bank payment file batch that holds it.</w:t>
      </w:r>
    </w:p>
    <w:p>
      <w:pPr>
        <w:pStyle w:val="Normal"/>
        <w:numPr>
          <w:ilvl w:val="0"/>
          <w:numId w:val="142"/>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Posts commission.payout; the lines become Paid.</w:t>
      </w:r>
    </w:p>
    <w:p>
      <w:pPr>
        <w:pStyle w:val="Normal"/>
        <w:numPr>
          <w:ilvl w:val="0"/>
          <w:numId w:val="143"/>
        </w:numPr>
        <w:spacing w:before="0" w:after="60"/>
        <w:rPr/>
      </w:pPr>
      <w:r>
        <w:rPr>
          <w:rFonts w:eastAsia="Segoe UI" w:cs="Segoe UI" w:ascii="Segoe UI" w:hAnsi="Segoe UI"/>
          <w:b/>
          <w:color w:val="101820"/>
          <w:sz w:val="21"/>
        </w:rPr>
        <w:t>End.</w:t>
      </w:r>
      <w:r>
        <w:rPr>
          <w:rFonts w:eastAsia="Segoe UI" w:cs="Segoe UI" w:ascii="Segoe UI" w:hAnsi="Segoe UI"/>
          <w:color w:val="101820"/>
          <w:sz w:val="21"/>
        </w:rPr>
        <w:t xml:space="preserve"> The referrer is paid; each quarter Accounting issues BIR Form 2307 (Issued by us) with ATC WI515 or WC515 (</w:t>
      </w:r>
      <w:r>
        <w:rPr>
          <w:rFonts w:eastAsia="Consolas" w:cs="Consolas" w:ascii="Consolas" w:hAnsi="Consolas"/>
          <w:color w:val="101820"/>
          <w:sz w:val="19"/>
        </w:rPr>
        <w:t>bir.atc_by_payee</w:t>
      </w:r>
      <w:r>
        <w:rPr>
          <w:rFonts w:eastAsia="Segoe UI" w:cs="Segoe UI" w:ascii="Segoe UI" w:hAnsi="Segoe UI"/>
          <w:color w:val="101820"/>
          <w:sz w:val="21"/>
        </w:rPr>
        <w:t>).</w:t>
      </w:r>
    </w:p>
    <w:p>
      <w:pPr>
        <w:pStyle w:val="Normal"/>
        <w:numPr>
          <w:ilvl w:val="0"/>
          <w:numId w:val="144"/>
        </w:numPr>
        <w:spacing w:before="0" w:after="60"/>
        <w:rPr/>
      </w:pPr>
      <w:r>
        <w:rPr>
          <w:rFonts w:eastAsia="Segoe UI" w:cs="Segoe UI" w:ascii="Segoe UI" w:hAnsi="Segoe UI"/>
          <w:b/>
          <w:color w:val="101820"/>
          <w:sz w:val="21"/>
        </w:rPr>
        <w:t>Compliance team.</w:t>
      </w:r>
      <w:r>
        <w:rPr>
          <w:rFonts w:eastAsia="Segoe UI" w:cs="Segoe UI" w:ascii="Segoe UI" w:hAnsi="Segoe UI"/>
          <w:color w:val="101820"/>
          <w:sz w:val="21"/>
        </w:rPr>
        <w:t xml:space="preserve"> With the check on block, the actions are refused with the reason, shown on the referrer account; the commission is held until the renewed licence is recorded (back to step 5). With warn, the payout goes ahead with a warning recorded in the audit trail.</w:t>
      </w:r>
    </w:p>
    <w:p>
      <w:pPr>
        <w:pStyle w:val="Normal"/>
        <w:spacing w:lineRule="auto" w:line="276" w:before="0" w:after="120"/>
        <w:rPr/>
      </w:pPr>
      <w:r>
        <w:rPr>
          <w:rFonts w:eastAsia="Segoe UI" w:cs="Segoe UI" w:ascii="Segoe UI" w:hAnsi="Segoe UI"/>
          <w:b/>
          <w:color w:val="101820"/>
          <w:sz w:val="21"/>
        </w:rPr>
        <w:t>Exceptions</w:t>
      </w:r>
    </w:p>
    <w:p>
      <w:pPr>
        <w:pStyle w:val="Normal"/>
        <w:numPr>
          <w:ilvl w:val="0"/>
          <w:numId w:val="1"/>
        </w:numPr>
        <w:spacing w:before="0" w:after="60"/>
        <w:rPr/>
      </w:pPr>
      <w:r>
        <w:rPr>
          <w:rFonts w:eastAsia="Segoe UI" w:cs="Segoe UI" w:ascii="Segoe UI" w:hAnsi="Segoe UI"/>
          <w:color w:val="101820"/>
          <w:sz w:val="21"/>
        </w:rPr>
        <w:t>A referrer without a bank account cannot be approved or paid.</w:t>
      </w:r>
    </w:p>
    <w:p>
      <w:pPr>
        <w:pStyle w:val="Normal"/>
        <w:numPr>
          <w:ilvl w:val="0"/>
          <w:numId w:val="1"/>
        </w:numPr>
        <w:spacing w:before="0" w:after="60"/>
        <w:rPr/>
      </w:pPr>
      <w:r>
        <w:rPr>
          <w:rFonts w:eastAsia="Segoe UI" w:cs="Segoe UI" w:ascii="Segoe UI" w:hAnsi="Segoe UI"/>
          <w:color w:val="101820"/>
          <w:sz w:val="21"/>
        </w:rPr>
        <w:t>Return premium claws back the comsub on the returned part (commission.clawback).</w:t>
      </w:r>
    </w:p>
    <w:p>
      <w:pPr>
        <w:pStyle w:val="Normal"/>
        <w:numPr>
          <w:ilvl w:val="0"/>
          <w:numId w:val="1"/>
        </w:numPr>
        <w:spacing w:before="0" w:after="60"/>
        <w:rPr/>
      </w:pPr>
      <w:r>
        <w:rPr>
          <w:rFonts w:eastAsia="Segoe UI" w:cs="Segoe UI" w:ascii="Segoe UI" w:hAnsi="Segoe UI"/>
          <w:color w:val="101820"/>
          <w:sz w:val="21"/>
        </w:rPr>
        <w:t>Overriding, profit and contingent commission from insurers follows its own path on Commission &gt; Insurer Overrides: agreement, computation per period (OVC-), approval by a second user (override_commission.accrual), sales invoice, settlement against the insurer's statement (override_commission.settlement).</w:t>
      </w:r>
      <w:r>
        <w:br w:type="page"/>
      </w:r>
    </w:p>
    <w:p>
      <w:pPr>
        <w:pStyle w:val="Heading1"/>
        <w:rPr/>
      </w:pPr>
      <w:bookmarkStart w:id="27" w:name="__RefHeading___Toc19297_1497462395"/>
      <w:bookmarkEnd w:id="27"/>
      <w:r>
        <w:rPr>
          <w:rFonts w:eastAsia="Segoe UI" w:cs="Segoe UI" w:ascii="Segoe UI" w:hAnsi="Segoe UI"/>
          <w:b/>
          <w:color w:val="0F4761"/>
          <w:sz w:val="32"/>
        </w:rPr>
        <w:t>7.  Claims</w:t>
      </w:r>
    </w:p>
    <w:p>
      <w:pPr>
        <w:pStyle w:val="Heading2"/>
        <w:rPr/>
      </w:pPr>
      <w:bookmarkStart w:id="28" w:name="__RefHeading___Toc19299_1497462395"/>
      <w:bookmarkEnd w:id="28"/>
      <w:r>
        <w:rPr>
          <w:rFonts w:eastAsia="Segoe UI" w:cs="Segoe UI"/>
          <w:b/>
          <w:color w:val="0F4761"/>
          <w:sz w:val="26"/>
        </w:rPr>
        <w:t>7.1  F08 Claims, motor repair and claims paid through the broker</w:t>
      </w:r>
    </w:p>
    <w:p>
      <w:pPr>
        <w:pStyle w:val="Normal"/>
        <w:spacing w:lineRule="auto" w:line="276" w:before="0" w:after="120"/>
        <w:rPr/>
      </w:pPr>
      <w:r>
        <w:rPr>
          <w:rFonts w:eastAsia="Segoe UI" w:cs="Segoe UI" w:ascii="Segoe UI" w:hAnsi="Segoe UI"/>
          <w:color w:val="101820"/>
          <w:sz w:val="21"/>
        </w:rPr>
        <w:t>A loss is registered under the policy, the insurer is advised, the documents are gathered, the adjuster and the assessment are recorded, the settlement is approved by a second Claims user and, when the claim is paid through the broker, the funds are received from each insurer and paid to the claimant.</w:t>
      </w:r>
    </w:p>
    <w:p>
      <w:pPr>
        <w:pStyle w:val="Normal"/>
        <w:jc w:val="center"/>
        <w:rPr/>
      </w:pPr>
      <w:r>
        <w:rPr/>
        <w:drawing>
          <wp:inline distT="0" distB="0" distL="0" distR="0">
            <wp:extent cx="5760085" cy="6861810"/>
            <wp:effectExtent l="0" t="0" r="0" b="0"/>
            <wp:docPr id="19" name="Picture 21212881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121288199" descr=""/>
                    <pic:cNvPicPr>
                      <a:picLocks noChangeAspect="1" noChangeArrowheads="1"/>
                    </pic:cNvPicPr>
                  </pic:nvPicPr>
                  <pic:blipFill>
                    <a:blip r:embed="rId15"/>
                    <a:stretch>
                      <a:fillRect/>
                    </a:stretch>
                  </pic:blipFill>
                  <pic:spPr bwMode="auto">
                    <a:xfrm>
                      <a:off x="0" y="0"/>
                      <a:ext cx="5760085" cy="6861810"/>
                    </a:xfrm>
                    <a:prstGeom prst="rect">
                      <a:avLst/>
                    </a:prstGeom>
                  </pic:spPr>
                </pic:pic>
              </a:graphicData>
            </a:graphic>
          </wp:inline>
        </w:drawing>
      </w:r>
    </w:p>
    <w:p>
      <w:pPr>
        <w:pStyle w:val="Normal"/>
        <w:jc w:val="center"/>
        <w:rPr/>
      </w:pPr>
      <w:r>
        <w:rPr>
          <w:rFonts w:eastAsia="Segoe UI" w:cs="Segoe UI" w:ascii="Segoe UI" w:hAnsi="Segoe UI"/>
          <w:i/>
          <w:color w:val="555F6D"/>
          <w:sz w:val="18"/>
        </w:rPr>
        <w:t>F08 Claims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44"/>
        <w:gridCol w:w="7370"/>
      </w:tblGrid>
      <w:tr>
        <w:trPr>
          <w:tblHeader w:val="true"/>
        </w:trPr>
        <w:tc>
          <w:tcPr>
            <w:tcW w:w="16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At a glance</w:t>
            </w:r>
          </w:p>
        </w:tc>
        <w:tc>
          <w:tcPr>
            <w:tcW w:w="73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client reports a loss</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or claimant; Claims (maker); another Claims user (checker); Accounting; insurer; BrokerVerse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Operations &gt; Policy &gt; </w:t>
            </w:r>
            <w:r>
              <w:rPr>
                <w:rFonts w:eastAsia="Segoe UI" w:cs="Segoe UI" w:ascii="Segoe UI" w:hAnsi="Segoe UI"/>
                <w:b/>
                <w:color w:val="101820"/>
                <w:kern w:val="0"/>
                <w:sz w:val="18"/>
                <w:szCs w:val="24"/>
                <w:lang w:val="en-US" w:eastAsia="ja-JP" w:bidi="ar-SA"/>
              </w:rPr>
              <w:t>More actions</w:t>
            </w:r>
            <w:r>
              <w:rPr>
                <w:rFonts w:eastAsia="Segoe UI" w:cs="Segoe UI" w:ascii="Segoe UI" w:hAnsi="Segoe UI"/>
                <w:color w:val="101820"/>
                <w:kern w:val="0"/>
                <w:sz w:val="18"/>
                <w:szCs w:val="24"/>
                <w:lang w:val="en-US" w:eastAsia="ja-JP" w:bidi="ar-SA"/>
              </w:rPr>
              <w:t xml:space="preserve"> &gt; </w:t>
            </w:r>
            <w:r>
              <w:rPr>
                <w:rFonts w:eastAsia="Segoe UI" w:cs="Segoe UI" w:ascii="Segoe UI" w:hAnsi="Segoe UI"/>
                <w:b/>
                <w:color w:val="101820"/>
                <w:kern w:val="0"/>
                <w:sz w:val="18"/>
                <w:szCs w:val="24"/>
                <w:lang w:val="en-US" w:eastAsia="ja-JP" w:bidi="ar-SA"/>
              </w:rPr>
              <w:t>Claim</w:t>
            </w:r>
            <w:r>
              <w:rPr>
                <w:rFonts w:eastAsia="Segoe UI" w:cs="Segoe UI" w:ascii="Segoe UI" w:hAnsi="Segoe UI"/>
                <w:color w:val="101820"/>
                <w:kern w:val="0"/>
                <w:sz w:val="18"/>
                <w:szCs w:val="24"/>
                <w:lang w:val="en-US" w:eastAsia="ja-JP" w:bidi="ar-SA"/>
              </w:rPr>
              <w:t>; Operations &gt; Claims, Claim Documents, Motor Claim Repairs; Accounts &gt; Claims Settlements; Reinsurance &gt; Claims Recovery</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claim.settlement.paid_through_broker; claim.funds_received; claim.paid_to_claimant</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Preliminary Loss Advice to the insurer, missing document reminders, Acknowledgment letter, Claims Discharge Voucher, Claims Data sheet, FIR, letter of authority (LOA-), release acknowledgement, claim payment voucher (CPV-), release and quitclaim</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of loss inside the policy period (</w:t>
            </w:r>
            <w:r>
              <w:rPr>
                <w:rFonts w:eastAsia="Consolas" w:cs="Consolas" w:ascii="Consolas" w:hAnsi="Consolas"/>
                <w:color w:val="101820"/>
                <w:kern w:val="0"/>
                <w:sz w:val="16"/>
                <w:szCs w:val="24"/>
                <w:lang w:val="en-US" w:eastAsia="ja-JP" w:bidi="ar-SA"/>
              </w:rPr>
              <w:t>claims.validate_loss_date</w:t>
            </w:r>
            <w:r>
              <w:rPr>
                <w:rFonts w:eastAsia="Segoe UI" w:cs="Segoe UI" w:ascii="Segoe UI" w:hAnsi="Segoe UI"/>
                <w:color w:val="101820"/>
                <w:kern w:val="0"/>
                <w:sz w:val="18"/>
                <w:szCs w:val="24"/>
                <w:lang w:val="en-US" w:eastAsia="ja-JP" w:bidi="ar-SA"/>
              </w:rPr>
              <w:t>); no claim while premium is unpaid (</w:t>
            </w:r>
            <w:r>
              <w:rPr>
                <w:rFonts w:eastAsia="Consolas" w:cs="Consolas" w:ascii="Consolas" w:hAnsi="Consolas"/>
                <w:color w:val="101820"/>
                <w:kern w:val="0"/>
                <w:sz w:val="16"/>
                <w:szCs w:val="24"/>
                <w:lang w:val="en-US" w:eastAsia="ja-JP" w:bidi="ar-SA"/>
              </w:rPr>
              <w:t>claims.block_unpaid_premium</w:t>
            </w:r>
            <w:r>
              <w:rPr>
                <w:rFonts w:eastAsia="Segoe UI" w:cs="Segoe UI" w:ascii="Segoe UI" w:hAnsi="Segoe UI"/>
                <w:color w:val="101820"/>
                <w:kern w:val="0"/>
                <w:sz w:val="18"/>
                <w:szCs w:val="24"/>
                <w:lang w:val="en-US" w:eastAsia="ja-JP" w:bidi="ar-SA"/>
              </w:rPr>
              <w:t>); submission to the insurer refused while a required document is missing; settlement maker-checker (</w:t>
            </w:r>
            <w:r>
              <w:rPr>
                <w:rFonts w:eastAsia="Consolas" w:cs="Consolas" w:ascii="Consolas" w:hAnsi="Consolas"/>
                <w:color w:val="101820"/>
                <w:kern w:val="0"/>
                <w:sz w:val="16"/>
                <w:szCs w:val="24"/>
                <w:lang w:val="en-US" w:eastAsia="ja-JP" w:bidi="ar-SA"/>
              </w:rPr>
              <w:t>claims.settlement_maker_checker</w:t>
            </w:r>
            <w:r>
              <w:rPr>
                <w:rFonts w:eastAsia="Segoe UI" w:cs="Segoe UI" w:ascii="Segoe UI" w:hAnsi="Segoe UI"/>
                <w:color w:val="101820"/>
                <w:kern w:val="0"/>
                <w:sz w:val="18"/>
                <w:szCs w:val="24"/>
                <w:lang w:val="en-US" w:eastAsia="ja-JP" w:bidi="ar-SA"/>
              </w:rPr>
              <w:t>); AML screening of the payee at payout; SoD rule SOD-CLM-ACCT</w:t>
            </w:r>
          </w:p>
        </w:tc>
      </w:tr>
    </w:tbl>
    <w:p>
      <w:pPr>
        <w:pStyle w:val="Normal"/>
        <w:spacing w:before="0" w:after="80"/>
        <w:rPr/>
      </w:pPr>
      <w:r>
        <w:rPr/>
      </w:r>
    </w:p>
    <w:p>
      <w:pPr>
        <w:pStyle w:val="Normal"/>
        <w:numPr>
          <w:ilvl w:val="0"/>
          <w:numId w:val="145"/>
        </w:numPr>
        <w:spacing w:before="0" w:after="60"/>
        <w:rPr/>
      </w:pPr>
      <w:r>
        <w:rPr>
          <w:rFonts w:eastAsia="Segoe UI" w:cs="Segoe UI" w:ascii="Segoe UI" w:hAnsi="Segoe UI"/>
          <w:b/>
          <w:color w:val="101820"/>
          <w:sz w:val="21"/>
        </w:rPr>
        <w:t>Client.</w:t>
      </w:r>
      <w:r>
        <w:rPr>
          <w:rFonts w:eastAsia="Segoe UI" w:cs="Segoe UI" w:ascii="Segoe UI" w:hAnsi="Segoe UI"/>
          <w:color w:val="101820"/>
          <w:sz w:val="21"/>
        </w:rPr>
        <w:t xml:space="preserve"> Reports a loss.</w:t>
      </w:r>
    </w:p>
    <w:p>
      <w:pPr>
        <w:pStyle w:val="Normal"/>
        <w:numPr>
          <w:ilvl w:val="0"/>
          <w:numId w:val="146"/>
        </w:numPr>
        <w:spacing w:before="0" w:after="60"/>
        <w:rPr/>
      </w:pPr>
      <w:r>
        <w:rPr>
          <w:rFonts w:eastAsia="Segoe UI" w:cs="Segoe UI" w:ascii="Segoe UI" w:hAnsi="Segoe UI"/>
          <w:b/>
          <w:color w:val="101820"/>
          <w:sz w:val="21"/>
        </w:rPr>
        <w:t>Claims.</w:t>
      </w:r>
      <w:r>
        <w:rPr>
          <w:rFonts w:eastAsia="Segoe UI" w:cs="Segoe UI" w:ascii="Segoe UI" w:hAnsi="Segoe UI"/>
          <w:color w:val="101820"/>
          <w:sz w:val="21"/>
        </w:rPr>
        <w:t xml:space="preserve"> On the policy </w:t>
      </w:r>
      <w:r>
        <w:rPr>
          <w:rFonts w:eastAsia="Segoe UI" w:cs="Segoe UI" w:ascii="Segoe UI" w:hAnsi="Segoe UI"/>
          <w:b/>
          <w:color w:val="101820"/>
          <w:sz w:val="21"/>
        </w:rPr>
        <w:t>More actions</w:t>
      </w:r>
      <w:r>
        <w:rPr>
          <w:rFonts w:eastAsia="Segoe UI" w:cs="Segoe UI" w:ascii="Segoe UI" w:hAnsi="Segoe UI"/>
          <w:color w:val="101820"/>
          <w:sz w:val="21"/>
        </w:rPr>
        <w:t xml:space="preserve"> &gt; </w:t>
      </w:r>
      <w:r>
        <w:rPr>
          <w:rFonts w:eastAsia="Segoe UI" w:cs="Segoe UI" w:ascii="Segoe UI" w:hAnsi="Segoe UI"/>
          <w:b/>
          <w:color w:val="101820"/>
          <w:sz w:val="21"/>
        </w:rPr>
        <w:t>Claim</w:t>
      </w:r>
      <w:r>
        <w:rPr>
          <w:rFonts w:eastAsia="Segoe UI" w:cs="Segoe UI" w:ascii="Segoe UI" w:hAnsi="Segoe UI"/>
          <w:color w:val="101820"/>
          <w:sz w:val="21"/>
        </w:rPr>
        <w:t>: date and time of the incident, location, cause (</w:t>
      </w:r>
      <w:r>
        <w:rPr>
          <w:rFonts w:eastAsia="Consolas" w:cs="Consolas" w:ascii="Consolas" w:hAnsi="Consolas"/>
          <w:color w:val="101820"/>
          <w:sz w:val="19"/>
        </w:rPr>
        <w:t>claims.loss_causes</w:t>
      </w:r>
      <w:r>
        <w:rPr>
          <w:rFonts w:eastAsia="Segoe UI" w:cs="Segoe UI" w:ascii="Segoe UI" w:hAnsi="Segoe UI"/>
          <w:color w:val="101820"/>
          <w:sz w:val="21"/>
        </w:rPr>
        <w:t>), estimated amount, insurer claim number if known, driver (motor), third party, documents (PNG, JPEG or PDF, 2 MB each). The claim takes its number CLM-YYYY-NNNNN with status Pending.</w:t>
      </w:r>
    </w:p>
    <w:p>
      <w:pPr>
        <w:pStyle w:val="Normal"/>
        <w:numPr>
          <w:ilvl w:val="0"/>
          <w:numId w:val="147"/>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E-mails the Preliminary Loss Advice to the insurer (</w:t>
      </w:r>
      <w:r>
        <w:rPr>
          <w:rFonts w:eastAsia="Consolas" w:cs="Consolas" w:ascii="Consolas" w:hAnsi="Consolas"/>
          <w:color w:val="101820"/>
          <w:sz w:val="19"/>
        </w:rPr>
        <w:t>claims.pla_enabled</w:t>
      </w:r>
      <w:r>
        <w:rPr>
          <w:rFonts w:eastAsia="Segoe UI" w:cs="Segoe UI" w:ascii="Segoe UI" w:hAnsi="Segoe UI"/>
          <w:color w:val="101820"/>
          <w:sz w:val="21"/>
        </w:rPr>
        <w:t>), notifies the Claims users and the policy owner, sets the due date 20 days after reporting (</w:t>
      </w:r>
      <w:r>
        <w:rPr>
          <w:rFonts w:eastAsia="Consolas" w:cs="Consolas" w:ascii="Consolas" w:hAnsi="Consolas"/>
          <w:color w:val="101820"/>
          <w:sz w:val="19"/>
        </w:rPr>
        <w:t>claims.sla_days</w:t>
      </w:r>
      <w:r>
        <w:rPr>
          <w:rFonts w:eastAsia="Segoe UI" w:cs="Segoe UI" w:ascii="Segoe UI" w:hAnsi="Segoe UI"/>
          <w:color w:val="101820"/>
          <w:sz w:val="21"/>
        </w:rPr>
        <w:t>) and builds the claim's document checklist from Master &gt; Insurance &gt; Claim Document Checklist (line and claim type).</w:t>
      </w:r>
    </w:p>
    <w:p>
      <w:pPr>
        <w:pStyle w:val="Normal"/>
        <w:numPr>
          <w:ilvl w:val="0"/>
          <w:numId w:val="148"/>
        </w:numPr>
        <w:spacing w:before="0" w:after="60"/>
        <w:rPr/>
      </w:pPr>
      <w:r>
        <w:rPr>
          <w:rFonts w:eastAsia="Segoe UI" w:cs="Segoe UI" w:ascii="Segoe UI" w:hAnsi="Segoe UI"/>
          <w:b/>
          <w:color w:val="101820"/>
          <w:sz w:val="21"/>
        </w:rPr>
        <w:t>Claims.</w:t>
      </w:r>
      <w:r>
        <w:rPr>
          <w:rFonts w:eastAsia="Segoe UI" w:cs="Segoe UI" w:ascii="Segoe UI" w:hAnsi="Segoe UI"/>
          <w:color w:val="101820"/>
          <w:sz w:val="21"/>
        </w:rPr>
        <w:t xml:space="preserve"> Operations &gt; Claim Documents: </w:t>
      </w:r>
      <w:r>
        <w:rPr>
          <w:rFonts w:eastAsia="Segoe UI" w:cs="Segoe UI" w:ascii="Segoe UI" w:hAnsi="Segoe UI"/>
          <w:b/>
          <w:color w:val="101820"/>
          <w:sz w:val="21"/>
        </w:rPr>
        <w:t>Received</w:t>
      </w:r>
      <w:r>
        <w:rPr>
          <w:rFonts w:eastAsia="Segoe UI" w:cs="Segoe UI" w:ascii="Segoe UI" w:hAnsi="Segoe UI"/>
          <w:color w:val="101820"/>
          <w:sz w:val="21"/>
        </w:rPr>
        <w:t xml:space="preserve"> (or upload), </w:t>
      </w:r>
      <w:r>
        <w:rPr>
          <w:rFonts w:eastAsia="Segoe UI" w:cs="Segoe UI" w:ascii="Segoe UI" w:hAnsi="Segoe UI"/>
          <w:b/>
          <w:color w:val="101820"/>
          <w:sz w:val="21"/>
        </w:rPr>
        <w:t>Waive</w:t>
      </w:r>
      <w:r>
        <w:rPr>
          <w:rFonts w:eastAsia="Segoe UI" w:cs="Segoe UI" w:ascii="Segoe UI" w:hAnsi="Segoe UI"/>
          <w:color w:val="101820"/>
          <w:sz w:val="21"/>
        </w:rPr>
        <w:t xml:space="preserve"> with a reason, </w:t>
      </w:r>
      <w:r>
        <w:rPr>
          <w:rFonts w:eastAsia="Segoe UI" w:cs="Segoe UI" w:ascii="Segoe UI" w:hAnsi="Segoe UI"/>
          <w:b/>
          <w:color w:val="101820"/>
          <w:sz w:val="21"/>
        </w:rPr>
        <w:t>Add document</w:t>
      </w:r>
      <w:r>
        <w:rPr>
          <w:rFonts w:eastAsia="Segoe UI" w:cs="Segoe UI" w:ascii="Segoe UI" w:hAnsi="Segoe UI"/>
          <w:color w:val="101820"/>
          <w:sz w:val="21"/>
        </w:rPr>
        <w:t xml:space="preserve">; </w:t>
      </w:r>
      <w:r>
        <w:rPr>
          <w:rFonts w:eastAsia="Segoe UI" w:cs="Segoe UI" w:ascii="Segoe UI" w:hAnsi="Segoe UI"/>
          <w:b/>
          <w:color w:val="101820"/>
          <w:sz w:val="21"/>
        </w:rPr>
        <w:t>Remind the claimant</w:t>
      </w:r>
      <w:r>
        <w:rPr>
          <w:rFonts w:eastAsia="Segoe UI" w:cs="Segoe UI" w:ascii="Segoe UI" w:hAnsi="Segoe UI"/>
          <w:color w:val="101820"/>
          <w:sz w:val="21"/>
        </w:rPr>
        <w:t xml:space="preserve"> e-mails what is missing (the daily job repeats it every 3 days, </w:t>
      </w:r>
      <w:r>
        <w:rPr>
          <w:rFonts w:eastAsia="Consolas" w:cs="Consolas" w:ascii="Consolas" w:hAnsi="Consolas"/>
          <w:color w:val="101820"/>
          <w:sz w:val="19"/>
        </w:rPr>
        <w:t>claims.document_reminder_days</w:t>
      </w:r>
      <w:r>
        <w:rPr>
          <w:rFonts w:eastAsia="Segoe UI" w:cs="Segoe UI" w:ascii="Segoe UI" w:hAnsi="Segoe UI"/>
          <w:color w:val="101820"/>
          <w:sz w:val="21"/>
        </w:rPr>
        <w:t xml:space="preserve">); </w:t>
      </w:r>
      <w:r>
        <w:rPr>
          <w:rFonts w:eastAsia="Segoe UI" w:cs="Segoe UI" w:ascii="Segoe UI" w:hAnsi="Segoe UI"/>
          <w:b/>
          <w:color w:val="101820"/>
          <w:sz w:val="21"/>
        </w:rPr>
        <w:t>Submit to insurer</w:t>
      </w:r>
      <w:r>
        <w:rPr>
          <w:rFonts w:eastAsia="Segoe UI" w:cs="Segoe UI" w:ascii="Segoe UI" w:hAnsi="Segoe UI"/>
          <w:color w:val="101820"/>
          <w:sz w:val="21"/>
        </w:rPr>
        <w:t xml:space="preserve"> once every required document is in.</w:t>
      </w:r>
    </w:p>
    <w:p>
      <w:pPr>
        <w:pStyle w:val="Normal"/>
        <w:numPr>
          <w:ilvl w:val="0"/>
          <w:numId w:val="149"/>
        </w:numPr>
        <w:spacing w:before="0" w:after="60"/>
        <w:rPr/>
      </w:pPr>
      <w:r>
        <w:rPr>
          <w:rFonts w:eastAsia="Segoe UI" w:cs="Segoe UI" w:ascii="Segoe UI" w:hAnsi="Segoe UI"/>
          <w:b/>
          <w:color w:val="101820"/>
          <w:sz w:val="21"/>
        </w:rPr>
        <w:t>Insurer.</w:t>
      </w:r>
      <w:r>
        <w:rPr>
          <w:rFonts w:eastAsia="Segoe UI" w:cs="Segoe UI" w:ascii="Segoe UI" w:hAnsi="Segoe UI"/>
          <w:color w:val="101820"/>
          <w:sz w:val="21"/>
        </w:rPr>
        <w:t xml:space="preserve"> Assigns an adjuster and gives its claim number.</w:t>
      </w:r>
    </w:p>
    <w:p>
      <w:pPr>
        <w:pStyle w:val="Normal"/>
        <w:numPr>
          <w:ilvl w:val="0"/>
          <w:numId w:val="150"/>
        </w:numPr>
        <w:spacing w:before="0" w:after="60"/>
        <w:rPr/>
      </w:pPr>
      <w:r>
        <w:rPr>
          <w:rFonts w:eastAsia="Segoe UI" w:cs="Segoe UI" w:ascii="Segoe UI" w:hAnsi="Segoe UI"/>
          <w:b/>
          <w:color w:val="101820"/>
          <w:sz w:val="21"/>
        </w:rPr>
        <w:t>Claims.</w:t>
      </w:r>
      <w:r>
        <w:rPr>
          <w:rFonts w:eastAsia="Segoe UI" w:cs="Segoe UI" w:ascii="Segoe UI" w:hAnsi="Segoe UI"/>
          <w:color w:val="101820"/>
          <w:sz w:val="21"/>
        </w:rPr>
        <w:t xml:space="preserve"> </w:t>
      </w:r>
      <w:r>
        <w:rPr>
          <w:rFonts w:eastAsia="Segoe UI" w:cs="Segoe UI" w:ascii="Segoe UI" w:hAnsi="Segoe UI"/>
          <w:b/>
          <w:color w:val="101820"/>
          <w:sz w:val="21"/>
        </w:rPr>
        <w:t>Adjuster</w:t>
      </w:r>
      <w:r>
        <w:rPr>
          <w:rFonts w:eastAsia="Segoe UI" w:cs="Segoe UI" w:ascii="Segoe UI" w:hAnsi="Segoe UI"/>
          <w:color w:val="101820"/>
          <w:sz w:val="21"/>
        </w:rPr>
        <w:t xml:space="preserve"> report: adjuster, insurer claim number, dates, place, driver, third party, proof of loss. The claim is Processing.</w:t>
      </w:r>
    </w:p>
    <w:p>
      <w:pPr>
        <w:pStyle w:val="Normal"/>
        <w:numPr>
          <w:ilvl w:val="0"/>
          <w:numId w:val="151"/>
        </w:numPr>
        <w:spacing w:before="0" w:after="60"/>
        <w:rPr/>
      </w:pPr>
      <w:r>
        <w:rPr>
          <w:rFonts w:eastAsia="Segoe UI" w:cs="Segoe UI" w:ascii="Segoe UI" w:hAnsi="Segoe UI"/>
          <w:b/>
          <w:color w:val="101820"/>
          <w:sz w:val="21"/>
        </w:rPr>
        <w:t>Claims.</w:t>
      </w:r>
      <w:r>
        <w:rPr>
          <w:rFonts w:eastAsia="Segoe UI" w:cs="Segoe UI" w:ascii="Segoe UI" w:hAnsi="Segoe UI"/>
          <w:color w:val="101820"/>
          <w:sz w:val="21"/>
        </w:rPr>
        <w:t xml:space="preserve"> Decision: a motor claim with a repair?</w:t>
      </w:r>
    </w:p>
    <w:p>
      <w:pPr>
        <w:pStyle w:val="Normal"/>
        <w:numPr>
          <w:ilvl w:val="0"/>
          <w:numId w:val="152"/>
        </w:numPr>
        <w:spacing w:before="0" w:after="60"/>
        <w:rPr/>
      </w:pPr>
      <w:r>
        <w:rPr>
          <w:rFonts w:eastAsia="Segoe UI" w:cs="Segoe UI" w:ascii="Segoe UI" w:hAnsi="Segoe UI"/>
          <w:b/>
          <w:color w:val="101820"/>
          <w:sz w:val="21"/>
        </w:rPr>
        <w:t>Claims.</w:t>
      </w:r>
      <w:r>
        <w:rPr>
          <w:rFonts w:eastAsia="Segoe UI" w:cs="Segoe UI" w:ascii="Segoe UI" w:hAnsi="Segoe UI"/>
          <w:color w:val="101820"/>
          <w:sz w:val="21"/>
        </w:rPr>
        <w:t xml:space="preserve"> Operations &gt; Motor Claim Repairs: </w:t>
      </w:r>
      <w:r>
        <w:rPr>
          <w:rFonts w:eastAsia="Segoe UI" w:cs="Segoe UI" w:ascii="Segoe UI" w:hAnsi="Segoe UI"/>
          <w:b/>
          <w:color w:val="101820"/>
          <w:sz w:val="21"/>
        </w:rPr>
        <w:t>Record estimate</w:t>
      </w:r>
      <w:r>
        <w:rPr>
          <w:rFonts w:eastAsia="Segoe UI" w:cs="Segoe UI" w:ascii="Segoe UI" w:hAnsi="Segoe UI"/>
          <w:color w:val="101820"/>
          <w:sz w:val="21"/>
        </w:rPr>
        <w:t xml:space="preserve"> (accredited repair shop, parts, labour, paint, VAT), </w:t>
      </w:r>
      <w:r>
        <w:rPr>
          <w:rFonts w:eastAsia="Segoe UI" w:cs="Segoe UI" w:ascii="Segoe UI" w:hAnsi="Segoe UI"/>
          <w:b/>
          <w:color w:val="101820"/>
          <w:sz w:val="21"/>
        </w:rPr>
        <w:t>Record adjuster decision</w:t>
      </w:r>
      <w:r>
        <w:rPr>
          <w:rFonts w:eastAsia="Segoe UI" w:cs="Segoe UI" w:ascii="Segoe UI" w:hAnsi="Segoe UI"/>
          <w:color w:val="101820"/>
          <w:sz w:val="21"/>
        </w:rPr>
        <w:t xml:space="preserve"> (approved amount or rejection, insurer reference), </w:t>
      </w:r>
      <w:r>
        <w:rPr>
          <w:rFonts w:eastAsia="Segoe UI" w:cs="Segoe UI" w:ascii="Segoe UI" w:hAnsi="Segoe UI"/>
          <w:b/>
          <w:color w:val="101820"/>
          <w:sz w:val="21"/>
        </w:rPr>
        <w:t>Issue letter of authority</w:t>
      </w:r>
      <w:r>
        <w:rPr>
          <w:rFonts w:eastAsia="Segoe UI" w:cs="Segoe UI" w:ascii="Segoe UI" w:hAnsi="Segoe UI"/>
          <w:color w:val="101820"/>
          <w:sz w:val="21"/>
        </w:rPr>
        <w:t xml:space="preserve"> (LOA-, with the insured's participation, PHP 2,000 or 0.5% of the sum insured whichever is higher, and the depreciation on parts), supplementary estimates and letters, </w:t>
      </w:r>
      <w:r>
        <w:rPr>
          <w:rFonts w:eastAsia="Segoe UI" w:cs="Segoe UI" w:ascii="Segoe UI" w:hAnsi="Segoe UI"/>
          <w:b/>
          <w:color w:val="101820"/>
          <w:sz w:val="21"/>
        </w:rPr>
        <w:t>Release vehicle</w:t>
      </w:r>
      <w:r>
        <w:rPr>
          <w:rFonts w:eastAsia="Segoe UI" w:cs="Segoe UI" w:ascii="Segoe UI" w:hAnsi="Segoe UI"/>
          <w:color w:val="101820"/>
          <w:sz w:val="21"/>
        </w:rPr>
        <w:t xml:space="preserve"> with the release acknowledgement.</w:t>
      </w:r>
    </w:p>
    <w:p>
      <w:pPr>
        <w:pStyle w:val="Normal"/>
        <w:numPr>
          <w:ilvl w:val="0"/>
          <w:numId w:val="153"/>
        </w:numPr>
        <w:spacing w:before="0" w:after="60"/>
        <w:rPr/>
      </w:pPr>
      <w:r>
        <w:rPr>
          <w:rFonts w:eastAsia="Segoe UI" w:cs="Segoe UI" w:ascii="Segoe UI" w:hAnsi="Segoe UI"/>
          <w:b/>
          <w:color w:val="101820"/>
          <w:sz w:val="21"/>
        </w:rPr>
        <w:t>Claims.</w:t>
      </w:r>
      <w:r>
        <w:rPr>
          <w:rFonts w:eastAsia="Segoe UI" w:cs="Segoe UI" w:ascii="Segoe UI" w:hAnsi="Segoe UI"/>
          <w:color w:val="101820"/>
          <w:sz w:val="21"/>
        </w:rPr>
        <w:t xml:space="preserve"> </w:t>
      </w:r>
      <w:r>
        <w:rPr>
          <w:rFonts w:eastAsia="Segoe UI" w:cs="Segoe UI" w:ascii="Segoe UI" w:hAnsi="Segoe UI"/>
          <w:b/>
          <w:color w:val="101820"/>
          <w:sz w:val="21"/>
        </w:rPr>
        <w:t>Assessment</w:t>
      </w:r>
      <w:r>
        <w:rPr>
          <w:rFonts w:eastAsia="Segoe UI" w:cs="Segoe UI" w:ascii="Segoe UI" w:hAnsi="Segoe UI"/>
          <w:color w:val="101820"/>
          <w:sz w:val="21"/>
        </w:rPr>
        <w:t xml:space="preserve">: </w:t>
      </w:r>
      <w:r>
        <w:rPr>
          <w:rFonts w:eastAsia="Segoe UI" w:cs="Segoe UI" w:ascii="Segoe UI" w:hAnsi="Segoe UI"/>
          <w:b/>
          <w:color w:val="101820"/>
          <w:sz w:val="21"/>
        </w:rPr>
        <w:t>Proceed to settlement</w:t>
      </w:r>
      <w:r>
        <w:rPr>
          <w:rFonts w:eastAsia="Segoe UI" w:cs="Segoe UI" w:ascii="Segoe UI" w:hAnsi="Segoe UI"/>
          <w:color w:val="101820"/>
          <w:sz w:val="21"/>
        </w:rPr>
        <w:t xml:space="preserve"> (settlement type, amount, issue and settlement dates, documents) and </w:t>
      </w:r>
      <w:r>
        <w:rPr>
          <w:rFonts w:eastAsia="Segoe UI" w:cs="Segoe UI" w:ascii="Segoe UI" w:hAnsi="Segoe UI"/>
          <w:b/>
          <w:color w:val="101820"/>
          <w:sz w:val="21"/>
        </w:rPr>
        <w:t>Submit settlement</w:t>
      </w:r>
      <w:r>
        <w:rPr>
          <w:rFonts w:eastAsia="Segoe UI" w:cs="Segoe UI" w:ascii="Segoe UI" w:hAnsi="Segoe UI"/>
          <w:color w:val="101820"/>
          <w:sz w:val="21"/>
        </w:rPr>
        <w:t xml:space="preserve">, or </w:t>
      </w:r>
      <w:r>
        <w:rPr>
          <w:rFonts w:eastAsia="Segoe UI" w:cs="Segoe UI" w:ascii="Segoe UI" w:hAnsi="Segoe UI"/>
          <w:b/>
          <w:color w:val="101820"/>
          <w:sz w:val="21"/>
        </w:rPr>
        <w:t>Reject claim</w:t>
      </w:r>
      <w:r>
        <w:rPr>
          <w:rFonts w:eastAsia="Segoe UI" w:cs="Segoe UI" w:ascii="Segoe UI" w:hAnsi="Segoe UI"/>
          <w:color w:val="101820"/>
          <w:sz w:val="21"/>
        </w:rPr>
        <w:t xml:space="preserve"> with the reason. The claim goes to Pending Approval.</w:t>
      </w:r>
    </w:p>
    <w:p>
      <w:pPr>
        <w:pStyle w:val="Normal"/>
        <w:numPr>
          <w:ilvl w:val="0"/>
          <w:numId w:val="154"/>
        </w:numPr>
        <w:spacing w:before="0" w:after="60"/>
        <w:rPr/>
      </w:pPr>
      <w:r>
        <w:rPr>
          <w:rFonts w:eastAsia="Segoe UI" w:cs="Segoe UI" w:ascii="Segoe UI" w:hAnsi="Segoe UI"/>
          <w:b/>
          <w:color w:val="101820"/>
          <w:sz w:val="21"/>
        </w:rPr>
        <w:t>Claims (second user).</w:t>
      </w:r>
      <w:r>
        <w:rPr>
          <w:rFonts w:eastAsia="Segoe UI" w:cs="Segoe UI" w:ascii="Segoe UI" w:hAnsi="Segoe UI"/>
          <w:color w:val="101820"/>
          <w:sz w:val="21"/>
        </w:rPr>
        <w:t xml:space="preserve"> </w:t>
      </w:r>
      <w:r>
        <w:rPr>
          <w:rFonts w:eastAsia="Segoe UI" w:cs="Segoe UI" w:ascii="Segoe UI" w:hAnsi="Segoe UI"/>
          <w:b/>
          <w:color w:val="101820"/>
          <w:sz w:val="21"/>
        </w:rPr>
        <w:t>Approve settlement</w:t>
      </w:r>
      <w:r>
        <w:rPr>
          <w:rFonts w:eastAsia="Segoe UI" w:cs="Segoe UI" w:ascii="Segoe UI" w:hAnsi="Segoe UI"/>
          <w:color w:val="101820"/>
          <w:sz w:val="21"/>
        </w:rPr>
        <w:t xml:space="preserve">, or </w:t>
      </w:r>
      <w:r>
        <w:rPr>
          <w:rFonts w:eastAsia="Segoe UI" w:cs="Segoe UI" w:ascii="Segoe UI" w:hAnsi="Segoe UI"/>
          <w:b/>
          <w:color w:val="101820"/>
          <w:sz w:val="21"/>
        </w:rPr>
        <w:t>Return for correction</w:t>
      </w:r>
      <w:r>
        <w:rPr>
          <w:rFonts w:eastAsia="Segoe UI" w:cs="Segoe UI" w:ascii="Segoe UI" w:hAnsi="Segoe UI"/>
          <w:color w:val="101820"/>
          <w:sz w:val="21"/>
        </w:rPr>
        <w:t xml:space="preserve"> (step 9). The maker cannot approve.</w:t>
      </w:r>
    </w:p>
    <w:p>
      <w:pPr>
        <w:pStyle w:val="Normal"/>
        <w:numPr>
          <w:ilvl w:val="0"/>
          <w:numId w:val="155"/>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The claim is Settled (</w:t>
      </w:r>
      <w:r>
        <w:rPr>
          <w:rFonts w:eastAsia="Consolas" w:cs="Consolas" w:ascii="Consolas" w:hAnsi="Consolas"/>
          <w:color w:val="101820"/>
          <w:sz w:val="19"/>
        </w:rPr>
        <w:t>claims.auto_settle_on_approval</w:t>
      </w:r>
      <w:r>
        <w:rPr>
          <w:rFonts w:eastAsia="Segoe UI" w:cs="Segoe UI" w:ascii="Segoe UI" w:hAnsi="Segoe UI"/>
          <w:color w:val="101820"/>
          <w:sz w:val="21"/>
        </w:rPr>
        <w:t>); the maker is notified; the claimant gets a claim update SMS when switched on.</w:t>
      </w:r>
    </w:p>
    <w:p>
      <w:pPr>
        <w:pStyle w:val="Normal"/>
        <w:numPr>
          <w:ilvl w:val="0"/>
          <w:numId w:val="156"/>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Decision: is the settlement paid through the broker (settlement type)? If not, the insurer pays the claimant directly (step 17).</w:t>
      </w:r>
    </w:p>
    <w:p>
      <w:pPr>
        <w:pStyle w:val="Normal"/>
        <w:numPr>
          <w:ilvl w:val="0"/>
          <w:numId w:val="157"/>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Books, by insurer share, the amount recoverable from each insurer against the amount payable to the claimant (claim.settlement.paid_through_broker).</w:t>
      </w:r>
    </w:p>
    <w:p>
      <w:pPr>
        <w:pStyle w:val="Normal"/>
        <w:numPr>
          <w:ilvl w:val="0"/>
          <w:numId w:val="158"/>
        </w:numPr>
        <w:spacing w:before="0" w:after="60"/>
        <w:rPr/>
      </w:pPr>
      <w:r>
        <w:rPr>
          <w:rFonts w:eastAsia="Segoe UI" w:cs="Segoe UI" w:ascii="Segoe UI" w:hAnsi="Segoe UI"/>
          <w:b/>
          <w:color w:val="101820"/>
          <w:sz w:val="21"/>
        </w:rPr>
        <w:t>Insurer.</w:t>
      </w:r>
      <w:r>
        <w:rPr>
          <w:rFonts w:eastAsia="Segoe UI" w:cs="Segoe UI" w:ascii="Segoe UI" w:hAnsi="Segoe UI"/>
          <w:color w:val="101820"/>
          <w:sz w:val="21"/>
        </w:rPr>
        <w:t xml:space="preserve"> Remits the claim funds to the broker.</w:t>
      </w:r>
    </w:p>
    <w:p>
      <w:pPr>
        <w:pStyle w:val="Normal"/>
        <w:numPr>
          <w:ilvl w:val="0"/>
          <w:numId w:val="159"/>
        </w:numPr>
        <w:spacing w:before="0" w:after="60"/>
        <w:rPr/>
      </w:pPr>
      <w:r>
        <w:rPr>
          <w:rFonts w:eastAsia="Segoe UI" w:cs="Segoe UI" w:ascii="Segoe UI" w:hAnsi="Segoe UI"/>
          <w:b/>
          <w:color w:val="101820"/>
          <w:sz w:val="21"/>
        </w:rPr>
        <w:t>Accounting.</w:t>
      </w:r>
      <w:r>
        <w:rPr>
          <w:rFonts w:eastAsia="Segoe UI" w:cs="Segoe UI" w:ascii="Segoe UI" w:hAnsi="Segoe UI"/>
          <w:color w:val="101820"/>
          <w:sz w:val="21"/>
        </w:rPr>
        <w:t xml:space="preserve"> Accounts &gt; Claims Settlements &gt; </w:t>
      </w:r>
      <w:r>
        <w:rPr>
          <w:rFonts w:eastAsia="Segoe UI" w:cs="Segoe UI" w:ascii="Segoe UI" w:hAnsi="Segoe UI"/>
          <w:b/>
          <w:color w:val="101820"/>
          <w:sz w:val="21"/>
        </w:rPr>
        <w:t>Funds received</w:t>
      </w:r>
      <w:r>
        <w:rPr>
          <w:rFonts w:eastAsia="Segoe UI" w:cs="Segoe UI" w:ascii="Segoe UI" w:hAnsi="Segoe UI"/>
          <w:color w:val="101820"/>
          <w:sz w:val="21"/>
        </w:rPr>
        <w:t>: insurer, amount (never above its share), bank account, remittance advice (claim.funds_received).</w:t>
      </w:r>
    </w:p>
    <w:p>
      <w:pPr>
        <w:pStyle w:val="Normal"/>
        <w:numPr>
          <w:ilvl w:val="0"/>
          <w:numId w:val="160"/>
        </w:numPr>
        <w:spacing w:before="0" w:after="60"/>
        <w:rPr/>
      </w:pPr>
      <w:r>
        <w:rPr>
          <w:rFonts w:eastAsia="Segoe UI" w:cs="Segoe UI" w:ascii="Segoe UI" w:hAnsi="Segoe UI"/>
          <w:b/>
          <w:color w:val="101820"/>
          <w:sz w:val="21"/>
        </w:rPr>
        <w:t>Accounting.</w:t>
      </w:r>
      <w:r>
        <w:rPr>
          <w:rFonts w:eastAsia="Segoe UI" w:cs="Segoe UI" w:ascii="Segoe UI" w:hAnsi="Segoe UI"/>
          <w:color w:val="101820"/>
          <w:sz w:val="21"/>
        </w:rPr>
        <w:t xml:space="preserve"> </w:t>
      </w:r>
      <w:r>
        <w:rPr>
          <w:rFonts w:eastAsia="Segoe UI" w:cs="Segoe UI" w:ascii="Segoe UI" w:hAnsi="Segoe UI"/>
          <w:b/>
          <w:color w:val="101820"/>
          <w:sz w:val="21"/>
        </w:rPr>
        <w:t>Pay claimant</w:t>
      </w:r>
      <w:r>
        <w:rPr>
          <w:rFonts w:eastAsia="Segoe UI" w:cs="Segoe UI" w:ascii="Segoe UI" w:hAnsi="Segoe UI"/>
          <w:color w:val="101820"/>
          <w:sz w:val="21"/>
        </w:rPr>
        <w:t xml:space="preserve">: payee, mode, bank account, reference; the claim payment voucher (CPV-YYYY-NNNNN) prints; claim.paid_to_claimant posts. </w:t>
      </w:r>
      <w:r>
        <w:rPr>
          <w:rFonts w:eastAsia="Segoe UI" w:cs="Segoe UI" w:ascii="Segoe UI" w:hAnsi="Segoe UI"/>
          <w:b/>
          <w:color w:val="101820"/>
          <w:sz w:val="21"/>
        </w:rPr>
        <w:t>Release form</w:t>
      </w:r>
      <w:r>
        <w:rPr>
          <w:rFonts w:eastAsia="Segoe UI" w:cs="Segoe UI" w:ascii="Segoe UI" w:hAnsi="Segoe UI"/>
          <w:color w:val="101820"/>
          <w:sz w:val="21"/>
        </w:rPr>
        <w:t xml:space="preserve"> prints the release and quitclaim.</w:t>
      </w:r>
    </w:p>
    <w:p>
      <w:pPr>
        <w:pStyle w:val="Normal"/>
        <w:numPr>
          <w:ilvl w:val="0"/>
          <w:numId w:val="161"/>
        </w:numPr>
        <w:spacing w:before="0" w:after="60"/>
        <w:rPr/>
      </w:pPr>
      <w:r>
        <w:rPr>
          <w:rFonts w:eastAsia="Segoe UI" w:cs="Segoe UI" w:ascii="Segoe UI" w:hAnsi="Segoe UI"/>
          <w:b/>
          <w:color w:val="101820"/>
          <w:sz w:val="21"/>
        </w:rPr>
        <w:t>End.</w:t>
      </w:r>
      <w:r>
        <w:rPr>
          <w:rFonts w:eastAsia="Segoe UI" w:cs="Segoe UI" w:ascii="Segoe UI" w:hAnsi="Segoe UI"/>
          <w:color w:val="101820"/>
          <w:sz w:val="21"/>
        </w:rPr>
        <w:t xml:space="preserve"> The claimant is paid; the claim is closed.</w:t>
      </w:r>
    </w:p>
    <w:p>
      <w:pPr>
        <w:pStyle w:val="Normal"/>
        <w:spacing w:lineRule="auto" w:line="276" w:before="0" w:after="120"/>
        <w:rPr/>
      </w:pPr>
      <w:r>
        <w:rPr>
          <w:rFonts w:eastAsia="Segoe UI" w:cs="Segoe UI" w:ascii="Segoe UI" w:hAnsi="Segoe UI"/>
          <w:b/>
          <w:color w:val="101820"/>
          <w:sz w:val="21"/>
        </w:rPr>
        <w:t>Exceptions</w:t>
      </w:r>
    </w:p>
    <w:p>
      <w:pPr>
        <w:pStyle w:val="Normal"/>
        <w:numPr>
          <w:ilvl w:val="0"/>
          <w:numId w:val="1"/>
        </w:numPr>
        <w:spacing w:before="0" w:after="60"/>
        <w:rPr/>
      </w:pPr>
      <w:r>
        <w:rPr>
          <w:rFonts w:eastAsia="Segoe UI" w:cs="Segoe UI" w:ascii="Segoe UI" w:hAnsi="Segoe UI"/>
          <w:color w:val="101820"/>
          <w:sz w:val="21"/>
        </w:rPr>
        <w:t>Claim refused: date of loss outside the policy period or in the future; premium unpaid.</w:t>
      </w:r>
    </w:p>
    <w:p>
      <w:pPr>
        <w:pStyle w:val="Normal"/>
        <w:numPr>
          <w:ilvl w:val="0"/>
          <w:numId w:val="1"/>
        </w:numPr>
        <w:spacing w:before="0" w:after="60"/>
        <w:rPr/>
      </w:pPr>
      <w:r>
        <w:rPr>
          <w:rFonts w:eastAsia="Segoe UI" w:cs="Segoe UI" w:ascii="Segoe UI" w:hAnsi="Segoe UI"/>
          <w:color w:val="101820"/>
          <w:sz w:val="21"/>
        </w:rPr>
        <w:t>A payee with an undecided or confirmed screening match: the payment is refused (F11). A claim payment to a payee whose name does not match the client raises an AML alert.</w:t>
      </w:r>
    </w:p>
    <w:p>
      <w:pPr>
        <w:pStyle w:val="Normal"/>
        <w:numPr>
          <w:ilvl w:val="0"/>
          <w:numId w:val="1"/>
        </w:numPr>
        <w:spacing w:before="0" w:after="60"/>
        <w:rPr/>
      </w:pPr>
      <w:r>
        <w:rPr>
          <w:rFonts w:eastAsia="Segoe UI" w:cs="Segoe UI" w:ascii="Segoe UI" w:hAnsi="Segoe UI"/>
          <w:color w:val="101820"/>
          <w:sz w:val="21"/>
        </w:rPr>
        <w:t xml:space="preserve">Reinsurance recoveries on claims under a treaty: Reinsurance &gt; Claims Recovery &gt; </w:t>
      </w:r>
      <w:r>
        <w:rPr>
          <w:rFonts w:eastAsia="Segoe UI" w:cs="Segoe UI" w:ascii="Segoe UI" w:hAnsi="Segoe UI"/>
          <w:b/>
          <w:color w:val="101820"/>
          <w:sz w:val="21"/>
        </w:rPr>
        <w:t>Register Recovery</w:t>
      </w:r>
      <w:r>
        <w:rPr>
          <w:rFonts w:eastAsia="Segoe UI" w:cs="Segoe UI" w:ascii="Segoe UI" w:hAnsi="Segoe UI"/>
          <w:color w:val="101820"/>
          <w:sz w:val="21"/>
        </w:rPr>
        <w:t xml:space="preserve"> (ri.recovery).</w:t>
      </w:r>
    </w:p>
    <w:p>
      <w:pPr>
        <w:pStyle w:val="Normal"/>
        <w:numPr>
          <w:ilvl w:val="0"/>
          <w:numId w:val="1"/>
        </w:numPr>
        <w:spacing w:before="0" w:after="60"/>
        <w:rPr/>
      </w:pPr>
      <w:r>
        <w:rPr>
          <w:rFonts w:eastAsia="Segoe UI" w:cs="Segoe UI" w:ascii="Segoe UI" w:hAnsi="Segoe UI"/>
          <w:color w:val="101820"/>
          <w:sz w:val="21"/>
        </w:rPr>
        <w:t>An insurer without an API sends its claim statuses as a CSV file (Master &gt; System Configuration &gt; Insurer Integration &gt; Claim status file).</w:t>
      </w:r>
      <w:r>
        <w:br w:type="page"/>
      </w:r>
    </w:p>
    <w:p>
      <w:pPr>
        <w:pStyle w:val="Heading1"/>
        <w:rPr/>
      </w:pPr>
      <w:bookmarkStart w:id="29" w:name="__RefHeading___Toc19301_1497462395"/>
      <w:bookmarkEnd w:id="29"/>
      <w:r>
        <w:rPr>
          <w:rFonts w:eastAsia="Segoe UI" w:cs="Segoe UI" w:ascii="Segoe UI" w:hAnsi="Segoe UI"/>
          <w:b/>
          <w:color w:val="0F4761"/>
          <w:sz w:val="32"/>
        </w:rPr>
        <w:t>8.  Finance close and tax</w:t>
      </w:r>
    </w:p>
    <w:p>
      <w:pPr>
        <w:pStyle w:val="Heading2"/>
        <w:rPr/>
      </w:pPr>
      <w:bookmarkStart w:id="30" w:name="__RefHeading___Toc19303_1497462395"/>
      <w:bookmarkEnd w:id="30"/>
      <w:r>
        <w:rPr>
          <w:rFonts w:eastAsia="Segoe UI" w:cs="Segoe UI"/>
          <w:b/>
          <w:color w:val="0F4761"/>
          <w:sz w:val="26"/>
        </w:rPr>
        <w:t>8.1  F09 Month-end and year-end close</w:t>
      </w:r>
    </w:p>
    <w:p>
      <w:pPr>
        <w:pStyle w:val="Normal"/>
        <w:spacing w:lineRule="auto" w:line="276" w:before="0" w:after="120"/>
        <w:rPr/>
      </w:pPr>
      <w:r>
        <w:rPr>
          <w:rFonts w:eastAsia="Segoe UI" w:cs="Segoe UI" w:ascii="Segoe UI" w:hAnsi="Segoe UI"/>
          <w:color w:val="101820"/>
          <w:sz w:val="21"/>
        </w:rPr>
        <w:t>Each month the bank and insurer reconciliations are approved, the close run executes its steps and checklist, and the Accounting Manager approves the close. After the twelfth month the year is closed.</w:t>
      </w:r>
    </w:p>
    <w:p>
      <w:pPr>
        <w:pStyle w:val="Normal"/>
        <w:jc w:val="center"/>
        <w:rPr/>
      </w:pPr>
      <w:r>
        <w:rPr/>
        <w:drawing>
          <wp:inline distT="0" distB="0" distL="0" distR="0">
            <wp:extent cx="5760085" cy="7194550"/>
            <wp:effectExtent l="0" t="0" r="0" b="0"/>
            <wp:docPr id="20" name="Picture 21212882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21288200" descr=""/>
                    <pic:cNvPicPr>
                      <a:picLocks noChangeAspect="1" noChangeArrowheads="1"/>
                    </pic:cNvPicPr>
                  </pic:nvPicPr>
                  <pic:blipFill>
                    <a:blip r:embed="rId16"/>
                    <a:stretch>
                      <a:fillRect/>
                    </a:stretch>
                  </pic:blipFill>
                  <pic:spPr bwMode="auto">
                    <a:xfrm>
                      <a:off x="0" y="0"/>
                      <a:ext cx="5760085" cy="7194550"/>
                    </a:xfrm>
                    <a:prstGeom prst="rect">
                      <a:avLst/>
                    </a:prstGeom>
                  </pic:spPr>
                </pic:pic>
              </a:graphicData>
            </a:graphic>
          </wp:inline>
        </w:drawing>
      </w:r>
    </w:p>
    <w:p>
      <w:pPr>
        <w:pStyle w:val="Normal"/>
        <w:jc w:val="center"/>
        <w:rPr/>
      </w:pPr>
      <w:r>
        <w:rPr>
          <w:rFonts w:eastAsia="Segoe UI" w:cs="Segoe UI" w:ascii="Segoe UI" w:hAnsi="Segoe UI"/>
          <w:i/>
          <w:color w:val="555F6D"/>
          <w:sz w:val="18"/>
        </w:rPr>
        <w:t>F09 Month-end and year-end close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44"/>
        <w:gridCol w:w="7370"/>
      </w:tblGrid>
      <w:tr>
        <w:trPr>
          <w:tblHeader w:val="true"/>
        </w:trPr>
        <w:tc>
          <w:tcPr>
            <w:tcW w:w="16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At a glance</w:t>
            </w:r>
          </w:p>
        </w:tc>
        <w:tc>
          <w:tcPr>
            <w:tcW w:w="73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end of an accounting period</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(preparer); Accounting Manager (approver); BrokerVerse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 Accounts &gt; Insurer Reconciliation; Accounts &gt; Period End (Period Management, Month-End Close, Year-End Close, Recurring Journals, Financial Statements); Reports &gt; Financial Reports &gt; Month-End Close Status</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Accruals and their reversal, recurring journals, commission deferral, FX revaluation, fa.depreciation, bank adjustments, insurer_statement.adjustment, year-end closing entries in period 13</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 Statement (BRC-), insurer statement reconciliation (ISR-), close run (MEC-), year-end close (YEC-), financial statements</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Approver different from the preparer (</w:t>
            </w:r>
            <w:r>
              <w:rPr>
                <w:rFonts w:eastAsia="Consolas" w:cs="Consolas" w:ascii="Consolas" w:hAnsi="Consolas"/>
                <w:color w:val="101820"/>
                <w:kern w:val="0"/>
                <w:sz w:val="16"/>
                <w:szCs w:val="24"/>
                <w:lang w:val="en-US" w:eastAsia="ja-JP" w:bidi="ar-SA"/>
              </w:rPr>
              <w:t>accounting.period_close_requires_approval</w:t>
            </w:r>
            <w:r>
              <w:rPr>
                <w:rFonts w:eastAsia="Segoe UI" w:cs="Segoe UI" w:ascii="Segoe UI" w:hAnsi="Segoe UI"/>
                <w:color w:val="101820"/>
                <w:kern w:val="0"/>
                <w:sz w:val="18"/>
                <w:szCs w:val="24"/>
                <w:lang w:val="en-US" w:eastAsia="ja-JP" w:bidi="ar-SA"/>
              </w:rPr>
              <w:t>); blocking checklist items stop the submit; soft-closed periods accept postings only from the Accounting Manager; closed periods none</w:t>
            </w:r>
          </w:p>
        </w:tc>
      </w:tr>
    </w:tbl>
    <w:p>
      <w:pPr>
        <w:pStyle w:val="Normal"/>
        <w:spacing w:before="0" w:after="80"/>
        <w:rPr/>
      </w:pPr>
      <w:r>
        <w:rPr/>
      </w:r>
    </w:p>
    <w:p>
      <w:pPr>
        <w:pStyle w:val="Normal"/>
        <w:numPr>
          <w:ilvl w:val="0"/>
          <w:numId w:val="162"/>
        </w:numPr>
        <w:spacing w:before="0" w:after="60"/>
        <w:rPr/>
      </w:pPr>
      <w:r>
        <w:rPr>
          <w:rFonts w:eastAsia="Segoe UI" w:cs="Segoe UI" w:ascii="Segoe UI" w:hAnsi="Segoe UI"/>
          <w:b/>
          <w:color w:val="101820"/>
          <w:sz w:val="21"/>
        </w:rPr>
        <w:t>Accounting.</w:t>
      </w:r>
      <w:r>
        <w:rPr>
          <w:rFonts w:eastAsia="Segoe UI" w:cs="Segoe UI" w:ascii="Segoe UI" w:hAnsi="Segoe UI"/>
          <w:color w:val="101820"/>
          <w:sz w:val="21"/>
        </w:rPr>
        <w:t xml:space="preserve"> For each bank account: </w:t>
      </w:r>
      <w:r>
        <w:rPr>
          <w:rFonts w:eastAsia="Segoe UI" w:cs="Segoe UI" w:ascii="Segoe UI" w:hAnsi="Segoe UI"/>
          <w:b/>
          <w:color w:val="101820"/>
          <w:sz w:val="21"/>
        </w:rPr>
        <w:t>Import statement</w:t>
      </w:r>
      <w:r>
        <w:rPr>
          <w:rFonts w:eastAsia="Segoe UI" w:cs="Segoe UI" w:ascii="Segoe UI" w:hAnsi="Segoe UI"/>
          <w:color w:val="101820"/>
          <w:sz w:val="21"/>
        </w:rPr>
        <w:t xml:space="preserve"> (BST-; balanced statement, duplicate files refused), </w:t>
      </w:r>
      <w:r>
        <w:rPr>
          <w:rFonts w:eastAsia="Segoe UI" w:cs="Segoe UI" w:ascii="Segoe UI" w:hAnsi="Segoe UI"/>
          <w:b/>
          <w:color w:val="101820"/>
          <w:sz w:val="21"/>
        </w:rPr>
        <w:t>Auto-match</w:t>
      </w:r>
      <w:r>
        <w:rPr>
          <w:rFonts w:eastAsia="Segoe UI" w:cs="Segoe UI" w:ascii="Segoe UI" w:hAnsi="Segoe UI"/>
          <w:color w:val="101820"/>
          <w:sz w:val="21"/>
        </w:rPr>
        <w:t xml:space="preserve">, manual matches, adjustments for charges, interest and direct credits, then </w:t>
      </w:r>
      <w:r>
        <w:rPr>
          <w:rFonts w:eastAsia="Segoe UI" w:cs="Segoe UI" w:ascii="Segoe UI" w:hAnsi="Segoe UI"/>
          <w:b/>
          <w:color w:val="101820"/>
          <w:sz w:val="21"/>
        </w:rPr>
        <w:t>New reconciliation</w:t>
      </w:r>
      <w:r>
        <w:rPr>
          <w:rFonts w:eastAsia="Segoe UI" w:cs="Segoe UI" w:ascii="Segoe UI" w:hAnsi="Segoe UI"/>
          <w:color w:val="101820"/>
          <w:sz w:val="21"/>
        </w:rPr>
        <w:t xml:space="preserve"> (BRC-) with a difference of PHP 0.00, prepared.</w:t>
      </w:r>
    </w:p>
    <w:p>
      <w:pPr>
        <w:pStyle w:val="Normal"/>
        <w:numPr>
          <w:ilvl w:val="0"/>
          <w:numId w:val="163"/>
        </w:numPr>
        <w:spacing w:before="0" w:after="60"/>
        <w:rPr/>
      </w:pPr>
      <w:r>
        <w:rPr>
          <w:rFonts w:eastAsia="Segoe UI" w:cs="Segoe UI" w:ascii="Segoe UI" w:hAnsi="Segoe UI"/>
          <w:b/>
          <w:color w:val="101820"/>
          <w:sz w:val="21"/>
        </w:rPr>
        <w:t>Accounting Manager.</w:t>
      </w:r>
      <w:r>
        <w:rPr>
          <w:rFonts w:eastAsia="Segoe UI" w:cs="Segoe UI" w:ascii="Segoe UI" w:hAnsi="Segoe UI"/>
          <w:color w:val="101820"/>
          <w:sz w:val="21"/>
        </w:rPr>
        <w:t xml:space="preserve"> Approves each reconciliation (the matches up to the period end are locked).</w:t>
      </w:r>
    </w:p>
    <w:p>
      <w:pPr>
        <w:pStyle w:val="Normal"/>
        <w:numPr>
          <w:ilvl w:val="0"/>
          <w:numId w:val="164"/>
        </w:numPr>
        <w:spacing w:before="0" w:after="60"/>
        <w:rPr/>
      </w:pPr>
      <w:r>
        <w:rPr>
          <w:rFonts w:eastAsia="Segoe UI" w:cs="Segoe UI" w:ascii="Segoe UI" w:hAnsi="Segoe UI"/>
          <w:b/>
          <w:color w:val="101820"/>
          <w:sz w:val="21"/>
        </w:rPr>
        <w:t>Accounting.</w:t>
      </w:r>
      <w:r>
        <w:rPr>
          <w:rFonts w:eastAsia="Segoe UI" w:cs="Segoe UI" w:ascii="Segoe UI" w:hAnsi="Segoe UI"/>
          <w:color w:val="101820"/>
          <w:sz w:val="21"/>
        </w:rPr>
        <w:t xml:space="preserve"> For each insurer: </w:t>
      </w:r>
      <w:r>
        <w:rPr>
          <w:rFonts w:eastAsia="Segoe UI" w:cs="Segoe UI" w:ascii="Segoe UI" w:hAnsi="Segoe UI"/>
          <w:b/>
          <w:color w:val="101820"/>
          <w:sz w:val="21"/>
        </w:rPr>
        <w:t>Import statement</w:t>
      </w:r>
      <w:r>
        <w:rPr>
          <w:rFonts w:eastAsia="Segoe UI" w:cs="Segoe UI" w:ascii="Segoe UI" w:hAnsi="Segoe UI"/>
          <w:color w:val="101820"/>
          <w:sz w:val="21"/>
        </w:rPr>
        <w:t xml:space="preserve">, </w:t>
      </w:r>
      <w:r>
        <w:rPr>
          <w:rFonts w:eastAsia="Segoe UI" w:cs="Segoe UI" w:ascii="Segoe UI" w:hAnsi="Segoe UI"/>
          <w:b/>
          <w:color w:val="101820"/>
          <w:sz w:val="21"/>
        </w:rPr>
        <w:t>Import and match</w:t>
      </w:r>
      <w:r>
        <w:rPr>
          <w:rFonts w:eastAsia="Segoe UI" w:cs="Segoe UI" w:ascii="Segoe UI" w:hAnsi="Segoe UI"/>
          <w:color w:val="101820"/>
          <w:sz w:val="21"/>
        </w:rPr>
        <w:t xml:space="preserve"> (ISR-), resolve every difference (</w:t>
      </w:r>
      <w:r>
        <w:rPr>
          <w:rFonts w:eastAsia="Consolas" w:cs="Consolas" w:ascii="Consolas" w:hAnsi="Consolas"/>
          <w:color w:val="101820"/>
          <w:sz w:val="19"/>
        </w:rPr>
        <w:t>insurer_reconciliation.require_resolved</w:t>
      </w:r>
      <w:r>
        <w:rPr>
          <w:rFonts w:eastAsia="Segoe UI" w:cs="Segoe UI" w:ascii="Segoe UI" w:hAnsi="Segoe UI"/>
          <w:color w:val="101820"/>
          <w:sz w:val="21"/>
        </w:rPr>
        <w:t>), submit.</w:t>
      </w:r>
    </w:p>
    <w:p>
      <w:pPr>
        <w:pStyle w:val="Normal"/>
        <w:numPr>
          <w:ilvl w:val="0"/>
          <w:numId w:val="165"/>
        </w:numPr>
        <w:spacing w:before="0" w:after="60"/>
        <w:rPr/>
      </w:pPr>
      <w:r>
        <w:rPr>
          <w:rFonts w:eastAsia="Segoe UI" w:cs="Segoe UI" w:ascii="Segoe UI" w:hAnsi="Segoe UI"/>
          <w:b/>
          <w:color w:val="101820"/>
          <w:sz w:val="21"/>
        </w:rPr>
        <w:t>Accounting Manager.</w:t>
      </w:r>
      <w:r>
        <w:rPr>
          <w:rFonts w:eastAsia="Segoe UI" w:cs="Segoe UI" w:ascii="Segoe UI" w:hAnsi="Segoe UI"/>
          <w:color w:val="101820"/>
          <w:sz w:val="21"/>
        </w:rPr>
        <w:t xml:space="preserve"> Approves the insurer statement reconciliations.</w:t>
      </w:r>
    </w:p>
    <w:p>
      <w:pPr>
        <w:pStyle w:val="Normal"/>
        <w:numPr>
          <w:ilvl w:val="0"/>
          <w:numId w:val="166"/>
        </w:numPr>
        <w:spacing w:before="0" w:after="60"/>
        <w:rPr/>
      </w:pPr>
      <w:r>
        <w:rPr>
          <w:rFonts w:eastAsia="Segoe UI" w:cs="Segoe UI" w:ascii="Segoe UI" w:hAnsi="Segoe UI"/>
          <w:b/>
          <w:color w:val="101820"/>
          <w:sz w:val="21"/>
        </w:rPr>
        <w:t>Accounting.</w:t>
      </w:r>
      <w:r>
        <w:rPr>
          <w:rFonts w:eastAsia="Segoe UI" w:cs="Segoe UI" w:ascii="Segoe UI" w:hAnsi="Segoe UI"/>
          <w:color w:val="101820"/>
          <w:sz w:val="21"/>
        </w:rPr>
        <w:t xml:space="preserve"> Month-End Close &gt; </w:t>
      </w:r>
      <w:r>
        <w:rPr>
          <w:rFonts w:eastAsia="Segoe UI" w:cs="Segoe UI" w:ascii="Segoe UI" w:hAnsi="Segoe UI"/>
          <w:b/>
          <w:color w:val="101820"/>
          <w:sz w:val="21"/>
        </w:rPr>
        <w:t>New close run</w:t>
      </w:r>
      <w:r>
        <w:rPr>
          <w:rFonts w:eastAsia="Segoe UI" w:cs="Segoe UI" w:ascii="Segoe UI" w:hAnsi="Segoe UI"/>
          <w:color w:val="101820"/>
          <w:sz w:val="21"/>
        </w:rPr>
        <w:t xml:space="preserve"> for the period (MEC-YYYY-NNNNN).</w:t>
      </w:r>
    </w:p>
    <w:p>
      <w:pPr>
        <w:pStyle w:val="Normal"/>
        <w:numPr>
          <w:ilvl w:val="0"/>
          <w:numId w:val="167"/>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Runs the steps in order: (a) accruals, (b) recurring journals, (c) commission deferral (skipped when off), (d) FX revaluation, (e) depreciation of the fixed asset register (</w:t>
      </w:r>
      <w:r>
        <w:rPr>
          <w:rFonts w:eastAsia="Consolas" w:cs="Consolas" w:ascii="Consolas" w:hAnsi="Consolas"/>
          <w:color w:val="101820"/>
          <w:sz w:val="19"/>
        </w:rPr>
        <w:t>fixed_assets.depreciation_in_month_end</w:t>
      </w:r>
      <w:r>
        <w:rPr>
          <w:rFonts w:eastAsia="Segoe UI" w:cs="Segoe UI" w:ascii="Segoe UI" w:hAnsi="Segoe UI"/>
          <w:color w:val="101820"/>
          <w:sz w:val="21"/>
        </w:rPr>
        <w:t>), (f) checklist (no unposted journals, TB balances, suspense cleared as blocking; unapplied receipts, unreconciled bank lines, sub-ledgers tie out, issued policies billed, remittances paid, direct-bill commission billed as warnings; the manual items).</w:t>
      </w:r>
    </w:p>
    <w:p>
      <w:pPr>
        <w:pStyle w:val="Normal"/>
        <w:numPr>
          <w:ilvl w:val="0"/>
          <w:numId w:val="168"/>
        </w:numPr>
        <w:spacing w:before="0" w:after="60"/>
        <w:rPr/>
      </w:pPr>
      <w:r>
        <w:rPr>
          <w:rFonts w:eastAsia="Segoe UI" w:cs="Segoe UI" w:ascii="Segoe UI" w:hAnsi="Segoe UI"/>
          <w:b/>
          <w:color w:val="101820"/>
          <w:sz w:val="21"/>
        </w:rPr>
        <w:t>Accounting.</w:t>
      </w:r>
      <w:r>
        <w:rPr>
          <w:rFonts w:eastAsia="Segoe UI" w:cs="Segoe UI" w:ascii="Segoe UI" w:hAnsi="Segoe UI"/>
          <w:color w:val="101820"/>
          <w:sz w:val="21"/>
        </w:rPr>
        <w:t xml:space="preserve"> Fixes what failed and re-runs the checks, signs off each manual item, </w:t>
      </w:r>
      <w:r>
        <w:rPr>
          <w:rFonts w:eastAsia="Segoe UI" w:cs="Segoe UI" w:ascii="Segoe UI" w:hAnsi="Segoe UI"/>
          <w:b/>
          <w:color w:val="101820"/>
          <w:sz w:val="21"/>
        </w:rPr>
        <w:t>Submit</w:t>
      </w:r>
      <w:r>
        <w:rPr>
          <w:rFonts w:eastAsia="Segoe UI" w:cs="Segoe UI" w:ascii="Segoe UI" w:hAnsi="Segoe UI"/>
          <w:color w:val="101820"/>
          <w:sz w:val="21"/>
        </w:rPr>
        <w:t xml:space="preserve"> the close.</w:t>
      </w:r>
    </w:p>
    <w:p>
      <w:pPr>
        <w:pStyle w:val="Normal"/>
        <w:numPr>
          <w:ilvl w:val="0"/>
          <w:numId w:val="169"/>
        </w:numPr>
        <w:spacing w:before="0" w:after="60"/>
        <w:rPr/>
      </w:pPr>
      <w:r>
        <w:rPr>
          <w:rFonts w:eastAsia="Segoe UI" w:cs="Segoe UI" w:ascii="Segoe UI" w:hAnsi="Segoe UI"/>
          <w:b/>
          <w:color w:val="101820"/>
          <w:sz w:val="21"/>
        </w:rPr>
        <w:t>Accounting Manager.</w:t>
      </w:r>
      <w:r>
        <w:rPr>
          <w:rFonts w:eastAsia="Segoe UI" w:cs="Segoe UI" w:ascii="Segoe UI" w:hAnsi="Segoe UI"/>
          <w:color w:val="101820"/>
          <w:sz w:val="21"/>
        </w:rPr>
        <w:t xml:space="preserve"> Checks the steps, the checklist and the Month-End Close Status report; </w:t>
      </w:r>
      <w:r>
        <w:rPr>
          <w:rFonts w:eastAsia="Segoe UI" w:cs="Segoe UI" w:ascii="Segoe UI" w:hAnsi="Segoe UI"/>
          <w:b/>
          <w:color w:val="101820"/>
          <w:sz w:val="21"/>
        </w:rPr>
        <w:t>Approve close</w:t>
      </w:r>
      <w:r>
        <w:rPr>
          <w:rFonts w:eastAsia="Segoe UI" w:cs="Segoe UI" w:ascii="Segoe UI" w:hAnsi="Segoe UI"/>
          <w:color w:val="101820"/>
          <w:sz w:val="21"/>
        </w:rPr>
        <w:t xml:space="preserve">, or </w:t>
      </w:r>
      <w:r>
        <w:rPr>
          <w:rFonts w:eastAsia="Segoe UI" w:cs="Segoe UI" w:ascii="Segoe UI" w:hAnsi="Segoe UI"/>
          <w:b/>
          <w:color w:val="101820"/>
          <w:sz w:val="21"/>
        </w:rPr>
        <w:t>Reject</w:t>
      </w:r>
      <w:r>
        <w:rPr>
          <w:rFonts w:eastAsia="Segoe UI" w:cs="Segoe UI" w:ascii="Segoe UI" w:hAnsi="Segoe UI"/>
          <w:color w:val="101820"/>
          <w:sz w:val="21"/>
        </w:rPr>
        <w:t xml:space="preserve"> with a reason (back to step 7).</w:t>
      </w:r>
    </w:p>
    <w:p>
      <w:pPr>
        <w:pStyle w:val="Normal"/>
        <w:numPr>
          <w:ilvl w:val="0"/>
          <w:numId w:val="170"/>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The period is Closed. Period Management keeps each status change with user, time and remarks; </w:t>
      </w:r>
      <w:r>
        <w:rPr>
          <w:rFonts w:eastAsia="Segoe UI" w:cs="Segoe UI" w:ascii="Segoe UI" w:hAnsi="Segoe UI"/>
          <w:b/>
          <w:color w:val="101820"/>
          <w:sz w:val="21"/>
        </w:rPr>
        <w:t>Reopen</w:t>
      </w:r>
      <w:r>
        <w:rPr>
          <w:rFonts w:eastAsia="Segoe UI" w:cs="Segoe UI" w:ascii="Segoe UI" w:hAnsi="Segoe UI"/>
          <w:color w:val="101820"/>
          <w:sz w:val="21"/>
        </w:rPr>
        <w:t xml:space="preserve"> needs the Accounting Manager.</w:t>
      </w:r>
    </w:p>
    <w:p>
      <w:pPr>
        <w:pStyle w:val="Normal"/>
        <w:numPr>
          <w:ilvl w:val="0"/>
          <w:numId w:val="171"/>
        </w:numPr>
        <w:spacing w:before="0" w:after="60"/>
        <w:rPr/>
      </w:pPr>
      <w:r>
        <w:rPr>
          <w:rFonts w:eastAsia="Segoe UI" w:cs="Segoe UI" w:ascii="Segoe UI" w:hAnsi="Segoe UI"/>
          <w:b/>
          <w:color w:val="101820"/>
          <w:sz w:val="21"/>
        </w:rPr>
        <w:t>Accounting.</w:t>
      </w:r>
      <w:r>
        <w:rPr>
          <w:rFonts w:eastAsia="Segoe UI" w:cs="Segoe UI" w:ascii="Segoe UI" w:hAnsi="Segoe UI"/>
          <w:color w:val="101820"/>
          <w:sz w:val="21"/>
        </w:rPr>
        <w:t xml:space="preserve"> With all twelve periods closed: </w:t>
      </w:r>
      <w:r>
        <w:rPr>
          <w:rFonts w:eastAsia="Segoe UI" w:cs="Segoe UI" w:ascii="Segoe UI" w:hAnsi="Segoe UI"/>
          <w:b/>
          <w:color w:val="101820"/>
          <w:sz w:val="21"/>
        </w:rPr>
        <w:t>Start year-end close</w:t>
      </w:r>
      <w:r>
        <w:rPr>
          <w:rFonts w:eastAsia="Segoe UI" w:cs="Segoe UI" w:ascii="Segoe UI" w:hAnsi="Segoe UI"/>
          <w:color w:val="101820"/>
          <w:sz w:val="21"/>
        </w:rPr>
        <w:t xml:space="preserve">, run the pre-checks, post audit adjustments with </w:t>
      </w:r>
      <w:r>
        <w:rPr>
          <w:rFonts w:eastAsia="Segoe UI" w:cs="Segoe UI" w:ascii="Segoe UI" w:hAnsi="Segoe UI"/>
          <w:b/>
          <w:color w:val="101820"/>
          <w:sz w:val="21"/>
        </w:rPr>
        <w:t>Adjustment journal</w:t>
      </w:r>
      <w:r>
        <w:rPr>
          <w:rFonts w:eastAsia="Segoe UI" w:cs="Segoe UI" w:ascii="Segoe UI" w:hAnsi="Segoe UI"/>
          <w:color w:val="101820"/>
          <w:sz w:val="21"/>
        </w:rPr>
        <w:t xml:space="preserve"> in period 13 (approved by a second user).</w:t>
      </w:r>
    </w:p>
    <w:p>
      <w:pPr>
        <w:pStyle w:val="Normal"/>
        <w:numPr>
          <w:ilvl w:val="0"/>
          <w:numId w:val="172"/>
        </w:numPr>
        <w:spacing w:before="0" w:after="60"/>
        <w:rPr/>
      </w:pPr>
      <w:r>
        <w:rPr>
          <w:rFonts w:eastAsia="Segoe UI" w:cs="Segoe UI" w:ascii="Segoe UI" w:hAnsi="Segoe UI"/>
          <w:b/>
          <w:color w:val="101820"/>
          <w:sz w:val="21"/>
        </w:rPr>
        <w:t>Accounting Manager.</w:t>
      </w:r>
      <w:r>
        <w:rPr>
          <w:rFonts w:eastAsia="Segoe UI" w:cs="Segoe UI" w:ascii="Segoe UI" w:hAnsi="Segoe UI"/>
          <w:color w:val="101820"/>
          <w:sz w:val="21"/>
        </w:rPr>
        <w:t xml:space="preserve"> </w:t>
      </w:r>
      <w:r>
        <w:rPr>
          <w:rFonts w:eastAsia="Segoe UI" w:cs="Segoe UI" w:ascii="Segoe UI" w:hAnsi="Segoe UI"/>
          <w:b/>
          <w:color w:val="101820"/>
          <w:sz w:val="21"/>
        </w:rPr>
        <w:t>Close the year</w:t>
      </w:r>
      <w:r>
        <w:rPr>
          <w:rFonts w:eastAsia="Segoe UI" w:cs="Segoe UI" w:ascii="Segoe UI" w:hAnsi="Segoe UI"/>
          <w:color w:val="101820"/>
          <w:sz w:val="21"/>
        </w:rPr>
        <w:t>.</w:t>
      </w:r>
    </w:p>
    <w:p>
      <w:pPr>
        <w:pStyle w:val="Normal"/>
        <w:numPr>
          <w:ilvl w:val="0"/>
          <w:numId w:val="173"/>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Posts the closing entries in period 13 (income and expense to current year profit or loss, then to retained earnings), writes the balance-sheet balances as the opening balances of the next year, locks the periods and creates the next fiscal year.</w:t>
      </w:r>
    </w:p>
    <w:p>
      <w:pPr>
        <w:pStyle w:val="Normal"/>
        <w:numPr>
          <w:ilvl w:val="0"/>
          <w:numId w:val="174"/>
        </w:numPr>
        <w:spacing w:before="0" w:after="60"/>
        <w:rPr/>
      </w:pPr>
      <w:r>
        <w:rPr>
          <w:rFonts w:eastAsia="Segoe UI" w:cs="Segoe UI" w:ascii="Segoe UI" w:hAnsi="Segoe UI"/>
          <w:b/>
          <w:color w:val="101820"/>
          <w:sz w:val="21"/>
        </w:rPr>
        <w:t>End.</w:t>
      </w:r>
      <w:r>
        <w:rPr>
          <w:rFonts w:eastAsia="Segoe UI" w:cs="Segoe UI" w:ascii="Segoe UI" w:hAnsi="Segoe UI"/>
          <w:color w:val="101820"/>
          <w:sz w:val="21"/>
        </w:rPr>
        <w:t xml:space="preserve"> The next year is open. </w:t>
      </w:r>
      <w:r>
        <w:rPr>
          <w:rFonts w:eastAsia="Segoe UI" w:cs="Segoe UI" w:ascii="Segoe UI" w:hAnsi="Segoe UI"/>
          <w:b/>
          <w:color w:val="101820"/>
          <w:sz w:val="21"/>
        </w:rPr>
        <w:t>Reverse the close</w:t>
      </w:r>
      <w:r>
        <w:rPr>
          <w:rFonts w:eastAsia="Segoe UI" w:cs="Segoe UI" w:ascii="Segoe UI" w:hAnsi="Segoe UI"/>
          <w:color w:val="101820"/>
          <w:sz w:val="21"/>
        </w:rPr>
        <w:t xml:space="preserve"> (with a reason) is possible until its first period is closed.</w:t>
      </w:r>
    </w:p>
    <w:p>
      <w:pPr>
        <w:pStyle w:val="Heading2"/>
        <w:rPr/>
      </w:pPr>
      <w:bookmarkStart w:id="31" w:name="__RefHeading___Toc19305_1497462395"/>
      <w:bookmarkEnd w:id="31"/>
      <w:r>
        <w:rPr>
          <w:rFonts w:eastAsia="Segoe UI" w:cs="Segoe UI"/>
          <w:b/>
          <w:color w:val="0F4761"/>
          <w:sz w:val="26"/>
        </w:rPr>
        <w:t>8.2  F10 BIR monthly, quarterly and annual filing</w:t>
      </w:r>
    </w:p>
    <w:p>
      <w:pPr>
        <w:pStyle w:val="Normal"/>
        <w:spacing w:lineRule="auto" w:line="276" w:before="0" w:after="120"/>
        <w:rPr/>
      </w:pPr>
      <w:r>
        <w:rPr>
          <w:rFonts w:eastAsia="Segoe UI" w:cs="Segoe UI" w:ascii="Segoe UI" w:hAnsi="Segoe UI"/>
          <w:color w:val="101820"/>
          <w:sz w:val="21"/>
        </w:rPr>
        <w:t>The taxes are posted as business happens; the returns are built from the ledger, reconciled, printed, filed by the broker in the BIR's systems and recorded.</w:t>
      </w:r>
    </w:p>
    <w:p>
      <w:pPr>
        <w:pStyle w:val="Normal"/>
        <w:jc w:val="center"/>
        <w:rPr/>
      </w:pPr>
      <w:r>
        <w:rPr/>
        <w:drawing>
          <wp:inline distT="0" distB="0" distL="0" distR="0">
            <wp:extent cx="5760085" cy="6283960"/>
            <wp:effectExtent l="0" t="0" r="0" b="0"/>
            <wp:docPr id="21" name="Picture 21212882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21288201" descr=""/>
                    <pic:cNvPicPr>
                      <a:picLocks noChangeAspect="1" noChangeArrowheads="1"/>
                    </pic:cNvPicPr>
                  </pic:nvPicPr>
                  <pic:blipFill>
                    <a:blip r:embed="rId17"/>
                    <a:stretch>
                      <a:fillRect/>
                    </a:stretch>
                  </pic:blipFill>
                  <pic:spPr bwMode="auto">
                    <a:xfrm>
                      <a:off x="0" y="0"/>
                      <a:ext cx="5760085" cy="6283960"/>
                    </a:xfrm>
                    <a:prstGeom prst="rect">
                      <a:avLst/>
                    </a:prstGeom>
                  </pic:spPr>
                </pic:pic>
              </a:graphicData>
            </a:graphic>
          </wp:inline>
        </w:drawing>
      </w:r>
    </w:p>
    <w:p>
      <w:pPr>
        <w:pStyle w:val="Normal"/>
        <w:jc w:val="center"/>
        <w:rPr/>
      </w:pPr>
      <w:r>
        <w:rPr>
          <w:rFonts w:eastAsia="Segoe UI" w:cs="Segoe UI" w:ascii="Segoe UI" w:hAnsi="Segoe UI"/>
          <w:i/>
          <w:color w:val="555F6D"/>
          <w:sz w:val="18"/>
        </w:rPr>
        <w:t>F10 BIR filing</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44"/>
        <w:gridCol w:w="7370"/>
      </w:tblGrid>
      <w:tr>
        <w:trPr>
          <w:tblHeader w:val="true"/>
        </w:trPr>
        <w:tc>
          <w:tcPr>
            <w:tcW w:w="16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At a glance</w:t>
            </w:r>
          </w:p>
        </w:tc>
        <w:tc>
          <w:tcPr>
            <w:tcW w:w="73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The BIR due dates: 0619-E on day </w:t>
            </w:r>
            <w:r>
              <w:rPr>
                <w:rFonts w:eastAsia="Consolas" w:cs="Consolas" w:ascii="Consolas" w:hAnsi="Consolas"/>
                <w:color w:val="101820"/>
                <w:kern w:val="0"/>
                <w:sz w:val="16"/>
                <w:szCs w:val="24"/>
                <w:lang w:val="en-US" w:eastAsia="ja-JP" w:bidi="ar-SA"/>
              </w:rPr>
              <w:t>bir.withholding_due_day</w:t>
            </w:r>
            <w:r>
              <w:rPr>
                <w:rFonts w:eastAsia="Segoe UI" w:cs="Segoe UI" w:ascii="Segoe UI" w:hAnsi="Segoe UI"/>
                <w:color w:val="101820"/>
                <w:kern w:val="0"/>
                <w:sz w:val="18"/>
                <w:szCs w:val="24"/>
                <w:lang w:val="en-US" w:eastAsia="ja-JP" w:bidi="ar-SA"/>
              </w:rPr>
              <w:t xml:space="preserve"> (10) of the next month for the first and second month of each quarter; 1601-EQ and 2551Q on the last day of the month after the quarter; 1604-E yearly</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 or the broker's tax adviser (review); BIR eFPS or eBIRForms (outside the system); BrokerVerse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 (BIR Form 2307, VAT Summary, SAWT, QAP, SLSP Sales, SLSP Purchases, Withholding Returns, Annual Alphalist 1604-E, Percentage Tax 2551Q, BIR DAT Files, Sales Invoices, E-Invoicing (EIS), CAS Books and Documents)</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at filing; the taxes were posted by payment vouchers, supplier invoices, debit note collections and invoices</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Returns in BIR item order (PDF, Excel), DAT files, BIR Form 2307 certificates (CWT-), sales invoices (SI-), loose-leaf books with running page numbers, filing records</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 of each return with the QAP and the withholding accounts of the ledger (</w:t>
            </w:r>
            <w:r>
              <w:rPr>
                <w:rFonts w:eastAsia="Consolas" w:cs="Consolas" w:ascii="Consolas" w:hAnsi="Consolas"/>
                <w:color w:val="101820"/>
                <w:kern w:val="0"/>
                <w:sz w:val="16"/>
                <w:szCs w:val="24"/>
                <w:lang w:val="en-US" w:eastAsia="ja-JP" w:bidi="ar-SA"/>
              </w:rPr>
              <w:t>bir.withholding_ledger_accounts</w:t>
            </w:r>
            <w:r>
              <w:rPr>
                <w:rFonts w:eastAsia="Segoe UI" w:cs="Segoe UI" w:ascii="Segoe UI" w:hAnsi="Segoe UI"/>
                <w:color w:val="101820"/>
                <w:kern w:val="0"/>
                <w:sz w:val="18"/>
                <w:szCs w:val="24"/>
                <w:lang w:val="en-US" w:eastAsia="ja-JP" w:bidi="ar-SA"/>
              </w:rPr>
              <w:t>, else 2204001); filing record kept with the figures as computed; amended returns supersede earlier filings; CAS print order (</w:t>
            </w:r>
            <w:r>
              <w:rPr>
                <w:rFonts w:eastAsia="Consolas" w:cs="Consolas" w:ascii="Consolas" w:hAnsi="Consolas"/>
                <w:color w:val="101820"/>
                <w:kern w:val="0"/>
                <w:sz w:val="16"/>
                <w:szCs w:val="24"/>
                <w:lang w:val="en-US" w:eastAsia="ja-JP" w:bidi="ar-SA"/>
              </w:rPr>
              <w:t>cas.enforce_print_order</w:t>
            </w:r>
            <w:r>
              <w:rPr>
                <w:rFonts w:eastAsia="Segoe UI" w:cs="Segoe UI" w:ascii="Segoe UI" w:hAnsi="Segoe UI"/>
                <w:color w:val="101820"/>
                <w:kern w:val="0"/>
                <w:sz w:val="18"/>
                <w:szCs w:val="24"/>
                <w:lang w:val="en-US" w:eastAsia="ja-JP" w:bidi="ar-SA"/>
              </w:rPr>
              <w:t>)</w:t>
            </w:r>
          </w:p>
        </w:tc>
      </w:tr>
    </w:tbl>
    <w:p>
      <w:pPr>
        <w:pStyle w:val="Normal"/>
        <w:spacing w:before="0" w:after="80"/>
        <w:rPr/>
      </w:pPr>
      <w:r>
        <w:rPr/>
      </w:r>
    </w:p>
    <w:p>
      <w:pPr>
        <w:pStyle w:val="Normal"/>
        <w:numPr>
          <w:ilvl w:val="0"/>
          <w:numId w:val="175"/>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Throughout the period: EWT is posted on payment vouchers to agents, referrers and suppliers (supplier invoices at the supplier's EWT code); CWT received on debit note and override collections; output VAT on commission; sales invoices numbered in the registered serial range (</w:t>
      </w:r>
      <w:r>
        <w:rPr>
          <w:rFonts w:eastAsia="Consolas" w:cs="Consolas" w:ascii="Consolas" w:hAnsi="Consolas"/>
          <w:color w:val="101820"/>
          <w:sz w:val="19"/>
        </w:rPr>
        <w:t>invoice.serial_from</w:t>
      </w:r>
      <w:r>
        <w:rPr>
          <w:rFonts w:eastAsia="Segoe UI" w:cs="Segoe UI" w:ascii="Segoe UI" w:hAnsi="Segoe UI"/>
          <w:color w:val="101820"/>
          <w:sz w:val="21"/>
        </w:rPr>
        <w:t xml:space="preserve">, </w:t>
      </w:r>
      <w:r>
        <w:rPr>
          <w:rFonts w:eastAsia="Consolas" w:cs="Consolas" w:ascii="Consolas" w:hAnsi="Consolas"/>
          <w:color w:val="101820"/>
          <w:sz w:val="19"/>
        </w:rPr>
        <w:t>invoice.serial_to</w:t>
      </w:r>
      <w:r>
        <w:rPr>
          <w:rFonts w:eastAsia="Segoe UI" w:cs="Segoe UI" w:ascii="Segoe UI" w:hAnsi="Segoe UI"/>
          <w:color w:val="101820"/>
          <w:sz w:val="21"/>
        </w:rPr>
        <w:t>).</w:t>
      </w:r>
    </w:p>
    <w:p>
      <w:pPr>
        <w:pStyle w:val="Normal"/>
        <w:numPr>
          <w:ilvl w:val="0"/>
          <w:numId w:val="176"/>
        </w:numPr>
        <w:spacing w:before="0" w:after="60"/>
        <w:rPr/>
      </w:pPr>
      <w:r>
        <w:rPr>
          <w:rFonts w:eastAsia="Segoe UI" w:cs="Segoe UI" w:ascii="Segoe UI" w:hAnsi="Segoe UI"/>
          <w:b/>
          <w:color w:val="101820"/>
          <w:sz w:val="21"/>
        </w:rPr>
        <w:t>Accounting.</w:t>
      </w:r>
      <w:r>
        <w:rPr>
          <w:rFonts w:eastAsia="Segoe UI" w:cs="Segoe UI" w:ascii="Segoe UI" w:hAnsi="Segoe UI"/>
          <w:color w:val="101820"/>
          <w:sz w:val="21"/>
        </w:rPr>
        <w:t xml:space="preserve"> Accounts &gt; Tax &gt; Withholding Returns, the year, </w:t>
      </w:r>
      <w:r>
        <w:rPr>
          <w:rFonts w:eastAsia="Segoe UI" w:cs="Segoe UI" w:ascii="Segoe UI" w:hAnsi="Segoe UI"/>
          <w:b/>
          <w:color w:val="101820"/>
          <w:sz w:val="21"/>
        </w:rPr>
        <w:t>Open</w:t>
      </w:r>
      <w:r>
        <w:rPr>
          <w:rFonts w:eastAsia="Segoe UI" w:cs="Segoe UI" w:ascii="Segoe UI" w:hAnsi="Segoe UI"/>
          <w:color w:val="101820"/>
          <w:sz w:val="21"/>
        </w:rPr>
        <w:t xml:space="preserve"> on the return due (0619-E, 1601-EQ), or Percentage Tax 2551Q for a non-VAT broker, or Annual Alphalist 1604-E.</w:t>
      </w:r>
    </w:p>
    <w:p>
      <w:pPr>
        <w:pStyle w:val="Normal"/>
        <w:numPr>
          <w:ilvl w:val="0"/>
          <w:numId w:val="177"/>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Lays out Part I (TIN with branch code, RDO, name, address from Master &gt; Company and the </w:t>
      </w:r>
      <w:r>
        <w:rPr>
          <w:rFonts w:eastAsia="Consolas" w:cs="Consolas" w:ascii="Consolas" w:hAnsi="Consolas"/>
          <w:color w:val="101820"/>
          <w:sz w:val="19"/>
        </w:rPr>
        <w:t>bir.*</w:t>
      </w:r>
      <w:r>
        <w:rPr>
          <w:rFonts w:eastAsia="Segoe UI" w:cs="Segoe UI" w:ascii="Segoe UI" w:hAnsi="Segoe UI"/>
          <w:color w:val="101820"/>
          <w:sz w:val="21"/>
        </w:rPr>
        <w:t xml:space="preserve"> settings) and Part II with the BIR item numbers (for 1601-EQ one line per ATC, less the 0619-E remittances of the quarter from their filing records) and shows the </w:t>
      </w:r>
      <w:r>
        <w:rPr>
          <w:rFonts w:eastAsia="Segoe UI" w:cs="Segoe UI" w:ascii="Segoe UI" w:hAnsi="Segoe UI"/>
          <w:b/>
          <w:color w:val="101820"/>
          <w:sz w:val="21"/>
        </w:rPr>
        <w:t>Reconciliation</w:t>
      </w:r>
      <w:r>
        <w:rPr>
          <w:rFonts w:eastAsia="Segoe UI" w:cs="Segoe UI" w:ascii="Segoe UI" w:hAnsi="Segoe UI"/>
          <w:color w:val="101820"/>
          <w:sz w:val="21"/>
        </w:rPr>
        <w:t>.</w:t>
      </w:r>
    </w:p>
    <w:p>
      <w:pPr>
        <w:pStyle w:val="Normal"/>
        <w:numPr>
          <w:ilvl w:val="0"/>
          <w:numId w:val="178"/>
        </w:numPr>
        <w:spacing w:before="0" w:after="60"/>
        <w:rPr/>
      </w:pPr>
      <w:r>
        <w:rPr>
          <w:rFonts w:eastAsia="Segoe UI" w:cs="Segoe UI" w:ascii="Segoe UI" w:hAnsi="Segoe UI"/>
          <w:b/>
          <w:color w:val="101820"/>
          <w:sz w:val="21"/>
        </w:rPr>
        <w:t>Accounting Manager or tax adviser.</w:t>
      </w:r>
      <w:r>
        <w:rPr>
          <w:rFonts w:eastAsia="Segoe UI" w:cs="Segoe UI" w:ascii="Segoe UI" w:hAnsi="Segoe UI"/>
          <w:color w:val="101820"/>
          <w:sz w:val="21"/>
        </w:rPr>
        <w:t xml:space="preserve"> Decision: is every difference explained (for example a withholding booked by journal voucher or petty cash)? If not, Accounting corrects the source (step 2).</w:t>
      </w:r>
    </w:p>
    <w:p>
      <w:pPr>
        <w:pStyle w:val="Normal"/>
        <w:numPr>
          <w:ilvl w:val="0"/>
          <w:numId w:val="179"/>
        </w:numPr>
        <w:spacing w:before="0" w:after="60"/>
        <w:rPr/>
      </w:pPr>
      <w:r>
        <w:rPr>
          <w:rFonts w:eastAsia="Segoe UI" w:cs="Segoe UI" w:ascii="Segoe UI" w:hAnsi="Segoe UI"/>
          <w:b/>
          <w:color w:val="101820"/>
          <w:sz w:val="21"/>
        </w:rPr>
        <w:t>Accounting.</w:t>
      </w:r>
      <w:r>
        <w:rPr>
          <w:rFonts w:eastAsia="Segoe UI" w:cs="Segoe UI" w:ascii="Segoe UI" w:hAnsi="Segoe UI"/>
          <w:color w:val="101820"/>
          <w:sz w:val="21"/>
        </w:rPr>
        <w:t xml:space="preserve"> </w:t>
      </w:r>
      <w:r>
        <w:rPr>
          <w:rFonts w:eastAsia="Segoe UI" w:cs="Segoe UI" w:ascii="Segoe UI" w:hAnsi="Segoe UI"/>
          <w:b/>
          <w:color w:val="101820"/>
          <w:sz w:val="21"/>
        </w:rPr>
        <w:t>Print</w:t>
      </w:r>
      <w:r>
        <w:rPr>
          <w:rFonts w:eastAsia="Segoe UI" w:cs="Segoe UI" w:ascii="Segoe UI" w:hAnsi="Segoe UI"/>
          <w:color w:val="101820"/>
          <w:sz w:val="21"/>
        </w:rPr>
        <w:t xml:space="preserve"> (PDF) or </w:t>
      </w:r>
      <w:r>
        <w:rPr>
          <w:rFonts w:eastAsia="Segoe UI" w:cs="Segoe UI" w:ascii="Segoe UI" w:hAnsi="Segoe UI"/>
          <w:b/>
          <w:color w:val="101820"/>
          <w:sz w:val="21"/>
        </w:rPr>
        <w:t>Excel</w:t>
      </w:r>
      <w:r>
        <w:rPr>
          <w:rFonts w:eastAsia="Segoe UI" w:cs="Segoe UI" w:ascii="Segoe UI" w:hAnsi="Segoe UI"/>
          <w:color w:val="101820"/>
          <w:sz w:val="21"/>
        </w:rPr>
        <w:t>; Accounts &gt; Tax &gt; BIR DAT Files for the QAP, SAWT, SLSP and 1604-E alphalist, checked with the BIR validation module.</w:t>
      </w:r>
    </w:p>
    <w:p>
      <w:pPr>
        <w:pStyle w:val="Normal"/>
        <w:numPr>
          <w:ilvl w:val="0"/>
          <w:numId w:val="180"/>
        </w:numPr>
        <w:spacing w:before="0" w:after="60"/>
        <w:rPr/>
      </w:pPr>
      <w:r>
        <w:rPr>
          <w:rFonts w:eastAsia="Segoe UI" w:cs="Segoe UI" w:ascii="Segoe UI" w:hAnsi="Segoe UI"/>
          <w:b/>
          <w:color w:val="101820"/>
          <w:sz w:val="21"/>
        </w:rPr>
        <w:t>BIR eFPS / eBIRForms.</w:t>
      </w:r>
      <w:r>
        <w:rPr>
          <w:rFonts w:eastAsia="Segoe UI" w:cs="Segoe UI" w:ascii="Segoe UI" w:hAnsi="Segoe UI"/>
          <w:color w:val="101820"/>
          <w:sz w:val="21"/>
        </w:rPr>
        <w:t xml:space="preserve"> The broker files and pays outside BrokerVerse and receives the confirmation.</w:t>
      </w:r>
    </w:p>
    <w:p>
      <w:pPr>
        <w:pStyle w:val="Normal"/>
        <w:numPr>
          <w:ilvl w:val="0"/>
          <w:numId w:val="181"/>
        </w:numPr>
        <w:spacing w:before="0" w:after="60"/>
        <w:rPr/>
      </w:pPr>
      <w:r>
        <w:rPr>
          <w:rFonts w:eastAsia="Segoe UI" w:cs="Segoe UI" w:ascii="Segoe UI" w:hAnsi="Segoe UI"/>
          <w:b/>
          <w:color w:val="101820"/>
          <w:sz w:val="21"/>
        </w:rPr>
        <w:t>Accounting.</w:t>
      </w:r>
      <w:r>
        <w:rPr>
          <w:rFonts w:eastAsia="Segoe UI" w:cs="Segoe UI" w:ascii="Segoe UI" w:hAnsi="Segoe UI"/>
          <w:color w:val="101820"/>
          <w:sz w:val="21"/>
        </w:rPr>
        <w:t xml:space="preserve"> </w:t>
      </w:r>
      <w:r>
        <w:rPr>
          <w:rFonts w:eastAsia="Segoe UI" w:cs="Segoe UI" w:ascii="Segoe UI" w:hAnsi="Segoe UI"/>
          <w:b/>
          <w:color w:val="101820"/>
          <w:sz w:val="21"/>
        </w:rPr>
        <w:t>Record filing</w:t>
      </w:r>
      <w:r>
        <w:rPr>
          <w:rFonts w:eastAsia="Segoe UI" w:cs="Segoe UI" w:ascii="Segoe UI" w:hAnsi="Segoe UI"/>
          <w:color w:val="101820"/>
          <w:sz w:val="21"/>
        </w:rPr>
        <w:t>: date filed, filing reference, amount paid, penalties, payment date, reference and channel.</w:t>
      </w:r>
    </w:p>
    <w:p>
      <w:pPr>
        <w:pStyle w:val="Normal"/>
        <w:numPr>
          <w:ilvl w:val="0"/>
          <w:numId w:val="182"/>
        </w:numPr>
        <w:spacing w:before="0" w:after="60"/>
        <w:rPr/>
      </w:pPr>
      <w:r>
        <w:rPr>
          <w:rFonts w:eastAsia="Segoe UI" w:cs="Segoe UI" w:ascii="Segoe UI" w:hAnsi="Segoe UI"/>
          <w:b/>
          <w:color w:val="101820"/>
          <w:sz w:val="21"/>
        </w:rPr>
        <w:t>Accounting.</w:t>
      </w:r>
      <w:r>
        <w:rPr>
          <w:rFonts w:eastAsia="Segoe UI" w:cs="Segoe UI" w:ascii="Segoe UI" w:hAnsi="Segoe UI"/>
          <w:color w:val="101820"/>
          <w:sz w:val="21"/>
        </w:rPr>
        <w:t xml:space="preserve"> Each quarter: BIR Form 2307 (Issued by us) per payee, SAWT (Received), QAP, SLSP sales and purchases, the VAT Summary as working paper of the VAT return.</w:t>
      </w:r>
    </w:p>
    <w:p>
      <w:pPr>
        <w:pStyle w:val="Normal"/>
        <w:numPr>
          <w:ilvl w:val="0"/>
          <w:numId w:val="183"/>
        </w:numPr>
        <w:spacing w:before="0" w:after="60"/>
        <w:rPr/>
      </w:pPr>
      <w:r>
        <w:rPr>
          <w:rFonts w:eastAsia="Segoe UI" w:cs="Segoe UI" w:ascii="Segoe UI" w:hAnsi="Segoe UI"/>
          <w:b/>
          <w:color w:val="101820"/>
          <w:sz w:val="21"/>
        </w:rPr>
        <w:t>Accounting.</w:t>
      </w:r>
      <w:r>
        <w:rPr>
          <w:rFonts w:eastAsia="Segoe UI" w:cs="Segoe UI" w:ascii="Segoe UI" w:hAnsi="Segoe UI"/>
          <w:color w:val="101820"/>
          <w:sz w:val="21"/>
        </w:rPr>
        <w:t xml:space="preserve"> Each month: CAS Books and Documents prints the general journal, general ledger, cash receipts, cash disbursements, sales and purchase books in order, with page numbers that run on through the year.</w:t>
      </w:r>
    </w:p>
    <w:p>
      <w:pPr>
        <w:pStyle w:val="Normal"/>
        <w:numPr>
          <w:ilvl w:val="0"/>
          <w:numId w:val="184"/>
        </w:numPr>
        <w:spacing w:before="0" w:after="60"/>
        <w:rPr/>
      </w:pPr>
      <w:r>
        <w:rPr>
          <w:rFonts w:eastAsia="Segoe UI" w:cs="Segoe UI" w:ascii="Segoe UI" w:hAnsi="Segoe UI"/>
          <w:b/>
          <w:color w:val="101820"/>
          <w:sz w:val="21"/>
        </w:rPr>
        <w:t>End.</w:t>
      </w:r>
      <w:r>
        <w:rPr>
          <w:rFonts w:eastAsia="Segoe UI" w:cs="Segoe UI" w:ascii="Segoe UI" w:hAnsi="Segoe UI"/>
          <w:color w:val="101820"/>
          <w:sz w:val="21"/>
        </w:rPr>
        <w:t xml:space="preserve"> The period is filed and documented; the 1604-E follows the year with its schedules 3 and 4.</w:t>
      </w:r>
    </w:p>
    <w:p>
      <w:pPr>
        <w:pStyle w:val="Normal"/>
        <w:spacing w:lineRule="auto" w:line="276" w:before="0" w:after="120"/>
        <w:rPr/>
      </w:pPr>
      <w:r>
        <w:rPr>
          <w:rFonts w:eastAsia="Segoe UI" w:cs="Segoe UI" w:ascii="Segoe UI" w:hAnsi="Segoe UI"/>
          <w:b/>
          <w:color w:val="101820"/>
          <w:sz w:val="21"/>
        </w:rPr>
        <w:t>Exceptions</w:t>
      </w:r>
    </w:p>
    <w:p>
      <w:pPr>
        <w:pStyle w:val="Normal"/>
        <w:numPr>
          <w:ilvl w:val="0"/>
          <w:numId w:val="1"/>
        </w:numPr>
        <w:spacing w:before="0" w:after="60"/>
        <w:rPr/>
      </w:pPr>
      <w:r>
        <w:rPr>
          <w:rFonts w:eastAsia="Segoe UI" w:cs="Segoe UI" w:ascii="Segoe UI" w:hAnsi="Segoe UI"/>
          <w:color w:val="101820"/>
          <w:sz w:val="21"/>
        </w:rPr>
        <w:t>A payee without TIN: warning on the DAT file.</w:t>
      </w:r>
    </w:p>
    <w:p>
      <w:pPr>
        <w:pStyle w:val="Normal"/>
        <w:numPr>
          <w:ilvl w:val="0"/>
          <w:numId w:val="1"/>
        </w:numPr>
        <w:spacing w:before="0" w:after="60"/>
        <w:rPr/>
      </w:pPr>
      <w:r>
        <w:rPr>
          <w:rFonts w:eastAsia="Segoe UI" w:cs="Segoe UI" w:ascii="Segoe UI" w:hAnsi="Segoe UI"/>
          <w:b/>
          <w:color w:val="101820"/>
          <w:sz w:val="21"/>
        </w:rPr>
        <w:t>Amended return</w:t>
      </w:r>
      <w:r>
        <w:rPr>
          <w:rFonts w:eastAsia="Segoe UI" w:cs="Segoe UI" w:ascii="Segoe UI" w:hAnsi="Segoe UI"/>
          <w:color w:val="101820"/>
          <w:sz w:val="21"/>
        </w:rPr>
        <w:t xml:space="preserve"> records a new filing that supersedes the earlier one; a record entered in error is cancelled with a reason.</w:t>
      </w:r>
    </w:p>
    <w:p>
      <w:pPr>
        <w:pStyle w:val="Normal"/>
        <w:numPr>
          <w:ilvl w:val="0"/>
          <w:numId w:val="1"/>
        </w:numPr>
        <w:spacing w:before="0" w:after="60"/>
        <w:rPr/>
      </w:pPr>
      <w:r>
        <w:rPr>
          <w:rFonts w:eastAsia="Segoe UI" w:cs="Segoe UI" w:ascii="Segoe UI" w:hAnsi="Segoe UI"/>
          <w:color w:val="101820"/>
          <w:sz w:val="21"/>
        </w:rPr>
        <w:t xml:space="preserve">E-invoicing: when the broker is enrolled, each invoice is queued to the EIS; failures retry, rejections are final; </w:t>
      </w:r>
      <w:r>
        <w:rPr>
          <w:rFonts w:eastAsia="Segoe UI" w:cs="Segoe UI" w:ascii="Segoe UI" w:hAnsi="Segoe UI"/>
          <w:b/>
          <w:color w:val="101820"/>
          <w:sz w:val="21"/>
        </w:rPr>
        <w:t>Export payloads</w:t>
      </w:r>
      <w:r>
        <w:rPr>
          <w:rFonts w:eastAsia="Segoe UI" w:cs="Segoe UI" w:ascii="Segoe UI" w:hAnsi="Segoe UI"/>
          <w:color w:val="101820"/>
          <w:sz w:val="21"/>
        </w:rPr>
        <w:t xml:space="preserve"> and </w:t>
      </w:r>
      <w:r>
        <w:rPr>
          <w:rFonts w:eastAsia="Segoe UI" w:cs="Segoe UI" w:ascii="Segoe UI" w:hAnsi="Segoe UI"/>
          <w:b/>
          <w:color w:val="101820"/>
          <w:sz w:val="21"/>
        </w:rPr>
        <w:t>Uploaded manually</w:t>
      </w:r>
      <w:r>
        <w:rPr>
          <w:rFonts w:eastAsia="Segoe UI" w:cs="Segoe UI" w:ascii="Segoe UI" w:hAnsi="Segoe UI"/>
          <w:color w:val="101820"/>
          <w:sz w:val="21"/>
        </w:rPr>
        <w:t xml:space="preserve"> are the fallback.</w:t>
      </w:r>
      <w:r>
        <w:br w:type="page"/>
      </w:r>
    </w:p>
    <w:p>
      <w:pPr>
        <w:pStyle w:val="Heading1"/>
        <w:rPr/>
      </w:pPr>
      <w:bookmarkStart w:id="32" w:name="__RefHeading___Toc19307_1497462395"/>
      <w:bookmarkEnd w:id="32"/>
      <w:r>
        <w:rPr>
          <w:rFonts w:eastAsia="Segoe UI" w:cs="Segoe UI" w:ascii="Segoe UI" w:hAnsi="Segoe UI"/>
          <w:b/>
          <w:color w:val="0F4761"/>
          <w:sz w:val="32"/>
        </w:rPr>
        <w:t>9.  Compliance</w:t>
      </w:r>
    </w:p>
    <w:p>
      <w:pPr>
        <w:pStyle w:val="Heading2"/>
        <w:rPr/>
      </w:pPr>
      <w:bookmarkStart w:id="33" w:name="__RefHeading___Toc19309_1497462395"/>
      <w:bookmarkEnd w:id="33"/>
      <w:r>
        <w:rPr>
          <w:rFonts w:eastAsia="Segoe UI" w:cs="Segoe UI"/>
          <w:b/>
          <w:color w:val="0F4761"/>
          <w:sz w:val="26"/>
        </w:rPr>
        <w:t>9.1  F11 AML onboarding, screening, EDD and AMLC reporting</w:t>
      </w:r>
    </w:p>
    <w:p>
      <w:pPr>
        <w:pStyle w:val="Normal"/>
        <w:spacing w:lineRule="auto" w:line="276" w:before="0" w:after="120"/>
        <w:rPr/>
      </w:pPr>
      <w:r>
        <w:rPr>
          <w:rFonts w:eastAsia="Segoe UI" w:cs="Segoe UI" w:ascii="Segoe UI" w:hAnsi="Segoe UI"/>
          <w:color w:val="101820"/>
          <w:sz w:val="21"/>
        </w:rPr>
        <w:t>A client is identified, rated and screened before its first policy; a High-risk client needs an approved EDD review; transactions are monitored daily; suspicious and covered transactions become cases and report files filed with the AMLC.</w:t>
      </w:r>
    </w:p>
    <w:p>
      <w:pPr>
        <w:pStyle w:val="Normal"/>
        <w:jc w:val="center"/>
        <w:rPr/>
      </w:pPr>
      <w:r>
        <w:rPr/>
        <w:drawing>
          <wp:inline distT="0" distB="0" distL="0" distR="0">
            <wp:extent cx="5760085" cy="7186930"/>
            <wp:effectExtent l="0" t="0" r="0" b="0"/>
            <wp:docPr id="22" name="Picture 21212882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21288202" descr=""/>
                    <pic:cNvPicPr>
                      <a:picLocks noChangeAspect="1" noChangeArrowheads="1"/>
                    </pic:cNvPicPr>
                  </pic:nvPicPr>
                  <pic:blipFill>
                    <a:blip r:embed="rId18"/>
                    <a:stretch>
                      <a:fillRect/>
                    </a:stretch>
                  </pic:blipFill>
                  <pic:spPr bwMode="auto">
                    <a:xfrm>
                      <a:off x="0" y="0"/>
                      <a:ext cx="5760085" cy="7186930"/>
                    </a:xfrm>
                    <a:prstGeom prst="rect">
                      <a:avLst/>
                    </a:prstGeom>
                  </pic:spPr>
                </pic:pic>
              </a:graphicData>
            </a:graphic>
          </wp:inline>
        </w:drawing>
      </w:r>
    </w:p>
    <w:p>
      <w:pPr>
        <w:pStyle w:val="Normal"/>
        <w:jc w:val="center"/>
        <w:rPr/>
      </w:pPr>
      <w:r>
        <w:rPr>
          <w:rFonts w:eastAsia="Segoe UI" w:cs="Segoe UI" w:ascii="Segoe UI" w:hAnsi="Segoe UI"/>
          <w:i/>
          <w:color w:val="555F6D"/>
          <w:sz w:val="18"/>
        </w:rPr>
        <w:t>F11 AML</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44"/>
        <w:gridCol w:w="7370"/>
      </w:tblGrid>
      <w:tr>
        <w:trPr>
          <w:tblHeader w:val="true"/>
        </w:trPr>
        <w:tc>
          <w:tcPr>
            <w:tcW w:w="16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At a glance</w:t>
            </w:r>
          </w:p>
        </w:tc>
        <w:tc>
          <w:tcPr>
            <w:tcW w:w="73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new client; a policy issue; a refund or claim payout; a new list version; a daily monitoring run; a KYC refresh date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Compliance Officer; AMLC portal (outside the system); BrokerVerse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Operations &gt; Clients &gt; </w:t>
            </w:r>
            <w:r>
              <w:rPr>
                <w:rFonts w:eastAsia="Segoe UI" w:cs="Segoe UI" w:ascii="Segoe UI" w:hAnsi="Segoe UI"/>
                <w:b/>
                <w:color w:val="101820"/>
                <w:kern w:val="0"/>
                <w:sz w:val="18"/>
                <w:szCs w:val="24"/>
                <w:lang w:val="en-US" w:eastAsia="ja-JP" w:bidi="ar-SA"/>
              </w:rPr>
              <w:t>Onboard client</w:t>
            </w:r>
            <w:r>
              <w:rPr>
                <w:rFonts w:eastAsia="Segoe UI" w:cs="Segoe UI" w:ascii="Segoe UI" w:hAnsi="Segoe UI"/>
                <w:color w:val="101820"/>
                <w:kern w:val="0"/>
                <w:sz w:val="18"/>
                <w:szCs w:val="24"/>
                <w:lang w:val="en-US" w:eastAsia="ja-JP" w:bidi="ar-SA"/>
              </w:rPr>
              <w:t>; Compliance &gt; AML Dashboard, Client Due Diligence, EDD Reviews, KYC Refresh, Screening Hits, Screening Lists, Transaction Alerts, AML Cases, AMLC Reports, AML Settings</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KYC documents, EDD review (EDD-), alerts (AMA-), cases (AMC-), report files (AMR-, layout BV-AMLC-TXN 1.0)</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 and payouts stopped by an undecided or confirmed match (</w:t>
            </w:r>
            <w:r>
              <w:rPr>
                <w:rFonts w:eastAsia="Consolas" w:cs="Consolas" w:ascii="Consolas" w:hAnsi="Consolas"/>
                <w:color w:val="101820"/>
                <w:kern w:val="0"/>
                <w:sz w:val="16"/>
                <w:szCs w:val="24"/>
                <w:lang w:val="en-US" w:eastAsia="ja-JP" w:bidi="ar-SA"/>
              </w:rPr>
              <w:t>aml.screening_block_events</w:t>
            </w:r>
            <w:r>
              <w:rPr>
                <w:rFonts w:eastAsia="Segoe UI" w:cs="Segoe UI" w:ascii="Segoe UI" w:hAnsi="Segoe UI"/>
                <w:color w:val="101820"/>
                <w:kern w:val="0"/>
                <w:sz w:val="18"/>
                <w:szCs w:val="24"/>
                <w:lang w:val="en-US" w:eastAsia="ja-JP" w:bidi="ar-SA"/>
              </w:rPr>
              <w:t>) and by a pending EDD (</w:t>
            </w:r>
            <w:r>
              <w:rPr>
                <w:rFonts w:eastAsia="Consolas" w:cs="Consolas" w:ascii="Consolas" w:hAnsi="Consolas"/>
                <w:color w:val="101820"/>
                <w:kern w:val="0"/>
                <w:sz w:val="16"/>
                <w:szCs w:val="24"/>
                <w:lang w:val="en-US" w:eastAsia="ja-JP" w:bidi="ar-SA"/>
              </w:rPr>
              <w:t>aml.block_issue_pending_edd</w:t>
            </w:r>
            <w:r>
              <w:rPr>
                <w:rFonts w:eastAsia="Segoe UI" w:cs="Segoe UI" w:ascii="Segoe UI" w:hAnsi="Segoe UI"/>
                <w:color w:val="101820"/>
                <w:kern w:val="0"/>
                <w:sz w:val="18"/>
                <w:szCs w:val="24"/>
                <w:lang w:val="en-US" w:eastAsia="ja-JP" w:bidi="ar-SA"/>
              </w:rPr>
              <w:t xml:space="preserve">); decisions reserved to </w:t>
            </w:r>
            <w:r>
              <w:rPr>
                <w:rFonts w:eastAsia="Consolas" w:cs="Consolas" w:ascii="Consolas" w:hAnsi="Consolas"/>
                <w:color w:val="101820"/>
                <w:kern w:val="0"/>
                <w:sz w:val="16"/>
                <w:szCs w:val="24"/>
                <w:lang w:val="en-US" w:eastAsia="ja-JP" w:bidi="ar-SA"/>
              </w:rPr>
              <w:t>approve:aml</w:t>
            </w:r>
            <w:r>
              <w:rPr>
                <w:rFonts w:eastAsia="Segoe UI" w:cs="Segoe UI" w:ascii="Segoe UI" w:hAnsi="Segoe UI"/>
                <w:color w:val="101820"/>
                <w:kern w:val="0"/>
                <w:sz w:val="18"/>
                <w:szCs w:val="24"/>
                <w:lang w:val="en-US" w:eastAsia="ja-JP" w:bidi="ar-SA"/>
              </w:rPr>
              <w:t xml:space="preserve"> with a reason; the submitter of an EDD review cannot decide it; covered transactions cannot be closed; records kept </w:t>
            </w:r>
            <w:r>
              <w:rPr>
                <w:rFonts w:eastAsia="Consolas" w:cs="Consolas" w:ascii="Consolas" w:hAnsi="Consolas"/>
                <w:color w:val="101820"/>
                <w:kern w:val="0"/>
                <w:sz w:val="16"/>
                <w:szCs w:val="24"/>
                <w:lang w:val="en-US" w:eastAsia="ja-JP" w:bidi="ar-SA"/>
              </w:rPr>
              <w:t>aml.record_retention_years</w:t>
            </w:r>
            <w:r>
              <w:rPr>
                <w:rFonts w:eastAsia="Segoe UI" w:cs="Segoe UI" w:ascii="Segoe UI" w:hAnsi="Segoe UI"/>
                <w:color w:val="101820"/>
                <w:kern w:val="0"/>
                <w:sz w:val="18"/>
                <w:szCs w:val="24"/>
                <w:lang w:val="en-US" w:eastAsia="ja-JP" w:bidi="ar-SA"/>
              </w:rPr>
              <w:t xml:space="preserve"> (5) years</w:t>
            </w:r>
          </w:p>
        </w:tc>
      </w:tr>
    </w:tbl>
    <w:p>
      <w:pPr>
        <w:pStyle w:val="Normal"/>
        <w:spacing w:before="0" w:after="80"/>
        <w:rPr/>
      </w:pPr>
      <w:r>
        <w:rPr/>
      </w:r>
    </w:p>
    <w:p>
      <w:pPr>
        <w:pStyle w:val="Normal"/>
        <w:numPr>
          <w:ilvl w:val="0"/>
          <w:numId w:val="185"/>
        </w:numPr>
        <w:spacing w:before="0" w:after="60"/>
        <w:rPr/>
      </w:pPr>
      <w:r>
        <w:rPr>
          <w:rFonts w:eastAsia="Segoe UI" w:cs="Segoe UI" w:ascii="Segoe UI" w:hAnsi="Segoe UI"/>
          <w:b/>
          <w:color w:val="101820"/>
          <w:sz w:val="21"/>
        </w:rPr>
        <w:t>Operations.</w:t>
      </w:r>
      <w:r>
        <w:rPr>
          <w:rFonts w:eastAsia="Segoe UI" w:cs="Segoe UI" w:ascii="Segoe UI" w:hAnsi="Segoe UI"/>
          <w:color w:val="101820"/>
          <w:sz w:val="21"/>
        </w:rPr>
        <w:t xml:space="preserve"> Operations &gt; Clients &gt; </w:t>
      </w:r>
      <w:r>
        <w:rPr>
          <w:rFonts w:eastAsia="Segoe UI" w:cs="Segoe UI" w:ascii="Segoe UI" w:hAnsi="Segoe UI"/>
          <w:b/>
          <w:color w:val="101820"/>
          <w:sz w:val="21"/>
        </w:rPr>
        <w:t>Onboard client</w:t>
      </w:r>
      <w:r>
        <w:rPr>
          <w:rFonts w:eastAsia="Segoe UI" w:cs="Segoe UI" w:ascii="Segoe UI" w:hAnsi="Segoe UI"/>
          <w:color w:val="101820"/>
          <w:sz w:val="21"/>
        </w:rPr>
        <w:t xml:space="preserve">: individual (names, birth date and place, civil status, nationality, occupation, employer, source of funds, TIN, government ID with expiry) or juridical (registered and trade name, SEC, DTI or CDA registration, nature of business, TIN, signatories with their board resolution or secretary's certificate, beneficial owners at 25% or more, </w:t>
      </w:r>
      <w:r>
        <w:rPr>
          <w:rFonts w:eastAsia="Consolas" w:cs="Consolas" w:ascii="Consolas" w:hAnsi="Consolas"/>
          <w:color w:val="101820"/>
          <w:sz w:val="19"/>
        </w:rPr>
        <w:t>aml.beneficial_owner_threshold</w:t>
      </w:r>
      <w:r>
        <w:rPr>
          <w:rFonts w:eastAsia="Segoe UI" w:cs="Segoe UI" w:ascii="Segoe UI" w:hAnsi="Segoe UI"/>
          <w:color w:val="101820"/>
          <w:sz w:val="21"/>
        </w:rPr>
        <w:t>); mobile and PSGC address; expected lines, payment mode and annual premium; PEP details; KYC documents.</w:t>
      </w:r>
    </w:p>
    <w:p>
      <w:pPr>
        <w:pStyle w:val="Normal"/>
        <w:numPr>
          <w:ilvl w:val="0"/>
          <w:numId w:val="186"/>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Gives the client its code, rates it from the risk factors (Low up to 2, High from 8, Normal between; a PEP always High) and screens the client, owners and signatories against the loaded lists and the provider (match from 0.85).</w:t>
      </w:r>
    </w:p>
    <w:p>
      <w:pPr>
        <w:pStyle w:val="Normal"/>
        <w:numPr>
          <w:ilvl w:val="0"/>
          <w:numId w:val="187"/>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Decision: a possible match?</w:t>
      </w:r>
    </w:p>
    <w:p>
      <w:pPr>
        <w:pStyle w:val="Normal"/>
        <w:numPr>
          <w:ilvl w:val="0"/>
          <w:numId w:val="188"/>
        </w:numPr>
        <w:spacing w:before="0" w:after="60"/>
        <w:rPr/>
      </w:pPr>
      <w:r>
        <w:rPr>
          <w:rFonts w:eastAsia="Segoe UI" w:cs="Segoe UI" w:ascii="Segoe UI" w:hAnsi="Segoe UI"/>
          <w:b/>
          <w:color w:val="101820"/>
          <w:sz w:val="21"/>
        </w:rPr>
        <w:t>Compliance Officer.</w:t>
      </w:r>
      <w:r>
        <w:rPr>
          <w:rFonts w:eastAsia="Segoe UI" w:cs="Segoe UI" w:ascii="Segoe UI" w:hAnsi="Segoe UI"/>
          <w:color w:val="101820"/>
          <w:sz w:val="21"/>
        </w:rPr>
        <w:t xml:space="preserve"> Screening Hits &gt; </w:t>
      </w:r>
      <w:r>
        <w:rPr>
          <w:rFonts w:eastAsia="Segoe UI" w:cs="Segoe UI" w:ascii="Segoe UI" w:hAnsi="Segoe UI"/>
          <w:b/>
          <w:color w:val="101820"/>
          <w:sz w:val="21"/>
        </w:rPr>
        <w:t>Decide</w:t>
      </w:r>
      <w:r>
        <w:rPr>
          <w:rFonts w:eastAsia="Segoe UI" w:cs="Segoe UI" w:ascii="Segoe UI" w:hAnsi="Segoe UI"/>
          <w:color w:val="101820"/>
          <w:sz w:val="21"/>
        </w:rPr>
        <w:t xml:space="preserve">: </w:t>
      </w:r>
      <w:r>
        <w:rPr>
          <w:rFonts w:eastAsia="Segoe UI" w:cs="Segoe UI" w:ascii="Segoe UI" w:hAnsi="Segoe UI"/>
          <w:b/>
          <w:color w:val="101820"/>
          <w:sz w:val="21"/>
        </w:rPr>
        <w:t>Clear</w:t>
      </w:r>
      <w:r>
        <w:rPr>
          <w:rFonts w:eastAsia="Segoe UI" w:cs="Segoe UI" w:ascii="Segoe UI" w:hAnsi="Segoe UI"/>
          <w:color w:val="101820"/>
          <w:sz w:val="21"/>
        </w:rPr>
        <w:t xml:space="preserve"> (false positive, cleared again automatically next time), </w:t>
      </w:r>
      <w:r>
        <w:rPr>
          <w:rFonts w:eastAsia="Segoe UI" w:cs="Segoe UI" w:ascii="Segoe UI" w:hAnsi="Segoe UI"/>
          <w:b/>
          <w:color w:val="101820"/>
          <w:sz w:val="21"/>
        </w:rPr>
        <w:t>Escalate</w:t>
      </w:r>
      <w:r>
        <w:rPr>
          <w:rFonts w:eastAsia="Segoe UI" w:cs="Segoe UI" w:ascii="Segoe UI" w:hAnsi="Segoe UI"/>
          <w:color w:val="101820"/>
          <w:sz w:val="21"/>
        </w:rPr>
        <w:t xml:space="preserve"> (to an AML case; still blocks) or </w:t>
      </w:r>
      <w:r>
        <w:rPr>
          <w:rFonts w:eastAsia="Segoe UI" w:cs="Segoe UI" w:ascii="Segoe UI" w:hAnsi="Segoe UI"/>
          <w:b/>
          <w:color w:val="101820"/>
          <w:sz w:val="21"/>
        </w:rPr>
        <w:t>Confirm</w:t>
      </w:r>
      <w:r>
        <w:rPr>
          <w:rFonts w:eastAsia="Segoe UI" w:cs="Segoe UI" w:ascii="Segoe UI" w:hAnsi="Segoe UI"/>
          <w:color w:val="101820"/>
          <w:sz w:val="21"/>
        </w:rPr>
        <w:t xml:space="preserve"> (client Blocked and rated High).</w:t>
      </w:r>
    </w:p>
    <w:p>
      <w:pPr>
        <w:pStyle w:val="Normal"/>
        <w:numPr>
          <w:ilvl w:val="0"/>
          <w:numId w:val="189"/>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Decision: is the client rated High?</w:t>
      </w:r>
    </w:p>
    <w:p>
      <w:pPr>
        <w:pStyle w:val="Normal"/>
        <w:numPr>
          <w:ilvl w:val="0"/>
          <w:numId w:val="190"/>
        </w:numPr>
        <w:spacing w:before="0" w:after="60"/>
        <w:rPr/>
      </w:pPr>
      <w:r>
        <w:rPr>
          <w:rFonts w:eastAsia="Segoe UI" w:cs="Segoe UI" w:ascii="Segoe UI" w:hAnsi="Segoe UI"/>
          <w:b/>
          <w:color w:val="101820"/>
          <w:sz w:val="21"/>
        </w:rPr>
        <w:t>Operations.</w:t>
      </w:r>
      <w:r>
        <w:rPr>
          <w:rFonts w:eastAsia="Segoe UI" w:cs="Segoe UI" w:ascii="Segoe UI" w:hAnsi="Segoe UI"/>
          <w:color w:val="101820"/>
          <w:sz w:val="21"/>
        </w:rPr>
        <w:t xml:space="preserve"> EDD Reviews: source of wealth, source of funds, purpose of the relationship, findings, senior management approval, evidence; </w:t>
      </w:r>
      <w:r>
        <w:rPr>
          <w:rFonts w:eastAsia="Segoe UI" w:cs="Segoe UI" w:ascii="Segoe UI" w:hAnsi="Segoe UI"/>
          <w:b/>
          <w:color w:val="101820"/>
          <w:sz w:val="21"/>
        </w:rPr>
        <w:t>Submit</w:t>
      </w:r>
      <w:r>
        <w:rPr>
          <w:rFonts w:eastAsia="Segoe UI" w:cs="Segoe UI" w:ascii="Segoe UI" w:hAnsi="Segoe UI"/>
          <w:color w:val="101820"/>
          <w:sz w:val="21"/>
        </w:rPr>
        <w:t>.</w:t>
      </w:r>
    </w:p>
    <w:p>
      <w:pPr>
        <w:pStyle w:val="Normal"/>
        <w:numPr>
          <w:ilvl w:val="0"/>
          <w:numId w:val="191"/>
        </w:numPr>
        <w:spacing w:before="0" w:after="60"/>
        <w:rPr/>
      </w:pPr>
      <w:r>
        <w:rPr>
          <w:rFonts w:eastAsia="Segoe UI" w:cs="Segoe UI" w:ascii="Segoe UI" w:hAnsi="Segoe UI"/>
          <w:b/>
          <w:color w:val="101820"/>
          <w:sz w:val="21"/>
        </w:rPr>
        <w:t>Compliance Officer.</w:t>
      </w:r>
      <w:r>
        <w:rPr>
          <w:rFonts w:eastAsia="Segoe UI" w:cs="Segoe UI" w:ascii="Segoe UI" w:hAnsi="Segoe UI"/>
          <w:color w:val="101820"/>
          <w:sz w:val="21"/>
        </w:rPr>
        <w:t xml:space="preserve"> </w:t>
      </w:r>
      <w:r>
        <w:rPr>
          <w:rFonts w:eastAsia="Segoe UI" w:cs="Segoe UI" w:ascii="Segoe UI" w:hAnsi="Segoe UI"/>
          <w:b/>
          <w:color w:val="101820"/>
          <w:sz w:val="21"/>
        </w:rPr>
        <w:t>Approve</w:t>
      </w:r>
      <w:r>
        <w:rPr>
          <w:rFonts w:eastAsia="Segoe UI" w:cs="Segoe UI" w:ascii="Segoe UI" w:hAnsi="Segoe UI"/>
          <w:color w:val="101820"/>
          <w:sz w:val="21"/>
        </w:rPr>
        <w:t xml:space="preserve">, or </w:t>
      </w:r>
      <w:r>
        <w:rPr>
          <w:rFonts w:eastAsia="Segoe UI" w:cs="Segoe UI" w:ascii="Segoe UI" w:hAnsi="Segoe UI"/>
          <w:b/>
          <w:color w:val="101820"/>
          <w:sz w:val="21"/>
        </w:rPr>
        <w:t>Reject</w:t>
      </w:r>
      <w:r>
        <w:rPr>
          <w:rFonts w:eastAsia="Segoe UI" w:cs="Segoe UI" w:ascii="Segoe UI" w:hAnsi="Segoe UI"/>
          <w:color w:val="101820"/>
          <w:sz w:val="21"/>
        </w:rPr>
        <w:t xml:space="preserve"> with the reason (Operations completes and submits again).</w:t>
      </w:r>
    </w:p>
    <w:p>
      <w:pPr>
        <w:pStyle w:val="Normal"/>
        <w:numPr>
          <w:ilvl w:val="0"/>
          <w:numId w:val="192"/>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Policies can be issued. At every issue the client is rated again with the new policy and screened; refunds and claim payouts screen the payee and the client.</w:t>
      </w:r>
    </w:p>
    <w:p>
      <w:pPr>
        <w:pStyle w:val="Normal"/>
        <w:numPr>
          <w:ilvl w:val="0"/>
          <w:numId w:val="193"/>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The aml-transaction-monitoring job runs every morning over the last 3 days: cash above PHP 500,000 in one banking day (</w:t>
      </w:r>
      <w:r>
        <w:rPr>
          <w:rFonts w:eastAsia="Consolas" w:cs="Consolas" w:ascii="Consolas" w:hAnsi="Consolas"/>
          <w:color w:val="101820"/>
          <w:sz w:val="19"/>
        </w:rPr>
        <w:t>aml.covered_threshold</w:t>
      </w:r>
      <w:r>
        <w:rPr>
          <w:rFonts w:eastAsia="Segoe UI" w:cs="Segoe UI" w:ascii="Segoe UI" w:hAnsi="Segoe UI"/>
          <w:color w:val="101820"/>
          <w:sz w:val="21"/>
        </w:rPr>
        <w:t>), several cash payments below it, early cancellation with return premium, refund or claim paid to a third party, overpayment refunded, payer differs from the client. Each alert is AMA-YYYY-NNNNNN.</w:t>
      </w:r>
    </w:p>
    <w:p>
      <w:pPr>
        <w:pStyle w:val="Normal"/>
        <w:numPr>
          <w:ilvl w:val="0"/>
          <w:numId w:val="194"/>
        </w:numPr>
        <w:spacing w:before="0" w:after="60"/>
        <w:rPr/>
      </w:pPr>
      <w:r>
        <w:rPr>
          <w:rFonts w:eastAsia="Segoe UI" w:cs="Segoe UI" w:ascii="Segoe UI" w:hAnsi="Segoe UI"/>
          <w:b/>
          <w:color w:val="101820"/>
          <w:sz w:val="21"/>
        </w:rPr>
        <w:t>Compliance Officer.</w:t>
      </w:r>
      <w:r>
        <w:rPr>
          <w:rFonts w:eastAsia="Segoe UI" w:cs="Segoe UI" w:ascii="Segoe UI" w:hAnsi="Segoe UI"/>
          <w:color w:val="101820"/>
          <w:sz w:val="21"/>
        </w:rPr>
        <w:t xml:space="preserve"> Transaction Alerts: </w:t>
      </w:r>
      <w:r>
        <w:rPr>
          <w:rFonts w:eastAsia="Segoe UI" w:cs="Segoe UI" w:ascii="Segoe UI" w:hAnsi="Segoe UI"/>
          <w:b/>
          <w:color w:val="101820"/>
          <w:sz w:val="21"/>
        </w:rPr>
        <w:t>Close</w:t>
      </w:r>
      <w:r>
        <w:rPr>
          <w:rFonts w:eastAsia="Segoe UI" w:cs="Segoe UI" w:ascii="Segoe UI" w:hAnsi="Segoe UI"/>
          <w:color w:val="101820"/>
          <w:sz w:val="21"/>
        </w:rPr>
        <w:t xml:space="preserve"> an explained suspicious alert with the reason, or </w:t>
      </w:r>
      <w:r>
        <w:rPr>
          <w:rFonts w:eastAsia="Segoe UI" w:cs="Segoe UI" w:ascii="Segoe UI" w:hAnsi="Segoe UI"/>
          <w:b/>
          <w:color w:val="101820"/>
          <w:sz w:val="21"/>
        </w:rPr>
        <w:t>Open or add to a case</w:t>
      </w:r>
      <w:r>
        <w:rPr>
          <w:rFonts w:eastAsia="Segoe UI" w:cs="Segoe UI" w:ascii="Segoe UI" w:hAnsi="Segoe UI"/>
          <w:color w:val="101820"/>
          <w:sz w:val="21"/>
        </w:rPr>
        <w:t xml:space="preserve"> (AMC-).</w:t>
      </w:r>
    </w:p>
    <w:p>
      <w:pPr>
        <w:pStyle w:val="Normal"/>
        <w:numPr>
          <w:ilvl w:val="0"/>
          <w:numId w:val="195"/>
        </w:numPr>
        <w:spacing w:before="0" w:after="60"/>
        <w:rPr/>
      </w:pPr>
      <w:r>
        <w:rPr>
          <w:rFonts w:eastAsia="Segoe UI" w:cs="Segoe UI" w:ascii="Segoe UI" w:hAnsi="Segoe UI"/>
          <w:b/>
          <w:color w:val="101820"/>
          <w:sz w:val="21"/>
        </w:rPr>
        <w:t>Compliance Officer.</w:t>
      </w:r>
      <w:r>
        <w:rPr>
          <w:rFonts w:eastAsia="Segoe UI" w:cs="Segoe UI" w:ascii="Segoe UI" w:hAnsi="Segoe UI"/>
          <w:color w:val="101820"/>
          <w:sz w:val="21"/>
        </w:rPr>
        <w:t xml:space="preserve"> STR case: grounds of suspicion, </w:t>
      </w:r>
      <w:r>
        <w:rPr>
          <w:rFonts w:eastAsia="Segoe UI" w:cs="Segoe UI" w:ascii="Segoe UI" w:hAnsi="Segoe UI"/>
          <w:b/>
          <w:color w:val="101820"/>
          <w:sz w:val="21"/>
        </w:rPr>
        <w:t>Suspicion established on</w:t>
      </w:r>
      <w:r>
        <w:rPr>
          <w:rFonts w:eastAsia="Segoe UI" w:cs="Segoe UI" w:ascii="Segoe UI" w:hAnsi="Segoe UI"/>
          <w:color w:val="101820"/>
          <w:sz w:val="21"/>
        </w:rPr>
        <w:t xml:space="preserve"> (due </w:t>
      </w:r>
      <w:r>
        <w:rPr>
          <w:rFonts w:eastAsia="Consolas" w:cs="Consolas" w:ascii="Consolas" w:hAnsi="Consolas"/>
          <w:color w:val="101820"/>
          <w:sz w:val="19"/>
        </w:rPr>
        <w:t>aml.str_due_working_days</w:t>
      </w:r>
      <w:r>
        <w:rPr>
          <w:rFonts w:eastAsia="Segoe UI" w:cs="Segoe UI" w:ascii="Segoe UI" w:hAnsi="Segoe UI"/>
          <w:color w:val="101820"/>
          <w:sz w:val="21"/>
        </w:rPr>
        <w:t xml:space="preserve">, 1 working day later, holidays of the Holiday master skipped), narrative; </w:t>
      </w:r>
      <w:r>
        <w:rPr>
          <w:rFonts w:eastAsia="Segoe UI" w:cs="Segoe UI" w:ascii="Segoe UI" w:hAnsi="Segoe UI"/>
          <w:b/>
          <w:color w:val="101820"/>
          <w:sz w:val="21"/>
        </w:rPr>
        <w:t>Approve for filing</w:t>
      </w:r>
      <w:r>
        <w:rPr>
          <w:rFonts w:eastAsia="Segoe UI" w:cs="Segoe UI" w:ascii="Segoe UI" w:hAnsi="Segoe UI"/>
          <w:color w:val="101820"/>
          <w:sz w:val="21"/>
        </w:rPr>
        <w:t xml:space="preserve">. Covered transactions: </w:t>
      </w:r>
      <w:r>
        <w:rPr>
          <w:rFonts w:eastAsia="Segoe UI" w:cs="Segoe UI" w:ascii="Segoe UI" w:hAnsi="Segoe UI"/>
          <w:b/>
          <w:color w:val="101820"/>
          <w:sz w:val="21"/>
        </w:rPr>
        <w:t>Generate CTR file</w:t>
      </w:r>
      <w:r>
        <w:rPr>
          <w:rFonts w:eastAsia="Segoe UI" w:cs="Segoe UI" w:ascii="Segoe UI" w:hAnsi="Segoe UI"/>
          <w:color w:val="101820"/>
          <w:sz w:val="21"/>
        </w:rPr>
        <w:t xml:space="preserve"> for the period (due in 5 working days).</w:t>
      </w:r>
    </w:p>
    <w:p>
      <w:pPr>
        <w:pStyle w:val="Normal"/>
        <w:numPr>
          <w:ilvl w:val="0"/>
          <w:numId w:val="196"/>
        </w:numPr>
        <w:spacing w:before="0" w:after="60"/>
        <w:rPr/>
      </w:pPr>
      <w:r>
        <w:rPr>
          <w:rFonts w:eastAsia="Segoe UI" w:cs="Segoe UI" w:ascii="Segoe UI" w:hAnsi="Segoe UI"/>
          <w:b/>
          <w:color w:val="101820"/>
          <w:sz w:val="21"/>
        </w:rPr>
        <w:t>Compliance Officer.</w:t>
      </w:r>
      <w:r>
        <w:rPr>
          <w:rFonts w:eastAsia="Segoe UI" w:cs="Segoe UI" w:ascii="Segoe UI" w:hAnsi="Segoe UI"/>
          <w:color w:val="101820"/>
          <w:sz w:val="21"/>
        </w:rPr>
        <w:t xml:space="preserve"> </w:t>
      </w:r>
      <w:r>
        <w:rPr>
          <w:rFonts w:eastAsia="Segoe UI" w:cs="Segoe UI" w:ascii="Segoe UI" w:hAnsi="Segoe UI"/>
          <w:b/>
          <w:color w:val="101820"/>
          <w:sz w:val="21"/>
        </w:rPr>
        <w:t>Generate report file</w:t>
      </w:r>
      <w:r>
        <w:rPr>
          <w:rFonts w:eastAsia="Segoe UI" w:cs="Segoe UI" w:ascii="Segoe UI" w:hAnsi="Segoe UI"/>
          <w:color w:val="101820"/>
          <w:sz w:val="21"/>
        </w:rPr>
        <w:t xml:space="preserve"> (AMR-) and </w:t>
      </w:r>
      <w:r>
        <w:rPr>
          <w:rFonts w:eastAsia="Segoe UI" w:cs="Segoe UI" w:ascii="Segoe UI" w:hAnsi="Segoe UI"/>
          <w:b/>
          <w:color w:val="101820"/>
          <w:sz w:val="21"/>
        </w:rPr>
        <w:t>Download</w:t>
      </w:r>
      <w:r>
        <w:rPr>
          <w:rFonts w:eastAsia="Segoe UI" w:cs="Segoe UI" w:ascii="Segoe UI" w:hAnsi="Segoe UI"/>
          <w:color w:val="101820"/>
          <w:sz w:val="21"/>
        </w:rPr>
        <w:t>.</w:t>
      </w:r>
    </w:p>
    <w:p>
      <w:pPr>
        <w:pStyle w:val="Normal"/>
        <w:numPr>
          <w:ilvl w:val="0"/>
          <w:numId w:val="197"/>
        </w:numPr>
        <w:spacing w:before="0" w:after="60"/>
        <w:rPr/>
      </w:pPr>
      <w:r>
        <w:rPr>
          <w:rFonts w:eastAsia="Segoe UI" w:cs="Segoe UI" w:ascii="Segoe UI" w:hAnsi="Segoe UI"/>
          <w:b/>
          <w:color w:val="101820"/>
          <w:sz w:val="21"/>
        </w:rPr>
        <w:t>AMLC portal.</w:t>
      </w:r>
      <w:r>
        <w:rPr>
          <w:rFonts w:eastAsia="Segoe UI" w:cs="Segoe UI" w:ascii="Segoe UI" w:hAnsi="Segoe UI"/>
          <w:color w:val="101820"/>
          <w:sz w:val="21"/>
        </w:rPr>
        <w:t xml:space="preserve"> The broker files the report; the AMLC acknowledges or rejects it.</w:t>
      </w:r>
    </w:p>
    <w:p>
      <w:pPr>
        <w:pStyle w:val="Normal"/>
        <w:numPr>
          <w:ilvl w:val="0"/>
          <w:numId w:val="198"/>
        </w:numPr>
        <w:spacing w:before="0" w:after="60"/>
        <w:rPr/>
      </w:pPr>
      <w:r>
        <w:rPr>
          <w:rFonts w:eastAsia="Segoe UI" w:cs="Segoe UI" w:ascii="Segoe UI" w:hAnsi="Segoe UI"/>
          <w:b/>
          <w:color w:val="101820"/>
          <w:sz w:val="21"/>
        </w:rPr>
        <w:t>Compliance Officer.</w:t>
      </w:r>
      <w:r>
        <w:rPr>
          <w:rFonts w:eastAsia="Segoe UI" w:cs="Segoe UI" w:ascii="Segoe UI" w:hAnsi="Segoe UI"/>
          <w:color w:val="101820"/>
          <w:sz w:val="21"/>
        </w:rPr>
        <w:t xml:space="preserve"> </w:t>
      </w:r>
      <w:r>
        <w:rPr>
          <w:rFonts w:eastAsia="Segoe UI" w:cs="Segoe UI" w:ascii="Segoe UI" w:hAnsi="Segoe UI"/>
          <w:b/>
          <w:color w:val="101820"/>
          <w:sz w:val="21"/>
        </w:rPr>
        <w:t>Record filing</w:t>
      </w:r>
      <w:r>
        <w:rPr>
          <w:rFonts w:eastAsia="Segoe UI" w:cs="Segoe UI" w:ascii="Segoe UI" w:hAnsi="Segoe UI"/>
          <w:color w:val="101820"/>
          <w:sz w:val="21"/>
        </w:rPr>
        <w:t>: date, acknowledgement reference, later Acknowledged or Rejected; the alerts become Reported and the case Filed.</w:t>
      </w:r>
    </w:p>
    <w:p>
      <w:pPr>
        <w:pStyle w:val="Normal"/>
        <w:numPr>
          <w:ilvl w:val="0"/>
          <w:numId w:val="199"/>
        </w:numPr>
        <w:spacing w:before="0" w:after="60"/>
        <w:rPr/>
      </w:pPr>
      <w:r>
        <w:rPr>
          <w:rFonts w:eastAsia="Segoe UI" w:cs="Segoe UI" w:ascii="Segoe UI" w:hAnsi="Segoe UI"/>
          <w:b/>
          <w:color w:val="101820"/>
          <w:sz w:val="21"/>
        </w:rPr>
        <w:t>End.</w:t>
      </w:r>
      <w:r>
        <w:rPr>
          <w:rFonts w:eastAsia="Segoe UI" w:cs="Segoe UI" w:ascii="Segoe UI" w:hAnsi="Segoe UI"/>
          <w:color w:val="101820"/>
          <w:sz w:val="21"/>
        </w:rPr>
        <w:t xml:space="preserve"> The weekly aml-kyc-refresh-due job lists clients due for refresh (Low 36, Normal 24, High 12 months); </w:t>
      </w:r>
      <w:r>
        <w:rPr>
          <w:rFonts w:eastAsia="Segoe UI" w:cs="Segoe UI" w:ascii="Segoe UI" w:hAnsi="Segoe UI"/>
          <w:b/>
          <w:color w:val="101820"/>
          <w:sz w:val="21"/>
        </w:rPr>
        <w:t>Complete KYC refresh</w:t>
      </w:r>
      <w:r>
        <w:rPr>
          <w:rFonts w:eastAsia="Segoe UI" w:cs="Segoe UI" w:ascii="Segoe UI" w:hAnsi="Segoe UI"/>
          <w:color w:val="101820"/>
          <w:sz w:val="21"/>
        </w:rPr>
        <w:t xml:space="preserve"> rates the client again.</w:t>
      </w:r>
    </w:p>
    <w:p>
      <w:pPr>
        <w:pStyle w:val="Normal"/>
        <w:spacing w:lineRule="auto" w:line="276" w:before="0" w:after="120"/>
        <w:rPr/>
      </w:pPr>
      <w:r>
        <w:rPr>
          <w:rFonts w:eastAsia="Segoe UI" w:cs="Segoe UI" w:ascii="Segoe UI" w:hAnsi="Segoe UI"/>
          <w:b/>
          <w:color w:val="101820"/>
          <w:sz w:val="21"/>
        </w:rPr>
        <w:t>Exceptions</w:t>
      </w:r>
    </w:p>
    <w:p>
      <w:pPr>
        <w:pStyle w:val="Normal"/>
        <w:numPr>
          <w:ilvl w:val="0"/>
          <w:numId w:val="1"/>
        </w:numPr>
        <w:spacing w:before="0" w:after="60"/>
        <w:rPr/>
      </w:pPr>
      <w:r>
        <w:rPr>
          <w:rFonts w:eastAsia="Segoe UI" w:cs="Segoe UI" w:ascii="Segoe UI" w:hAnsi="Segoe UI"/>
          <w:color w:val="101820"/>
          <w:sz w:val="21"/>
        </w:rPr>
        <w:t xml:space="preserve">A new list version is loaded on Screening Lists with </w:t>
      </w:r>
      <w:r>
        <w:rPr>
          <w:rFonts w:eastAsia="Segoe UI" w:cs="Segoe UI" w:ascii="Segoe UI" w:hAnsi="Segoe UI"/>
          <w:b/>
          <w:color w:val="101820"/>
          <w:sz w:val="21"/>
        </w:rPr>
        <w:t>Rescreen every client after loading</w:t>
      </w:r>
      <w:r>
        <w:rPr>
          <w:rFonts w:eastAsia="Segoe UI" w:cs="Segoe UI" w:ascii="Segoe UI" w:hAnsi="Segoe UI"/>
          <w:color w:val="101820"/>
          <w:sz w:val="21"/>
        </w:rPr>
        <w:t>: new matches enter the hits queue.</w:t>
      </w:r>
    </w:p>
    <w:p>
      <w:pPr>
        <w:pStyle w:val="Normal"/>
        <w:numPr>
          <w:ilvl w:val="0"/>
          <w:numId w:val="1"/>
        </w:numPr>
        <w:spacing w:before="0" w:after="60"/>
        <w:rPr/>
      </w:pPr>
      <w:r>
        <w:rPr>
          <w:rFonts w:eastAsia="Segoe UI" w:cs="Segoe UI" w:ascii="Segoe UI" w:hAnsi="Segoe UI"/>
          <w:color w:val="101820"/>
          <w:sz w:val="21"/>
        </w:rPr>
        <w:t>The screening provider is down: the uploaded lists are still screened; aml-provider-retry retries the call and notifies the officer when the attempts run out.</w:t>
      </w:r>
    </w:p>
    <w:p>
      <w:pPr>
        <w:pStyle w:val="Normal"/>
        <w:numPr>
          <w:ilvl w:val="0"/>
          <w:numId w:val="1"/>
        </w:numPr>
        <w:spacing w:before="0" w:after="60"/>
        <w:rPr/>
      </w:pPr>
      <w:r>
        <w:rPr>
          <w:rFonts w:eastAsia="Segoe UI" w:cs="Segoe UI" w:ascii="Segoe UI" w:hAnsi="Segoe UI"/>
          <w:color w:val="101820"/>
          <w:sz w:val="21"/>
        </w:rPr>
        <w:t>Master &gt; Data Privacy refuses to anonymise a client before the AML retention ends or while a case is open.</w:t>
      </w:r>
    </w:p>
    <w:p>
      <w:pPr>
        <w:pStyle w:val="Heading2"/>
        <w:rPr/>
      </w:pPr>
      <w:bookmarkStart w:id="34" w:name="__RefHeading___Toc19311_1497462395"/>
      <w:bookmarkEnd w:id="34"/>
      <w:r>
        <w:rPr>
          <w:rFonts w:eastAsia="Segoe UI" w:cs="Segoe UI"/>
          <w:b/>
          <w:color w:val="0F4761"/>
          <w:sz w:val="26"/>
        </w:rPr>
        <w:t>9.2  F12 Complaints</w:t>
      </w:r>
    </w:p>
    <w:p>
      <w:pPr>
        <w:pStyle w:val="Normal"/>
        <w:spacing w:lineRule="auto" w:line="276" w:before="0" w:after="120"/>
        <w:rPr/>
      </w:pPr>
      <w:r>
        <w:rPr>
          <w:rFonts w:eastAsia="Segoe UI" w:cs="Segoe UI" w:ascii="Segoe UI" w:hAnsi="Segoe UI"/>
          <w:color w:val="101820"/>
          <w:sz w:val="21"/>
        </w:rPr>
        <w:t>Complaints of clients and claimants are logged, acknowledged and resolved within set periods, escalated when overdue, and reported, under RA 11765 and the IC rules on complaints handling.</w:t>
      </w:r>
    </w:p>
    <w:p>
      <w:pPr>
        <w:pStyle w:val="Normal"/>
        <w:jc w:val="center"/>
        <w:rPr/>
      </w:pPr>
      <w:r>
        <w:rPr/>
        <w:drawing>
          <wp:inline distT="0" distB="0" distL="0" distR="0">
            <wp:extent cx="5760085" cy="5942965"/>
            <wp:effectExtent l="0" t="0" r="0" b="0"/>
            <wp:docPr id="23" name="Picture 21212882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21288203" descr=""/>
                    <pic:cNvPicPr>
                      <a:picLocks noChangeAspect="1" noChangeArrowheads="1"/>
                    </pic:cNvPicPr>
                  </pic:nvPicPr>
                  <pic:blipFill>
                    <a:blip r:embed="rId19"/>
                    <a:stretch>
                      <a:fillRect/>
                    </a:stretch>
                  </pic:blipFill>
                  <pic:spPr bwMode="auto">
                    <a:xfrm>
                      <a:off x="0" y="0"/>
                      <a:ext cx="5760085" cy="5942965"/>
                    </a:xfrm>
                    <a:prstGeom prst="rect">
                      <a:avLst/>
                    </a:prstGeom>
                  </pic:spPr>
                </pic:pic>
              </a:graphicData>
            </a:graphic>
          </wp:inline>
        </w:drawing>
      </w:r>
    </w:p>
    <w:p>
      <w:pPr>
        <w:pStyle w:val="Normal"/>
        <w:jc w:val="center"/>
        <w:rPr/>
      </w:pPr>
      <w:r>
        <w:rPr>
          <w:rFonts w:eastAsia="Segoe UI" w:cs="Segoe UI" w:ascii="Segoe UI" w:hAnsi="Segoe UI"/>
          <w:i/>
          <w:color w:val="555F6D"/>
          <w:sz w:val="18"/>
        </w:rPr>
        <w:t>F12 Complaints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44"/>
        <w:gridCol w:w="7370"/>
      </w:tblGrid>
      <w:tr>
        <w:trPr>
          <w:tblHeader w:val="true"/>
        </w:trPr>
        <w:tc>
          <w:tcPr>
            <w:tcW w:w="16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At a glance</w:t>
            </w:r>
          </w:p>
        </w:tc>
        <w:tc>
          <w:tcPr>
            <w:tcW w:w="73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complaint received by any channel (</w:t>
            </w:r>
            <w:r>
              <w:rPr>
                <w:rFonts w:eastAsia="Consolas" w:cs="Consolas" w:ascii="Consolas" w:hAnsi="Consolas"/>
                <w:color w:val="101820"/>
                <w:kern w:val="0"/>
                <w:sz w:val="16"/>
                <w:szCs w:val="24"/>
                <w:lang w:val="en-US" w:eastAsia="ja-JP" w:bidi="ar-SA"/>
              </w:rPr>
              <w:t>complaints.channels</w:t>
            </w:r>
            <w:r>
              <w:rPr>
                <w:rFonts w:eastAsia="Segoe UI" w:cs="Segoe UI" w:ascii="Segoe UI" w:hAnsi="Segoe UI"/>
                <w:color w:val="101820"/>
                <w:kern w:val="0"/>
                <w:sz w:val="18"/>
                <w:szCs w:val="24"/>
                <w:lang w:val="en-US" w:eastAsia="ja-JP" w:bidi="ar-SA"/>
              </w:rPr>
              <w:t>)</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Complainant; handler (Operations or Claims, </w:t>
            </w:r>
            <w:r>
              <w:rPr>
                <w:rFonts w:eastAsia="Consolas" w:cs="Consolas" w:ascii="Consolas" w:hAnsi="Consolas"/>
                <w:color w:val="101820"/>
                <w:kern w:val="0"/>
                <w:sz w:val="16"/>
                <w:szCs w:val="24"/>
                <w:lang w:val="en-US" w:eastAsia="ja-JP" w:bidi="ar-SA"/>
              </w:rPr>
              <w:t>write:complaints</w:t>
            </w:r>
            <w:r>
              <w:rPr>
                <w:rFonts w:eastAsia="Segoe UI" w:cs="Segoe UI" w:ascii="Segoe UI" w:hAnsi="Segoe UI"/>
                <w:color w:val="101820"/>
                <w:kern w:val="0"/>
                <w:sz w:val="18"/>
                <w:szCs w:val="24"/>
                <w:lang w:val="en-US" w:eastAsia="ja-JP" w:bidi="ar-SA"/>
              </w:rPr>
              <w:t>); complaints officers (</w:t>
            </w:r>
            <w:r>
              <w:rPr>
                <w:rFonts w:eastAsia="Consolas" w:cs="Consolas" w:ascii="Consolas" w:hAnsi="Consolas"/>
                <w:color w:val="101820"/>
                <w:kern w:val="0"/>
                <w:sz w:val="16"/>
                <w:szCs w:val="24"/>
                <w:lang w:val="en-US" w:eastAsia="ja-JP" w:bidi="ar-SA"/>
              </w:rPr>
              <w:t>approve:complaints</w:t>
            </w:r>
            <w:r>
              <w:rPr>
                <w:rFonts w:eastAsia="Segoe UI" w:cs="Segoe UI" w:ascii="Segoe UI" w:hAnsi="Segoe UI"/>
                <w:color w:val="101820"/>
                <w:kern w:val="0"/>
                <w:sz w:val="18"/>
                <w:szCs w:val="24"/>
                <w:lang w:val="en-US" w:eastAsia="ja-JP" w:bidi="ar-SA"/>
              </w:rPr>
              <w:t>); Insurance Commission; BrokerVerse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&gt; Insurance Commission &gt; Complaints</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Complaint (CMP-), acknowledgement letter (</w:t>
            </w:r>
            <w:r>
              <w:rPr>
                <w:rFonts w:eastAsia="Consolas" w:cs="Consolas" w:ascii="Consolas" w:hAnsi="Consolas"/>
                <w:color w:val="101820"/>
                <w:kern w:val="0"/>
                <w:sz w:val="16"/>
                <w:szCs w:val="24"/>
                <w:lang w:val="en-US" w:eastAsia="ja-JP" w:bidi="ar-SA"/>
              </w:rPr>
              <w:t>complaints.ack_letter_text</w:t>
            </w:r>
            <w:r>
              <w:rPr>
                <w:rFonts w:eastAsia="Segoe UI" w:cs="Segoe UI" w:ascii="Segoe UI" w:hAnsi="Segoe UI"/>
                <w:color w:val="101820"/>
                <w:kern w:val="0"/>
                <w:sz w:val="18"/>
                <w:szCs w:val="24"/>
                <w:lang w:val="en-US" w:eastAsia="ja-JP" w:bidi="ar-SA"/>
              </w:rPr>
              <w:t>), resolution letter (</w:t>
            </w:r>
            <w:r>
              <w:rPr>
                <w:rFonts w:eastAsia="Consolas" w:cs="Consolas" w:ascii="Consolas" w:hAnsi="Consolas"/>
                <w:color w:val="101820"/>
                <w:kern w:val="0"/>
                <w:sz w:val="16"/>
                <w:szCs w:val="24"/>
                <w:lang w:val="en-US" w:eastAsia="ja-JP" w:bidi="ar-SA"/>
              </w:rPr>
              <w:t>complaints.resolution_letter_text</w:t>
            </w:r>
            <w:r>
              <w:rPr>
                <w:rFonts w:eastAsia="Segoe UI" w:cs="Segoe UI" w:ascii="Segoe UI" w:hAnsi="Segoe UI"/>
                <w:color w:val="101820"/>
                <w:kern w:val="0"/>
                <w:sz w:val="18"/>
                <w:szCs w:val="24"/>
                <w:lang w:val="en-US" w:eastAsia="ja-JP" w:bidi="ar-SA"/>
              </w:rPr>
              <w:t>) on the letterhead, regulator report (Excel)</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Deadlines in calendar days from receipt: acknowledgement </w:t>
            </w:r>
            <w:r>
              <w:rPr>
                <w:rFonts w:eastAsia="Consolas" w:cs="Consolas" w:ascii="Consolas" w:hAnsi="Consolas"/>
                <w:color w:val="101820"/>
                <w:kern w:val="0"/>
                <w:sz w:val="16"/>
                <w:szCs w:val="24"/>
                <w:lang w:val="en-US" w:eastAsia="ja-JP" w:bidi="ar-SA"/>
              </w:rPr>
              <w:t>complaints.ack_days</w:t>
            </w:r>
            <w:r>
              <w:rPr>
                <w:rFonts w:eastAsia="Segoe UI" w:cs="Segoe UI" w:ascii="Segoe UI" w:hAnsi="Segoe UI"/>
                <w:color w:val="101820"/>
                <w:kern w:val="0"/>
                <w:sz w:val="18"/>
                <w:szCs w:val="24"/>
                <w:lang w:val="en-US" w:eastAsia="ja-JP" w:bidi="ar-SA"/>
              </w:rPr>
              <w:t xml:space="preserve"> (2), resolution </w:t>
            </w:r>
            <w:r>
              <w:rPr>
                <w:rFonts w:eastAsia="Consolas" w:cs="Consolas" w:ascii="Consolas" w:hAnsi="Consolas"/>
                <w:color w:val="101820"/>
                <w:kern w:val="0"/>
                <w:sz w:val="16"/>
                <w:szCs w:val="24"/>
                <w:lang w:val="en-US" w:eastAsia="ja-JP" w:bidi="ar-SA"/>
              </w:rPr>
              <w:t>complaints.resolution_days_simple</w:t>
            </w:r>
            <w:r>
              <w:rPr>
                <w:rFonts w:eastAsia="Segoe UI" w:cs="Segoe UI" w:ascii="Segoe UI" w:hAnsi="Segoe UI"/>
                <w:color w:val="101820"/>
                <w:kern w:val="0"/>
                <w:sz w:val="18"/>
                <w:szCs w:val="24"/>
                <w:lang w:val="en-US" w:eastAsia="ja-JP" w:bidi="ar-SA"/>
              </w:rPr>
              <w:t xml:space="preserve"> (7) or </w:t>
            </w:r>
            <w:r>
              <w:rPr>
                <w:rFonts w:eastAsia="Consolas" w:cs="Consolas" w:ascii="Consolas" w:hAnsi="Consolas"/>
                <w:color w:val="101820"/>
                <w:kern w:val="0"/>
                <w:sz w:val="16"/>
                <w:szCs w:val="24"/>
                <w:lang w:val="en-US" w:eastAsia="ja-JP" w:bidi="ar-SA"/>
              </w:rPr>
              <w:t>complaints.resolution_days_complex</w:t>
            </w:r>
            <w:r>
              <w:rPr>
                <w:rFonts w:eastAsia="Segoe UI" w:cs="Segoe UI" w:ascii="Segoe UI" w:hAnsi="Segoe UI"/>
                <w:color w:val="101820"/>
                <w:kern w:val="0"/>
                <w:sz w:val="18"/>
                <w:szCs w:val="24"/>
                <w:lang w:val="en-US" w:eastAsia="ja-JP" w:bidi="ar-SA"/>
              </w:rPr>
              <w:t xml:space="preserve"> (45); automatic escalation when overdue (</w:t>
            </w:r>
            <w:r>
              <w:rPr>
                <w:rFonts w:eastAsia="Consolas" w:cs="Consolas" w:ascii="Consolas" w:hAnsi="Consolas"/>
                <w:color w:val="101820"/>
                <w:kern w:val="0"/>
                <w:sz w:val="16"/>
                <w:szCs w:val="24"/>
                <w:lang w:val="en-US" w:eastAsia="ja-JP" w:bidi="ar-SA"/>
              </w:rPr>
              <w:t>complaints.auto_escalate</w:t>
            </w:r>
            <w:r>
              <w:rPr>
                <w:rFonts w:eastAsia="Segoe UI" w:cs="Segoe UI" w:ascii="Segoe UI" w:hAnsi="Segoe UI"/>
                <w:color w:val="101820"/>
                <w:kern w:val="0"/>
                <w:sz w:val="18"/>
                <w:szCs w:val="24"/>
                <w:lang w:val="en-US" w:eastAsia="ja-JP" w:bidi="ar-SA"/>
              </w:rPr>
              <w:t>); history and audit trail</w:t>
            </w:r>
          </w:p>
        </w:tc>
      </w:tr>
    </w:tbl>
    <w:p>
      <w:pPr>
        <w:pStyle w:val="Normal"/>
        <w:spacing w:before="0" w:after="80"/>
        <w:rPr/>
      </w:pPr>
      <w:r>
        <w:rPr/>
      </w:r>
    </w:p>
    <w:p>
      <w:pPr>
        <w:pStyle w:val="Normal"/>
        <w:numPr>
          <w:ilvl w:val="0"/>
          <w:numId w:val="200"/>
        </w:numPr>
        <w:spacing w:before="0" w:after="60"/>
        <w:rPr/>
      </w:pPr>
      <w:r>
        <w:rPr>
          <w:rFonts w:eastAsia="Segoe UI" w:cs="Segoe UI" w:ascii="Segoe UI" w:hAnsi="Segoe UI"/>
          <w:b/>
          <w:color w:val="101820"/>
          <w:sz w:val="21"/>
        </w:rPr>
        <w:t>Complainant.</w:t>
      </w:r>
      <w:r>
        <w:rPr>
          <w:rFonts w:eastAsia="Segoe UI" w:cs="Segoe UI" w:ascii="Segoe UI" w:hAnsi="Segoe UI"/>
          <w:color w:val="101820"/>
          <w:sz w:val="21"/>
        </w:rPr>
        <w:t xml:space="preserve"> Complains by letter, e-mail, phone, walk-in or another channel.</w:t>
      </w:r>
    </w:p>
    <w:p>
      <w:pPr>
        <w:pStyle w:val="Normal"/>
        <w:numPr>
          <w:ilvl w:val="0"/>
          <w:numId w:val="201"/>
        </w:numPr>
        <w:spacing w:before="0" w:after="60"/>
        <w:rPr/>
      </w:pPr>
      <w:r>
        <w:rPr>
          <w:rFonts w:eastAsia="Segoe UI" w:cs="Segoe UI" w:ascii="Segoe UI" w:hAnsi="Segoe UI"/>
          <w:b/>
          <w:color w:val="101820"/>
          <w:sz w:val="21"/>
        </w:rPr>
        <w:t>Handler.</w:t>
      </w:r>
      <w:r>
        <w:rPr>
          <w:rFonts w:eastAsia="Segoe UI" w:cs="Segoe UI" w:ascii="Segoe UI" w:hAnsi="Segoe UI"/>
          <w:color w:val="101820"/>
          <w:sz w:val="21"/>
        </w:rPr>
        <w:t xml:space="preserve"> </w:t>
      </w:r>
      <w:r>
        <w:rPr>
          <w:rFonts w:eastAsia="Segoe UI" w:cs="Segoe UI" w:ascii="Segoe UI" w:hAnsi="Segoe UI"/>
          <w:b/>
          <w:color w:val="101820"/>
          <w:sz w:val="21"/>
        </w:rPr>
        <w:t>Log complaint</w:t>
      </w:r>
      <w:r>
        <w:rPr>
          <w:rFonts w:eastAsia="Segoe UI" w:cs="Segoe UI" w:ascii="Segoe UI" w:hAnsi="Segoe UI"/>
          <w:color w:val="101820"/>
          <w:sz w:val="21"/>
        </w:rPr>
        <w:t>: date received, channel, complainant and contact, complainant type, policy and claim (the policy fills the client and insurer), category (</w:t>
      </w:r>
      <w:r>
        <w:rPr>
          <w:rFonts w:eastAsia="Consolas" w:cs="Consolas" w:ascii="Consolas" w:hAnsi="Consolas"/>
          <w:color w:val="101820"/>
          <w:sz w:val="19"/>
        </w:rPr>
        <w:t>complaints.categories</w:t>
      </w:r>
      <w:r>
        <w:rPr>
          <w:rFonts w:eastAsia="Segoe UI" w:cs="Segoe UI" w:ascii="Segoe UI" w:hAnsi="Segoe UI"/>
          <w:color w:val="101820"/>
          <w:sz w:val="21"/>
        </w:rPr>
        <w:t xml:space="preserve">), simple or complex, amount disputed, subject, description, letter; </w:t>
      </w:r>
      <w:r>
        <w:rPr>
          <w:rFonts w:eastAsia="Segoe UI" w:cs="Segoe UI" w:ascii="Segoe UI" w:hAnsi="Segoe UI"/>
          <w:b/>
          <w:color w:val="101820"/>
          <w:sz w:val="21"/>
        </w:rPr>
        <w:t>Assigned to</w:t>
      </w:r>
      <w:r>
        <w:rPr>
          <w:rFonts w:eastAsia="Segoe UI" w:cs="Segoe UI" w:ascii="Segoe UI" w:hAnsi="Segoe UI"/>
          <w:color w:val="101820"/>
          <w:sz w:val="21"/>
        </w:rPr>
        <w:t>.</w:t>
      </w:r>
    </w:p>
    <w:p>
      <w:pPr>
        <w:pStyle w:val="Normal"/>
        <w:numPr>
          <w:ilvl w:val="0"/>
          <w:numId w:val="202"/>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Numbers the complaint (CMP-), sets the acknowledgement and resolution deadlines and notifies the person assigned.</w:t>
      </w:r>
    </w:p>
    <w:p>
      <w:pPr>
        <w:pStyle w:val="Normal"/>
        <w:numPr>
          <w:ilvl w:val="0"/>
          <w:numId w:val="203"/>
        </w:numPr>
        <w:spacing w:before="0" w:after="60"/>
        <w:rPr/>
      </w:pPr>
      <w:r>
        <w:rPr>
          <w:rFonts w:eastAsia="Segoe UI" w:cs="Segoe UI" w:ascii="Segoe UI" w:hAnsi="Segoe UI"/>
          <w:b/>
          <w:color w:val="101820"/>
          <w:sz w:val="21"/>
        </w:rPr>
        <w:t>Handler.</w:t>
      </w:r>
      <w:r>
        <w:rPr>
          <w:rFonts w:eastAsia="Segoe UI" w:cs="Segoe UI" w:ascii="Segoe UI" w:hAnsi="Segoe UI"/>
          <w:color w:val="101820"/>
          <w:sz w:val="21"/>
        </w:rPr>
        <w:t xml:space="preserve"> </w:t>
      </w:r>
      <w:r>
        <w:rPr>
          <w:rFonts w:eastAsia="Segoe UI" w:cs="Segoe UI" w:ascii="Segoe UI" w:hAnsi="Segoe UI"/>
          <w:b/>
          <w:color w:val="101820"/>
          <w:sz w:val="21"/>
        </w:rPr>
        <w:t>Acknowledge</w:t>
      </w:r>
      <w:r>
        <w:rPr>
          <w:rFonts w:eastAsia="Segoe UI" w:cs="Segoe UI" w:ascii="Segoe UI" w:hAnsi="Segoe UI"/>
          <w:color w:val="101820"/>
          <w:sz w:val="21"/>
        </w:rPr>
        <w:t xml:space="preserve"> and print the acknowledgement letter.</w:t>
      </w:r>
    </w:p>
    <w:p>
      <w:pPr>
        <w:pStyle w:val="Normal"/>
        <w:numPr>
          <w:ilvl w:val="0"/>
          <w:numId w:val="204"/>
        </w:numPr>
        <w:spacing w:before="0" w:after="60"/>
        <w:rPr/>
      </w:pPr>
      <w:r>
        <w:rPr>
          <w:rFonts w:eastAsia="Segoe UI" w:cs="Segoe UI" w:ascii="Segoe UI" w:hAnsi="Segoe UI"/>
          <w:b/>
          <w:color w:val="101820"/>
          <w:sz w:val="21"/>
        </w:rPr>
        <w:t>Handler.</w:t>
      </w:r>
      <w:r>
        <w:rPr>
          <w:rFonts w:eastAsia="Segoe UI" w:cs="Segoe UI" w:ascii="Segoe UI" w:hAnsi="Segoe UI"/>
          <w:color w:val="101820"/>
          <w:sz w:val="21"/>
        </w:rPr>
        <w:t xml:space="preserve"> Investigates with the insurer, Claims, Accounting or the account executive.</w:t>
      </w:r>
    </w:p>
    <w:p>
      <w:pPr>
        <w:pStyle w:val="Normal"/>
        <w:numPr>
          <w:ilvl w:val="0"/>
          <w:numId w:val="205"/>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The daily </w:t>
      </w:r>
      <w:r>
        <w:rPr>
          <w:rFonts w:eastAsia="Consolas" w:cs="Consolas" w:ascii="Consolas" w:hAnsi="Consolas"/>
          <w:color w:val="101820"/>
          <w:sz w:val="19"/>
        </w:rPr>
        <w:t>complaints-deadlines</w:t>
      </w:r>
      <w:r>
        <w:rPr>
          <w:rFonts w:eastAsia="Segoe UI" w:cs="Segoe UI" w:ascii="Segoe UI" w:hAnsi="Segoe UI"/>
          <w:color w:val="101820"/>
          <w:sz w:val="21"/>
        </w:rPr>
        <w:t xml:space="preserve"> job (08:00) reminds the person assigned of each deadline and escalates overdue complaints to the complaints officers. </w:t>
      </w:r>
      <w:r>
        <w:rPr>
          <w:rFonts w:eastAsia="Segoe UI" w:cs="Segoe UI" w:ascii="Segoe UI" w:hAnsi="Segoe UI"/>
          <w:b/>
          <w:color w:val="101820"/>
          <w:sz w:val="21"/>
        </w:rPr>
        <w:t>Acknowledge by</w:t>
      </w:r>
      <w:r>
        <w:rPr>
          <w:rFonts w:eastAsia="Segoe UI" w:cs="Segoe UI" w:ascii="Segoe UI" w:hAnsi="Segoe UI"/>
          <w:color w:val="101820"/>
          <w:sz w:val="21"/>
        </w:rPr>
        <w:t xml:space="preserve"> and </w:t>
      </w:r>
      <w:r>
        <w:rPr>
          <w:rFonts w:eastAsia="Segoe UI" w:cs="Segoe UI" w:ascii="Segoe UI" w:hAnsi="Segoe UI"/>
          <w:b/>
          <w:color w:val="101820"/>
          <w:sz w:val="21"/>
        </w:rPr>
        <w:t>Resolve by</w:t>
      </w:r>
      <w:r>
        <w:rPr>
          <w:rFonts w:eastAsia="Segoe UI" w:cs="Segoe UI" w:ascii="Segoe UI" w:hAnsi="Segoe UI"/>
          <w:color w:val="101820"/>
          <w:sz w:val="21"/>
        </w:rPr>
        <w:t xml:space="preserve"> show a passed deadline in red.</w:t>
      </w:r>
    </w:p>
    <w:p>
      <w:pPr>
        <w:pStyle w:val="Normal"/>
        <w:numPr>
          <w:ilvl w:val="0"/>
          <w:numId w:val="206"/>
        </w:numPr>
        <w:spacing w:before="0" w:after="60"/>
        <w:rPr/>
      </w:pPr>
      <w:r>
        <w:rPr>
          <w:rFonts w:eastAsia="Segoe UI" w:cs="Segoe UI" w:ascii="Segoe UI" w:hAnsi="Segoe UI"/>
          <w:b/>
          <w:color w:val="101820"/>
          <w:sz w:val="21"/>
        </w:rPr>
        <w:t>Complaints officer.</w:t>
      </w:r>
      <w:r>
        <w:rPr>
          <w:rFonts w:eastAsia="Segoe UI" w:cs="Segoe UI" w:ascii="Segoe UI" w:hAnsi="Segoe UI"/>
          <w:color w:val="101820"/>
          <w:sz w:val="21"/>
        </w:rPr>
        <w:t xml:space="preserve"> Reviews the escalation (or one raised with </w:t>
      </w:r>
      <w:r>
        <w:rPr>
          <w:rFonts w:eastAsia="Segoe UI" w:cs="Segoe UI" w:ascii="Segoe UI" w:hAnsi="Segoe UI"/>
          <w:b/>
          <w:color w:val="101820"/>
          <w:sz w:val="21"/>
        </w:rPr>
        <w:t>Escalate</w:t>
      </w:r>
      <w:r>
        <w:rPr>
          <w:rFonts w:eastAsia="Segoe UI" w:cs="Segoe UI" w:ascii="Segoe UI" w:hAnsi="Segoe UI"/>
          <w:color w:val="101820"/>
          <w:sz w:val="21"/>
        </w:rPr>
        <w:t xml:space="preserve"> and a reason) and directs the handler.</w:t>
      </w:r>
    </w:p>
    <w:p>
      <w:pPr>
        <w:pStyle w:val="Normal"/>
        <w:numPr>
          <w:ilvl w:val="0"/>
          <w:numId w:val="207"/>
        </w:numPr>
        <w:spacing w:before="0" w:after="60"/>
        <w:rPr/>
      </w:pPr>
      <w:r>
        <w:rPr>
          <w:rFonts w:eastAsia="Segoe UI" w:cs="Segoe UI" w:ascii="Segoe UI" w:hAnsi="Segoe UI"/>
          <w:b/>
          <w:color w:val="101820"/>
          <w:sz w:val="21"/>
        </w:rPr>
        <w:t>Handler.</w:t>
      </w:r>
      <w:r>
        <w:rPr>
          <w:rFonts w:eastAsia="Segoe UI" w:cs="Segoe UI" w:ascii="Segoe UI" w:hAnsi="Segoe UI"/>
          <w:color w:val="101820"/>
          <w:sz w:val="21"/>
        </w:rPr>
        <w:t xml:space="preserve"> </w:t>
      </w:r>
      <w:r>
        <w:rPr>
          <w:rFonts w:eastAsia="Segoe UI" w:cs="Segoe UI" w:ascii="Segoe UI" w:hAnsi="Segoe UI"/>
          <w:b/>
          <w:color w:val="101820"/>
          <w:sz w:val="21"/>
        </w:rPr>
        <w:t>Resolve</w:t>
      </w:r>
      <w:r>
        <w:rPr>
          <w:rFonts w:eastAsia="Segoe UI" w:cs="Segoe UI" w:ascii="Segoe UI" w:hAnsi="Segoe UI"/>
          <w:color w:val="101820"/>
          <w:sz w:val="21"/>
        </w:rPr>
        <w:t>: outcome (Upheld, Partially upheld, Not upheld, Withdrawn), resolution, redress amount; prints the resolution letter, which tells the complainant how to elevate the complaint to the IC.</w:t>
      </w:r>
    </w:p>
    <w:p>
      <w:pPr>
        <w:pStyle w:val="Normal"/>
        <w:numPr>
          <w:ilvl w:val="0"/>
          <w:numId w:val="208"/>
        </w:numPr>
        <w:spacing w:before="0" w:after="60"/>
        <w:rPr/>
      </w:pPr>
      <w:r>
        <w:rPr>
          <w:rFonts w:eastAsia="Segoe UI" w:cs="Segoe UI" w:ascii="Segoe UI" w:hAnsi="Segoe UI"/>
          <w:b/>
          <w:color w:val="101820"/>
          <w:sz w:val="21"/>
        </w:rPr>
        <w:t>Complainant.</w:t>
      </w:r>
      <w:r>
        <w:rPr>
          <w:rFonts w:eastAsia="Segoe UI" w:cs="Segoe UI" w:ascii="Segoe UI" w:hAnsi="Segoe UI"/>
          <w:color w:val="101820"/>
          <w:sz w:val="21"/>
        </w:rPr>
        <w:t xml:space="preserve"> Decision: satisfied?</w:t>
      </w:r>
    </w:p>
    <w:p>
      <w:pPr>
        <w:pStyle w:val="Normal"/>
        <w:numPr>
          <w:ilvl w:val="0"/>
          <w:numId w:val="209"/>
        </w:numPr>
        <w:spacing w:before="0" w:after="60"/>
        <w:rPr/>
      </w:pPr>
      <w:r>
        <w:rPr>
          <w:rFonts w:eastAsia="Segoe UI" w:cs="Segoe UI" w:ascii="Segoe UI" w:hAnsi="Segoe UI"/>
          <w:b/>
          <w:color w:val="101820"/>
          <w:sz w:val="21"/>
        </w:rPr>
        <w:t>Insurance Commission.</w:t>
      </w:r>
      <w:r>
        <w:rPr>
          <w:rFonts w:eastAsia="Segoe UI" w:cs="Segoe UI" w:ascii="Segoe UI" w:hAnsi="Segoe UI"/>
          <w:color w:val="101820"/>
          <w:sz w:val="21"/>
        </w:rPr>
        <w:t xml:space="preserve"> When the complainant elevates the complaint, </w:t>
      </w:r>
      <w:r>
        <w:rPr>
          <w:rFonts w:eastAsia="Segoe UI" w:cs="Segoe UI" w:ascii="Segoe UI" w:hAnsi="Segoe UI"/>
          <w:b/>
          <w:color w:val="101820"/>
          <w:sz w:val="21"/>
        </w:rPr>
        <w:t>Refer to the IC</w:t>
      </w:r>
      <w:r>
        <w:rPr>
          <w:rFonts w:eastAsia="Segoe UI" w:cs="Segoe UI" w:ascii="Segoe UI" w:hAnsi="Segoe UI"/>
          <w:color w:val="101820"/>
          <w:sz w:val="21"/>
        </w:rPr>
        <w:t xml:space="preserve"> records the IC's reference; a contested resolution is reopened with </w:t>
      </w:r>
      <w:r>
        <w:rPr>
          <w:rFonts w:eastAsia="Segoe UI" w:cs="Segoe UI" w:ascii="Segoe UI" w:hAnsi="Segoe UI"/>
          <w:b/>
          <w:color w:val="101820"/>
          <w:sz w:val="21"/>
        </w:rPr>
        <w:t>Reopen</w:t>
      </w:r>
      <w:r>
        <w:rPr>
          <w:rFonts w:eastAsia="Segoe UI" w:cs="Segoe UI" w:ascii="Segoe UI" w:hAnsi="Segoe UI"/>
          <w:color w:val="101820"/>
          <w:sz w:val="21"/>
        </w:rPr>
        <w:t xml:space="preserve"> and the reason.</w:t>
      </w:r>
    </w:p>
    <w:p>
      <w:pPr>
        <w:pStyle w:val="Normal"/>
        <w:numPr>
          <w:ilvl w:val="0"/>
          <w:numId w:val="210"/>
        </w:numPr>
        <w:spacing w:before="0" w:after="60"/>
        <w:rPr/>
      </w:pPr>
      <w:r>
        <w:rPr>
          <w:rFonts w:eastAsia="Segoe UI" w:cs="Segoe UI" w:ascii="Segoe UI" w:hAnsi="Segoe UI"/>
          <w:b/>
          <w:color w:val="101820"/>
          <w:sz w:val="21"/>
        </w:rPr>
        <w:t>Handler.</w:t>
      </w:r>
      <w:r>
        <w:rPr>
          <w:rFonts w:eastAsia="Segoe UI" w:cs="Segoe UI" w:ascii="Segoe UI" w:hAnsi="Segoe UI"/>
          <w:color w:val="101820"/>
          <w:sz w:val="21"/>
        </w:rPr>
        <w:t xml:space="preserve"> </w:t>
      </w:r>
      <w:r>
        <w:rPr>
          <w:rFonts w:eastAsia="Segoe UI" w:cs="Segoe UI" w:ascii="Segoe UI" w:hAnsi="Segoe UI"/>
          <w:b/>
          <w:color w:val="101820"/>
          <w:sz w:val="21"/>
        </w:rPr>
        <w:t>Close</w:t>
      </w:r>
      <w:r>
        <w:rPr>
          <w:rFonts w:eastAsia="Segoe UI" w:cs="Segoe UI" w:ascii="Segoe UI" w:hAnsi="Segoe UI"/>
          <w:color w:val="101820"/>
          <w:sz w:val="21"/>
        </w:rPr>
        <w:t xml:space="preserve"> the resolved complaint.</w:t>
      </w:r>
    </w:p>
    <w:p>
      <w:pPr>
        <w:pStyle w:val="Normal"/>
        <w:numPr>
          <w:ilvl w:val="0"/>
          <w:numId w:val="211"/>
        </w:numPr>
        <w:spacing w:before="0" w:after="60"/>
        <w:rPr/>
      </w:pPr>
      <w:r>
        <w:rPr>
          <w:rFonts w:eastAsia="Segoe UI" w:cs="Segoe UI" w:ascii="Segoe UI" w:hAnsi="Segoe UI"/>
          <w:b/>
          <w:color w:val="101820"/>
          <w:sz w:val="21"/>
        </w:rPr>
        <w:t>End.</w:t>
      </w:r>
      <w:r>
        <w:rPr>
          <w:rFonts w:eastAsia="Segoe UI" w:cs="Segoe UI" w:ascii="Segoe UI" w:hAnsi="Segoe UI"/>
          <w:color w:val="101820"/>
          <w:sz w:val="21"/>
        </w:rPr>
        <w:t xml:space="preserve"> The complaints officers download the regulator report for the period: received, resolved, open, resolved within the deadline, average days, referred to the IC, by category, channel, status and outcome, with the ageing.</w:t>
      </w:r>
    </w:p>
    <w:p>
      <w:pPr>
        <w:pStyle w:val="Heading2"/>
        <w:rPr/>
      </w:pPr>
      <w:bookmarkStart w:id="35" w:name="__RefHeading___Toc19313_1497462395"/>
      <w:bookmarkEnd w:id="35"/>
      <w:r>
        <w:rPr>
          <w:rFonts w:eastAsia="Segoe UI" w:cs="Segoe UI"/>
          <w:b/>
          <w:color w:val="0F4761"/>
          <w:sz w:val="26"/>
        </w:rPr>
        <w:t>9.3  F13 Personal data breach</w:t>
      </w:r>
    </w:p>
    <w:p>
      <w:pPr>
        <w:pStyle w:val="Normal"/>
        <w:spacing w:lineRule="auto" w:line="276" w:before="0" w:after="120"/>
        <w:rPr/>
      </w:pPr>
      <w:r>
        <w:rPr>
          <w:rFonts w:eastAsia="Segoe UI" w:cs="Segoe UI" w:ascii="Segoe UI" w:hAnsi="Segoe UI"/>
          <w:color w:val="101820"/>
          <w:sz w:val="21"/>
        </w:rPr>
        <w:t>A security incident is logged at once, assessed against the NPC criteria, notified to the NPC and the data subjects within 72 hours when notifiable, remediated and closed, and counted in the annual report.</w:t>
      </w:r>
    </w:p>
    <w:p>
      <w:pPr>
        <w:pStyle w:val="Normal"/>
        <w:jc w:val="center"/>
        <w:rPr/>
      </w:pPr>
      <w:r>
        <w:rPr/>
        <w:drawing>
          <wp:inline distT="0" distB="0" distL="0" distR="0">
            <wp:extent cx="5760085" cy="5485130"/>
            <wp:effectExtent l="0" t="0" r="0" b="0"/>
            <wp:docPr id="24" name="Picture 21212882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21288204" descr=""/>
                    <pic:cNvPicPr>
                      <a:picLocks noChangeAspect="1" noChangeArrowheads="1"/>
                    </pic:cNvPicPr>
                  </pic:nvPicPr>
                  <pic:blipFill>
                    <a:blip r:embed="rId20"/>
                    <a:stretch>
                      <a:fillRect/>
                    </a:stretch>
                  </pic:blipFill>
                  <pic:spPr bwMode="auto">
                    <a:xfrm>
                      <a:off x="0" y="0"/>
                      <a:ext cx="5760085" cy="5485130"/>
                    </a:xfrm>
                    <a:prstGeom prst="rect">
                      <a:avLst/>
                    </a:prstGeom>
                  </pic:spPr>
                </pic:pic>
              </a:graphicData>
            </a:graphic>
          </wp:inline>
        </w:drawing>
      </w:r>
    </w:p>
    <w:p>
      <w:pPr>
        <w:pStyle w:val="Normal"/>
        <w:jc w:val="center"/>
        <w:rPr/>
      </w:pPr>
      <w:r>
        <w:rPr>
          <w:rFonts w:eastAsia="Segoe UI" w:cs="Segoe UI" w:ascii="Segoe UI" w:hAnsi="Segoe UI"/>
          <w:i/>
          <w:color w:val="555F6D"/>
          <w:sz w:val="18"/>
        </w:rPr>
        <w:t>F13 Personal data breach</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44"/>
        <w:gridCol w:w="7370"/>
      </w:tblGrid>
      <w:tr>
        <w:trPr>
          <w:tblHeader w:val="true"/>
        </w:trPr>
        <w:tc>
          <w:tcPr>
            <w:tcW w:w="16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At a glance</w:t>
            </w:r>
          </w:p>
        </w:tc>
        <w:tc>
          <w:tcPr>
            <w:tcW w:w="73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suspected security incident or personal data breach is discovered (by staff, monitoring or iorta TechNXT support)</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IT and iorta TechNXT support; DPO and privacy team (</w:t>
            </w:r>
            <w:r>
              <w:rPr>
                <w:rFonts w:eastAsia="Consolas" w:cs="Consolas" w:ascii="Consolas" w:hAnsi="Consolas"/>
                <w:color w:val="101820"/>
                <w:kern w:val="0"/>
                <w:sz w:val="16"/>
                <w:szCs w:val="24"/>
                <w:lang w:val="en-US" w:eastAsia="ja-JP" w:bidi="ar-SA"/>
              </w:rPr>
              <w:t>read:privacy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write:privacy</w:t>
            </w:r>
            <w:r>
              <w:rPr>
                <w:rFonts w:eastAsia="Segoe UI" w:cs="Segoe UI" w:ascii="Segoe UI" w:hAnsi="Segoe UI"/>
                <w:color w:val="101820"/>
                <w:kern w:val="0"/>
                <w:sz w:val="18"/>
                <w:szCs w:val="24"/>
                <w:lang w:val="en-US" w:eastAsia="ja-JP" w:bidi="ar-SA"/>
              </w:rPr>
              <w:t>); National Privacy Commission; data subjects; BrokerVerse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&gt; Data Privacy (NPC) &gt; Breach Register; Master &gt; Audit Trail; Master &gt; Users and Access &gt; User Access Matrix and sign-in history</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Incident record (PDB-), evidence, NPC notification reference, annual security incident report (Excel)</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72-hour deadline from the time discovered (</w:t>
            </w:r>
            <w:r>
              <w:rPr>
                <w:rFonts w:eastAsia="Consolas" w:cs="Consolas" w:ascii="Consolas" w:hAnsi="Consolas"/>
                <w:color w:val="101820"/>
                <w:kern w:val="0"/>
                <w:sz w:val="16"/>
                <w:szCs w:val="24"/>
                <w:lang w:val="en-US" w:eastAsia="ja-JP" w:bidi="ar-SA"/>
              </w:rPr>
              <w:t>privacy.breach_notify_hours</w:t>
            </w:r>
            <w:r>
              <w:rPr>
                <w:rFonts w:eastAsia="Segoe UI" w:cs="Segoe UI" w:ascii="Segoe UI" w:hAnsi="Segoe UI"/>
                <w:color w:val="101820"/>
                <w:kern w:val="0"/>
                <w:sz w:val="18"/>
                <w:szCs w:val="24"/>
                <w:lang w:val="en-US" w:eastAsia="ja-JP" w:bidi="ar-SA"/>
              </w:rPr>
              <w:t>); hourly reminders at 48, 24 and 6 hours before and when passed (</w:t>
            </w:r>
            <w:r>
              <w:rPr>
                <w:rFonts w:eastAsia="Consolas" w:cs="Consolas" w:ascii="Consolas" w:hAnsi="Consolas"/>
                <w:color w:val="101820"/>
                <w:kern w:val="0"/>
                <w:sz w:val="16"/>
                <w:szCs w:val="24"/>
                <w:lang w:val="en-US" w:eastAsia="ja-JP" w:bidi="ar-SA"/>
              </w:rPr>
              <w:t>privacy-breach-deadlines</w:t>
            </w:r>
            <w:r>
              <w:rPr>
                <w:rFonts w:eastAsia="Segoe UI" w:cs="Segoe UI" w:ascii="Segoe UI" w:hAnsi="Segoe UI"/>
                <w:color w:val="101820"/>
                <w:kern w:val="0"/>
                <w:sz w:val="18"/>
                <w:szCs w:val="24"/>
                <w:lang w:val="en-US" w:eastAsia="ja-JP" w:bidi="ar-SA"/>
              </w:rPr>
              <w:t>); a late notification needs the reason; a notifiable breach closes only after its NPC notification is recorded</w:t>
            </w:r>
          </w:p>
        </w:tc>
      </w:tr>
    </w:tbl>
    <w:p>
      <w:pPr>
        <w:pStyle w:val="Normal"/>
        <w:spacing w:before="0" w:after="80"/>
        <w:rPr/>
      </w:pPr>
      <w:r>
        <w:rPr/>
      </w:r>
    </w:p>
    <w:p>
      <w:pPr>
        <w:pStyle w:val="Normal"/>
        <w:numPr>
          <w:ilvl w:val="0"/>
          <w:numId w:val="212"/>
        </w:numPr>
        <w:spacing w:before="0" w:after="60"/>
        <w:rPr/>
      </w:pPr>
      <w:r>
        <w:rPr>
          <w:rFonts w:eastAsia="Segoe UI" w:cs="Segoe UI" w:ascii="Segoe UI" w:hAnsi="Segoe UI"/>
          <w:b/>
          <w:color w:val="101820"/>
          <w:sz w:val="21"/>
        </w:rPr>
        <w:t>IT and support.</w:t>
      </w:r>
      <w:r>
        <w:rPr>
          <w:rFonts w:eastAsia="Segoe UI" w:cs="Segoe UI" w:ascii="Segoe UI" w:hAnsi="Segoe UI"/>
          <w:color w:val="101820"/>
          <w:sz w:val="21"/>
        </w:rPr>
        <w:t xml:space="preserve"> Detect the incident (monitoring alarms, failed sign-ins, the audit trail, a report from a user) and tell the DPO without delay; iorta TechNXT informs the broker of a suspected breach under the support agreement.</w:t>
      </w:r>
    </w:p>
    <w:p>
      <w:pPr>
        <w:pStyle w:val="Normal"/>
        <w:numPr>
          <w:ilvl w:val="0"/>
          <w:numId w:val="213"/>
        </w:numPr>
        <w:spacing w:before="0" w:after="60"/>
        <w:rPr/>
      </w:pPr>
      <w:r>
        <w:rPr>
          <w:rFonts w:eastAsia="Segoe UI" w:cs="Segoe UI" w:ascii="Segoe UI" w:hAnsi="Segoe UI"/>
          <w:b/>
          <w:color w:val="101820"/>
          <w:sz w:val="21"/>
        </w:rPr>
        <w:t>DPO.</w:t>
      </w:r>
      <w:r>
        <w:rPr>
          <w:rFonts w:eastAsia="Segoe UI" w:cs="Segoe UI" w:ascii="Segoe UI" w:hAnsi="Segoe UI"/>
          <w:color w:val="101820"/>
          <w:sz w:val="21"/>
        </w:rPr>
        <w:t xml:space="preserve"> </w:t>
      </w:r>
      <w:r>
        <w:rPr>
          <w:rFonts w:eastAsia="Segoe UI" w:cs="Segoe UI" w:ascii="Segoe UI" w:hAnsi="Segoe UI"/>
          <w:b/>
          <w:color w:val="101820"/>
          <w:sz w:val="21"/>
        </w:rPr>
        <w:t>Log incident</w:t>
      </w:r>
      <w:r>
        <w:rPr>
          <w:rFonts w:eastAsia="Segoe UI" w:cs="Segoe UI" w:ascii="Segoe UI" w:hAnsi="Segoe UI"/>
          <w:color w:val="101820"/>
          <w:sz w:val="21"/>
        </w:rPr>
        <w:t>: personal data breach or security incident, time discovered, title, what happened, nature (confidentiality, integrity, availability), data involved, number of data subjects and records, systems, evidence.</w:t>
      </w:r>
    </w:p>
    <w:p>
      <w:pPr>
        <w:pStyle w:val="Normal"/>
        <w:numPr>
          <w:ilvl w:val="0"/>
          <w:numId w:val="214"/>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Numbers it (PDB-), notifies the data privacy team and shows the </w:t>
      </w:r>
      <w:r>
        <w:rPr>
          <w:rFonts w:eastAsia="Segoe UI" w:cs="Segoe UI" w:ascii="Segoe UI" w:hAnsi="Segoe UI"/>
          <w:b/>
          <w:color w:val="101820"/>
          <w:sz w:val="21"/>
        </w:rPr>
        <w:t>Clock</w:t>
      </w:r>
      <w:r>
        <w:rPr>
          <w:rFonts w:eastAsia="Segoe UI" w:cs="Segoe UI" w:ascii="Segoe UI" w:hAnsi="Segoe UI"/>
          <w:color w:val="101820"/>
          <w:sz w:val="21"/>
        </w:rPr>
        <w:t xml:space="preserve"> of hours left.</w:t>
      </w:r>
    </w:p>
    <w:p>
      <w:pPr>
        <w:pStyle w:val="Normal"/>
        <w:numPr>
          <w:ilvl w:val="0"/>
          <w:numId w:val="215"/>
        </w:numPr>
        <w:spacing w:before="0" w:after="60"/>
        <w:rPr/>
      </w:pPr>
      <w:r>
        <w:rPr>
          <w:rFonts w:eastAsia="Segoe UI" w:cs="Segoe UI" w:ascii="Segoe UI" w:hAnsi="Segoe UI"/>
          <w:b/>
          <w:color w:val="101820"/>
          <w:sz w:val="21"/>
        </w:rPr>
        <w:t>DPO.</w:t>
      </w:r>
      <w:r>
        <w:rPr>
          <w:rFonts w:eastAsia="Segoe UI" w:cs="Segoe UI" w:ascii="Segoe UI" w:hAnsi="Segoe UI"/>
          <w:color w:val="101820"/>
          <w:sz w:val="21"/>
        </w:rPr>
        <w:t xml:space="preserve"> </w:t>
      </w:r>
      <w:r>
        <w:rPr>
          <w:rFonts w:eastAsia="Segoe UI" w:cs="Segoe UI" w:ascii="Segoe UI" w:hAnsi="Segoe UI"/>
          <w:b/>
          <w:color w:val="101820"/>
          <w:sz w:val="21"/>
        </w:rPr>
        <w:t>Assess</w:t>
      </w:r>
      <w:r>
        <w:rPr>
          <w:rFonts w:eastAsia="Segoe UI" w:cs="Segoe UI" w:ascii="Segoe UI" w:hAnsi="Segoe UI"/>
          <w:color w:val="101820"/>
          <w:sz w:val="21"/>
        </w:rPr>
        <w:t xml:space="preserve"> against the criteria: sensitive personal information, information that may enable identity fraud, reasonably believed acquired by an unauthorised person, real risk of serious harm. A decision different from the criteria needs a reason.</w:t>
      </w:r>
    </w:p>
    <w:p>
      <w:pPr>
        <w:pStyle w:val="Normal"/>
        <w:numPr>
          <w:ilvl w:val="0"/>
          <w:numId w:val="216"/>
        </w:numPr>
        <w:spacing w:before="0" w:after="60"/>
        <w:rPr/>
      </w:pPr>
      <w:r>
        <w:rPr>
          <w:rFonts w:eastAsia="Segoe UI" w:cs="Segoe UI" w:ascii="Segoe UI" w:hAnsi="Segoe UI"/>
          <w:b/>
          <w:color w:val="101820"/>
          <w:sz w:val="21"/>
        </w:rPr>
        <w:t>DPO.</w:t>
      </w:r>
      <w:r>
        <w:rPr>
          <w:rFonts w:eastAsia="Segoe UI" w:cs="Segoe UI" w:ascii="Segoe UI" w:hAnsi="Segoe UI"/>
          <w:color w:val="101820"/>
          <w:sz w:val="21"/>
        </w:rPr>
        <w:t xml:space="preserve"> Notifies the NPC through its channel, then </w:t>
      </w:r>
      <w:r>
        <w:rPr>
          <w:rFonts w:eastAsia="Segoe UI" w:cs="Segoe UI" w:ascii="Segoe UI" w:hAnsi="Segoe UI"/>
          <w:b/>
          <w:color w:val="101820"/>
          <w:sz w:val="21"/>
        </w:rPr>
        <w:t>Notify NPC</w:t>
      </w:r>
      <w:r>
        <w:rPr>
          <w:rFonts w:eastAsia="Segoe UI" w:cs="Segoe UI" w:ascii="Segoe UI" w:hAnsi="Segoe UI"/>
          <w:color w:val="101820"/>
          <w:sz w:val="21"/>
        </w:rPr>
        <w:t>: time, NPC reference, method.</w:t>
      </w:r>
    </w:p>
    <w:p>
      <w:pPr>
        <w:pStyle w:val="Normal"/>
        <w:numPr>
          <w:ilvl w:val="0"/>
          <w:numId w:val="217"/>
        </w:numPr>
        <w:spacing w:before="0" w:after="60"/>
        <w:rPr/>
      </w:pPr>
      <w:r>
        <w:rPr>
          <w:rFonts w:eastAsia="Segoe UI" w:cs="Segoe UI" w:ascii="Segoe UI" w:hAnsi="Segoe UI"/>
          <w:b/>
          <w:color w:val="101820"/>
          <w:sz w:val="21"/>
        </w:rPr>
        <w:t>National Privacy Commission.</w:t>
      </w:r>
      <w:r>
        <w:rPr>
          <w:rFonts w:eastAsia="Segoe UI" w:cs="Segoe UI" w:ascii="Segoe UI" w:hAnsi="Segoe UI"/>
          <w:color w:val="101820"/>
          <w:sz w:val="21"/>
        </w:rPr>
        <w:t xml:space="preserve"> Receives the notification.</w:t>
      </w:r>
    </w:p>
    <w:p>
      <w:pPr>
        <w:pStyle w:val="Normal"/>
        <w:numPr>
          <w:ilvl w:val="0"/>
          <w:numId w:val="218"/>
        </w:numPr>
        <w:spacing w:before="0" w:after="60"/>
        <w:rPr/>
      </w:pPr>
      <w:r>
        <w:rPr>
          <w:rFonts w:eastAsia="Segoe UI" w:cs="Segoe UI" w:ascii="Segoe UI" w:hAnsi="Segoe UI"/>
          <w:b/>
          <w:color w:val="101820"/>
          <w:sz w:val="21"/>
        </w:rPr>
        <w:t>DPO.</w:t>
      </w:r>
      <w:r>
        <w:rPr>
          <w:rFonts w:eastAsia="Segoe UI" w:cs="Segoe UI" w:ascii="Segoe UI" w:hAnsi="Segoe UI"/>
          <w:color w:val="101820"/>
          <w:sz w:val="21"/>
        </w:rPr>
        <w:t xml:space="preserve"> </w:t>
      </w:r>
      <w:r>
        <w:rPr>
          <w:rFonts w:eastAsia="Segoe UI" w:cs="Segoe UI" w:ascii="Segoe UI" w:hAnsi="Segoe UI"/>
          <w:b/>
          <w:color w:val="101820"/>
          <w:sz w:val="21"/>
        </w:rPr>
        <w:t>Data subjects</w:t>
      </w:r>
      <w:r>
        <w:rPr>
          <w:rFonts w:eastAsia="Segoe UI" w:cs="Segoe UI" w:ascii="Segoe UI" w:hAnsi="Segoe UI"/>
          <w:color w:val="101820"/>
          <w:sz w:val="21"/>
        </w:rPr>
        <w:t>: time, number and method of their notification, or the reason they are not notified.</w:t>
      </w:r>
    </w:p>
    <w:p>
      <w:pPr>
        <w:pStyle w:val="Normal"/>
        <w:numPr>
          <w:ilvl w:val="0"/>
          <w:numId w:val="219"/>
        </w:numPr>
        <w:spacing w:before="0" w:after="60"/>
        <w:rPr/>
      </w:pPr>
      <w:r>
        <w:rPr>
          <w:rFonts w:eastAsia="Segoe UI" w:cs="Segoe UI" w:ascii="Segoe UI" w:hAnsi="Segoe UI"/>
          <w:b/>
          <w:color w:val="101820"/>
          <w:sz w:val="21"/>
        </w:rPr>
        <w:t>Data subjects.</w:t>
      </w:r>
      <w:r>
        <w:rPr>
          <w:rFonts w:eastAsia="Segoe UI" w:cs="Segoe UI" w:ascii="Segoe UI" w:hAnsi="Segoe UI"/>
          <w:color w:val="101820"/>
          <w:sz w:val="21"/>
        </w:rPr>
        <w:t xml:space="preserve"> Are informed.</w:t>
      </w:r>
    </w:p>
    <w:p>
      <w:pPr>
        <w:pStyle w:val="Normal"/>
        <w:numPr>
          <w:ilvl w:val="0"/>
          <w:numId w:val="220"/>
        </w:numPr>
        <w:spacing w:before="0" w:after="60"/>
        <w:rPr/>
      </w:pPr>
      <w:r>
        <w:rPr>
          <w:rFonts w:eastAsia="Segoe UI" w:cs="Segoe UI" w:ascii="Segoe UI" w:hAnsi="Segoe UI"/>
          <w:b/>
          <w:color w:val="101820"/>
          <w:sz w:val="21"/>
        </w:rPr>
        <w:t>IT and support.</w:t>
      </w:r>
      <w:r>
        <w:rPr>
          <w:rFonts w:eastAsia="Segoe UI" w:cs="Segoe UI" w:ascii="Segoe UI" w:hAnsi="Segoe UI"/>
          <w:color w:val="101820"/>
          <w:sz w:val="21"/>
        </w:rPr>
        <w:t xml:space="preserve"> Contain and remediate; the cause, containment and remediation are recorded with </w:t>
      </w:r>
      <w:r>
        <w:rPr>
          <w:rFonts w:eastAsia="Segoe UI" w:cs="Segoe UI" w:ascii="Segoe UI" w:hAnsi="Segoe UI"/>
          <w:b/>
          <w:color w:val="101820"/>
          <w:sz w:val="21"/>
        </w:rPr>
        <w:t>Edit</w:t>
      </w:r>
      <w:r>
        <w:rPr>
          <w:rFonts w:eastAsia="Segoe UI" w:cs="Segoe UI" w:ascii="Segoe UI" w:hAnsi="Segoe UI"/>
          <w:color w:val="101820"/>
          <w:sz w:val="21"/>
        </w:rPr>
        <w:t>.</w:t>
      </w:r>
    </w:p>
    <w:p>
      <w:pPr>
        <w:pStyle w:val="Normal"/>
        <w:numPr>
          <w:ilvl w:val="0"/>
          <w:numId w:val="221"/>
        </w:numPr>
        <w:spacing w:before="0" w:after="60"/>
        <w:rPr/>
      </w:pPr>
      <w:r>
        <w:rPr>
          <w:rFonts w:eastAsia="Segoe UI" w:cs="Segoe UI" w:ascii="Segoe UI" w:hAnsi="Segoe UI"/>
          <w:b/>
          <w:color w:val="101820"/>
          <w:sz w:val="21"/>
        </w:rPr>
        <w:t>DPO.</w:t>
      </w:r>
      <w:r>
        <w:rPr>
          <w:rFonts w:eastAsia="Segoe UI" w:cs="Segoe UI" w:ascii="Segoe UI" w:hAnsi="Segoe UI"/>
          <w:color w:val="101820"/>
          <w:sz w:val="21"/>
        </w:rPr>
        <w:t xml:space="preserve"> </w:t>
      </w:r>
      <w:r>
        <w:rPr>
          <w:rFonts w:eastAsia="Segoe UI" w:cs="Segoe UI" w:ascii="Segoe UI" w:hAnsi="Segoe UI"/>
          <w:b/>
          <w:color w:val="101820"/>
          <w:sz w:val="21"/>
        </w:rPr>
        <w:t>Close</w:t>
      </w:r>
      <w:r>
        <w:rPr>
          <w:rFonts w:eastAsia="Segoe UI" w:cs="Segoe UI" w:ascii="Segoe UI" w:hAnsi="Segoe UI"/>
          <w:color w:val="101820"/>
          <w:sz w:val="21"/>
        </w:rPr>
        <w:t xml:space="preserve"> with the outcome and the measures taken.</w:t>
      </w:r>
    </w:p>
    <w:p>
      <w:pPr>
        <w:pStyle w:val="Normal"/>
        <w:numPr>
          <w:ilvl w:val="0"/>
          <w:numId w:val="222"/>
        </w:numPr>
        <w:spacing w:before="0" w:after="60"/>
        <w:rPr/>
      </w:pPr>
      <w:r>
        <w:rPr>
          <w:rFonts w:eastAsia="Segoe UI" w:cs="Segoe UI" w:ascii="Segoe UI" w:hAnsi="Segoe UI"/>
          <w:b/>
          <w:color w:val="101820"/>
          <w:sz w:val="21"/>
        </w:rPr>
        <w:t>End.</w:t>
      </w:r>
      <w:r>
        <w:rPr>
          <w:rFonts w:eastAsia="Segoe UI" w:cs="Segoe UI" w:ascii="Segoe UI" w:hAnsi="Segoe UI"/>
          <w:color w:val="101820"/>
          <w:sz w:val="21"/>
        </w:rPr>
        <w:t xml:space="preserve"> </w:t>
      </w:r>
      <w:r>
        <w:rPr>
          <w:rFonts w:eastAsia="Segoe UI" w:cs="Segoe UI" w:ascii="Segoe UI" w:hAnsi="Segoe UI"/>
          <w:b/>
          <w:color w:val="101820"/>
          <w:sz w:val="21"/>
        </w:rPr>
        <w:t>Annual report</w:t>
      </w:r>
      <w:r>
        <w:rPr>
          <w:rFonts w:eastAsia="Segoe UI" w:cs="Segoe UI" w:ascii="Segoe UI" w:hAnsi="Segoe UI"/>
          <w:color w:val="101820"/>
          <w:sz w:val="21"/>
        </w:rPr>
        <w:t xml:space="preserve"> gives the year's incidents, breaches, notifications (on time and late) and data subjects affected for the annual security incident report to the NPC.</w:t>
      </w:r>
      <w:r>
        <w:br w:type="page"/>
      </w:r>
    </w:p>
    <w:p>
      <w:pPr>
        <w:pStyle w:val="Heading1"/>
        <w:rPr/>
      </w:pPr>
      <w:bookmarkStart w:id="36" w:name="__RefHeading___Toc19315_1497462395"/>
      <w:bookmarkEnd w:id="36"/>
      <w:r>
        <w:rPr>
          <w:rFonts w:eastAsia="Segoe UI" w:cs="Segoe UI" w:ascii="Segoe UI" w:hAnsi="Segoe UI"/>
          <w:b/>
          <w:color w:val="0F4761"/>
          <w:sz w:val="32"/>
        </w:rPr>
        <w:t>10.  Go-live and operations</w:t>
      </w:r>
    </w:p>
    <w:p>
      <w:pPr>
        <w:pStyle w:val="Heading2"/>
        <w:rPr/>
      </w:pPr>
      <w:bookmarkStart w:id="37" w:name="__RefHeading___Toc19317_1497462395"/>
      <w:bookmarkEnd w:id="37"/>
      <w:r>
        <w:rPr>
          <w:rFonts w:eastAsia="Segoe UI" w:cs="Segoe UI"/>
          <w:b/>
          <w:color w:val="0F4761"/>
          <w:sz w:val="26"/>
        </w:rPr>
        <w:t>10.1  F14 Go-live data load and cutover</w:t>
      </w:r>
    </w:p>
    <w:p>
      <w:pPr>
        <w:pStyle w:val="Normal"/>
        <w:spacing w:lineRule="auto" w:line="276" w:before="0" w:after="120"/>
        <w:rPr/>
      </w:pPr>
      <w:r>
        <w:rPr>
          <w:rFonts w:eastAsia="Segoe UI" w:cs="Segoe UI" w:ascii="Segoe UI" w:hAnsi="Segoe UI"/>
          <w:color w:val="101820"/>
          <w:sz w:val="21"/>
        </w:rPr>
        <w:t>The configuration is loaded and promoted with the configuration workbook; the open business of the old system is loaded with the migration workbook at cutover, reconciled and signed; the go-live lock closes the migration.</w:t>
      </w:r>
    </w:p>
    <w:p>
      <w:pPr>
        <w:pStyle w:val="Normal"/>
        <w:jc w:val="center"/>
        <w:rPr/>
      </w:pPr>
      <w:r>
        <w:rPr/>
        <w:drawing>
          <wp:inline distT="0" distB="0" distL="0" distR="0">
            <wp:extent cx="5760085" cy="5334635"/>
            <wp:effectExtent l="0" t="0" r="0" b="0"/>
            <wp:docPr id="25" name="Picture 21212882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21288205" descr=""/>
                    <pic:cNvPicPr>
                      <a:picLocks noChangeAspect="1" noChangeArrowheads="1"/>
                    </pic:cNvPicPr>
                  </pic:nvPicPr>
                  <pic:blipFill>
                    <a:blip r:embed="rId21"/>
                    <a:stretch>
                      <a:fillRect/>
                    </a:stretch>
                  </pic:blipFill>
                  <pic:spPr bwMode="auto">
                    <a:xfrm>
                      <a:off x="0" y="0"/>
                      <a:ext cx="5760085" cy="5334635"/>
                    </a:xfrm>
                    <a:prstGeom prst="rect">
                      <a:avLst/>
                    </a:prstGeom>
                  </pic:spPr>
                </pic:pic>
              </a:graphicData>
            </a:graphic>
          </wp:inline>
        </w:drawing>
      </w:r>
    </w:p>
    <w:p>
      <w:pPr>
        <w:pStyle w:val="Normal"/>
        <w:jc w:val="center"/>
        <w:rPr/>
      </w:pPr>
      <w:r>
        <w:rPr>
          <w:rFonts w:eastAsia="Segoe UI" w:cs="Segoe UI" w:ascii="Segoe UI" w:hAnsi="Segoe UI"/>
          <w:i/>
          <w:color w:val="555F6D"/>
          <w:sz w:val="18"/>
        </w:rPr>
        <w:t>F14 Go-live data load and cutover</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44"/>
        <w:gridCol w:w="7370"/>
      </w:tblGrid>
      <w:tr>
        <w:trPr>
          <w:tblHeader w:val="true"/>
        </w:trPr>
        <w:tc>
          <w:tcPr>
            <w:tcW w:w="16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At a glance</w:t>
            </w:r>
          </w:p>
        </w:tc>
        <w:tc>
          <w:tcPr>
            <w:tcW w:w="73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go-live plan (mock loads, rehearsal in Pre-Prod, final load)</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data owners; iorta TechNXT migration lead; System Administrator; Accounting Manager; steering committee; BrokerVerse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Go-Live and Data &gt; Go-Live Data Load (Download Template, Upload and Validate, History, Compare environments); Master &gt; Configuration, group Go-live; Accounts &gt; Period End &gt; Period Management</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migrated records post nothing; the GL opening balances carry the money</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and migration workbooks, errors workbook, reconciliation workbook, temporary passwords of new users (shown once), signed reconciliation report</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read:data-load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write:data-load</w:t>
            </w:r>
            <w:r>
              <w:rPr>
                <w:rFonts w:eastAsia="Segoe UI" w:cs="Segoe UI" w:ascii="Segoe UI" w:hAnsi="Segoe UI"/>
                <w:color w:val="101820"/>
                <w:kern w:val="0"/>
                <w:sz w:val="18"/>
                <w:szCs w:val="24"/>
                <w:lang w:val="en-US" w:eastAsia="ja-JP" w:bidi="ar-SA"/>
              </w:rPr>
              <w:t xml:space="preserve"> (System Administrator); trial run in one rolled-back transaction; load in one transaction; natural keys (no duplicates); dates before the cutover date; TB debits equal credits; receivables control equals open items; authority limits approved by a second administrator; </w:t>
            </w:r>
            <w:r>
              <w:rPr>
                <w:rFonts w:eastAsia="Consolas" w:cs="Consolas" w:ascii="Consolas" w:hAnsi="Consolas"/>
                <w:color w:val="101820"/>
                <w:kern w:val="0"/>
                <w:sz w:val="16"/>
                <w:szCs w:val="24"/>
                <w:lang w:val="en-US" w:eastAsia="ja-JP" w:bidi="ar-SA"/>
              </w:rPr>
              <w:t>golive.locked</w:t>
            </w:r>
          </w:p>
        </w:tc>
      </w:tr>
    </w:tbl>
    <w:p>
      <w:pPr>
        <w:pStyle w:val="Normal"/>
        <w:spacing w:before="0" w:after="80"/>
        <w:rPr/>
      </w:pPr>
      <w:r>
        <w:rPr/>
      </w:r>
    </w:p>
    <w:p>
      <w:pPr>
        <w:pStyle w:val="Normal"/>
        <w:numPr>
          <w:ilvl w:val="0"/>
          <w:numId w:val="223"/>
        </w:numPr>
        <w:spacing w:before="0" w:after="60"/>
        <w:rPr/>
      </w:pPr>
      <w:r>
        <w:rPr>
          <w:rFonts w:eastAsia="Segoe UI" w:cs="Segoe UI" w:ascii="Segoe UI" w:hAnsi="Segoe UI"/>
          <w:b/>
          <w:color w:val="101820"/>
          <w:sz w:val="21"/>
        </w:rPr>
        <w:t>System Administrator.</w:t>
      </w:r>
      <w:r>
        <w:rPr>
          <w:rFonts w:eastAsia="Segoe UI" w:cs="Segoe UI" w:ascii="Segoe UI" w:hAnsi="Segoe UI"/>
          <w:color w:val="101820"/>
          <w:sz w:val="21"/>
        </w:rPr>
        <w:t xml:space="preserve"> Downloads the configuration workbook (</w:t>
      </w:r>
      <w:r>
        <w:rPr>
          <w:rFonts w:eastAsia="Segoe UI" w:cs="Segoe UI" w:ascii="Segoe UI" w:hAnsi="Segoe UI"/>
          <w:b/>
          <w:color w:val="101820"/>
          <w:sz w:val="21"/>
        </w:rPr>
        <w:t>Blank template</w:t>
      </w:r>
      <w:r>
        <w:rPr>
          <w:rFonts w:eastAsia="Segoe UI" w:cs="Segoe UI" w:ascii="Segoe UI" w:hAnsi="Segoe UI"/>
          <w:color w:val="101820"/>
          <w:sz w:val="21"/>
        </w:rPr>
        <w:t xml:space="preserve">, or </w:t>
      </w:r>
      <w:r>
        <w:rPr>
          <w:rFonts w:eastAsia="Segoe UI" w:cs="Segoe UI" w:ascii="Segoe UI" w:hAnsi="Segoe UI"/>
          <w:b/>
          <w:color w:val="101820"/>
          <w:sz w:val="21"/>
        </w:rPr>
        <w:t>Current data</w:t>
      </w:r>
      <w:r>
        <w:rPr>
          <w:rFonts w:eastAsia="Segoe UI" w:cs="Segoe UI" w:ascii="Segoe UI" w:hAnsi="Segoe UI"/>
          <w:color w:val="101820"/>
          <w:sz w:val="21"/>
        </w:rPr>
        <w:t xml:space="preserve"> from the environment where it was built) and fills it with the discovery decisions: company, settings, locations, branches, users, chart of accounts, banks, insurers, products, covers, vehicles, commission rates, premium taxes, LGU rates, authority limits, numbering.</w:t>
      </w:r>
    </w:p>
    <w:p>
      <w:pPr>
        <w:pStyle w:val="Normal"/>
        <w:numPr>
          <w:ilvl w:val="0"/>
          <w:numId w:val="224"/>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w:t>
      </w:r>
      <w:r>
        <w:rPr>
          <w:rFonts w:eastAsia="Segoe UI" w:cs="Segoe UI" w:ascii="Segoe UI" w:hAnsi="Segoe UI"/>
          <w:b/>
          <w:color w:val="101820"/>
          <w:sz w:val="21"/>
        </w:rPr>
        <w:t>Upload and validate</w:t>
      </w:r>
      <w:r>
        <w:rPr>
          <w:rFonts w:eastAsia="Segoe UI" w:cs="Segoe UI" w:ascii="Segoe UI" w:hAnsi="Segoe UI"/>
          <w:color w:val="101820"/>
          <w:sz w:val="21"/>
        </w:rPr>
        <w:t xml:space="preserve"> runs every sheet in load order as a trial run: rows read, valid, with errors; new, changed, unchanged, for approval; each error with sheet, row, column and message; </w:t>
      </w:r>
      <w:r>
        <w:rPr>
          <w:rFonts w:eastAsia="Segoe UI" w:cs="Segoe UI" w:ascii="Segoe UI" w:hAnsi="Segoe UI"/>
          <w:b/>
          <w:color w:val="101820"/>
          <w:sz w:val="21"/>
        </w:rPr>
        <w:t>Download errors</w:t>
      </w:r>
      <w:r>
        <w:rPr>
          <w:rFonts w:eastAsia="Segoe UI" w:cs="Segoe UI" w:ascii="Segoe UI" w:hAnsi="Segoe UI"/>
          <w:color w:val="101820"/>
          <w:sz w:val="21"/>
        </w:rPr>
        <w:t xml:space="preserve"> gives only the rows in error.</w:t>
      </w:r>
    </w:p>
    <w:p>
      <w:pPr>
        <w:pStyle w:val="Normal"/>
        <w:numPr>
          <w:ilvl w:val="0"/>
          <w:numId w:val="225"/>
        </w:numPr>
        <w:spacing w:before="0" w:after="60"/>
        <w:rPr/>
      </w:pPr>
      <w:r>
        <w:rPr>
          <w:rFonts w:eastAsia="Segoe UI" w:cs="Segoe UI" w:ascii="Segoe UI" w:hAnsi="Segoe UI"/>
          <w:b/>
          <w:color w:val="101820"/>
          <w:sz w:val="21"/>
        </w:rPr>
        <w:t>System Administrator.</w:t>
      </w:r>
      <w:r>
        <w:rPr>
          <w:rFonts w:eastAsia="Segoe UI" w:cs="Segoe UI" w:ascii="Segoe UI" w:hAnsi="Segoe UI"/>
          <w:color w:val="101820"/>
          <w:sz w:val="21"/>
        </w:rPr>
        <w:t xml:space="preserve"> Corrects and uploads again, then </w:t>
      </w:r>
      <w:r>
        <w:rPr>
          <w:rFonts w:eastAsia="Segoe UI" w:cs="Segoe UI" w:ascii="Segoe UI" w:hAnsi="Segoe UI"/>
          <w:b/>
          <w:color w:val="101820"/>
          <w:sz w:val="21"/>
        </w:rPr>
        <w:t>Load</w:t>
      </w:r>
      <w:r>
        <w:rPr>
          <w:rFonts w:eastAsia="Segoe UI" w:cs="Segoe UI" w:ascii="Segoe UI" w:hAnsi="Segoe UI"/>
          <w:color w:val="101820"/>
          <w:sz w:val="21"/>
        </w:rPr>
        <w:t xml:space="preserve"> (valid rows only by default). New users' temporary passwords are shown once; another administrator approves the authority limits; the on-screen items (roles, tax codes, posting rules, statement formats, product templates, schedules, periods) are entered.</w:t>
      </w:r>
    </w:p>
    <w:p>
      <w:pPr>
        <w:pStyle w:val="Normal"/>
        <w:numPr>
          <w:ilvl w:val="0"/>
          <w:numId w:val="226"/>
        </w:numPr>
        <w:spacing w:before="0" w:after="60"/>
        <w:rPr/>
      </w:pPr>
      <w:r>
        <w:rPr>
          <w:rFonts w:eastAsia="Segoe UI" w:cs="Segoe UI" w:ascii="Segoe UI" w:hAnsi="Segoe UI"/>
          <w:b/>
          <w:color w:val="101820"/>
          <w:sz w:val="21"/>
        </w:rPr>
        <w:t>System Administrator.</w:t>
      </w:r>
      <w:r>
        <w:rPr>
          <w:rFonts w:eastAsia="Segoe UI" w:cs="Segoe UI" w:ascii="Segoe UI" w:hAnsi="Segoe UI"/>
          <w:color w:val="101820"/>
          <w:sz w:val="21"/>
        </w:rPr>
        <w:t xml:space="preserve"> Sets </w:t>
      </w:r>
      <w:r>
        <w:rPr>
          <w:rFonts w:eastAsia="Consolas" w:cs="Consolas" w:ascii="Consolas" w:hAnsi="Consolas"/>
          <w:color w:val="101820"/>
          <w:sz w:val="19"/>
        </w:rPr>
        <w:t>golive.cutover_date</w:t>
      </w:r>
      <w:r>
        <w:rPr>
          <w:rFonts w:eastAsia="Segoe UI" w:cs="Segoe UI" w:ascii="Segoe UI" w:hAnsi="Segoe UI"/>
          <w:color w:val="101820"/>
          <w:sz w:val="21"/>
        </w:rPr>
        <w:t xml:space="preserve"> (the first day of live transactions) and the Numbering sheet's next numbers above the old system's range.</w:t>
      </w:r>
    </w:p>
    <w:p>
      <w:pPr>
        <w:pStyle w:val="Normal"/>
        <w:numPr>
          <w:ilvl w:val="0"/>
          <w:numId w:val="227"/>
        </w:numPr>
        <w:spacing w:before="0" w:after="60"/>
        <w:rPr/>
      </w:pPr>
      <w:r>
        <w:rPr>
          <w:rFonts w:eastAsia="Segoe UI" w:cs="Segoe UI" w:ascii="Segoe UI" w:hAnsi="Segoe UI"/>
          <w:b/>
          <w:color w:val="101820"/>
          <w:sz w:val="21"/>
        </w:rPr>
        <w:t>Broker data owners.</w:t>
      </w:r>
      <w:r>
        <w:rPr>
          <w:rFonts w:eastAsia="Segoe UI" w:cs="Segoe UI" w:ascii="Segoe UI" w:hAnsi="Segoe UI"/>
          <w:color w:val="101820"/>
          <w:sz w:val="21"/>
        </w:rPr>
        <w:t xml:space="preserve"> Extract clients, in-force policies, open receivables, open claims and the trial balance at the close of the day before the cutover date, and sign the control figures.</w:t>
      </w:r>
    </w:p>
    <w:p>
      <w:pPr>
        <w:pStyle w:val="Normal"/>
        <w:numPr>
          <w:ilvl w:val="0"/>
          <w:numId w:val="228"/>
        </w:numPr>
        <w:spacing w:before="0" w:after="60"/>
        <w:rPr/>
      </w:pPr>
      <w:r>
        <w:rPr>
          <w:rFonts w:eastAsia="Segoe UI" w:cs="Segoe UI" w:ascii="Segoe UI" w:hAnsi="Segoe UI"/>
          <w:b/>
          <w:color w:val="101820"/>
          <w:sz w:val="21"/>
        </w:rPr>
        <w:t>Migration lead.</w:t>
      </w:r>
      <w:r>
        <w:rPr>
          <w:rFonts w:eastAsia="Segoe UI" w:cs="Segoe UI" w:ascii="Segoe UI" w:hAnsi="Segoe UI"/>
          <w:color w:val="101820"/>
          <w:sz w:val="21"/>
        </w:rPr>
        <w:t xml:space="preserve"> Fills the migration workbook, uploads and validates, fixes, validates again. Mock loads repeat this in UAT or SIT after a transaction reset; the rehearsal runs it in Pre-Prod on the cutover timetable.</w:t>
      </w:r>
    </w:p>
    <w:p>
      <w:pPr>
        <w:pStyle w:val="Normal"/>
        <w:numPr>
          <w:ilvl w:val="0"/>
          <w:numId w:val="229"/>
        </w:numPr>
        <w:spacing w:before="0" w:after="60"/>
        <w:rPr/>
      </w:pPr>
      <w:r>
        <w:rPr>
          <w:rFonts w:eastAsia="Segoe UI" w:cs="Segoe UI" w:ascii="Segoe UI" w:hAnsi="Segoe UI"/>
          <w:b/>
          <w:color w:val="101820"/>
          <w:sz w:val="21"/>
        </w:rPr>
        <w:t>Migration lead.</w:t>
      </w:r>
      <w:r>
        <w:rPr>
          <w:rFonts w:eastAsia="Segoe UI" w:cs="Segoe UI" w:ascii="Segoe UI" w:hAnsi="Segoe UI"/>
          <w:color w:val="101820"/>
          <w:sz w:val="21"/>
        </w:rPr>
        <w:t xml:space="preserve"> </w:t>
      </w:r>
      <w:r>
        <w:rPr>
          <w:rFonts w:eastAsia="Segoe UI" w:cs="Segoe UI" w:ascii="Segoe UI" w:hAnsi="Segoe UI"/>
          <w:b/>
          <w:color w:val="101820"/>
          <w:sz w:val="21"/>
        </w:rPr>
        <w:t>Load</w:t>
      </w:r>
      <w:r>
        <w:rPr>
          <w:rFonts w:eastAsia="Segoe UI" w:cs="Segoe UI" w:ascii="Segoe UI" w:hAnsi="Segoe UI"/>
          <w:color w:val="101820"/>
          <w:sz w:val="21"/>
        </w:rPr>
        <w:t xml:space="preserve"> (valid rows only not ticked by default). Migrated records keep their old numbers and post nothing.</w:t>
      </w:r>
    </w:p>
    <w:p>
      <w:pPr>
        <w:pStyle w:val="Normal"/>
        <w:numPr>
          <w:ilvl w:val="0"/>
          <w:numId w:val="230"/>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The reconciliation per sheet: workbook rows and totals against the records and totals in BrokerVerse, the TB balance check and the premiums receivable control account against the open items (Agrees or Difference); </w:t>
      </w:r>
      <w:r>
        <w:rPr>
          <w:rFonts w:eastAsia="Segoe UI" w:cs="Segoe UI" w:ascii="Segoe UI" w:hAnsi="Segoe UI"/>
          <w:b/>
          <w:color w:val="101820"/>
          <w:sz w:val="21"/>
        </w:rPr>
        <w:t>Download reconciliation</w:t>
      </w:r>
      <w:r>
        <w:rPr>
          <w:rFonts w:eastAsia="Segoe UI" w:cs="Segoe UI" w:ascii="Segoe UI" w:hAnsi="Segoe UI"/>
          <w:color w:val="101820"/>
          <w:sz w:val="21"/>
        </w:rPr>
        <w:t>.</w:t>
      </w:r>
    </w:p>
    <w:p>
      <w:pPr>
        <w:pStyle w:val="Normal"/>
        <w:numPr>
          <w:ilvl w:val="0"/>
          <w:numId w:val="231"/>
        </w:numPr>
        <w:spacing w:before="0" w:after="60"/>
        <w:rPr/>
      </w:pPr>
      <w:r>
        <w:rPr>
          <w:rFonts w:eastAsia="Segoe UI" w:cs="Segoe UI" w:ascii="Segoe UI" w:hAnsi="Segoe UI"/>
          <w:b/>
          <w:color w:val="101820"/>
          <w:sz w:val="21"/>
        </w:rPr>
        <w:t>Accounting Manager.</w:t>
      </w:r>
      <w:r>
        <w:rPr>
          <w:rFonts w:eastAsia="Segoe UI" w:cs="Segoe UI" w:ascii="Segoe UI" w:hAnsi="Segoe UI"/>
          <w:color w:val="101820"/>
          <w:sz w:val="21"/>
        </w:rPr>
        <w:t xml:space="preserve"> With the data owners: sample checks (policies per line, open items, TB line by line) and signature of the reconciliation report.</w:t>
      </w:r>
    </w:p>
    <w:p>
      <w:pPr>
        <w:pStyle w:val="Normal"/>
        <w:numPr>
          <w:ilvl w:val="0"/>
          <w:numId w:val="232"/>
        </w:numPr>
        <w:spacing w:before="0" w:after="60"/>
        <w:rPr/>
      </w:pPr>
      <w:r>
        <w:rPr>
          <w:rFonts w:eastAsia="Segoe UI" w:cs="Segoe UI" w:ascii="Segoe UI" w:hAnsi="Segoe UI"/>
          <w:b/>
          <w:color w:val="101820"/>
          <w:sz w:val="21"/>
        </w:rPr>
        <w:t>Steering committee.</w:t>
      </w:r>
      <w:r>
        <w:rPr>
          <w:rFonts w:eastAsia="Segoe UI" w:cs="Segoe UI" w:ascii="Segoe UI" w:hAnsi="Segoe UI"/>
          <w:color w:val="101820"/>
          <w:sz w:val="21"/>
        </w:rPr>
        <w:t xml:space="preserve"> Go/no-go (GNG-2). No go: fix and reload (step 6) or keep the old system.</w:t>
      </w:r>
    </w:p>
    <w:p>
      <w:pPr>
        <w:pStyle w:val="Normal"/>
        <w:numPr>
          <w:ilvl w:val="0"/>
          <w:numId w:val="233"/>
        </w:numPr>
        <w:spacing w:before="0" w:after="60"/>
        <w:rPr/>
      </w:pPr>
      <w:r>
        <w:rPr>
          <w:rFonts w:eastAsia="Segoe UI" w:cs="Segoe UI" w:ascii="Segoe UI" w:hAnsi="Segoe UI"/>
          <w:b/>
          <w:color w:val="101820"/>
          <w:sz w:val="21"/>
        </w:rPr>
        <w:t>System Administrator.</w:t>
      </w:r>
      <w:r>
        <w:rPr>
          <w:rFonts w:eastAsia="Segoe UI" w:cs="Segoe UI" w:ascii="Segoe UI" w:hAnsi="Segoe UI"/>
          <w:color w:val="101820"/>
          <w:sz w:val="21"/>
        </w:rPr>
        <w:t xml:space="preserve"> Switches on </w:t>
      </w:r>
      <w:r>
        <w:rPr>
          <w:rFonts w:eastAsia="Consolas" w:cs="Consolas" w:ascii="Consolas" w:hAnsi="Consolas"/>
          <w:color w:val="101820"/>
          <w:sz w:val="19"/>
        </w:rPr>
        <w:t>golive.locked</w:t>
      </w:r>
      <w:r>
        <w:rPr>
          <w:rFonts w:eastAsia="Segoe UI" w:cs="Segoe UI" w:ascii="Segoe UI" w:hAnsi="Segoe UI"/>
          <w:color w:val="101820"/>
          <w:sz w:val="21"/>
        </w:rPr>
        <w:t>; a snapshot of the go-live baseline is taken. The migration workbook and the transaction reset are refused from then on.</w:t>
      </w:r>
    </w:p>
    <w:p>
      <w:pPr>
        <w:pStyle w:val="Normal"/>
        <w:numPr>
          <w:ilvl w:val="0"/>
          <w:numId w:val="234"/>
        </w:numPr>
        <w:spacing w:before="0" w:after="60"/>
        <w:rPr/>
      </w:pPr>
      <w:r>
        <w:rPr>
          <w:rFonts w:eastAsia="Segoe UI" w:cs="Segoe UI" w:ascii="Segoe UI" w:hAnsi="Segoe UI"/>
          <w:b/>
          <w:color w:val="101820"/>
          <w:sz w:val="21"/>
        </w:rPr>
        <w:t>System Administrator.</w:t>
      </w:r>
      <w:r>
        <w:rPr>
          <w:rFonts w:eastAsia="Segoe UI" w:cs="Segoe UI" w:ascii="Segoe UI" w:hAnsi="Segoe UI"/>
          <w:color w:val="101820"/>
          <w:sz w:val="21"/>
        </w:rPr>
        <w:t xml:space="preserve"> Switches on the scheduled jobs and </w:t>
      </w:r>
      <w:r>
        <w:rPr>
          <w:rFonts w:eastAsia="Segoe UI" w:cs="Segoe UI" w:ascii="Segoe UI" w:hAnsi="Segoe UI"/>
          <w:b/>
          <w:color w:val="101820"/>
          <w:sz w:val="21"/>
        </w:rPr>
        <w:t>Send e-mails</w:t>
      </w:r>
      <w:r>
        <w:rPr>
          <w:rFonts w:eastAsia="Segoe UI" w:cs="Segoe UI" w:ascii="Segoe UI" w:hAnsi="Segoe UI"/>
          <w:color w:val="101820"/>
          <w:sz w:val="21"/>
        </w:rPr>
        <w:t>; the old system becomes read-only.</w:t>
      </w:r>
    </w:p>
    <w:p>
      <w:pPr>
        <w:pStyle w:val="Normal"/>
        <w:numPr>
          <w:ilvl w:val="0"/>
          <w:numId w:val="235"/>
        </w:numPr>
        <w:spacing w:before="0" w:after="60"/>
        <w:rPr/>
      </w:pPr>
      <w:r>
        <w:rPr>
          <w:rFonts w:eastAsia="Segoe UI" w:cs="Segoe UI" w:ascii="Segoe UI" w:hAnsi="Segoe UI"/>
          <w:b/>
          <w:color w:val="101820"/>
          <w:sz w:val="21"/>
        </w:rPr>
        <w:t>End.</w:t>
      </w:r>
      <w:r>
        <w:rPr>
          <w:rFonts w:eastAsia="Segoe UI" w:cs="Segoe UI" w:ascii="Segoe UI" w:hAnsi="Segoe UI"/>
          <w:color w:val="101820"/>
          <w:sz w:val="21"/>
        </w:rPr>
        <w:t xml:space="preserve"> BrokerVerse is live; hypercare runs until the first month-end close is approved.</w:t>
      </w:r>
    </w:p>
    <w:p>
      <w:pPr>
        <w:pStyle w:val="Normal"/>
        <w:spacing w:lineRule="auto" w:line="276" w:before="0" w:after="120"/>
        <w:rPr/>
      </w:pPr>
      <w:r>
        <w:rPr>
          <w:rFonts w:eastAsia="Segoe UI" w:cs="Segoe UI" w:ascii="Segoe UI" w:hAnsi="Segoe UI"/>
          <w:b/>
          <w:color w:val="101820"/>
          <w:sz w:val="21"/>
        </w:rPr>
        <w:t>Exceptions</w:t>
      </w:r>
    </w:p>
    <w:p>
      <w:pPr>
        <w:pStyle w:val="Normal"/>
        <w:numPr>
          <w:ilvl w:val="0"/>
          <w:numId w:val="1"/>
        </w:numPr>
        <w:spacing w:before="0" w:after="60"/>
        <w:rPr/>
      </w:pPr>
      <w:r>
        <w:rPr>
          <w:rFonts w:eastAsia="Segoe UI" w:cs="Segoe UI" w:ascii="Segoe UI" w:hAnsi="Segoe UI"/>
          <w:color w:val="101820"/>
          <w:sz w:val="21"/>
        </w:rPr>
        <w:t xml:space="preserve">Migration workbook refused with </w:t>
      </w:r>
      <w:r>
        <w:rPr>
          <w:rFonts w:eastAsia="Segoe UI" w:cs="Segoe UI" w:ascii="Segoe UI" w:hAnsi="Segoe UI"/>
          <w:b/>
          <w:color w:val="101820"/>
          <w:sz w:val="21"/>
        </w:rPr>
        <w:t>Set the cutover date (golive.cutover_date) first</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A row dated on or after the cutover date, a policy not in force at cutover, an unbalanced TB or a number that collides with a series is refused with its reason; the opening balances load all or nothing.</w:t>
      </w:r>
    </w:p>
    <w:p>
      <w:pPr>
        <w:pStyle w:val="Normal"/>
        <w:numPr>
          <w:ilvl w:val="0"/>
          <w:numId w:val="1"/>
        </w:numPr>
        <w:spacing w:before="0" w:after="60"/>
        <w:rPr/>
      </w:pPr>
      <w:r>
        <w:rPr>
          <w:rFonts w:eastAsia="Segoe UI" w:cs="Segoe UI" w:ascii="Segoe UI" w:hAnsi="Segoe UI"/>
          <w:color w:val="101820"/>
          <w:sz w:val="21"/>
        </w:rPr>
        <w:t>A record missed after the lock is entered on its screen as an exception agreed with the Accounting Manager.</w:t>
      </w:r>
    </w:p>
    <w:p>
      <w:pPr>
        <w:pStyle w:val="Heading2"/>
        <w:rPr/>
      </w:pPr>
      <w:bookmarkStart w:id="38" w:name="__RefHeading___Toc19319_1497462395"/>
      <w:bookmarkEnd w:id="38"/>
      <w:r>
        <w:rPr>
          <w:rFonts w:eastAsia="Segoe UI" w:cs="Segoe UI"/>
          <w:b/>
          <w:color w:val="0F4761"/>
          <w:sz w:val="26"/>
        </w:rPr>
        <w:t>10.2  F15 Environment promotion and masking refresh</w:t>
      </w:r>
    </w:p>
    <w:p>
      <w:pPr>
        <w:pStyle w:val="Normal"/>
        <w:spacing w:lineRule="auto" w:line="276" w:before="0" w:after="120"/>
        <w:rPr/>
      </w:pPr>
      <w:r>
        <w:rPr>
          <w:rFonts w:eastAsia="Segoe UI" w:cs="Segoe UI" w:ascii="Segoe UI" w:hAnsi="Segoe UI"/>
          <w:color w:val="101820"/>
          <w:sz w:val="21"/>
        </w:rPr>
        <w:t>A release moves the same build from Dev to Production through approvals; configuration moves with the configuration workbook and is proved identical with the environment comparison. A copy of production used outside production is masked first.</w:t>
      </w:r>
    </w:p>
    <w:p>
      <w:pPr>
        <w:pStyle w:val="Heading3"/>
        <w:rPr/>
      </w:pPr>
      <w:r>
        <w:rPr>
          <w:rFonts w:eastAsia="Segoe UI" w:cs="Segoe UI"/>
          <w:b/>
          <w:color w:val="0F4761"/>
          <w:sz w:val="23"/>
        </w:rPr>
        <w:t>10.2.1  F15a Release and configuration promotion</w:t>
      </w:r>
    </w:p>
    <w:p>
      <w:pPr>
        <w:pStyle w:val="Normal"/>
        <w:jc w:val="center"/>
        <w:rPr/>
      </w:pPr>
      <w:r>
        <w:rPr/>
        <w:drawing>
          <wp:inline distT="0" distB="0" distL="0" distR="0">
            <wp:extent cx="5760085" cy="6859905"/>
            <wp:effectExtent l="0" t="0" r="0" b="0"/>
            <wp:docPr id="26" name="Picture 21212882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121288206" descr=""/>
                    <pic:cNvPicPr>
                      <a:picLocks noChangeAspect="1" noChangeArrowheads="1"/>
                    </pic:cNvPicPr>
                  </pic:nvPicPr>
                  <pic:blipFill>
                    <a:blip r:embed="rId22"/>
                    <a:stretch>
                      <a:fillRect/>
                    </a:stretch>
                  </pic:blipFill>
                  <pic:spPr bwMode="auto">
                    <a:xfrm>
                      <a:off x="0" y="0"/>
                      <a:ext cx="5760085" cy="6859905"/>
                    </a:xfrm>
                    <a:prstGeom prst="rect">
                      <a:avLst/>
                    </a:prstGeom>
                  </pic:spPr>
                </pic:pic>
              </a:graphicData>
            </a:graphic>
          </wp:inline>
        </w:drawing>
      </w:r>
    </w:p>
    <w:p>
      <w:pPr>
        <w:pStyle w:val="Normal"/>
        <w:jc w:val="center"/>
        <w:rPr/>
      </w:pPr>
      <w:r>
        <w:rPr>
          <w:rFonts w:eastAsia="Segoe UI" w:cs="Segoe UI" w:ascii="Segoe UI" w:hAnsi="Segoe UI"/>
          <w:i/>
          <w:color w:val="555F6D"/>
          <w:sz w:val="18"/>
        </w:rPr>
        <w:t>F15a Release and configuration promotion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44"/>
        <w:gridCol w:w="7370"/>
      </w:tblGrid>
      <w:tr>
        <w:trPr>
          <w:tblHeader w:val="true"/>
        </w:trPr>
        <w:tc>
          <w:tcPr>
            <w:tcW w:w="16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At a glance</w:t>
            </w:r>
          </w:p>
        </w:tc>
        <w:tc>
          <w:tcPr>
            <w:tcW w:w="73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change merged for release; a release candidate; an approved release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Developer and CI; release manager and CAB; iorta TechNXT DevOps; System Administrator; BrokerVerse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Screens and tools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GitHub workflows ci.yml, deploy.yml, rollback.yml; Master &gt; Go-Live Data Load (Current data, Compare environments); </w:t>
            </w:r>
            <w:r>
              <w:rPr>
                <w:rFonts w:eastAsia="Consolas" w:cs="Consolas" w:ascii="Consolas" w:hAnsi="Consolas"/>
                <w:color w:val="101820"/>
                <w:kern w:val="0"/>
                <w:sz w:val="16"/>
                <w:szCs w:val="24"/>
                <w:lang w:val="en-US" w:eastAsia="ja-JP" w:bidi="ar-SA"/>
              </w:rPr>
              <w:t>npm run compare:environments</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Build artefacts web-&lt;sha&gt; and backend-&lt;sha&gt;, release notes, comparison workbook, promotion checklist</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Build once, promote the same artefact; approvals per environment (uat, preprod, production); pre-deployment database backup (always for Pre-Prod and Production); forward-only migrations; smoke test and automatic rollback; Production accepts only a vX.Y.Z tag; configuration freeze from UAT sign-off</w:t>
            </w:r>
          </w:p>
        </w:tc>
      </w:tr>
    </w:tbl>
    <w:p>
      <w:pPr>
        <w:pStyle w:val="Normal"/>
        <w:spacing w:before="0" w:after="80"/>
        <w:rPr/>
      </w:pPr>
      <w:r>
        <w:rPr/>
      </w:r>
    </w:p>
    <w:p>
      <w:pPr>
        <w:pStyle w:val="Normal"/>
        <w:numPr>
          <w:ilvl w:val="0"/>
          <w:numId w:val="236"/>
        </w:numPr>
        <w:spacing w:before="0" w:after="60"/>
        <w:rPr/>
      </w:pPr>
      <w:r>
        <w:rPr>
          <w:rFonts w:eastAsia="Segoe UI" w:cs="Segoe UI" w:ascii="Segoe UI" w:hAnsi="Segoe UI"/>
          <w:b/>
          <w:color w:val="101820"/>
          <w:sz w:val="21"/>
        </w:rPr>
        <w:t>Developer and CI.</w:t>
      </w:r>
      <w:r>
        <w:rPr>
          <w:rFonts w:eastAsia="Segoe UI" w:cs="Segoe UI" w:ascii="Segoe UI" w:hAnsi="Segoe UI"/>
          <w:color w:val="101820"/>
          <w:sz w:val="21"/>
        </w:rPr>
        <w:t xml:space="preserve"> A pull request runs lint, tests against PostgreSQL 16, the dependency audit and the build.</w:t>
      </w:r>
    </w:p>
    <w:p>
      <w:pPr>
        <w:pStyle w:val="Normal"/>
        <w:numPr>
          <w:ilvl w:val="0"/>
          <w:numId w:val="237"/>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Merged into brokerverse-platform: artefacts kept 90 days and deployed to Dev automatically.</w:t>
      </w:r>
    </w:p>
    <w:p>
      <w:pPr>
        <w:pStyle w:val="Normal"/>
        <w:numPr>
          <w:ilvl w:val="0"/>
          <w:numId w:val="238"/>
        </w:numPr>
        <w:spacing w:before="0" w:after="60"/>
        <w:rPr/>
      </w:pPr>
      <w:r>
        <w:rPr>
          <w:rFonts w:eastAsia="Segoe UI" w:cs="Segoe UI" w:ascii="Segoe UI" w:hAnsi="Segoe UI"/>
          <w:b/>
          <w:color w:val="101820"/>
          <w:sz w:val="21"/>
        </w:rPr>
        <w:t>Release manager.</w:t>
      </w:r>
      <w:r>
        <w:rPr>
          <w:rFonts w:eastAsia="Segoe UI" w:cs="Segoe UI" w:ascii="Segoe UI" w:hAnsi="Segoe UI"/>
          <w:color w:val="101820"/>
          <w:sz w:val="21"/>
        </w:rPr>
        <w:t xml:space="preserve"> Tags a release candidate vX.Y.Z-rc.N; it deploys to UAT after approval (SIT by hand for a large broker; Pre-Prod by hand for the rehearsal).</w:t>
      </w:r>
    </w:p>
    <w:p>
      <w:pPr>
        <w:pStyle w:val="Normal"/>
        <w:numPr>
          <w:ilvl w:val="0"/>
          <w:numId w:val="239"/>
        </w:numPr>
        <w:spacing w:before="0" w:after="60"/>
        <w:rPr/>
      </w:pPr>
      <w:r>
        <w:rPr>
          <w:rFonts w:eastAsia="Segoe UI" w:cs="Segoe UI" w:ascii="Segoe UI" w:hAnsi="Segoe UI"/>
          <w:b/>
          <w:color w:val="101820"/>
          <w:sz w:val="21"/>
        </w:rPr>
        <w:t>DevOps.</w:t>
      </w:r>
      <w:r>
        <w:rPr>
          <w:rFonts w:eastAsia="Segoe UI" w:cs="Segoe UI" w:ascii="Segoe UI" w:hAnsi="Segoe UI"/>
          <w:color w:val="101820"/>
          <w:sz w:val="21"/>
        </w:rPr>
        <w:t xml:space="preserve"> The deployment backs up the database, installs the release beside the running one, migrates, seeds reference data, switches and runs the smoke test (</w:t>
      </w:r>
      <w:r>
        <w:rPr>
          <w:rFonts w:eastAsia="Consolas" w:cs="Consolas" w:ascii="Consolas" w:hAnsi="Consolas"/>
          <w:color w:val="101820"/>
          <w:sz w:val="19"/>
        </w:rPr>
        <w:t>/api/health</w:t>
      </w:r>
      <w:r>
        <w:rPr>
          <w:rFonts w:eastAsia="Segoe UI" w:cs="Segoe UI" w:ascii="Segoe UI" w:hAnsi="Segoe UI"/>
          <w:color w:val="101820"/>
          <w:sz w:val="21"/>
        </w:rPr>
        <w:t xml:space="preserve">, </w:t>
      </w:r>
      <w:r>
        <w:rPr>
          <w:rFonts w:eastAsia="Consolas" w:cs="Consolas" w:ascii="Consolas" w:hAnsi="Consolas"/>
          <w:color w:val="101820"/>
          <w:sz w:val="19"/>
        </w:rPr>
        <w:t>/api/version</w:t>
      </w:r>
      <w:r>
        <w:rPr>
          <w:rFonts w:eastAsia="Segoe UI" w:cs="Segoe UI" w:ascii="Segoe UI" w:hAnsi="Segoe UI"/>
          <w:color w:val="101820"/>
          <w:sz w:val="21"/>
        </w:rPr>
        <w:t xml:space="preserve"> equal to the commit, </w:t>
      </w:r>
      <w:r>
        <w:rPr>
          <w:rFonts w:eastAsia="Consolas" w:cs="Consolas" w:ascii="Consolas" w:hAnsi="Consolas"/>
          <w:color w:val="101820"/>
          <w:sz w:val="19"/>
        </w:rPr>
        <w:t>/login</w:t>
      </w:r>
      <w:r>
        <w:rPr>
          <w:rFonts w:eastAsia="Segoe UI" w:cs="Segoe UI" w:ascii="Segoe UI" w:hAnsi="Segoe UI"/>
          <w:color w:val="101820"/>
          <w:sz w:val="21"/>
        </w:rPr>
        <w:t xml:space="preserve">, </w:t>
      </w:r>
      <w:r>
        <w:rPr>
          <w:rFonts w:eastAsia="Consolas" w:cs="Consolas" w:ascii="Consolas" w:hAnsi="Consolas"/>
          <w:color w:val="101820"/>
          <w:sz w:val="19"/>
        </w:rPr>
        <w:t>/env-config.js</w:t>
      </w:r>
      <w:r>
        <w:rPr>
          <w:rFonts w:eastAsia="Segoe UI" w:cs="Segoe UI" w:ascii="Segoe UI" w:hAnsi="Segoe UI"/>
          <w:color w:val="101820"/>
          <w:sz w:val="21"/>
        </w:rPr>
        <w:t>).</w:t>
      </w:r>
    </w:p>
    <w:p>
      <w:pPr>
        <w:pStyle w:val="Normal"/>
        <w:numPr>
          <w:ilvl w:val="0"/>
          <w:numId w:val="240"/>
        </w:numPr>
        <w:spacing w:before="0" w:after="60"/>
        <w:rPr/>
      </w:pPr>
      <w:r>
        <w:rPr>
          <w:rFonts w:eastAsia="Segoe UI" w:cs="Segoe UI" w:ascii="Segoe UI" w:hAnsi="Segoe UI"/>
          <w:b/>
          <w:color w:val="101820"/>
          <w:sz w:val="21"/>
        </w:rPr>
        <w:t>DevOps.</w:t>
      </w:r>
      <w:r>
        <w:rPr>
          <w:rFonts w:eastAsia="Segoe UI" w:cs="Segoe UI" w:ascii="Segoe UI" w:hAnsi="Segoe UI"/>
          <w:color w:val="101820"/>
          <w:sz w:val="21"/>
        </w:rPr>
        <w:t xml:space="preserve"> Decision: smoke test passed?</w:t>
      </w:r>
    </w:p>
    <w:p>
      <w:pPr>
        <w:pStyle w:val="Normal"/>
        <w:numPr>
          <w:ilvl w:val="0"/>
          <w:numId w:val="241"/>
        </w:numPr>
        <w:spacing w:before="0" w:after="60"/>
        <w:rPr/>
      </w:pPr>
      <w:r>
        <w:rPr>
          <w:rFonts w:eastAsia="Segoe UI" w:cs="Segoe UI" w:ascii="Segoe UI" w:hAnsi="Segoe UI"/>
          <w:b/>
          <w:color w:val="101820"/>
          <w:sz w:val="21"/>
        </w:rPr>
        <w:t>System Administrator.</w:t>
      </w:r>
      <w:r>
        <w:rPr>
          <w:rFonts w:eastAsia="Segoe UI" w:cs="Segoe UI" w:ascii="Segoe UI" w:hAnsi="Segoe UI"/>
          <w:color w:val="101820"/>
          <w:sz w:val="21"/>
        </w:rPr>
        <w:t xml:space="preserve"> Downloads </w:t>
      </w:r>
      <w:r>
        <w:rPr>
          <w:rFonts w:eastAsia="Segoe UI" w:cs="Segoe UI" w:ascii="Segoe UI" w:hAnsi="Segoe UI"/>
          <w:b/>
          <w:color w:val="101820"/>
          <w:sz w:val="21"/>
        </w:rPr>
        <w:t>Current data</w:t>
      </w:r>
      <w:r>
        <w:rPr>
          <w:rFonts w:eastAsia="Segoe UI" w:cs="Segoe UI" w:ascii="Segoe UI" w:hAnsi="Segoe UI"/>
          <w:color w:val="101820"/>
          <w:sz w:val="21"/>
        </w:rPr>
        <w:t xml:space="preserve"> of the configuration workbook in the source environment.</w:t>
      </w:r>
    </w:p>
    <w:p>
      <w:pPr>
        <w:pStyle w:val="Normal"/>
        <w:numPr>
          <w:ilvl w:val="0"/>
          <w:numId w:val="242"/>
        </w:numPr>
        <w:spacing w:before="0" w:after="60"/>
        <w:rPr/>
      </w:pPr>
      <w:r>
        <w:rPr>
          <w:rFonts w:eastAsia="Segoe UI" w:cs="Segoe UI" w:ascii="Segoe UI" w:hAnsi="Segoe UI"/>
          <w:b/>
          <w:color w:val="101820"/>
          <w:sz w:val="21"/>
        </w:rPr>
        <w:t>System Administrator.</w:t>
      </w:r>
      <w:r>
        <w:rPr>
          <w:rFonts w:eastAsia="Segoe UI" w:cs="Segoe UI" w:ascii="Segoe UI" w:hAnsi="Segoe UI"/>
          <w:color w:val="101820"/>
          <w:sz w:val="21"/>
        </w:rPr>
        <w:t xml:space="preserve"> Reviews it (removes test users, sets the Numbering sheet for the target) and loads it in the target (validate, fix, load).</w:t>
      </w:r>
    </w:p>
    <w:p>
      <w:pPr>
        <w:pStyle w:val="Normal"/>
        <w:numPr>
          <w:ilvl w:val="0"/>
          <w:numId w:val="243"/>
        </w:numPr>
        <w:spacing w:before="0" w:after="60"/>
        <w:rPr/>
      </w:pPr>
      <w:r>
        <w:rPr>
          <w:rFonts w:eastAsia="Segoe UI" w:cs="Segoe UI" w:ascii="Segoe UI" w:hAnsi="Segoe UI"/>
          <w:b/>
          <w:color w:val="101820"/>
          <w:sz w:val="21"/>
        </w:rPr>
        <w:t>System Administrator.</w:t>
      </w:r>
      <w:r>
        <w:rPr>
          <w:rFonts w:eastAsia="Segoe UI" w:cs="Segoe UI" w:ascii="Segoe UI" w:hAnsi="Segoe UI"/>
          <w:color w:val="101820"/>
          <w:sz w:val="21"/>
        </w:rPr>
        <w:t xml:space="preserve"> Enters the on-screen items of the promotion checklist; another administrator approves the authority limits.</w:t>
      </w:r>
    </w:p>
    <w:p>
      <w:pPr>
        <w:pStyle w:val="Normal"/>
        <w:numPr>
          <w:ilvl w:val="0"/>
          <w:numId w:val="244"/>
        </w:numPr>
        <w:spacing w:before="0" w:after="60"/>
        <w:rPr/>
      </w:pPr>
      <w:r>
        <w:rPr>
          <w:rFonts w:eastAsia="Segoe UI" w:cs="Segoe UI" w:ascii="Segoe UI" w:hAnsi="Segoe UI"/>
          <w:b/>
          <w:color w:val="101820"/>
          <w:sz w:val="21"/>
        </w:rPr>
        <w:t>System Administrator.</w:t>
      </w:r>
      <w:r>
        <w:rPr>
          <w:rFonts w:eastAsia="Segoe UI" w:cs="Segoe UI" w:ascii="Segoe UI" w:hAnsi="Segoe UI"/>
          <w:color w:val="101820"/>
          <w:sz w:val="21"/>
        </w:rPr>
        <w:t xml:space="preserve"> Compare environments: </w:t>
      </w:r>
      <w:r>
        <w:rPr>
          <w:rFonts w:eastAsia="Segoe UI" w:cs="Segoe UI" w:ascii="Segoe UI" w:hAnsi="Segoe UI"/>
          <w:b/>
          <w:color w:val="101820"/>
          <w:sz w:val="21"/>
        </w:rPr>
        <w:t>File vs this environment</w:t>
      </w:r>
      <w:r>
        <w:rPr>
          <w:rFonts w:eastAsia="Segoe UI" w:cs="Segoe UI" w:ascii="Segoe UI" w:hAnsi="Segoe UI"/>
          <w:color w:val="101820"/>
          <w:sz w:val="21"/>
        </w:rPr>
        <w:t xml:space="preserve"> (or </w:t>
      </w:r>
      <w:r>
        <w:rPr>
          <w:rFonts w:eastAsia="Segoe UI" w:cs="Segoe UI" w:ascii="Segoe UI" w:hAnsi="Segoe UI"/>
          <w:b/>
          <w:color w:val="101820"/>
          <w:sz w:val="21"/>
        </w:rPr>
        <w:t>File A vs file B</w:t>
      </w:r>
      <w:r>
        <w:rPr>
          <w:rFonts w:eastAsia="Segoe UI" w:cs="Segoe UI" w:ascii="Segoe UI" w:hAnsi="Segoe UI"/>
          <w:color w:val="101820"/>
          <w:sz w:val="21"/>
        </w:rPr>
        <w:t xml:space="preserve">), with </w:t>
      </w:r>
      <w:r>
        <w:rPr>
          <w:rFonts w:eastAsia="Segoe UI" w:cs="Segoe UI" w:ascii="Segoe UI" w:hAnsi="Segoe UI"/>
          <w:b/>
          <w:color w:val="101820"/>
          <w:sz w:val="21"/>
        </w:rPr>
        <w:t>Include numbering counters</w:t>
      </w:r>
      <w:r>
        <w:rPr>
          <w:rFonts w:eastAsia="Segoe UI" w:cs="Segoe UI" w:ascii="Segoe UI" w:hAnsi="Segoe UI"/>
          <w:color w:val="101820"/>
          <w:sz w:val="21"/>
        </w:rPr>
        <w:t xml:space="preserve"> when needed; the pipeline can run </w:t>
      </w:r>
      <w:r>
        <w:rPr>
          <w:rFonts w:eastAsia="Consolas" w:cs="Consolas" w:ascii="Consolas" w:hAnsi="Consolas"/>
          <w:color w:val="101820"/>
          <w:sz w:val="19"/>
        </w:rPr>
        <w:t>npm run compare:environments</w:t>
      </w:r>
      <w:r>
        <w:rPr>
          <w:rFonts w:eastAsia="Segoe UI" w:cs="Segoe UI" w:ascii="Segoe UI" w:hAnsi="Segoe UI"/>
          <w:color w:val="101820"/>
          <w:sz w:val="21"/>
        </w:rPr>
        <w:t xml:space="preserve"> against two running APIs.</w:t>
      </w:r>
    </w:p>
    <w:p>
      <w:pPr>
        <w:pStyle w:val="Normal"/>
        <w:numPr>
          <w:ilvl w:val="0"/>
          <w:numId w:val="245"/>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Decision: Mirrored, or Differences found (field by field; environment-specific fields such as addresses and sender settings are listed apart and never count). Differences are corrected (step 7).</w:t>
      </w:r>
    </w:p>
    <w:p>
      <w:pPr>
        <w:pStyle w:val="Normal"/>
        <w:numPr>
          <w:ilvl w:val="0"/>
          <w:numId w:val="246"/>
        </w:numPr>
        <w:spacing w:before="0" w:after="60"/>
        <w:rPr/>
      </w:pPr>
      <w:r>
        <w:rPr>
          <w:rFonts w:eastAsia="Segoe UI" w:cs="Segoe UI" w:ascii="Segoe UI" w:hAnsi="Segoe UI"/>
          <w:b/>
          <w:color w:val="101820"/>
          <w:sz w:val="21"/>
        </w:rPr>
        <w:t>Release manager.</w:t>
      </w:r>
      <w:r>
        <w:rPr>
          <w:rFonts w:eastAsia="Segoe UI" w:cs="Segoe UI" w:ascii="Segoe UI" w:hAnsi="Segoe UI"/>
          <w:color w:val="101820"/>
          <w:sz w:val="21"/>
        </w:rPr>
        <w:t xml:space="preserve"> The CAB approves the release tag vX.Y.Z.</w:t>
      </w:r>
    </w:p>
    <w:p>
      <w:pPr>
        <w:pStyle w:val="Normal"/>
        <w:numPr>
          <w:ilvl w:val="0"/>
          <w:numId w:val="247"/>
        </w:numPr>
        <w:spacing w:before="0" w:after="60"/>
        <w:rPr/>
      </w:pPr>
      <w:r>
        <w:rPr>
          <w:rFonts w:eastAsia="Segoe UI" w:cs="Segoe UI" w:ascii="Segoe UI" w:hAnsi="Segoe UI"/>
          <w:b/>
          <w:color w:val="101820"/>
          <w:sz w:val="21"/>
        </w:rPr>
        <w:t>DevOps.</w:t>
      </w:r>
      <w:r>
        <w:rPr>
          <w:rFonts w:eastAsia="Segoe UI" w:cs="Segoe UI" w:ascii="Segoe UI" w:hAnsi="Segoe UI"/>
          <w:color w:val="101820"/>
          <w:sz w:val="21"/>
        </w:rPr>
        <w:t xml:space="preserve"> Deploys to Production after the approval of the production environment.</w:t>
      </w:r>
    </w:p>
    <w:p>
      <w:pPr>
        <w:pStyle w:val="Normal"/>
        <w:numPr>
          <w:ilvl w:val="0"/>
          <w:numId w:val="248"/>
        </w:numPr>
        <w:spacing w:before="0" w:after="60"/>
        <w:rPr/>
      </w:pPr>
      <w:r>
        <w:rPr>
          <w:rFonts w:eastAsia="Segoe UI" w:cs="Segoe UI" w:ascii="Segoe UI" w:hAnsi="Segoe UI"/>
          <w:b/>
          <w:color w:val="101820"/>
          <w:sz w:val="21"/>
        </w:rPr>
        <w:t>End.</w:t>
      </w:r>
      <w:r>
        <w:rPr>
          <w:rFonts w:eastAsia="Segoe UI" w:cs="Segoe UI" w:ascii="Segoe UI" w:hAnsi="Segoe UI"/>
          <w:color w:val="101820"/>
          <w:sz w:val="21"/>
        </w:rPr>
        <w:t xml:space="preserve"> The release is live; the comparison workbook is kept as evidence.</w:t>
      </w:r>
    </w:p>
    <w:p>
      <w:pPr>
        <w:pStyle w:val="Normal"/>
        <w:numPr>
          <w:ilvl w:val="0"/>
          <w:numId w:val="249"/>
        </w:numPr>
        <w:spacing w:before="0" w:after="60"/>
        <w:rPr/>
      </w:pPr>
      <w:r>
        <w:rPr>
          <w:rFonts w:eastAsia="Segoe UI" w:cs="Segoe UI" w:ascii="Segoe UI" w:hAnsi="Segoe UI"/>
          <w:b/>
          <w:color w:val="101820"/>
          <w:sz w:val="21"/>
        </w:rPr>
        <w:t>End.</w:t>
      </w:r>
      <w:r>
        <w:rPr>
          <w:rFonts w:eastAsia="Segoe UI" w:cs="Segoe UI" w:ascii="Segoe UI" w:hAnsi="Segoe UI"/>
          <w:color w:val="101820"/>
          <w:sz w:val="21"/>
        </w:rPr>
        <w:t xml:space="preserve"> A failed smoke test rolls the application back to the release that ran before (the database keeps its forward-only migrations); the fix is deployed as a new build.</w:t>
      </w:r>
    </w:p>
    <w:p>
      <w:pPr>
        <w:pStyle w:val="Heading3"/>
        <w:rPr/>
      </w:pPr>
      <w:r>
        <w:rPr>
          <w:rFonts w:eastAsia="Segoe UI" w:cs="Segoe UI"/>
          <w:b/>
          <w:color w:val="0F4761"/>
          <w:sz w:val="23"/>
        </w:rPr>
        <w:t>10.2.2  F15b Masking refresh of a non-production copy</w:t>
      </w:r>
    </w:p>
    <w:p>
      <w:pPr>
        <w:pStyle w:val="Normal"/>
        <w:jc w:val="center"/>
        <w:rPr/>
      </w:pPr>
      <w:r>
        <w:rPr/>
        <w:drawing>
          <wp:inline distT="0" distB="0" distL="0" distR="0">
            <wp:extent cx="5760085" cy="7185025"/>
            <wp:effectExtent l="0" t="0" r="0" b="0"/>
            <wp:docPr id="27" name="Picture 21212882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121288207" descr=""/>
                    <pic:cNvPicPr>
                      <a:picLocks noChangeAspect="1" noChangeArrowheads="1"/>
                    </pic:cNvPicPr>
                  </pic:nvPicPr>
                  <pic:blipFill>
                    <a:blip r:embed="rId23"/>
                    <a:stretch>
                      <a:fillRect/>
                    </a:stretch>
                  </pic:blipFill>
                  <pic:spPr bwMode="auto">
                    <a:xfrm>
                      <a:off x="0" y="0"/>
                      <a:ext cx="5760085" cy="7185025"/>
                    </a:xfrm>
                    <a:prstGeom prst="rect">
                      <a:avLst/>
                    </a:prstGeom>
                  </pic:spPr>
                </pic:pic>
              </a:graphicData>
            </a:graphic>
          </wp:inline>
        </w:drawing>
      </w:r>
    </w:p>
    <w:p>
      <w:pPr>
        <w:pStyle w:val="Normal"/>
        <w:jc w:val="center"/>
        <w:rPr/>
      </w:pPr>
      <w:r>
        <w:rPr>
          <w:rFonts w:eastAsia="Segoe UI" w:cs="Segoe UI" w:ascii="Segoe UI" w:hAnsi="Segoe UI"/>
          <w:i/>
          <w:color w:val="555F6D"/>
          <w:sz w:val="18"/>
        </w:rPr>
        <w:t>F15b Masking refresh</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44"/>
        <w:gridCol w:w="7370"/>
      </w:tblGrid>
      <w:tr>
        <w:trPr>
          <w:tblHeader w:val="true"/>
        </w:trPr>
        <w:tc>
          <w:tcPr>
            <w:tcW w:w="16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At a glance</w:t>
            </w:r>
          </w:p>
        </w:tc>
        <w:tc>
          <w:tcPr>
            <w:tcW w:w="73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UAT, training or Pre-Prod (when opened to testers) needs production data; a support case needs a copy</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manager (requester); DPO; DevOps or DBA; BrokerVerse (masking command)</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Tools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npm run mask:data</w:t>
            </w:r>
            <w:r>
              <w:rPr>
                <w:rFonts w:eastAsia="Segoe UI" w:cs="Segoe UI" w:ascii="Segoe UI" w:hAnsi="Segoe UI"/>
                <w:color w:val="101820"/>
                <w:kern w:val="0"/>
                <w:sz w:val="18"/>
                <w:szCs w:val="24"/>
                <w:lang w:val="en-US" w:eastAsia="ja-JP" w:bidi="ar-SA"/>
              </w:rPr>
              <w:t xml:space="preserve"> (backend/scripts/mask-data.js) with </w:t>
            </w:r>
            <w:r>
              <w:rPr>
                <w:rFonts w:eastAsia="Consolas" w:cs="Consolas" w:ascii="Consolas" w:hAnsi="Consolas"/>
                <w:color w:val="101820"/>
                <w:kern w:val="0"/>
                <w:sz w:val="16"/>
                <w:szCs w:val="24"/>
                <w:lang w:val="en-US" w:eastAsia="ja-JP" w:bidi="ar-SA"/>
              </w:rPr>
              <w:t>--remark-copy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--confirm-database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--restore-source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--verify-only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--register-production</w:t>
            </w:r>
            <w:r>
              <w:rPr>
                <w:rFonts w:eastAsia="Segoe UI" w:cs="Segoe UI" w:ascii="Segoe UI" w:hAnsi="Segoe UI"/>
                <w:color w:val="101820"/>
                <w:kern w:val="0"/>
                <w:sz w:val="18"/>
                <w:szCs w:val="24"/>
                <w:lang w:val="en-US" w:eastAsia="ja-JP" w:bidi="ar-SA"/>
              </w:rPr>
              <w:t xml:space="preserve"> run once in Production after go-live</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record with the DPO approval, dry run and masking output, verification result, audit trail entry (entity database, action mask)</w:t>
            </w:r>
          </w:p>
        </w:tc>
      </w:tr>
      <w:tr>
        <w:trPr/>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7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CONFIRM_MASK=yes</w:t>
            </w:r>
            <w:r>
              <w:rPr>
                <w:rFonts w:eastAsia="Segoe UI" w:cs="Segoe UI" w:ascii="Segoe UI" w:hAnsi="Segoe UI"/>
                <w:color w:val="101820"/>
                <w:kern w:val="0"/>
                <w:sz w:val="18"/>
                <w:szCs w:val="24"/>
                <w:lang w:val="en-US" w:eastAsia="ja-JP" w:bidi="ar-SA"/>
              </w:rPr>
              <w:t>; a salt of at least 16 characters never stored; refuses a database marked production or the registered production server; one transaction; e-mail sending switched off in the copy; Dev never receives production data</w:t>
            </w:r>
          </w:p>
        </w:tc>
      </w:tr>
    </w:tbl>
    <w:p>
      <w:pPr>
        <w:pStyle w:val="Normal"/>
        <w:spacing w:before="0" w:after="80"/>
        <w:rPr/>
      </w:pPr>
      <w:r>
        <w:rPr/>
      </w:r>
    </w:p>
    <w:p>
      <w:pPr>
        <w:pStyle w:val="Normal"/>
        <w:numPr>
          <w:ilvl w:val="0"/>
          <w:numId w:val="250"/>
        </w:numPr>
        <w:spacing w:before="0" w:after="60"/>
        <w:rPr/>
      </w:pPr>
      <w:r>
        <w:rPr>
          <w:rFonts w:eastAsia="Segoe UI" w:cs="Segoe UI" w:ascii="Segoe UI" w:hAnsi="Segoe UI"/>
          <w:b/>
          <w:color w:val="101820"/>
          <w:sz w:val="21"/>
        </w:rPr>
        <w:t>Release manager.</w:t>
      </w:r>
      <w:r>
        <w:rPr>
          <w:rFonts w:eastAsia="Segoe UI" w:cs="Segoe UI" w:ascii="Segoe UI" w:hAnsi="Segoe UI"/>
          <w:color w:val="101820"/>
          <w:sz w:val="21"/>
        </w:rPr>
        <w:t xml:space="preserve"> Requests the refresh: target environment and reason.</w:t>
      </w:r>
    </w:p>
    <w:p>
      <w:pPr>
        <w:pStyle w:val="Normal"/>
        <w:numPr>
          <w:ilvl w:val="0"/>
          <w:numId w:val="251"/>
        </w:numPr>
        <w:spacing w:before="0" w:after="60"/>
        <w:rPr/>
      </w:pPr>
      <w:r>
        <w:rPr>
          <w:rFonts w:eastAsia="Segoe UI" w:cs="Segoe UI" w:ascii="Segoe UI" w:hAnsi="Segoe UI"/>
          <w:b/>
          <w:color w:val="101820"/>
          <w:sz w:val="21"/>
        </w:rPr>
        <w:t>DPO.</w:t>
      </w:r>
      <w:r>
        <w:rPr>
          <w:rFonts w:eastAsia="Segoe UI" w:cs="Segoe UI" w:ascii="Segoe UI" w:hAnsi="Segoe UI"/>
          <w:color w:val="101820"/>
          <w:sz w:val="21"/>
        </w:rPr>
        <w:t xml:space="preserve"> Approves the refresh.</w:t>
      </w:r>
    </w:p>
    <w:p>
      <w:pPr>
        <w:pStyle w:val="Normal"/>
        <w:numPr>
          <w:ilvl w:val="0"/>
          <w:numId w:val="252"/>
        </w:numPr>
        <w:spacing w:before="0" w:after="60"/>
        <w:rPr/>
      </w:pPr>
      <w:r>
        <w:rPr>
          <w:rFonts w:eastAsia="Segoe UI" w:cs="Segoe UI" w:ascii="Segoe UI" w:hAnsi="Segoe UI"/>
          <w:b/>
          <w:color w:val="101820"/>
          <w:sz w:val="21"/>
        </w:rPr>
        <w:t>DevOps.</w:t>
      </w:r>
      <w:r>
        <w:rPr>
          <w:rFonts w:eastAsia="Segoe UI" w:cs="Segoe UI" w:ascii="Segoe UI" w:hAnsi="Segoe UI"/>
          <w:color w:val="101820"/>
          <w:sz w:val="21"/>
        </w:rPr>
        <w:t xml:space="preserve"> Takes a production backup and restores it into a new, empty database of the target; the copy's API stays stopped.</w:t>
      </w:r>
    </w:p>
    <w:p>
      <w:pPr>
        <w:pStyle w:val="Normal"/>
        <w:numPr>
          <w:ilvl w:val="0"/>
          <w:numId w:val="253"/>
        </w:numPr>
        <w:spacing w:before="0" w:after="60"/>
        <w:rPr/>
      </w:pPr>
      <w:r>
        <w:rPr>
          <w:rFonts w:eastAsia="Segoe UI" w:cs="Segoe UI" w:ascii="Segoe UI" w:hAnsi="Segoe UI"/>
          <w:b/>
          <w:color w:val="101820"/>
          <w:sz w:val="21"/>
        </w:rPr>
        <w:t>DevOps.</w:t>
      </w:r>
      <w:r>
        <w:rPr>
          <w:rFonts w:eastAsia="Segoe UI" w:cs="Segoe UI" w:ascii="Segoe UI" w:hAnsi="Segoe UI"/>
          <w:color w:val="101820"/>
          <w:sz w:val="21"/>
        </w:rPr>
        <w:t xml:space="preserve"> Runs the dry run with </w:t>
      </w:r>
      <w:r>
        <w:rPr>
          <w:rFonts w:eastAsia="Consolas" w:cs="Consolas" w:ascii="Consolas" w:hAnsi="Consolas"/>
          <w:color w:val="101820"/>
          <w:sz w:val="19"/>
        </w:rPr>
        <w:t>--environment=&lt;target&gt; --remark-copy --confirm-database=&lt;copy&gt; --restore-source=&lt;backup&gt;</w:t>
      </w:r>
      <w:r>
        <w:rPr>
          <w:rFonts w:eastAsia="Segoe UI" w:cs="Segoe UI" w:ascii="Segoe UI" w:hAnsi="Segoe UI"/>
          <w:color w:val="101820"/>
          <w:sz w:val="21"/>
        </w:rPr>
        <w:t>: counts per table and column of what will change.</w:t>
      </w:r>
    </w:p>
    <w:p>
      <w:pPr>
        <w:pStyle w:val="Normal"/>
        <w:numPr>
          <w:ilvl w:val="0"/>
          <w:numId w:val="254"/>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Decision: the tool refuses a database it cannot prove is a copy (production marker without </w:t>
      </w:r>
      <w:r>
        <w:rPr>
          <w:rFonts w:eastAsia="Consolas" w:cs="Consolas" w:ascii="Consolas" w:hAnsi="Consolas"/>
          <w:color w:val="101820"/>
          <w:sz w:val="19"/>
        </w:rPr>
        <w:t>--remark-copy</w:t>
      </w:r>
      <w:r>
        <w:rPr>
          <w:rFonts w:eastAsia="Segoe UI" w:cs="Segoe UI" w:ascii="Segoe UI" w:hAnsi="Segoe UI"/>
          <w:color w:val="101820"/>
          <w:sz w:val="21"/>
        </w:rPr>
        <w:t>, the registered production server, a database name typed wrongly).</w:t>
      </w:r>
    </w:p>
    <w:p>
      <w:pPr>
        <w:pStyle w:val="Normal"/>
        <w:numPr>
          <w:ilvl w:val="0"/>
          <w:numId w:val="255"/>
        </w:numPr>
        <w:spacing w:before="0" w:after="60"/>
        <w:rPr/>
      </w:pPr>
      <w:r>
        <w:rPr>
          <w:rFonts w:eastAsia="Segoe UI" w:cs="Segoe UI" w:ascii="Segoe UI" w:hAnsi="Segoe UI"/>
          <w:b/>
          <w:color w:val="101820"/>
          <w:sz w:val="21"/>
        </w:rPr>
        <w:t>DevOps.</w:t>
      </w:r>
      <w:r>
        <w:rPr>
          <w:rFonts w:eastAsia="Segoe UI" w:cs="Segoe UI" w:ascii="Segoe UI" w:hAnsi="Segoe UI"/>
          <w:color w:val="101820"/>
          <w:sz w:val="21"/>
        </w:rPr>
        <w:t xml:space="preserve"> Masks with </w:t>
      </w:r>
      <w:r>
        <w:rPr>
          <w:rFonts w:eastAsia="Consolas" w:cs="Consolas" w:ascii="Consolas" w:hAnsi="Consolas"/>
          <w:color w:val="101820"/>
          <w:sz w:val="19"/>
        </w:rPr>
        <w:t>--execute</w:t>
      </w:r>
      <w:r>
        <w:rPr>
          <w:rFonts w:eastAsia="Segoe UI" w:cs="Segoe UI" w:ascii="Segoe UI" w:hAnsi="Segoe UI"/>
          <w:color w:val="101820"/>
          <w:sz w:val="21"/>
        </w:rPr>
        <w:t xml:space="preserve">: names, e-mail addresses, mobile numbers, TINs, addresses, ID and vehicle numbers, bank accounts, remarks and files (with </w:t>
      </w:r>
      <w:r>
        <w:rPr>
          <w:rFonts w:eastAsia="Consolas" w:cs="Consolas" w:ascii="Consolas" w:hAnsi="Consolas"/>
          <w:color w:val="101820"/>
          <w:sz w:val="19"/>
        </w:rPr>
        <w:t>--storage</w:t>
      </w:r>
      <w:r>
        <w:rPr>
          <w:rFonts w:eastAsia="Segoe UI" w:cs="Segoe UI" w:ascii="Segoe UI" w:hAnsi="Segoe UI"/>
          <w:color w:val="101820"/>
          <w:sz w:val="21"/>
        </w:rPr>
        <w:t>) replaced by consistent pseudonyms; passwords reset; outbox, sessions and sign-in history emptied; amounts, dates and the ledger kept.</w:t>
      </w:r>
    </w:p>
    <w:p>
      <w:pPr>
        <w:pStyle w:val="Normal"/>
        <w:numPr>
          <w:ilvl w:val="0"/>
          <w:numId w:val="256"/>
        </w:numPr>
        <w:spacing w:before="0" w:after="60"/>
        <w:rPr/>
      </w:pPr>
      <w:r>
        <w:rPr>
          <w:rFonts w:eastAsia="Segoe UI" w:cs="Segoe UI" w:ascii="Segoe UI" w:hAnsi="Segoe UI"/>
          <w:b/>
          <w:color w:val="101820"/>
          <w:sz w:val="21"/>
        </w:rPr>
        <w:t>BrokerVerse.</w:t>
      </w:r>
      <w:r>
        <w:rPr>
          <w:rFonts w:eastAsia="Segoe UI" w:cs="Segoe UI" w:ascii="Segoe UI" w:hAnsi="Segoe UI"/>
          <w:color w:val="101820"/>
          <w:sz w:val="21"/>
        </w:rPr>
        <w:t xml:space="preserve"> Verification prints that no e-mail address, mobile number or TIN is left unmasked (exit code 4 otherwise).</w:t>
      </w:r>
    </w:p>
    <w:p>
      <w:pPr>
        <w:pStyle w:val="Normal"/>
        <w:numPr>
          <w:ilvl w:val="0"/>
          <w:numId w:val="257"/>
        </w:numPr>
        <w:spacing w:before="0" w:after="60"/>
        <w:rPr/>
      </w:pPr>
      <w:r>
        <w:rPr>
          <w:rFonts w:eastAsia="Segoe UI" w:cs="Segoe UI" w:ascii="Segoe UI" w:hAnsi="Segoe UI"/>
          <w:b/>
          <w:color w:val="101820"/>
          <w:sz w:val="21"/>
        </w:rPr>
        <w:t>DevOps.</w:t>
      </w:r>
      <w:r>
        <w:rPr>
          <w:rFonts w:eastAsia="Segoe UI" w:cs="Segoe UI" w:ascii="Segoe UI" w:hAnsi="Segoe UI"/>
          <w:color w:val="101820"/>
          <w:sz w:val="21"/>
        </w:rPr>
        <w:t xml:space="preserve"> Spot-checks clients, policies and claims on screen, starts the API and hands over the URL.</w:t>
      </w:r>
    </w:p>
    <w:p>
      <w:pPr>
        <w:pStyle w:val="Normal"/>
        <w:numPr>
          <w:ilvl w:val="0"/>
          <w:numId w:val="258"/>
        </w:numPr>
        <w:spacing w:before="0" w:after="60"/>
        <w:rPr/>
      </w:pPr>
      <w:r>
        <w:rPr>
          <w:rFonts w:eastAsia="Segoe UI" w:cs="Segoe UI" w:ascii="Segoe UI" w:hAnsi="Segoe UI"/>
          <w:b/>
          <w:color w:val="101820"/>
          <w:sz w:val="21"/>
        </w:rPr>
        <w:t>DevOps.</w:t>
      </w:r>
      <w:r>
        <w:rPr>
          <w:rFonts w:eastAsia="Segoe UI" w:cs="Segoe UI" w:ascii="Segoe UI" w:hAnsi="Segoe UI"/>
          <w:color w:val="101820"/>
          <w:sz w:val="21"/>
        </w:rPr>
        <w:t xml:space="preserve"> Deletes the restored dump and unsets the salt and passwords.</w:t>
      </w:r>
    </w:p>
    <w:p>
      <w:pPr>
        <w:pStyle w:val="Normal"/>
        <w:numPr>
          <w:ilvl w:val="0"/>
          <w:numId w:val="259"/>
        </w:numPr>
        <w:spacing w:before="0" w:after="60"/>
        <w:rPr/>
      </w:pPr>
      <w:r>
        <w:rPr>
          <w:rFonts w:eastAsia="Segoe UI" w:cs="Segoe UI" w:ascii="Segoe UI" w:hAnsi="Segoe UI"/>
          <w:b/>
          <w:color w:val="101820"/>
          <w:sz w:val="21"/>
        </w:rPr>
        <w:t>DevOps.</w:t>
      </w:r>
      <w:r>
        <w:rPr>
          <w:rFonts w:eastAsia="Segoe UI" w:cs="Segoe UI" w:ascii="Segoe UI" w:hAnsi="Segoe UI"/>
          <w:color w:val="101820"/>
          <w:sz w:val="21"/>
        </w:rPr>
        <w:t xml:space="preserve"> Files the evidence in the change record.</w:t>
      </w:r>
    </w:p>
    <w:p>
      <w:pPr>
        <w:pStyle w:val="Normal"/>
        <w:numPr>
          <w:ilvl w:val="0"/>
          <w:numId w:val="260"/>
        </w:numPr>
        <w:spacing w:before="0" w:after="60"/>
        <w:rPr/>
      </w:pPr>
      <w:r>
        <w:rPr>
          <w:rFonts w:eastAsia="Segoe UI" w:cs="Segoe UI" w:ascii="Segoe UI" w:hAnsi="Segoe UI"/>
          <w:b/>
          <w:color w:val="101820"/>
          <w:sz w:val="21"/>
        </w:rPr>
        <w:t>DPO.</w:t>
      </w:r>
      <w:r>
        <w:rPr>
          <w:rFonts w:eastAsia="Segoe UI" w:cs="Segoe UI" w:ascii="Segoe UI" w:hAnsi="Segoe UI"/>
          <w:color w:val="101820"/>
          <w:sz w:val="21"/>
        </w:rPr>
        <w:t xml:space="preserve"> Signs off the evidence.</w:t>
      </w:r>
    </w:p>
    <w:p>
      <w:pPr>
        <w:pStyle w:val="Normal"/>
        <w:numPr>
          <w:ilvl w:val="0"/>
          <w:numId w:val="261"/>
        </w:numPr>
        <w:spacing w:before="0" w:after="60"/>
        <w:rPr/>
      </w:pPr>
      <w:r>
        <w:rPr>
          <w:rFonts w:eastAsia="Segoe UI" w:cs="Segoe UI" w:ascii="Segoe UI" w:hAnsi="Segoe UI"/>
          <w:b/>
          <w:color w:val="101820"/>
          <w:sz w:val="21"/>
        </w:rPr>
        <w:t>End.</w:t>
      </w:r>
      <w:r>
        <w:rPr>
          <w:rFonts w:eastAsia="Segoe UI" w:cs="Segoe UI" w:ascii="Segoe UI" w:hAnsi="Segoe UI"/>
          <w:color w:val="101820"/>
          <w:sz w:val="21"/>
        </w:rPr>
        <w:t xml:space="preserve"> The masked copy is in use until it is destroyed.</w:t>
      </w:r>
    </w:p>
    <w:p>
      <w:pPr>
        <w:pStyle w:val="Normal"/>
        <w:numPr>
          <w:ilvl w:val="0"/>
          <w:numId w:val="262"/>
        </w:numPr>
        <w:spacing w:before="0" w:after="60"/>
        <w:rPr/>
      </w:pPr>
      <w:r>
        <w:rPr>
          <w:rFonts w:eastAsia="Segoe UI" w:cs="Segoe UI" w:ascii="Segoe UI" w:hAnsi="Segoe UI"/>
          <w:b/>
          <w:color w:val="101820"/>
          <w:sz w:val="21"/>
        </w:rPr>
        <w:t>End.</w:t>
      </w:r>
      <w:r>
        <w:rPr>
          <w:rFonts w:eastAsia="Segoe UI" w:cs="Segoe UI" w:ascii="Segoe UI" w:hAnsi="Segoe UI"/>
          <w:color w:val="101820"/>
          <w:sz w:val="21"/>
        </w:rPr>
        <w:t xml:space="preserve"> Refused: nothing is changed; the marker is investigated before any retry.</w:t>
      </w:r>
      <w:r>
        <w:br w:type="page"/>
      </w:r>
    </w:p>
    <w:p>
      <w:pPr>
        <w:pStyle w:val="Heading1"/>
        <w:rPr/>
      </w:pPr>
      <w:bookmarkStart w:id="39" w:name="__RefHeading___Toc19321_1497462395"/>
      <w:bookmarkEnd w:id="39"/>
      <w:r>
        <w:rPr>
          <w:rFonts w:eastAsia="Segoe UI" w:cs="Segoe UI" w:ascii="Segoe UI" w:hAnsi="Segoe UI"/>
          <w:b/>
          <w:color w:val="0F4761"/>
          <w:sz w:val="32"/>
        </w:rPr>
        <w:t>11.  Traceability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7880"/>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Flow</w:t>
            </w:r>
          </w:p>
        </w:tc>
        <w:tc>
          <w:tcPr>
            <w:tcW w:w="78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Business requirement areas (Business Requirements Document)</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F01</w:t>
            </w:r>
          </w:p>
        </w:tc>
        <w:tc>
          <w:tcPr>
            <w:tcW w:w="78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01 Client onboarding, 02 Prospecting, 03 Quotation, 05 Policy issuance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F02</w:t>
            </w:r>
          </w:p>
        </w:tc>
        <w:tc>
          <w:tcPr>
            <w:tcW w:w="78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03 Quotation, 04 RFQ and placement</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F03</w:t>
            </w:r>
          </w:p>
        </w:tc>
        <w:tc>
          <w:tcPr>
            <w:tcW w:w="78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06 Endorsements and cancellations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F04</w:t>
            </w:r>
          </w:p>
        </w:tc>
        <w:tc>
          <w:tcPr>
            <w:tcW w:w="78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07 Renewals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F05</w:t>
            </w:r>
          </w:p>
        </w:tc>
        <w:tc>
          <w:tcPr>
            <w:tcW w:w="78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08 Billing, collection, credit control and receipts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F06</w:t>
            </w:r>
          </w:p>
        </w:tc>
        <w:tc>
          <w:tcPr>
            <w:tcW w:w="78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09 Remittance, direct bill and insurer reconciliation</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F07</w:t>
            </w:r>
          </w:p>
        </w:tc>
        <w:tc>
          <w:tcPr>
            <w:tcW w:w="78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 Commission, 14 IC compliance (licences)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F08</w:t>
            </w:r>
          </w:p>
        </w:tc>
        <w:tc>
          <w:tcPr>
            <w:tcW w:w="78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 Claims assistance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F09</w:t>
            </w:r>
          </w:p>
        </w:tc>
        <w:tc>
          <w:tcPr>
            <w:tcW w:w="78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 Accounting and period end</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F10</w:t>
            </w:r>
          </w:p>
        </w:tc>
        <w:tc>
          <w:tcPr>
            <w:tcW w:w="78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 Taxes and BIR compliance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F11</w:t>
            </w:r>
          </w:p>
        </w:tc>
        <w:tc>
          <w:tcPr>
            <w:tcW w:w="78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01 Client onboarding, KYC and AML</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F12, F13</w:t>
            </w:r>
          </w:p>
        </w:tc>
        <w:tc>
          <w:tcPr>
            <w:tcW w:w="78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 Insurance Commission and Data Privacy compliance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F14, F15</w:t>
            </w:r>
          </w:p>
        </w:tc>
        <w:tc>
          <w:tcPr>
            <w:tcW w:w="78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 Reporting, administration, security and go-live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F16, F17, F18</w:t>
            </w:r>
          </w:p>
        </w:tc>
        <w:tc>
          <w:tcPr>
            <w:tcW w:w="78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02 Prospecting (channels), 05 Policy issuance (programmes, fleets, open covers)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F19</w:t>
            </w:r>
          </w:p>
        </w:tc>
        <w:tc>
          <w:tcPr>
            <w:tcW w:w="78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04 RFQ, placement, co-insurance and reinsurance</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40" w:name="__RefHeading___Toc19323_1497462395"/>
      <w:bookmarkStart w:id="41" w:name="_Toc233203395"/>
      <w:bookmarkEnd w:id="40"/>
      <w:r>
        <w:rPr>
          <w:rStyle w:val="BookTitle"/>
          <w:bCs w:val="false"/>
          <w:i w:val="false"/>
          <w:iCs w:val="false"/>
          <w:spacing w:val="0"/>
        </w:rPr>
        <w:t>12.  Document Sign-Off</w:t>
      </w:r>
      <w:bookmarkEnd w:id="41"/>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82">
            <wp:simplePos x="0" y="0"/>
            <wp:positionH relativeFrom="margin">
              <wp:align>center</wp:align>
            </wp:positionH>
            <wp:positionV relativeFrom="margin">
              <wp:align>center</wp:align>
            </wp:positionV>
            <wp:extent cx="7548245" cy="10677525"/>
            <wp:effectExtent l="0" t="0" r="0" b="0"/>
            <wp:wrapNone/>
            <wp:docPr id="2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descr=""/>
                    <pic:cNvPicPr>
                      <a:picLocks noChangeAspect="1" noChangeArrowheads="1"/>
                    </pic:cNvPicPr>
                  </pic:nvPicPr>
                  <pic:blipFill>
                    <a:blip r:embed="rId24"/>
                    <a:stretch>
                      <a:fillRect/>
                    </a:stretch>
                  </pic:blipFill>
                  <pic:spPr bwMode="auto">
                    <a:xfrm>
                      <a:off x="0" y="0"/>
                      <a:ext cx="7548245" cy="10677525"/>
                    </a:xfrm>
                    <a:prstGeom prst="rect">
                      <a:avLst/>
                    </a:prstGeom>
                  </pic:spPr>
                </pic:pic>
              </a:graphicData>
            </a:graphic>
          </wp:anchor>
        </w:drawing>
      </w:r>
    </w:p>
    <w:sectPr>
      <w:footerReference w:type="default" r:id="rId25"/>
      <w:footerReference w:type="first" r:id="rId2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81">
          <wp:simplePos x="0" y="0"/>
          <wp:positionH relativeFrom="page">
            <wp:align>left</wp:align>
          </wp:positionH>
          <wp:positionV relativeFrom="paragraph">
            <wp:posOffset>-708025</wp:posOffset>
          </wp:positionV>
          <wp:extent cx="8778240" cy="885190"/>
          <wp:effectExtent l="0" t="0" r="0" b="0"/>
          <wp:wrapNone/>
          <wp:docPr id="2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81">
          <wp:simplePos x="0" y="0"/>
          <wp:positionH relativeFrom="page">
            <wp:align>left</wp:align>
          </wp:positionH>
          <wp:positionV relativeFrom="paragraph">
            <wp:posOffset>-708025</wp:posOffset>
          </wp:positionV>
          <wp:extent cx="8778240" cy="885190"/>
          <wp:effectExtent l="0" t="0" r="0" b="0"/>
          <wp:wrapNone/>
          <wp:docPr id="3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
    <w:lvlOverride w:ilvl="0">
      <w:startOverride w:val="1"/>
    </w:lvlOverride>
  </w:num>
  <w:num w:numId="24">
    <w:abstractNumId w:val="2"/>
    <w:lvlOverride w:ilvl="0">
      <w:startOverride w:val="1"/>
    </w:lvlOverride>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lvlOverride w:ilvl="0">
      <w:startOverride w:val="1"/>
    </w:lvlOverride>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lvlOverride w:ilvl="0">
      <w:startOverride w:val="1"/>
    </w:lvlOverride>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lvlOverride w:ilvl="0">
      <w:startOverride w:val="1"/>
    </w:lvlOverride>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lvlOverride w:ilvl="0">
      <w:startOverride w:val="1"/>
    </w:lvlOverride>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lvlOverride w:ilvl="0">
      <w:startOverride w:val="1"/>
    </w:lvlOverride>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lvlOverride w:ilvl="0">
      <w:startOverride w:val="1"/>
    </w:lvlOverride>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lvlOverride w:ilvl="0">
      <w:startOverride w:val="1"/>
    </w:lvlOverride>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lvlOverride w:ilvl="0">
      <w:startOverride w:val="1"/>
    </w:lvlOverride>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lvlOverride w:ilvl="0">
      <w:startOverride w:val="1"/>
    </w:lvlOverride>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lvlOverride w:ilvl="0">
      <w:startOverride w:val="1"/>
    </w:lvlOverride>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lvlOverride w:ilvl="0">
      <w:startOverride w:val="1"/>
    </w:lvlOverride>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lvlOverride w:ilvl="0">
      <w:startOverride w:val="1"/>
    </w:lvlOverride>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lvlOverride w:ilvl="0">
      <w:startOverride w:val="1"/>
    </w:lvlOverride>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lvlOverride w:ilvl="0">
      <w:startOverride w:val="1"/>
    </w:lvlOverride>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lvlOverride w:ilvl="0">
      <w:startOverride w:val="1"/>
    </w:lvlOverride>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lvlOverride w:ilvl="0">
      <w:startOverride w:val="1"/>
    </w:lvlOverride>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lvlOverride w:ilvl="0">
      <w:startOverride w:val="1"/>
    </w:lvlOverride>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lvlOverride w:ilvl="0">
      <w:startOverride w:val="1"/>
    </w:lvlOverride>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2"/>
  </w:num>
  <w:num w:numId="260">
    <w:abstractNumId w:val="2"/>
  </w:num>
  <w:num w:numId="261">
    <w:abstractNumId w:val="2"/>
  </w:num>
  <w:num w:numId="26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jpeg"/><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Relationship Id="rId32" Type="http://schemas.openxmlformats.org/officeDocument/2006/relationships/customXml" Target="../customXml/item2.xml"/><Relationship Id="rId33" Type="http://schemas.openxmlformats.org/officeDocument/2006/relationships/customXml" Target="../customXml/item3.xml"/><Relationship Id="rId3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24.png"/>
</Relationships>
</file>

<file path=word/_rels/footer2.xml.rels><?xml version="1.0" encoding="UTF-8"?>
<Relationships xmlns="http://schemas.openxmlformats.org/package/2006/relationships"><Relationship Id="rId1" Type="http://schemas.openxmlformats.org/officeDocument/2006/relationships/image" Target="media/image2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2026-10-04T09:06:41Z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