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89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191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193_3949650649">
            <w:r>
              <w:rPr>
                <w:webHidden/>
                <w:rStyle w:val="IndexLink"/>
              </w:rPr>
              <w:t>3. Purpose and scope</w:t>
              <w:tab/>
              <w:t>4</w:t>
            </w:r>
          </w:hyperlink>
        </w:p>
        <w:p>
          <w:pPr>
            <w:pStyle w:val="TOC1"/>
            <w:tabs>
              <w:tab w:val="clear" w:pos="900"/>
              <w:tab w:val="clear" w:pos="9350"/>
              <w:tab w:val="right" w:pos="9025" w:leader="dot"/>
            </w:tabs>
            <w:rPr/>
          </w:pPr>
          <w:hyperlink w:anchor="__RefHeading___Toc14195_3949650649">
            <w:r>
              <w:rPr>
                <w:webHidden/>
                <w:rStyle w:val="IndexLink"/>
              </w:rPr>
              <w:t>4. Market context</w:t>
              <w:tab/>
              <w:t>5</w:t>
            </w:r>
          </w:hyperlink>
        </w:p>
        <w:p>
          <w:pPr>
            <w:pStyle w:val="TOC2"/>
            <w:tabs>
              <w:tab w:val="clear" w:pos="900"/>
              <w:tab w:val="clear" w:pos="9350"/>
              <w:tab w:val="right" w:pos="9025" w:leader="dot"/>
            </w:tabs>
            <w:rPr/>
          </w:pPr>
          <w:hyperlink w:anchor="__RefHeading___Toc14197_3949650649">
            <w:r>
              <w:rPr>
                <w:webHidden/>
                <w:rStyle w:val="IndexLink"/>
              </w:rPr>
              <w:t>4.1 The Philippine broker market</w:t>
              <w:tab/>
              <w:t>5</w:t>
            </w:r>
          </w:hyperlink>
        </w:p>
        <w:p>
          <w:pPr>
            <w:pStyle w:val="TOC2"/>
            <w:tabs>
              <w:tab w:val="clear" w:pos="900"/>
              <w:tab w:val="clear" w:pos="9350"/>
              <w:tab w:val="right" w:pos="9025" w:leader="dot"/>
            </w:tabs>
            <w:rPr/>
          </w:pPr>
          <w:hyperlink w:anchor="__RefHeading___Toc14199_3949650649">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14201_3949650649">
            <w:r>
              <w:rPr>
                <w:webHidden/>
                <w:rStyle w:val="IndexLink"/>
              </w:rPr>
              <w:t>4.3 Affordability</w:t>
              <w:tab/>
              <w:t>5</w:t>
            </w:r>
          </w:hyperlink>
        </w:p>
        <w:p>
          <w:pPr>
            <w:pStyle w:val="TOC1"/>
            <w:tabs>
              <w:tab w:val="clear" w:pos="900"/>
              <w:tab w:val="clear" w:pos="9350"/>
              <w:tab w:val="right" w:pos="9025" w:leader="dot"/>
            </w:tabs>
            <w:rPr/>
          </w:pPr>
          <w:hyperlink w:anchor="__RefHeading___Toc14203_3949650649">
            <w:r>
              <w:rPr>
                <w:webHidden/>
                <w:rStyle w:val="IndexLink"/>
              </w:rPr>
              <w:t>5. Size tiers and user slabs</w:t>
              <w:tab/>
              <w:t>6</w:t>
            </w:r>
          </w:hyperlink>
        </w:p>
        <w:p>
          <w:pPr>
            <w:pStyle w:val="TOC1"/>
            <w:tabs>
              <w:tab w:val="clear" w:pos="900"/>
              <w:tab w:val="clear" w:pos="9350"/>
              <w:tab w:val="right" w:pos="9025" w:leader="dot"/>
            </w:tabs>
            <w:rPr/>
          </w:pPr>
          <w:hyperlink w:anchor="__RefHeading___Toc14205_3949650649">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14207_3949650649">
            <w:r>
              <w:rPr>
                <w:webHidden/>
                <w:rStyle w:val="IndexLink"/>
              </w:rPr>
              <w:t>6.1 Price points</w:t>
              <w:tab/>
              <w:t>7</w:t>
            </w:r>
          </w:hyperlink>
        </w:p>
        <w:p>
          <w:pPr>
            <w:pStyle w:val="TOC2"/>
            <w:tabs>
              <w:tab w:val="clear" w:pos="900"/>
              <w:tab w:val="clear" w:pos="9350"/>
              <w:tab w:val="right" w:pos="9025" w:leader="dot"/>
            </w:tabs>
            <w:rPr/>
          </w:pPr>
          <w:hyperlink w:anchor="__RefHeading___Toc14209_3949650649">
            <w:r>
              <w:rPr>
                <w:webHidden/>
                <w:rStyle w:val="IndexLink"/>
              </w:rPr>
              <w:t>6.2 Implementation fee</w:t>
              <w:tab/>
              <w:t>7</w:t>
            </w:r>
          </w:hyperlink>
        </w:p>
        <w:p>
          <w:pPr>
            <w:pStyle w:val="TOC1"/>
            <w:tabs>
              <w:tab w:val="clear" w:pos="900"/>
              <w:tab w:val="clear" w:pos="9350"/>
              <w:tab w:val="right" w:pos="9025" w:leader="dot"/>
            </w:tabs>
            <w:rPr/>
          </w:pPr>
          <w:hyperlink w:anchor="__RefHeading___Toc14211_3949650649">
            <w:r>
              <w:rPr>
                <w:webHidden/>
                <w:rStyle w:val="IndexLink"/>
              </w:rPr>
              <w:t>7. Model B: subscription</w:t>
              <w:tab/>
              <w:t>8</w:t>
            </w:r>
          </w:hyperlink>
        </w:p>
        <w:p>
          <w:pPr>
            <w:pStyle w:val="TOC2"/>
            <w:tabs>
              <w:tab w:val="clear" w:pos="900"/>
              <w:tab w:val="clear" w:pos="9350"/>
              <w:tab w:val="right" w:pos="9025" w:leader="dot"/>
            </w:tabs>
            <w:rPr/>
          </w:pPr>
          <w:hyperlink w:anchor="__RefHeading___Toc14213_3949650649">
            <w:r>
              <w:rPr>
                <w:webHidden/>
                <w:rStyle w:val="IndexLink"/>
              </w:rPr>
              <w:t>7.1 Price points</w:t>
              <w:tab/>
              <w:t>8</w:t>
            </w:r>
          </w:hyperlink>
        </w:p>
        <w:p>
          <w:pPr>
            <w:pStyle w:val="TOC2"/>
            <w:tabs>
              <w:tab w:val="clear" w:pos="900"/>
              <w:tab w:val="clear" w:pos="9350"/>
              <w:tab w:val="right" w:pos="9025" w:leader="dot"/>
            </w:tabs>
            <w:rPr/>
          </w:pPr>
          <w:hyperlink w:anchor="__RefHeading___Toc14215_3949650649">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14217_3949650649">
            <w:r>
              <w:rPr>
                <w:webHidden/>
                <w:rStyle w:val="IndexLink"/>
              </w:rPr>
              <w:t>8. Positioning against the market</w:t>
              <w:tab/>
              <w:t>9</w:t>
            </w:r>
          </w:hyperlink>
        </w:p>
        <w:p>
          <w:pPr>
            <w:pStyle w:val="TOC1"/>
            <w:tabs>
              <w:tab w:val="clear" w:pos="900"/>
              <w:tab w:val="clear" w:pos="9350"/>
              <w:tab w:val="right" w:pos="9025" w:leader="dot"/>
            </w:tabs>
            <w:rPr/>
          </w:pPr>
          <w:hyperlink w:anchor="__RefHeading___Toc14219_3949650649">
            <w:r>
              <w:rPr>
                <w:webHidden/>
                <w:rStyle w:val="IndexLink"/>
              </w:rPr>
              <w:t>9. Infrastructure</w:t>
              <w:tab/>
              <w:t>10</w:t>
            </w:r>
          </w:hyperlink>
        </w:p>
        <w:p>
          <w:pPr>
            <w:pStyle w:val="TOC1"/>
            <w:tabs>
              <w:tab w:val="clear" w:pos="900"/>
              <w:tab w:val="clear" w:pos="9350"/>
              <w:tab w:val="right" w:pos="9025" w:leader="dot"/>
            </w:tabs>
            <w:rPr/>
          </w:pPr>
          <w:hyperlink w:anchor="__RefHeading___Toc14221_3949650649">
            <w:r>
              <w:rPr>
                <w:webHidden/>
                <w:rStyle w:val="IndexLink"/>
              </w:rPr>
              <w:t>10. Change requests</w:t>
              <w:tab/>
              <w:t>11</w:t>
            </w:r>
          </w:hyperlink>
        </w:p>
        <w:p>
          <w:pPr>
            <w:pStyle w:val="TOC2"/>
            <w:tabs>
              <w:tab w:val="clear" w:pos="900"/>
              <w:tab w:val="clear" w:pos="9350"/>
              <w:tab w:val="right" w:pos="9025" w:leader="dot"/>
            </w:tabs>
            <w:rPr/>
          </w:pPr>
          <w:hyperlink w:anchor="__RefHeading___Toc14223_3949650649">
            <w:r>
              <w:rPr>
                <w:webHidden/>
                <w:rStyle w:val="IndexLink"/>
              </w:rPr>
              <w:t>10.1 Day rates</w:t>
              <w:tab/>
              <w:t>11</w:t>
            </w:r>
          </w:hyperlink>
        </w:p>
        <w:p>
          <w:pPr>
            <w:pStyle w:val="TOC2"/>
            <w:tabs>
              <w:tab w:val="clear" w:pos="900"/>
              <w:tab w:val="clear" w:pos="9350"/>
              <w:tab w:val="right" w:pos="9025" w:leader="dot"/>
            </w:tabs>
            <w:rPr/>
          </w:pPr>
          <w:hyperlink w:anchor="__RefHeading___Toc14225_3949650649">
            <w:r>
              <w:rPr>
                <w:webHidden/>
                <w:rStyle w:val="IndexLink"/>
              </w:rPr>
              <w:t>10.2 Estimation method</w:t>
              <w:tab/>
              <w:t>11</w:t>
            </w:r>
          </w:hyperlink>
        </w:p>
        <w:p>
          <w:pPr>
            <w:pStyle w:val="TOC1"/>
            <w:tabs>
              <w:tab w:val="clear" w:pos="900"/>
              <w:tab w:val="clear" w:pos="9350"/>
              <w:tab w:val="right" w:pos="9025" w:leader="dot"/>
            </w:tabs>
            <w:rPr/>
          </w:pPr>
          <w:hyperlink w:anchor="__RefHeading___Toc14227_3949650649">
            <w:r>
              <w:rPr>
                <w:webHidden/>
                <w:rStyle w:val="IndexLink"/>
              </w:rPr>
              <w:t>11. Optional services</w:t>
              <w:tab/>
              <w:t>12</w:t>
            </w:r>
          </w:hyperlink>
        </w:p>
        <w:p>
          <w:pPr>
            <w:pStyle w:val="TOC1"/>
            <w:tabs>
              <w:tab w:val="clear" w:pos="900"/>
              <w:tab w:val="clear" w:pos="9350"/>
              <w:tab w:val="right" w:pos="9025" w:leader="dot"/>
            </w:tabs>
            <w:rPr/>
          </w:pPr>
          <w:hyperlink w:anchor="__RefHeading___Toc14229_3949650649">
            <w:r>
              <w:rPr>
                <w:webHidden/>
                <w:rStyle w:val="IndexLink"/>
              </w:rPr>
              <w:t>12. Sample quotes</w:t>
              <w:tab/>
              <w:t>13</w:t>
            </w:r>
          </w:hyperlink>
        </w:p>
        <w:p>
          <w:pPr>
            <w:pStyle w:val="TOC1"/>
            <w:tabs>
              <w:tab w:val="clear" w:pos="900"/>
              <w:tab w:val="clear" w:pos="9350"/>
              <w:tab w:val="right" w:pos="9025" w:leader="dot"/>
            </w:tabs>
            <w:rPr/>
          </w:pPr>
          <w:hyperlink w:anchor="__RefHeading___Toc14231_3949650649">
            <w:r>
              <w:rPr>
                <w:webHidden/>
                <w:rStyle w:val="IndexLink"/>
              </w:rPr>
              <w:t>13. Payment terms</w:t>
              <w:tab/>
              <w:t>14</w:t>
            </w:r>
          </w:hyperlink>
        </w:p>
        <w:p>
          <w:pPr>
            <w:pStyle w:val="TOC1"/>
            <w:tabs>
              <w:tab w:val="clear" w:pos="900"/>
              <w:tab w:val="clear" w:pos="9350"/>
              <w:tab w:val="right" w:pos="9025" w:leader="dot"/>
            </w:tabs>
            <w:rPr/>
          </w:pPr>
          <w:hyperlink w:anchor="__RefHeading___Toc14233_3949650649">
            <w:r>
              <w:rPr>
                <w:webHidden/>
                <w:rStyle w:val="IndexLink"/>
              </w:rPr>
              <w:t>14. Taxes</w:t>
              <w:tab/>
              <w:t>15</w:t>
            </w:r>
          </w:hyperlink>
        </w:p>
        <w:p>
          <w:pPr>
            <w:pStyle w:val="TOC1"/>
            <w:tabs>
              <w:tab w:val="clear" w:pos="900"/>
              <w:tab w:val="clear" w:pos="9350"/>
              <w:tab w:val="right" w:pos="9025" w:leader="dot"/>
            </w:tabs>
            <w:rPr/>
          </w:pPr>
          <w:hyperlink w:anchor="__RefHeading___Toc14235_3949650649">
            <w:r>
              <w:rPr>
                <w:webHidden/>
                <w:rStyle w:val="IndexLink"/>
              </w:rPr>
              <w:t>15. Validity and assumptions</w:t>
              <w:tab/>
              <w:t>16</w:t>
            </w:r>
          </w:hyperlink>
        </w:p>
        <w:p>
          <w:pPr>
            <w:pStyle w:val="TOC1"/>
            <w:tabs>
              <w:tab w:val="clear" w:pos="900"/>
              <w:tab w:val="clear" w:pos="9350"/>
              <w:tab w:val="right" w:pos="9025" w:leader="dot"/>
            </w:tabs>
            <w:rPr/>
          </w:pPr>
          <w:hyperlink w:anchor="__RefHeading___Toc14237_3949650649">
            <w:r>
              <w:rPr>
                <w:webHidden/>
                <w:rStyle w:val="IndexLink"/>
              </w:rPr>
              <w:t>16. Recommendation</w:t>
              <w:tab/>
              <w:t>17</w:t>
            </w:r>
          </w:hyperlink>
        </w:p>
        <w:p>
          <w:pPr>
            <w:pStyle w:val="TOC1"/>
            <w:tabs>
              <w:tab w:val="clear" w:pos="900"/>
              <w:tab w:val="clear" w:pos="9350"/>
              <w:tab w:val="right" w:pos="9025" w:leader="dot"/>
            </w:tabs>
            <w:rPr/>
          </w:pPr>
          <w:hyperlink w:anchor="__RefHeading___Toc14239_3949650649">
            <w:r>
              <w:rPr>
                <w:webHidden/>
                <w:rStyle w:val="IndexLink"/>
                <w:i w:val="false"/>
                <w:iCs w:val="false"/>
              </w:rPr>
              <w:t>17.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8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9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193_3949650649"/>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14195_3949650649"/>
      <w:bookmarkEnd w:id="7"/>
      <w:r>
        <w:rPr>
          <w:rFonts w:eastAsia="Segoe UI" w:cs="Segoe UI" w:ascii="Segoe UI" w:hAnsi="Segoe UI"/>
          <w:b/>
          <w:color w:val="0F4761"/>
          <w:sz w:val="32"/>
        </w:rPr>
        <w:t>4.  Market context</w:t>
      </w:r>
    </w:p>
    <w:p>
      <w:pPr>
        <w:pStyle w:val="Heading2"/>
        <w:rPr/>
      </w:pPr>
      <w:bookmarkStart w:id="8" w:name="__RefHeading___Toc14197_3949650649"/>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14199_3949650649"/>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14201_3949650649"/>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14203_3949650649"/>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14205_3949650649"/>
      <w:bookmarkEnd w:id="12"/>
      <w:r>
        <w:rPr>
          <w:rFonts w:eastAsia="Segoe UI" w:cs="Segoe UI" w:ascii="Segoe UI" w:hAnsi="Segoe UI"/>
          <w:b/>
          <w:color w:val="0F4761"/>
          <w:sz w:val="32"/>
        </w:rPr>
        <w:t>6.  Model A: perpetual licence with AMC</w:t>
      </w:r>
    </w:p>
    <w:p>
      <w:pPr>
        <w:pStyle w:val="Heading2"/>
        <w:rPr/>
      </w:pPr>
      <w:bookmarkStart w:id="13" w:name="__RefHeading___Toc14207_3949650649"/>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14209_3949650649"/>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14211_3949650649"/>
      <w:bookmarkEnd w:id="15"/>
      <w:r>
        <w:rPr>
          <w:rFonts w:eastAsia="Segoe UI" w:cs="Segoe UI" w:ascii="Segoe UI" w:hAnsi="Segoe UI"/>
          <w:b/>
          <w:color w:val="0F4761"/>
          <w:sz w:val="32"/>
        </w:rPr>
        <w:t>7.  Model B: subscription</w:t>
      </w:r>
    </w:p>
    <w:p>
      <w:pPr>
        <w:pStyle w:val="Heading2"/>
        <w:rPr/>
      </w:pPr>
      <w:bookmarkStart w:id="16" w:name="__RefHeading___Toc14213_3949650649"/>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14215_3949650649"/>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14217_3949650649"/>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14219_3949650649"/>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07"/>
        <w:gridCol w:w="1973"/>
        <w:gridCol w:w="2253"/>
        <w:gridCol w:w="3380"/>
      </w:tblGrid>
      <w:tr>
        <w:trPr>
          <w:tblHeader w:val="true"/>
        </w:trPr>
        <w:tc>
          <w:tcPr>
            <w:tcW w:w="1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per month</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per month</w:t>
            </w:r>
          </w:p>
        </w:tc>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per month</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31,000.00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118,000.00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107,000.00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244,000.00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256,000.00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prices cover a production and one UAT environment,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is close to the sizing in the BrokerVerse capacity document (200 named users, 80 concurrent, two API containers and a Multi-AZ PostgreSQL 16 database). Confirm with the provider before quoting.</w:t>
      </w:r>
      <w:r>
        <w:br w:type="page"/>
      </w:r>
    </w:p>
    <w:p>
      <w:pPr>
        <w:pStyle w:val="Heading1"/>
        <w:rPr/>
      </w:pPr>
      <w:bookmarkStart w:id="20" w:name="__RefHeading___Toc14221_3949650649"/>
      <w:bookmarkEnd w:id="20"/>
      <w:r>
        <w:rPr>
          <w:rFonts w:eastAsia="Segoe UI" w:cs="Segoe UI" w:ascii="Segoe UI" w:hAnsi="Segoe UI"/>
          <w:b/>
          <w:color w:val="0F4761"/>
          <w:sz w:val="32"/>
        </w:rPr>
        <w:t>10.  Change requests</w:t>
      </w:r>
    </w:p>
    <w:p>
      <w:pPr>
        <w:pStyle w:val="Heading2"/>
        <w:rPr/>
      </w:pPr>
      <w:bookmarkStart w:id="21" w:name="__RefHeading___Toc14223_3949650649"/>
      <w:bookmarkEnd w:id="21"/>
      <w:r>
        <w:rPr>
          <w:rFonts w:eastAsia="Segoe UI" w:cs="Segoe UI"/>
          <w:b/>
          <w:color w:val="0F4761"/>
          <w:sz w:val="26"/>
        </w:rPr>
        <w:t>10.1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2" w:name="__RefHeading___Toc14225_3949650649"/>
      <w:bookmarkEnd w:id="22"/>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3" w:name="__RefHeading___Toc14227_3949650649"/>
      <w:bookmarkEnd w:id="23"/>
      <w:r>
        <w:rPr>
          <w:rFonts w:eastAsia="Segoe UI" w:cs="Segoe UI" w:ascii="Segoe UI" w:hAnsi="Segoe UI"/>
          <w:b/>
          <w:color w:val="0F4761"/>
          <w:sz w:val="32"/>
        </w:rPr>
        <w:t>11.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Recurring optional items increase 5% a year. Travel outside Metro Manila is billed at cost.</w:t>
      </w:r>
      <w:r>
        <w:br w:type="page"/>
      </w:r>
    </w:p>
    <w:p>
      <w:pPr>
        <w:pStyle w:val="Heading1"/>
        <w:rPr/>
      </w:pPr>
      <w:bookmarkStart w:id="24" w:name="__RefHeading___Toc14229_3949650649"/>
      <w:bookmarkEnd w:id="24"/>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5,560,107.00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6,112,764.00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2,840,000.00 / PHP 2,066,000.00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18,964,476.00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21,065,051.00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8,950,000.00 / PHP 6,106,000.00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42,400,352.00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48,293,319.00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20,504,000.00 / PHP 12,908,000.00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The extras are training days, legacy data sources and integrations set in the workbook.</w:t>
      </w:r>
      <w:r>
        <w:br w:type="page"/>
      </w:r>
    </w:p>
    <w:p>
      <w:pPr>
        <w:pStyle w:val="Heading1"/>
        <w:rPr/>
      </w:pPr>
      <w:bookmarkStart w:id="25" w:name="__RefHeading___Toc14231_3949650649"/>
      <w:bookmarkEnd w:id="25"/>
      <w:r>
        <w:rPr>
          <w:rFonts w:eastAsia="Segoe UI" w:cs="Segoe UI" w:ascii="Segoe UI" w:hAnsi="Segoe UI"/>
          <w:b/>
          <w:color w:val="0F4761"/>
          <w:sz w:val="32"/>
        </w:rPr>
        <w:t>13.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6" w:name="__RefHeading___Toc14233_3949650649"/>
      <w:bookmarkEnd w:id="26"/>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7" w:name="__RefHeading___Toc14235_3949650649"/>
      <w:bookmarkEnd w:id="27"/>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28" w:name="__RefHeading___Toc14237_3949650649"/>
      <w:bookmarkEnd w:id="28"/>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9" w:name="__RefHeading___Toc14239_3949650649"/>
      <w:bookmarkStart w:id="30" w:name="_Toc233203395"/>
      <w:bookmarkEnd w:id="29"/>
      <w:r>
        <w:rPr>
          <w:rStyle w:val="BookTitle"/>
          <w:bCs w:val="false"/>
          <w:i w:val="false"/>
          <w:iCs w:val="false"/>
          <w:spacing w:val="0"/>
        </w:rPr>
        <w:t>17.  Document Sign-Off</w:t>
      </w:r>
      <w:bookmarkEnd w:id="3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