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5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4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Data Dictionary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Data Dictionary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database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database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7983_394965064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37985_394965064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37987_3949650649">
            <w:r>
              <w:rPr>
                <w:webHidden/>
                <w:rStyle w:val="IndexLink"/>
              </w:rPr>
              <w:t>3. About this document</w:t>
              <w:tab/>
              <w:t>5</w:t>
            </w:r>
          </w:hyperlink>
        </w:p>
        <w:p>
          <w:pPr>
            <w:pStyle w:val="TOC2"/>
            <w:tabs>
              <w:tab w:val="clear" w:pos="900"/>
              <w:tab w:val="clear" w:pos="9350"/>
              <w:tab w:val="right" w:pos="9025" w:leader="dot"/>
            </w:tabs>
            <w:rPr/>
          </w:pPr>
          <w:hyperlink w:anchor="__RefHeading___Toc37989_3949650649">
            <w:r>
              <w:rPr>
                <w:webHidden/>
                <w:rStyle w:val="IndexLink"/>
              </w:rPr>
              <w:t>3.1 Sources</w:t>
              <w:tab/>
              <w:t>5</w:t>
            </w:r>
          </w:hyperlink>
        </w:p>
        <w:p>
          <w:pPr>
            <w:pStyle w:val="TOC2"/>
            <w:tabs>
              <w:tab w:val="clear" w:pos="900"/>
              <w:tab w:val="clear" w:pos="9350"/>
              <w:tab w:val="right" w:pos="9025" w:leader="dot"/>
            </w:tabs>
            <w:rPr/>
          </w:pPr>
          <w:hyperlink w:anchor="__RefHeading___Toc37991_3949650649">
            <w:r>
              <w:rPr>
                <w:webHidden/>
                <w:rStyle w:val="IndexLink"/>
              </w:rPr>
              <w:t>3.2 The companion workbook</w:t>
              <w:tab/>
              <w:t>6</w:t>
            </w:r>
          </w:hyperlink>
        </w:p>
        <w:p>
          <w:pPr>
            <w:pStyle w:val="TOC2"/>
            <w:tabs>
              <w:tab w:val="clear" w:pos="900"/>
              <w:tab w:val="clear" w:pos="9350"/>
              <w:tab w:val="right" w:pos="9025" w:leader="dot"/>
            </w:tabs>
            <w:rPr/>
          </w:pPr>
          <w:hyperlink w:anchor="__RefHeading___Toc37993_3949650649">
            <w:r>
              <w:rPr>
                <w:webHidden/>
                <w:rStyle w:val="IndexLink"/>
              </w:rPr>
              <w:t>3.3 Database at a glance</w:t>
              <w:tab/>
              <w:t>6</w:t>
            </w:r>
          </w:hyperlink>
        </w:p>
        <w:p>
          <w:pPr>
            <w:pStyle w:val="TOC1"/>
            <w:tabs>
              <w:tab w:val="clear" w:pos="900"/>
              <w:tab w:val="clear" w:pos="9350"/>
              <w:tab w:val="right" w:pos="9025" w:leader="dot"/>
            </w:tabs>
            <w:rPr/>
          </w:pPr>
          <w:hyperlink w:anchor="__RefHeading___Toc37995_3949650649">
            <w:r>
              <w:rPr>
                <w:webHidden/>
                <w:rStyle w:val="IndexLink"/>
              </w:rPr>
              <w:t>4. Conventions</w:t>
              <w:tab/>
              <w:t>7</w:t>
            </w:r>
          </w:hyperlink>
        </w:p>
        <w:p>
          <w:pPr>
            <w:pStyle w:val="TOC2"/>
            <w:tabs>
              <w:tab w:val="clear" w:pos="900"/>
              <w:tab w:val="clear" w:pos="9350"/>
              <w:tab w:val="right" w:pos="9025" w:leader="dot"/>
            </w:tabs>
            <w:rPr/>
          </w:pPr>
          <w:hyperlink w:anchor="__RefHeading___Toc37997_3949650649">
            <w:r>
              <w:rPr>
                <w:webHidden/>
                <w:rStyle w:val="IndexLink"/>
              </w:rPr>
              <w:t>4.1 Naming</w:t>
              <w:tab/>
              <w:t>7</w:t>
            </w:r>
          </w:hyperlink>
        </w:p>
        <w:p>
          <w:pPr>
            <w:pStyle w:val="TOC2"/>
            <w:tabs>
              <w:tab w:val="clear" w:pos="900"/>
              <w:tab w:val="clear" w:pos="9350"/>
              <w:tab w:val="right" w:pos="9025" w:leader="dot"/>
            </w:tabs>
            <w:rPr/>
          </w:pPr>
          <w:hyperlink w:anchor="__RefHeading___Toc37999_3949650649">
            <w:r>
              <w:rPr>
                <w:webHidden/>
                <w:rStyle w:val="IndexLink"/>
              </w:rPr>
              <w:t>4.2 Identifiers</w:t>
              <w:tab/>
              <w:t>7</w:t>
            </w:r>
          </w:hyperlink>
        </w:p>
        <w:p>
          <w:pPr>
            <w:pStyle w:val="TOC2"/>
            <w:tabs>
              <w:tab w:val="clear" w:pos="900"/>
              <w:tab w:val="clear" w:pos="9350"/>
              <w:tab w:val="right" w:pos="9025" w:leader="dot"/>
            </w:tabs>
            <w:rPr/>
          </w:pPr>
          <w:hyperlink w:anchor="__RefHeading___Toc38001_3949650649">
            <w:r>
              <w:rPr>
                <w:webHidden/>
                <w:rStyle w:val="IndexLink"/>
              </w:rPr>
              <w:t>4.3 Money, rates and shares</w:t>
              <w:tab/>
              <w:t>8</w:t>
            </w:r>
          </w:hyperlink>
        </w:p>
        <w:p>
          <w:pPr>
            <w:pStyle w:val="TOC2"/>
            <w:tabs>
              <w:tab w:val="clear" w:pos="900"/>
              <w:tab w:val="clear" w:pos="9350"/>
              <w:tab w:val="right" w:pos="9025" w:leader="dot"/>
            </w:tabs>
            <w:rPr/>
          </w:pPr>
          <w:hyperlink w:anchor="__RefHeading___Toc38003_3949650649">
            <w:r>
              <w:rPr>
                <w:webHidden/>
                <w:rStyle w:val="IndexLink"/>
              </w:rPr>
              <w:t>4.4 Dates and the business time zone</w:t>
              <w:tab/>
              <w:t>8</w:t>
            </w:r>
          </w:hyperlink>
        </w:p>
        <w:p>
          <w:pPr>
            <w:pStyle w:val="TOC2"/>
            <w:tabs>
              <w:tab w:val="clear" w:pos="900"/>
              <w:tab w:val="clear" w:pos="9350"/>
              <w:tab w:val="right" w:pos="9025" w:leader="dot"/>
            </w:tabs>
            <w:rPr/>
          </w:pPr>
          <w:hyperlink w:anchor="__RefHeading___Toc38005_3949650649">
            <w:r>
              <w:rPr>
                <w:webHidden/>
                <w:rStyle w:val="IndexLink"/>
              </w:rPr>
              <w:t>4.5 Audit columns</w:t>
              <w:tab/>
              <w:t>8</w:t>
            </w:r>
          </w:hyperlink>
        </w:p>
        <w:p>
          <w:pPr>
            <w:pStyle w:val="TOC2"/>
            <w:tabs>
              <w:tab w:val="clear" w:pos="900"/>
              <w:tab w:val="clear" w:pos="9350"/>
              <w:tab w:val="right" w:pos="9025" w:leader="dot"/>
            </w:tabs>
            <w:rPr/>
          </w:pPr>
          <w:hyperlink w:anchor="__RefHeading___Toc38007_3949650649">
            <w:r>
              <w:rPr>
                <w:webHidden/>
                <w:rStyle w:val="IndexLink"/>
              </w:rPr>
              <w:t>4.6 Status, soft delete and cancellation</w:t>
              <w:tab/>
              <w:t>9</w:t>
            </w:r>
          </w:hyperlink>
        </w:p>
        <w:p>
          <w:pPr>
            <w:pStyle w:val="TOC2"/>
            <w:tabs>
              <w:tab w:val="clear" w:pos="900"/>
              <w:tab w:val="clear" w:pos="9350"/>
              <w:tab w:val="right" w:pos="9025" w:leader="dot"/>
            </w:tabs>
            <w:rPr/>
          </w:pPr>
          <w:hyperlink w:anchor="__RefHeading___Toc38009_3949650649">
            <w:r>
              <w:rPr>
                <w:webHidden/>
                <w:rStyle w:val="IndexLink"/>
              </w:rPr>
              <w:t>4.7 JSON document columns</w:t>
              <w:tab/>
              <w:t>9</w:t>
            </w:r>
          </w:hyperlink>
        </w:p>
        <w:p>
          <w:pPr>
            <w:pStyle w:val="TOC2"/>
            <w:tabs>
              <w:tab w:val="clear" w:pos="900"/>
              <w:tab w:val="clear" w:pos="9350"/>
              <w:tab w:val="right" w:pos="9025" w:leader="dot"/>
            </w:tabs>
            <w:rPr/>
          </w:pPr>
          <w:hyperlink w:anchor="__RefHeading___Toc38011_3949650649">
            <w:r>
              <w:rPr>
                <w:webHidden/>
                <w:rStyle w:val="IndexLink"/>
              </w:rPr>
              <w:t>4.8 Keys, constraints and indexes</w:t>
              <w:tab/>
              <w:t>9</w:t>
            </w:r>
          </w:hyperlink>
        </w:p>
        <w:p>
          <w:pPr>
            <w:pStyle w:val="TOC2"/>
            <w:tabs>
              <w:tab w:val="clear" w:pos="900"/>
              <w:tab w:val="clear" w:pos="9350"/>
              <w:tab w:val="right" w:pos="9025" w:leader="dot"/>
            </w:tabs>
            <w:rPr/>
          </w:pPr>
          <w:hyperlink w:anchor="__RefHeading___Toc38013_3949650649">
            <w:r>
              <w:rPr>
                <w:webHidden/>
                <w:rStyle w:val="IndexLink"/>
              </w:rPr>
              <w:t>4.9 References without a foreign key</w:t>
              <w:tab/>
              <w:t>10</w:t>
            </w:r>
          </w:hyperlink>
        </w:p>
        <w:p>
          <w:pPr>
            <w:pStyle w:val="TOC1"/>
            <w:tabs>
              <w:tab w:val="clear" w:pos="900"/>
              <w:tab w:val="clear" w:pos="9350"/>
              <w:tab w:val="right" w:pos="9025" w:leader="dot"/>
            </w:tabs>
            <w:rPr/>
          </w:pPr>
          <w:hyperlink w:anchor="__RefHeading___Toc38015_3949650649">
            <w:r>
              <w:rPr>
                <w:webHidden/>
                <w:rStyle w:val="IndexLink"/>
              </w:rPr>
              <w:t>5. Data model by functional area</w:t>
              <w:tab/>
              <w:t>11</w:t>
            </w:r>
          </w:hyperlink>
        </w:p>
        <w:p>
          <w:pPr>
            <w:pStyle w:val="TOC2"/>
            <w:tabs>
              <w:tab w:val="clear" w:pos="900"/>
              <w:tab w:val="clear" w:pos="9350"/>
              <w:tab w:val="right" w:pos="9025" w:leader="dot"/>
            </w:tabs>
            <w:rPr/>
          </w:pPr>
          <w:hyperlink w:anchor="__RefHeading___Toc38017_3949650649">
            <w:r>
              <w:rPr>
                <w:webHidden/>
                <w:rStyle w:val="IndexLink"/>
              </w:rPr>
              <w:t>5.1 Overview</w:t>
              <w:tab/>
              <w:t>11</w:t>
            </w:r>
          </w:hyperlink>
        </w:p>
        <w:p>
          <w:pPr>
            <w:pStyle w:val="TOC2"/>
            <w:tabs>
              <w:tab w:val="clear" w:pos="900"/>
              <w:tab w:val="clear" w:pos="9350"/>
              <w:tab w:val="right" w:pos="9025" w:leader="dot"/>
            </w:tabs>
            <w:rPr/>
          </w:pPr>
          <w:hyperlink w:anchor="__RefHeading___Toc38019_3949650649">
            <w:r>
              <w:rPr>
                <w:webHidden/>
                <w:rStyle w:val="IndexLink"/>
              </w:rPr>
              <w:t>5.2 Party and client</w:t>
              <w:tab/>
              <w:t>11</w:t>
            </w:r>
          </w:hyperlink>
        </w:p>
        <w:p>
          <w:pPr>
            <w:pStyle w:val="TOC2"/>
            <w:tabs>
              <w:tab w:val="clear" w:pos="900"/>
              <w:tab w:val="clear" w:pos="9350"/>
              <w:tab w:val="right" w:pos="9025" w:leader="dot"/>
            </w:tabs>
            <w:rPr/>
          </w:pPr>
          <w:hyperlink w:anchor="__RefHeading___Toc38021_3949650649">
            <w:r>
              <w:rPr>
                <w:webHidden/>
                <w:rStyle w:val="IndexLink"/>
              </w:rPr>
              <w:t>5.3 Product and rating</w:t>
              <w:tab/>
              <w:t>12</w:t>
            </w:r>
          </w:hyperlink>
        </w:p>
        <w:p>
          <w:pPr>
            <w:pStyle w:val="TOC2"/>
            <w:tabs>
              <w:tab w:val="clear" w:pos="900"/>
              <w:tab w:val="clear" w:pos="9350"/>
              <w:tab w:val="right" w:pos="9025" w:leader="dot"/>
            </w:tabs>
            <w:rPr/>
          </w:pPr>
          <w:hyperlink w:anchor="__RefHeading___Toc38023_3949650649">
            <w:r>
              <w:rPr>
                <w:webHidden/>
                <w:rStyle w:val="IndexLink"/>
              </w:rPr>
              <w:t>5.4 Sales and quotation</w:t>
              <w:tab/>
              <w:t>12</w:t>
            </w:r>
          </w:hyperlink>
        </w:p>
        <w:p>
          <w:pPr>
            <w:pStyle w:val="TOC2"/>
            <w:tabs>
              <w:tab w:val="clear" w:pos="900"/>
              <w:tab w:val="clear" w:pos="9350"/>
              <w:tab w:val="right" w:pos="9025" w:leader="dot"/>
            </w:tabs>
            <w:rPr/>
          </w:pPr>
          <w:hyperlink w:anchor="__RefHeading___Toc38025_3949650649">
            <w:r>
              <w:rPr>
                <w:webHidden/>
                <w:rStyle w:val="IndexLink"/>
              </w:rPr>
              <w:t>5.5 Placement</w:t>
              <w:tab/>
              <w:t>13</w:t>
            </w:r>
          </w:hyperlink>
        </w:p>
        <w:p>
          <w:pPr>
            <w:pStyle w:val="TOC2"/>
            <w:tabs>
              <w:tab w:val="clear" w:pos="900"/>
              <w:tab w:val="clear" w:pos="9350"/>
              <w:tab w:val="right" w:pos="9025" w:leader="dot"/>
            </w:tabs>
            <w:rPr/>
          </w:pPr>
          <w:hyperlink w:anchor="__RefHeading___Toc38027_3949650649">
            <w:r>
              <w:rPr>
                <w:webHidden/>
                <w:rStyle w:val="IndexLink"/>
              </w:rPr>
              <w:t>5.6 Policy and endorsement</w:t>
              <w:tab/>
              <w:t>14</w:t>
            </w:r>
          </w:hyperlink>
        </w:p>
        <w:p>
          <w:pPr>
            <w:pStyle w:val="TOC2"/>
            <w:tabs>
              <w:tab w:val="clear" w:pos="900"/>
              <w:tab w:val="clear" w:pos="9350"/>
              <w:tab w:val="right" w:pos="9025" w:leader="dot"/>
            </w:tabs>
            <w:rPr/>
          </w:pPr>
          <w:hyperlink w:anchor="__RefHeading___Toc38029_3949650649">
            <w:r>
              <w:rPr>
                <w:webHidden/>
                <w:rStyle w:val="IndexLink"/>
              </w:rPr>
              <w:t>5.7 Billing, receipts and payments</w:t>
              <w:tab/>
              <w:t>14</w:t>
            </w:r>
          </w:hyperlink>
        </w:p>
        <w:p>
          <w:pPr>
            <w:pStyle w:val="TOC2"/>
            <w:tabs>
              <w:tab w:val="clear" w:pos="900"/>
              <w:tab w:val="clear" w:pos="9350"/>
              <w:tab w:val="right" w:pos="9025" w:leader="dot"/>
            </w:tabs>
            <w:rPr/>
          </w:pPr>
          <w:hyperlink w:anchor="__RefHeading___Toc38031_3949650649">
            <w:r>
              <w:rPr>
                <w:webHidden/>
                <w:rStyle w:val="IndexLink"/>
              </w:rPr>
              <w:t>5.8 Remittance and insurer accounting</w:t>
              <w:tab/>
              <w:t>15</w:t>
            </w:r>
          </w:hyperlink>
        </w:p>
        <w:p>
          <w:pPr>
            <w:pStyle w:val="TOC2"/>
            <w:tabs>
              <w:tab w:val="clear" w:pos="900"/>
              <w:tab w:val="clear" w:pos="9350"/>
              <w:tab w:val="right" w:pos="9025" w:leader="dot"/>
            </w:tabs>
            <w:rPr/>
          </w:pPr>
          <w:hyperlink w:anchor="__RefHeading___Toc38033_3949650649">
            <w:r>
              <w:rPr>
                <w:webHidden/>
                <w:rStyle w:val="IndexLink"/>
              </w:rPr>
              <w:t>5.9 Commission</w:t>
              <w:tab/>
              <w:t>16</w:t>
            </w:r>
          </w:hyperlink>
        </w:p>
        <w:p>
          <w:pPr>
            <w:pStyle w:val="TOC2"/>
            <w:tabs>
              <w:tab w:val="clear" w:pos="900"/>
              <w:tab w:val="clear" w:pos="9350"/>
              <w:tab w:val="right" w:pos="9025" w:leader="dot"/>
            </w:tabs>
            <w:rPr/>
          </w:pPr>
          <w:hyperlink w:anchor="__RefHeading___Toc38035_3949650649">
            <w:r>
              <w:rPr>
                <w:webHidden/>
                <w:rStyle w:val="IndexLink"/>
              </w:rPr>
              <w:t>5.10 Claims</w:t>
              <w:tab/>
              <w:t>17</w:t>
            </w:r>
          </w:hyperlink>
        </w:p>
        <w:p>
          <w:pPr>
            <w:pStyle w:val="TOC2"/>
            <w:tabs>
              <w:tab w:val="clear" w:pos="900"/>
              <w:tab w:val="clear" w:pos="9350"/>
              <w:tab w:val="right" w:pos="9025" w:leader="dot"/>
            </w:tabs>
            <w:rPr/>
          </w:pPr>
          <w:hyperlink w:anchor="__RefHeading___Toc38037_3949650649">
            <w:r>
              <w:rPr>
                <w:webHidden/>
                <w:rStyle w:val="IndexLink"/>
              </w:rPr>
              <w:t>5.11 Renewals</w:t>
              <w:tab/>
              <w:t>17</w:t>
            </w:r>
          </w:hyperlink>
        </w:p>
        <w:p>
          <w:pPr>
            <w:pStyle w:val="TOC2"/>
            <w:tabs>
              <w:tab w:val="clear" w:pos="900"/>
              <w:tab w:val="clear" w:pos="9350"/>
              <w:tab w:val="right" w:pos="9025" w:leader="dot"/>
            </w:tabs>
            <w:rPr/>
          </w:pPr>
          <w:hyperlink w:anchor="__RefHeading___Toc38039_3949650649">
            <w:r>
              <w:rPr>
                <w:webHidden/>
                <w:rStyle w:val="IndexLink"/>
              </w:rPr>
              <w:t>5.12 General ledger and period end</w:t>
              <w:tab/>
              <w:t>18</w:t>
            </w:r>
          </w:hyperlink>
        </w:p>
        <w:p>
          <w:pPr>
            <w:pStyle w:val="TOC2"/>
            <w:tabs>
              <w:tab w:val="clear" w:pos="900"/>
              <w:tab w:val="clear" w:pos="9350"/>
              <w:tab w:val="right" w:pos="9025" w:leader="dot"/>
            </w:tabs>
            <w:rPr/>
          </w:pPr>
          <w:hyperlink w:anchor="__RefHeading___Toc38041_3949650649">
            <w:r>
              <w:rPr>
                <w:webHidden/>
                <w:rStyle w:val="IndexLink"/>
              </w:rPr>
              <w:t>5.13 Bank and insurer reconciliation</w:t>
              <w:tab/>
              <w:t>19</w:t>
            </w:r>
          </w:hyperlink>
        </w:p>
        <w:p>
          <w:pPr>
            <w:pStyle w:val="TOC2"/>
            <w:tabs>
              <w:tab w:val="clear" w:pos="900"/>
              <w:tab w:val="clear" w:pos="9350"/>
              <w:tab w:val="right" w:pos="9025" w:leader="dot"/>
            </w:tabs>
            <w:rPr/>
          </w:pPr>
          <w:hyperlink w:anchor="__RefHeading___Toc38043_3949650649">
            <w:r>
              <w:rPr>
                <w:webHidden/>
                <w:rStyle w:val="IndexLink"/>
              </w:rPr>
              <w:t>5.14 Credit control</w:t>
              <w:tab/>
              <w:t>19</w:t>
            </w:r>
          </w:hyperlink>
        </w:p>
        <w:p>
          <w:pPr>
            <w:pStyle w:val="TOC2"/>
            <w:tabs>
              <w:tab w:val="clear" w:pos="900"/>
              <w:tab w:val="clear" w:pos="9350"/>
              <w:tab w:val="right" w:pos="9025" w:leader="dot"/>
            </w:tabs>
            <w:rPr/>
          </w:pPr>
          <w:hyperlink w:anchor="__RefHeading___Toc38045_3949650649">
            <w:r>
              <w:rPr>
                <w:webHidden/>
                <w:rStyle w:val="IndexLink"/>
              </w:rPr>
              <w:t>5.15 Reinsurance</w:t>
              <w:tab/>
              <w:t>20</w:t>
            </w:r>
          </w:hyperlink>
        </w:p>
        <w:p>
          <w:pPr>
            <w:pStyle w:val="TOC2"/>
            <w:tabs>
              <w:tab w:val="clear" w:pos="900"/>
              <w:tab w:val="clear" w:pos="9350"/>
              <w:tab w:val="right" w:pos="9025" w:leader="dot"/>
            </w:tabs>
            <w:rPr/>
          </w:pPr>
          <w:hyperlink w:anchor="__RefHeading___Toc38047_3949650649">
            <w:r>
              <w:rPr>
                <w:webHidden/>
                <w:rStyle w:val="IndexLink"/>
              </w:rPr>
              <w:t>5.16 Incentives</w:t>
              <w:tab/>
              <w:t>20</w:t>
            </w:r>
          </w:hyperlink>
        </w:p>
        <w:p>
          <w:pPr>
            <w:pStyle w:val="TOC2"/>
            <w:tabs>
              <w:tab w:val="clear" w:pos="900"/>
              <w:tab w:val="clear" w:pos="9350"/>
              <w:tab w:val="right" w:pos="9025" w:leader="dot"/>
            </w:tabs>
            <w:rPr/>
          </w:pPr>
          <w:hyperlink w:anchor="__RefHeading___Toc38049_3949650649">
            <w:r>
              <w:rPr>
                <w:webHidden/>
                <w:rStyle w:val="IndexLink"/>
              </w:rPr>
              <w:t>5.17 Security and audit</w:t>
              <w:tab/>
              <w:t>21</w:t>
            </w:r>
          </w:hyperlink>
        </w:p>
        <w:p>
          <w:pPr>
            <w:pStyle w:val="TOC2"/>
            <w:tabs>
              <w:tab w:val="clear" w:pos="900"/>
              <w:tab w:val="clear" w:pos="9350"/>
              <w:tab w:val="right" w:pos="9025" w:leader="dot"/>
            </w:tabs>
            <w:rPr/>
          </w:pPr>
          <w:hyperlink w:anchor="__RefHeading___Toc38051_3949650649">
            <w:r>
              <w:rPr>
                <w:webHidden/>
                <w:rStyle w:val="IndexLink"/>
              </w:rPr>
              <w:t>5.18 Configuration and schedules</w:t>
              <w:tab/>
              <w:t>21</w:t>
            </w:r>
          </w:hyperlink>
        </w:p>
        <w:p>
          <w:pPr>
            <w:pStyle w:val="TOC1"/>
            <w:tabs>
              <w:tab w:val="clear" w:pos="900"/>
              <w:tab w:val="clear" w:pos="9350"/>
              <w:tab w:val="right" w:pos="9025" w:leader="dot"/>
            </w:tabs>
            <w:rPr/>
          </w:pPr>
          <w:hyperlink w:anchor="__RefHeading___Toc38053_3949650649">
            <w:r>
              <w:rPr>
                <w:webHidden/>
                <w:rStyle w:val="IndexLink"/>
              </w:rPr>
              <w:t>6. Status lifecycles</w:t>
              <w:tab/>
              <w:t>23</w:t>
            </w:r>
          </w:hyperlink>
        </w:p>
        <w:p>
          <w:pPr>
            <w:pStyle w:val="TOC2"/>
            <w:tabs>
              <w:tab w:val="clear" w:pos="900"/>
              <w:tab w:val="clear" w:pos="9350"/>
              <w:tab w:val="right" w:pos="9025" w:leader="dot"/>
            </w:tabs>
            <w:rPr/>
          </w:pPr>
          <w:hyperlink w:anchor="__RefHeading___Toc38055_3949650649">
            <w:r>
              <w:rPr>
                <w:webHidden/>
                <w:rStyle w:val="IndexLink"/>
              </w:rPr>
              <w:t>6.1 Sales, placement and policy</w:t>
              <w:tab/>
              <w:t>23</w:t>
            </w:r>
          </w:hyperlink>
        </w:p>
        <w:p>
          <w:pPr>
            <w:pStyle w:val="TOC2"/>
            <w:tabs>
              <w:tab w:val="clear" w:pos="900"/>
              <w:tab w:val="clear" w:pos="9350"/>
              <w:tab w:val="right" w:pos="9025" w:leader="dot"/>
            </w:tabs>
            <w:rPr/>
          </w:pPr>
          <w:hyperlink w:anchor="__RefHeading___Toc38057_3949650649">
            <w:r>
              <w:rPr>
                <w:webHidden/>
                <w:rStyle w:val="IndexLink"/>
              </w:rPr>
              <w:t>6.2 Money and accounting</w:t>
              <w:tab/>
              <w:t>23</w:t>
            </w:r>
          </w:hyperlink>
        </w:p>
        <w:p>
          <w:pPr>
            <w:pStyle w:val="TOC2"/>
            <w:tabs>
              <w:tab w:val="clear" w:pos="900"/>
              <w:tab w:val="clear" w:pos="9350"/>
              <w:tab w:val="right" w:pos="9025" w:leader="dot"/>
            </w:tabs>
            <w:rPr/>
          </w:pPr>
          <w:hyperlink w:anchor="__RefHeading___Toc38059_3949650649">
            <w:r>
              <w:rPr>
                <w:webHidden/>
                <w:rStyle w:val="IndexLink"/>
              </w:rPr>
              <w:t>6.3 Claims, renewals and other areas</w:t>
              <w:tab/>
              <w:t>24</w:t>
            </w:r>
          </w:hyperlink>
        </w:p>
        <w:p>
          <w:pPr>
            <w:pStyle w:val="TOC1"/>
            <w:tabs>
              <w:tab w:val="clear" w:pos="900"/>
              <w:tab w:val="clear" w:pos="9350"/>
              <w:tab w:val="right" w:pos="9025" w:leader="dot"/>
            </w:tabs>
            <w:rPr/>
          </w:pPr>
          <w:hyperlink w:anchor="__RefHeading___Toc38061_3949650649">
            <w:r>
              <w:rPr>
                <w:webHidden/>
                <w:rStyle w:val="IndexLink"/>
              </w:rPr>
              <w:t>7. Personal data and retention</w:t>
              <w:tab/>
              <w:t>26</w:t>
            </w:r>
          </w:hyperlink>
        </w:p>
        <w:p>
          <w:pPr>
            <w:pStyle w:val="TOC2"/>
            <w:tabs>
              <w:tab w:val="clear" w:pos="900"/>
              <w:tab w:val="clear" w:pos="9350"/>
              <w:tab w:val="right" w:pos="9025" w:leader="dot"/>
            </w:tabs>
            <w:rPr/>
          </w:pPr>
          <w:hyperlink w:anchor="__RefHeading___Toc38063_3949650649">
            <w:r>
              <w:rPr>
                <w:webHidden/>
                <w:rStyle w:val="IndexLink"/>
              </w:rPr>
              <w:t>7.1 Personal data under the Data Privacy Act</w:t>
              <w:tab/>
              <w:t>26</w:t>
            </w:r>
          </w:hyperlink>
        </w:p>
        <w:p>
          <w:pPr>
            <w:pStyle w:val="TOC2"/>
            <w:tabs>
              <w:tab w:val="clear" w:pos="900"/>
              <w:tab w:val="clear" w:pos="9350"/>
              <w:tab w:val="right" w:pos="9025" w:leader="dot"/>
            </w:tabs>
            <w:rPr/>
          </w:pPr>
          <w:hyperlink w:anchor="__RefHeading___Toc38065_3949650649">
            <w:r>
              <w:rPr>
                <w:webHidden/>
                <w:rStyle w:val="IndexLink"/>
              </w:rPr>
              <w:t>7.2 Tables and columns holding personal data</w:t>
              <w:tab/>
              <w:t>26</w:t>
            </w:r>
          </w:hyperlink>
        </w:p>
        <w:p>
          <w:pPr>
            <w:pStyle w:val="TOC2"/>
            <w:tabs>
              <w:tab w:val="clear" w:pos="900"/>
              <w:tab w:val="clear" w:pos="9350"/>
              <w:tab w:val="right" w:pos="9025" w:leader="dot"/>
            </w:tabs>
            <w:rPr/>
          </w:pPr>
          <w:hyperlink w:anchor="__RefHeading___Toc38067_3949650649">
            <w:r>
              <w:rPr>
                <w:webHidden/>
                <w:rStyle w:val="IndexLink"/>
              </w:rPr>
              <w:t>7.3 Protection in the database</w:t>
              <w:tab/>
              <w:t>27</w:t>
            </w:r>
          </w:hyperlink>
        </w:p>
        <w:p>
          <w:pPr>
            <w:pStyle w:val="TOC2"/>
            <w:tabs>
              <w:tab w:val="clear" w:pos="900"/>
              <w:tab w:val="clear" w:pos="9350"/>
              <w:tab w:val="right" w:pos="9025" w:leader="dot"/>
            </w:tabs>
            <w:rPr/>
          </w:pPr>
          <w:hyperlink w:anchor="__RefHeading___Toc38069_3949650649">
            <w:r>
              <w:rPr>
                <w:webHidden/>
                <w:rStyle w:val="IndexLink"/>
              </w:rPr>
              <w:t>7.4 Retention</w:t>
              <w:tab/>
              <w:t>28</w:t>
            </w:r>
          </w:hyperlink>
        </w:p>
        <w:p>
          <w:pPr>
            <w:pStyle w:val="TOC1"/>
            <w:tabs>
              <w:tab w:val="clear" w:pos="900"/>
              <w:tab w:val="clear" w:pos="9350"/>
              <w:tab w:val="right" w:pos="9025" w:leader="dot"/>
            </w:tabs>
            <w:rPr/>
          </w:pPr>
          <w:hyperlink w:anchor="__RefHeading___Toc38071_3949650649">
            <w:r>
              <w:rPr>
                <w:webHidden/>
                <w:rStyle w:val="IndexLink"/>
              </w:rPr>
              <w:t>8. Appendix A: Table list</w:t>
              <w:tab/>
              <w:t>30</w:t>
            </w:r>
          </w:hyperlink>
        </w:p>
        <w:p>
          <w:pPr>
            <w:pStyle w:val="TOC2"/>
            <w:tabs>
              <w:tab w:val="clear" w:pos="900"/>
              <w:tab w:val="clear" w:pos="9350"/>
              <w:tab w:val="right" w:pos="9025" w:leader="dot"/>
            </w:tabs>
            <w:rPr/>
          </w:pPr>
          <w:hyperlink w:anchor="__RefHeading___Toc38073_3949650649">
            <w:r>
              <w:rPr>
                <w:webHidden/>
                <w:rStyle w:val="IndexLink"/>
              </w:rPr>
              <w:t>8.1 Party and client</w:t>
              <w:tab/>
              <w:t>30</w:t>
            </w:r>
          </w:hyperlink>
        </w:p>
        <w:p>
          <w:pPr>
            <w:pStyle w:val="TOC2"/>
            <w:tabs>
              <w:tab w:val="clear" w:pos="900"/>
              <w:tab w:val="clear" w:pos="9350"/>
              <w:tab w:val="right" w:pos="9025" w:leader="dot"/>
            </w:tabs>
            <w:rPr/>
          </w:pPr>
          <w:hyperlink w:anchor="__RefHeading___Toc38075_3949650649">
            <w:r>
              <w:rPr>
                <w:webHidden/>
                <w:rStyle w:val="IndexLink"/>
              </w:rPr>
              <w:t>8.2 Product and rating</w:t>
              <w:tab/>
              <w:t>30</w:t>
            </w:r>
          </w:hyperlink>
        </w:p>
        <w:p>
          <w:pPr>
            <w:pStyle w:val="TOC2"/>
            <w:tabs>
              <w:tab w:val="clear" w:pos="900"/>
              <w:tab w:val="clear" w:pos="9350"/>
              <w:tab w:val="right" w:pos="9025" w:leader="dot"/>
            </w:tabs>
            <w:rPr/>
          </w:pPr>
          <w:hyperlink w:anchor="__RefHeading___Toc38077_3949650649">
            <w:r>
              <w:rPr>
                <w:webHidden/>
                <w:rStyle w:val="IndexLink"/>
              </w:rPr>
              <w:t>8.3 Sales and quotation</w:t>
              <w:tab/>
              <w:t>30</w:t>
            </w:r>
          </w:hyperlink>
        </w:p>
        <w:p>
          <w:pPr>
            <w:pStyle w:val="TOC2"/>
            <w:tabs>
              <w:tab w:val="clear" w:pos="900"/>
              <w:tab w:val="clear" w:pos="9350"/>
              <w:tab w:val="right" w:pos="9025" w:leader="dot"/>
            </w:tabs>
            <w:rPr/>
          </w:pPr>
          <w:hyperlink w:anchor="__RefHeading___Toc38079_3949650649">
            <w:r>
              <w:rPr>
                <w:webHidden/>
                <w:rStyle w:val="IndexLink"/>
              </w:rPr>
              <w:t>8.4 Placement</w:t>
              <w:tab/>
              <w:t>31</w:t>
            </w:r>
          </w:hyperlink>
        </w:p>
        <w:p>
          <w:pPr>
            <w:pStyle w:val="TOC2"/>
            <w:tabs>
              <w:tab w:val="clear" w:pos="900"/>
              <w:tab w:val="clear" w:pos="9350"/>
              <w:tab w:val="right" w:pos="9025" w:leader="dot"/>
            </w:tabs>
            <w:rPr/>
          </w:pPr>
          <w:hyperlink w:anchor="__RefHeading___Toc38081_3949650649">
            <w:r>
              <w:rPr>
                <w:webHidden/>
                <w:rStyle w:val="IndexLink"/>
              </w:rPr>
              <w:t>8.5 Policy and endorsement</w:t>
              <w:tab/>
              <w:t>31</w:t>
            </w:r>
          </w:hyperlink>
        </w:p>
        <w:p>
          <w:pPr>
            <w:pStyle w:val="TOC2"/>
            <w:tabs>
              <w:tab w:val="clear" w:pos="900"/>
              <w:tab w:val="clear" w:pos="9350"/>
              <w:tab w:val="right" w:pos="9025" w:leader="dot"/>
            </w:tabs>
            <w:rPr/>
          </w:pPr>
          <w:hyperlink w:anchor="__RefHeading___Toc38083_3949650649">
            <w:r>
              <w:rPr>
                <w:webHidden/>
                <w:rStyle w:val="IndexLink"/>
              </w:rPr>
              <w:t>8.6 Billing, receipts and payments</w:t>
              <w:tab/>
              <w:t>31</w:t>
            </w:r>
          </w:hyperlink>
        </w:p>
        <w:p>
          <w:pPr>
            <w:pStyle w:val="TOC2"/>
            <w:tabs>
              <w:tab w:val="clear" w:pos="900"/>
              <w:tab w:val="clear" w:pos="9350"/>
              <w:tab w:val="right" w:pos="9025" w:leader="dot"/>
            </w:tabs>
            <w:rPr/>
          </w:pPr>
          <w:hyperlink w:anchor="__RefHeading___Toc38085_3949650649">
            <w:r>
              <w:rPr>
                <w:webHidden/>
                <w:rStyle w:val="IndexLink"/>
              </w:rPr>
              <w:t>8.7 Remittance and insurer accounting</w:t>
              <w:tab/>
              <w:t>32</w:t>
            </w:r>
          </w:hyperlink>
        </w:p>
        <w:p>
          <w:pPr>
            <w:pStyle w:val="TOC2"/>
            <w:tabs>
              <w:tab w:val="clear" w:pos="900"/>
              <w:tab w:val="clear" w:pos="9350"/>
              <w:tab w:val="right" w:pos="9025" w:leader="dot"/>
            </w:tabs>
            <w:rPr/>
          </w:pPr>
          <w:hyperlink w:anchor="__RefHeading___Toc38087_3949650649">
            <w:r>
              <w:rPr>
                <w:webHidden/>
                <w:rStyle w:val="IndexLink"/>
              </w:rPr>
              <w:t>8.8 Commission</w:t>
              <w:tab/>
              <w:t>32</w:t>
            </w:r>
          </w:hyperlink>
        </w:p>
        <w:p>
          <w:pPr>
            <w:pStyle w:val="TOC2"/>
            <w:tabs>
              <w:tab w:val="clear" w:pos="900"/>
              <w:tab w:val="clear" w:pos="9350"/>
              <w:tab w:val="right" w:pos="9025" w:leader="dot"/>
            </w:tabs>
            <w:rPr/>
          </w:pPr>
          <w:hyperlink w:anchor="__RefHeading___Toc38089_3949650649">
            <w:r>
              <w:rPr>
                <w:webHidden/>
                <w:rStyle w:val="IndexLink"/>
              </w:rPr>
              <w:t>8.9 Claims</w:t>
              <w:tab/>
              <w:t>33</w:t>
            </w:r>
          </w:hyperlink>
        </w:p>
        <w:p>
          <w:pPr>
            <w:pStyle w:val="TOC2"/>
            <w:tabs>
              <w:tab w:val="clear" w:pos="900"/>
              <w:tab w:val="clear" w:pos="9350"/>
              <w:tab w:val="right" w:pos="9025" w:leader="dot"/>
            </w:tabs>
            <w:rPr/>
          </w:pPr>
          <w:hyperlink w:anchor="__RefHeading___Toc38091_3949650649">
            <w:r>
              <w:rPr>
                <w:webHidden/>
                <w:rStyle w:val="IndexLink"/>
              </w:rPr>
              <w:t>8.10 Renewals</w:t>
              <w:tab/>
              <w:t>33</w:t>
            </w:r>
          </w:hyperlink>
        </w:p>
        <w:p>
          <w:pPr>
            <w:pStyle w:val="TOC2"/>
            <w:tabs>
              <w:tab w:val="clear" w:pos="900"/>
              <w:tab w:val="clear" w:pos="9350"/>
              <w:tab w:val="right" w:pos="9025" w:leader="dot"/>
            </w:tabs>
            <w:rPr/>
          </w:pPr>
          <w:hyperlink w:anchor="__RefHeading___Toc38093_3949650649">
            <w:r>
              <w:rPr>
                <w:webHidden/>
                <w:rStyle w:val="IndexLink"/>
              </w:rPr>
              <w:t>8.11 General ledger and period end</w:t>
              <w:tab/>
              <w:t>33</w:t>
            </w:r>
          </w:hyperlink>
        </w:p>
        <w:p>
          <w:pPr>
            <w:pStyle w:val="TOC2"/>
            <w:tabs>
              <w:tab w:val="clear" w:pos="900"/>
              <w:tab w:val="clear" w:pos="9350"/>
              <w:tab w:val="right" w:pos="9025" w:leader="dot"/>
            </w:tabs>
            <w:rPr/>
          </w:pPr>
          <w:hyperlink w:anchor="__RefHeading___Toc38095_3949650649">
            <w:r>
              <w:rPr>
                <w:webHidden/>
                <w:rStyle w:val="IndexLink"/>
              </w:rPr>
              <w:t>8.12 Bank and insurer reconciliation</w:t>
              <w:tab/>
              <w:t>34</w:t>
            </w:r>
          </w:hyperlink>
        </w:p>
        <w:p>
          <w:pPr>
            <w:pStyle w:val="TOC2"/>
            <w:tabs>
              <w:tab w:val="clear" w:pos="900"/>
              <w:tab w:val="clear" w:pos="9350"/>
              <w:tab w:val="right" w:pos="9025" w:leader="dot"/>
            </w:tabs>
            <w:rPr/>
          </w:pPr>
          <w:hyperlink w:anchor="__RefHeading___Toc38097_3949650649">
            <w:r>
              <w:rPr>
                <w:webHidden/>
                <w:rStyle w:val="IndexLink"/>
              </w:rPr>
              <w:t>8.13 Credit control</w:t>
              <w:tab/>
              <w:t>34</w:t>
            </w:r>
          </w:hyperlink>
        </w:p>
        <w:p>
          <w:pPr>
            <w:pStyle w:val="TOC2"/>
            <w:tabs>
              <w:tab w:val="clear" w:pos="900"/>
              <w:tab w:val="clear" w:pos="9350"/>
              <w:tab w:val="right" w:pos="9025" w:leader="dot"/>
            </w:tabs>
            <w:rPr/>
          </w:pPr>
          <w:hyperlink w:anchor="__RefHeading___Toc38099_3949650649">
            <w:r>
              <w:rPr>
                <w:webHidden/>
                <w:rStyle w:val="IndexLink"/>
              </w:rPr>
              <w:t>8.14 Reinsurance</w:t>
              <w:tab/>
              <w:t>35</w:t>
            </w:r>
          </w:hyperlink>
        </w:p>
        <w:p>
          <w:pPr>
            <w:pStyle w:val="TOC2"/>
            <w:tabs>
              <w:tab w:val="clear" w:pos="900"/>
              <w:tab w:val="clear" w:pos="9350"/>
              <w:tab w:val="right" w:pos="9025" w:leader="dot"/>
            </w:tabs>
            <w:rPr/>
          </w:pPr>
          <w:hyperlink w:anchor="__RefHeading___Toc38101_3949650649">
            <w:r>
              <w:rPr>
                <w:webHidden/>
                <w:rStyle w:val="IndexLink"/>
              </w:rPr>
              <w:t>8.15 Incentives</w:t>
              <w:tab/>
              <w:t>35</w:t>
            </w:r>
          </w:hyperlink>
        </w:p>
        <w:p>
          <w:pPr>
            <w:pStyle w:val="TOC2"/>
            <w:tabs>
              <w:tab w:val="clear" w:pos="900"/>
              <w:tab w:val="clear" w:pos="9350"/>
              <w:tab w:val="right" w:pos="9025" w:leader="dot"/>
            </w:tabs>
            <w:rPr/>
          </w:pPr>
          <w:hyperlink w:anchor="__RefHeading___Toc38103_3949650649">
            <w:r>
              <w:rPr>
                <w:webHidden/>
                <w:rStyle w:val="IndexLink"/>
              </w:rPr>
              <w:t>8.16 Security and audit</w:t>
              <w:tab/>
              <w:t>35</w:t>
            </w:r>
          </w:hyperlink>
        </w:p>
        <w:p>
          <w:pPr>
            <w:pStyle w:val="TOC2"/>
            <w:tabs>
              <w:tab w:val="clear" w:pos="900"/>
              <w:tab w:val="clear" w:pos="9350"/>
              <w:tab w:val="right" w:pos="9025" w:leader="dot"/>
            </w:tabs>
            <w:rPr/>
          </w:pPr>
          <w:hyperlink w:anchor="__RefHeading___Toc38105_3949650649">
            <w:r>
              <w:rPr>
                <w:webHidden/>
                <w:rStyle w:val="IndexLink"/>
              </w:rPr>
              <w:t>8.17 Configuration and schedules</w:t>
              <w:tab/>
              <w:t>36</w:t>
            </w:r>
          </w:hyperlink>
        </w:p>
        <w:p>
          <w:pPr>
            <w:pStyle w:val="TOC1"/>
            <w:tabs>
              <w:tab w:val="clear" w:pos="900"/>
              <w:tab w:val="clear" w:pos="9350"/>
              <w:tab w:val="right" w:pos="9025" w:leader="dot"/>
            </w:tabs>
            <w:rPr/>
          </w:pPr>
          <w:hyperlink w:anchor="__RefHeading___Toc38107_3949650649">
            <w:r>
              <w:rPr>
                <w:webHidden/>
                <w:rStyle w:val="IndexLink"/>
                <w:i w:val="false"/>
                <w:iCs w:val="false"/>
              </w:rPr>
              <w:t>9. Document Sign-Off</w:t>
            </w:r>
            <w:r>
              <w:rPr>
                <w:rStyle w:val="IndexLink"/>
              </w:rPr>
              <w:tab/>
              <w:t>37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7983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7985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(Republic Act No.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FK</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Foreign key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PK</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Primary key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JSON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JavaScript Object Notation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7987_3949650649"/>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data dictionary describes the database of BrokerVerse OOTB: what each functional area stores, the key tables and how they relate, the conventions every table follows, the main status lifecycles and the columns that hold personal data. It is written for the broker's finance, operations and IT staff who read reports, run data migration and reconcile figures, and for the support team that maintains the system after go-live.</w:t>
      </w:r>
    </w:p>
    <w:p>
      <w:pPr>
        <w:pStyle w:val="Normal"/>
        <w:spacing w:lineRule="auto" w:line="276" w:before="0" w:after="120"/>
        <w:rPr/>
      </w:pPr>
      <w:r>
        <w:rPr>
          <w:rFonts w:eastAsia="Segoe UI" w:cs="Segoe UI" w:ascii="Segoe UI" w:hAnsi="Segoe UI"/>
          <w:color w:val="101820"/>
          <w:sz w:val="21"/>
        </w:rPr>
        <w:t xml:space="preserve">The column-level detail is in the companion workbook </w:t>
      </w:r>
      <w:r>
        <w:rPr>
          <w:rFonts w:eastAsia="Segoe UI" w:cs="Segoe UI" w:ascii="Segoe UI" w:hAnsi="Segoe UI"/>
          <w:b/>
          <w:color w:val="101820"/>
          <w:sz w:val="21"/>
        </w:rPr>
        <w:t>BrokerVerse_Data_Dictionary.xlsx</w:t>
      </w:r>
      <w:r>
        <w:rPr>
          <w:rFonts w:eastAsia="Segoe UI" w:cs="Segoe UI" w:ascii="Segoe UI" w:hAnsi="Segoe UI"/>
          <w:color w:val="101820"/>
          <w:sz w:val="21"/>
        </w:rPr>
        <w:t>. This document summarises it and explains the model. Where the two differ, the workbook is the more detailed reference.</w:t>
      </w:r>
    </w:p>
    <w:p>
      <w:pPr>
        <w:pStyle w:val="Heading2"/>
        <w:rPr/>
      </w:pPr>
      <w:bookmarkStart w:id="7" w:name="__RefHeading___Toc37989_3949650649"/>
      <w:bookmarkEnd w:id="7"/>
      <w:r>
        <w:rPr>
          <w:rFonts w:eastAsia="Segoe UI" w:cs="Segoe UI"/>
          <w:b/>
          <w:color w:val="0F4761"/>
          <w:sz w:val="26"/>
        </w:rPr>
        <w:t>3.1  Sources</w:t>
      </w:r>
    </w:p>
    <w:p>
      <w:pPr>
        <w:pStyle w:val="Normal"/>
        <w:spacing w:lineRule="auto" w:line="276" w:before="0" w:after="120"/>
        <w:rPr/>
      </w:pPr>
      <w:r>
        <w:rPr>
          <w:rFonts w:eastAsia="Segoe UI" w:cs="Segoe UI" w:ascii="Segoe UI" w:hAnsi="Segoe UI"/>
          <w:color w:val="101820"/>
          <w:sz w:val="21"/>
        </w:rPr>
        <w:t>All facts come from the application and the database:</w:t>
      </w:r>
    </w:p>
    <w:p>
      <w:pPr>
        <w:pStyle w:val="Normal"/>
        <w:numPr>
          <w:ilvl w:val="0"/>
          <w:numId w:val="1"/>
        </w:numPr>
        <w:spacing w:before="0" w:after="60"/>
        <w:rPr/>
      </w:pPr>
      <w:r>
        <w:rPr>
          <w:rFonts w:eastAsia="Segoe UI" w:cs="Segoe UI" w:ascii="Segoe UI" w:hAnsi="Segoe UI"/>
          <w:color w:val="101820"/>
          <w:sz w:val="21"/>
        </w:rPr>
        <w:t xml:space="preserve">the migration files in </w:t>
      </w:r>
      <w:r>
        <w:rPr>
          <w:rFonts w:eastAsia="Consolas" w:cs="Consolas" w:ascii="Consolas" w:hAnsi="Consolas"/>
          <w:color w:val="101820"/>
          <w:sz w:val="19"/>
        </w:rPr>
        <w:t>backend/src/db/migrations</w:t>
      </w:r>
      <w:r>
        <w:rPr>
          <w:rFonts w:eastAsia="Segoe UI" w:cs="Segoe UI" w:ascii="Segoe UI" w:hAnsi="Segoe UI"/>
          <w:color w:val="101820"/>
          <w:sz w:val="21"/>
        </w:rPr>
        <w:t xml:space="preserve"> (80 files, </w:t>
      </w:r>
      <w:r>
        <w:rPr>
          <w:rFonts w:eastAsia="Consolas" w:cs="Consolas" w:ascii="Consolas" w:hAnsi="Consolas"/>
          <w:color w:val="101820"/>
          <w:sz w:val="19"/>
        </w:rPr>
        <w:t>0001_core.sql</w:t>
      </w:r>
      <w:r>
        <w:rPr>
          <w:rFonts w:eastAsia="Segoe UI" w:cs="Segoe UI" w:ascii="Segoe UI" w:hAnsi="Segoe UI"/>
          <w:color w:val="101820"/>
          <w:sz w:val="21"/>
        </w:rPr>
        <w:t xml:space="preserve"> to </w:t>
      </w:r>
      <w:r>
        <w:rPr>
          <w:rFonts w:eastAsia="Consolas" w:cs="Consolas" w:ascii="Consolas" w:hAnsi="Consolas"/>
          <w:color w:val="101820"/>
          <w:sz w:val="19"/>
        </w:rPr>
        <w:t>0216_claim_settlement_repair_shop.sql</w:t>
      </w:r>
      <w:r>
        <w:rPr>
          <w:rFonts w:eastAsia="Segoe UI" w:cs="Segoe UI" w:ascii="Segoe UI" w:hAnsi="Segoe UI"/>
          <w:color w:val="101820"/>
          <w:sz w:val="21"/>
        </w:rPr>
        <w:t>), including the comments written next to the columns;</w:t>
      </w:r>
    </w:p>
    <w:p>
      <w:pPr>
        <w:pStyle w:val="Normal"/>
        <w:numPr>
          <w:ilvl w:val="0"/>
          <w:numId w:val="1"/>
        </w:numPr>
        <w:spacing w:before="0" w:after="60"/>
        <w:rPr/>
      </w:pPr>
      <w:r>
        <w:rPr>
          <w:rFonts w:eastAsia="Segoe UI" w:cs="Segoe UI" w:ascii="Segoe UI" w:hAnsi="Segoe UI"/>
          <w:color w:val="101820"/>
          <w:sz w:val="21"/>
        </w:rPr>
        <w:t xml:space="preserve">the seed files in </w:t>
      </w:r>
      <w:r>
        <w:rPr>
          <w:rFonts w:eastAsia="Consolas" w:cs="Consolas" w:ascii="Consolas" w:hAnsi="Consolas"/>
          <w:color w:val="101820"/>
          <w:sz w:val="19"/>
        </w:rPr>
        <w:t>backend/src/db/seeds</w:t>
      </w:r>
      <w:r>
        <w:rPr>
          <w:rFonts w:eastAsia="Segoe UI" w:cs="Segoe UI" w:ascii="Segoe UI" w:hAnsi="Segoe UI"/>
          <w:color w:val="101820"/>
          <w:sz w:val="21"/>
        </w:rPr>
        <w:t xml:space="preserve"> and the seed step </w:t>
      </w:r>
      <w:r>
        <w:rPr>
          <w:rFonts w:eastAsia="Consolas" w:cs="Consolas" w:ascii="Consolas" w:hAnsi="Consolas"/>
          <w:color w:val="101820"/>
          <w:sz w:val="19"/>
        </w:rPr>
        <w:t>backend/src/db/seed.js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the module code in </w:t>
      </w:r>
      <w:r>
        <w:rPr>
          <w:rFonts w:eastAsia="Consolas" w:cs="Consolas" w:ascii="Consolas" w:hAnsi="Consolas"/>
          <w:color w:val="101820"/>
          <w:sz w:val="19"/>
        </w:rPr>
        <w:t>backend/src/modules</w:t>
      </w:r>
      <w:r>
        <w:rPr>
          <w:rFonts w:eastAsia="Segoe UI" w:cs="Segoe UI" w:ascii="Segoe UI" w:hAnsi="Segoe UI"/>
          <w:color w:val="101820"/>
          <w:sz w:val="21"/>
        </w:rPr>
        <w:t xml:space="preserve"> (status vocabularies, validation, posting) and the scheduled jobs in </w:t>
      </w:r>
      <w:r>
        <w:rPr>
          <w:rFonts w:eastAsia="Consolas" w:cs="Consolas" w:ascii="Consolas" w:hAnsi="Consolas"/>
          <w:color w:val="101820"/>
          <w:sz w:val="19"/>
        </w:rPr>
        <w:t>backend/src/jobs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the catalogue of a fully migrated and loaded PostgreSQL test database (</w:t>
      </w:r>
      <w:r>
        <w:rPr>
          <w:rFonts w:eastAsia="Consolas" w:cs="Consolas" w:ascii="Consolas" w:hAnsi="Consolas"/>
          <w:color w:val="101820"/>
          <w:sz w:val="19"/>
        </w:rPr>
        <w:t>golive</w:t>
      </w:r>
      <w:r>
        <w:rPr>
          <w:rFonts w:eastAsia="Segoe UI" w:cs="Segoe UI" w:ascii="Segoe UI" w:hAnsi="Segoe UI"/>
          <w:color w:val="101820"/>
          <w:sz w:val="21"/>
        </w:rPr>
        <w:t>): tables, columns, keys, indexes, constraints and row counts.</w:t>
      </w:r>
    </w:p>
    <w:p>
      <w:pPr>
        <w:pStyle w:val="Normal"/>
        <w:shd w:val="clear" w:color="auto" w:fill="EAF2FB"/>
        <w:spacing w:before="0" w:after="160"/>
        <w:ind w:left="170"/>
        <w:rPr/>
      </w:pPr>
      <w:r>
        <w:rPr>
          <w:rFonts w:eastAsia="Segoe UI" w:cs="Segoe UI" w:ascii="Segoe UI" w:hAnsi="Segoe UI"/>
          <w:color w:val="101820"/>
          <w:sz w:val="20"/>
        </w:rPr>
        <w:t>Row counts in this document and in the workbook are those of the loaded test database, which holds reference data and the sample data set. They show the relative weight of the tables, not production volumes. A production database starts with reference data only.</w:t>
      </w:r>
    </w:p>
    <w:p>
      <w:pPr>
        <w:pStyle w:val="Heading2"/>
        <w:rPr/>
      </w:pPr>
      <w:bookmarkStart w:id="8" w:name="__RefHeading___Toc37991_3949650649"/>
      <w:bookmarkEnd w:id="8"/>
      <w:r>
        <w:rPr>
          <w:rFonts w:eastAsia="Segoe UI" w:cs="Segoe UI"/>
          <w:b/>
          <w:color w:val="0F4761"/>
          <w:sz w:val="26"/>
        </w:rPr>
        <w:t>3.2  The companion workbook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Sheet</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of tables, columns, keys, indexes, constraints and settings; columns by data type; tables and rows by functional area.</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row per table and view: functional area, owning module, description, primary key, rows in the test database, number of columns, the migration that created it, retention class and whether it holds personal data.</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row per column (2,797 rows): position, data type, length or precision, nullable, default, primary key, foreign key target, uniqueness, personal data class, the migration that added it and a business description.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Relationships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292 foreign keys: child and parent table and columns, delete and update rule, functional areas and whether an index supports the key.</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Indexes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520 indexes: kind, method, columns or expression and the condition of partial indexes.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values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vocabularies from the code, allowed values of CHECK constraints, values documented in the migrations, all 404 application settings with group, label and seeded value, master types and master records, document number series, roles, tax codes, bank transaction types, the month-end checklist, scheduled jobs and posting rule events.</w:t>
            </w:r>
          </w:p>
        </w:tc>
      </w:tr>
    </w:tbl>
    <w:p>
      <w:pPr>
        <w:pStyle w:val="Normal"/>
        <w:spacing w:before="0" w:after="80"/>
        <w:rPr/>
      </w:pPr>
      <w:r>
        <w:rPr/>
      </w:r>
    </w:p>
    <w:p>
      <w:pPr>
        <w:pStyle w:val="Heading2"/>
        <w:rPr/>
      </w:pPr>
      <w:bookmarkStart w:id="9" w:name="__RefHeading___Toc37993_3949650649"/>
      <w:bookmarkEnd w:id="9"/>
      <w:r>
        <w:rPr>
          <w:rFonts w:eastAsia="Segoe UI" w:cs="Segoe UI"/>
          <w:b/>
          <w:color w:val="0F4761"/>
          <w:sz w:val="26"/>
        </w:rPr>
        <w:t>3.3  Database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 (loaded test database)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engine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PostgreSQL, schema </w:t>
            </w:r>
            <w:r>
              <w:rPr>
                <w:rFonts w:eastAsia="Consolas" w:cs="Consolas" w:ascii="Consolas" w:hAnsi="Consolas"/>
                <w:color w:val="101820"/>
                <w:kern w:val="0"/>
                <w:sz w:val="16"/>
                <w:szCs w:val="24"/>
                <w:lang w:val="en-US" w:eastAsia="ja-JP" w:bidi="ar-SA"/>
              </w:rPr>
              <w:t>public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applied</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 (0001_core.sql to 0216_claim_settlement_repair_shop.sql)</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167</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w:t>
            </w:r>
            <w:r>
              <w:rPr>
                <w:rFonts w:eastAsia="Consolas" w:cs="Consolas" w:ascii="Consolas" w:hAnsi="Consolas"/>
                <w:color w:val="101820"/>
                <w:kern w:val="0"/>
                <w:sz w:val="16"/>
                <w:szCs w:val="24"/>
                <w:lang w:val="en-US" w:eastAsia="ja-JP" w:bidi="ar-SA"/>
              </w:rPr>
              <w:t>bank_account_links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bank_book_lines</w:t>
            </w:r>
            <w:r>
              <w:rPr>
                <w:rFonts w:eastAsia="Segoe UI" w:cs="Segoe UI" w:ascii="Segoe UI" w:hAnsi="Segoe UI"/>
                <w:color w:val="101820"/>
                <w:kern w:val="0"/>
                <w:sz w:val="18"/>
                <w:szCs w:val="24"/>
                <w:lang w:val="en-US" w:eastAsia="ja-JP" w:bidi="ar-SA"/>
              </w:rPr>
              <w: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2,756 in tables, 2,797 including the views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Foreign keys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292 (244 no action, 44 cascade, 4 set null)</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Indexes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520 (167 primary keys, 111 further unique, 40 partial, 1 GIN)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constraints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174</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settings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 keys in 42 groups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Rows in all tables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7,669</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 holding personal data</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137 in 41 tables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The figures above describe the loaded test database at migration 0216. The release adds migrations 0217 to 0242; the ones that change the model for users are 0221 (data privacy: tables </w:t>
      </w:r>
      <w:r>
        <w:rPr>
          <w:rFonts w:eastAsia="Consolas" w:cs="Consolas" w:ascii="Consolas" w:hAnsi="Consolas"/>
          <w:color w:val="101820"/>
          <w:sz w:val="18"/>
        </w:rPr>
        <w:t>privacy_consents</w:t>
      </w:r>
      <w:r>
        <w:rPr>
          <w:rFonts w:eastAsia="Segoe UI" w:cs="Segoe UI" w:ascii="Segoe UI" w:hAnsi="Segoe UI"/>
          <w:color w:val="101820"/>
          <w:sz w:val="20"/>
        </w:rPr>
        <w:t xml:space="preserve"> and </w:t>
      </w:r>
      <w:r>
        <w:rPr>
          <w:rFonts w:eastAsia="Consolas" w:cs="Consolas" w:ascii="Consolas" w:hAnsi="Consolas"/>
          <w:color w:val="101820"/>
          <w:sz w:val="18"/>
        </w:rPr>
        <w:t>data_subject_requests</w:t>
      </w:r>
      <w:r>
        <w:rPr>
          <w:rFonts w:eastAsia="Segoe UI" w:cs="Segoe UI" w:ascii="Segoe UI" w:hAnsi="Segoe UI"/>
          <w:color w:val="101820"/>
          <w:sz w:val="20"/>
        </w:rPr>
        <w:t xml:space="preserve">, columns </w:t>
      </w:r>
      <w:r>
        <w:rPr>
          <w:rFonts w:eastAsia="Consolas" w:cs="Consolas" w:ascii="Consolas" w:hAnsi="Consolas"/>
          <w:color w:val="101820"/>
          <w:sz w:val="18"/>
        </w:rPr>
        <w:t>anonymised_at</w:t>
      </w:r>
      <w:r>
        <w:rPr>
          <w:rFonts w:eastAsia="Segoe UI" w:cs="Segoe UI" w:ascii="Segoe UI" w:hAnsi="Segoe UI"/>
          <w:color w:val="101820"/>
          <w:sz w:val="20"/>
        </w:rPr>
        <w:t xml:space="preserve"> and </w:t>
      </w:r>
      <w:r>
        <w:rPr>
          <w:rFonts w:eastAsia="Consolas" w:cs="Consolas" w:ascii="Consolas" w:hAnsi="Consolas"/>
          <w:color w:val="101820"/>
          <w:sz w:val="18"/>
        </w:rPr>
        <w:t>anonymised_by</w:t>
      </w:r>
      <w:r>
        <w:rPr>
          <w:rFonts w:eastAsia="Segoe UI" w:cs="Segoe UI" w:ascii="Segoe UI" w:hAnsi="Segoe UI"/>
          <w:color w:val="101820"/>
          <w:sz w:val="20"/>
        </w:rPr>
        <w:t xml:space="preserve"> on </w:t>
      </w:r>
      <w:r>
        <w:rPr>
          <w:rFonts w:eastAsia="Consolas" w:cs="Consolas" w:ascii="Consolas" w:hAnsi="Consolas"/>
          <w:color w:val="101820"/>
          <w:sz w:val="18"/>
        </w:rPr>
        <w:t>clients</w:t>
      </w:r>
      <w:r>
        <w:rPr>
          <w:rFonts w:eastAsia="Segoe UI" w:cs="Segoe UI" w:ascii="Segoe UI" w:hAnsi="Segoe UI"/>
          <w:color w:val="101820"/>
          <w:sz w:val="20"/>
        </w:rPr>
        <w:t xml:space="preserve"> and </w:t>
      </w:r>
      <w:r>
        <w:rPr>
          <w:rFonts w:eastAsia="Consolas" w:cs="Consolas" w:ascii="Consolas" w:hAnsi="Consolas"/>
          <w:color w:val="101820"/>
          <w:sz w:val="18"/>
        </w:rPr>
        <w:t>leads</w:t>
      </w:r>
      <w:r>
        <w:rPr>
          <w:rFonts w:eastAsia="Segoe UI" w:cs="Segoe UI" w:ascii="Segoe UI" w:hAnsi="Segoe UI"/>
          <w:color w:val="101820"/>
          <w:sz w:val="20"/>
        </w:rPr>
        <w:t>), 0225 (</w:t>
      </w:r>
      <w:r>
        <w:rPr>
          <w:rFonts w:eastAsia="Consolas" w:cs="Consolas" w:ascii="Consolas" w:hAnsi="Consolas"/>
          <w:color w:val="101820"/>
          <w:sz w:val="18"/>
        </w:rPr>
        <w:t>email_outbox.attachments</w:t>
      </w:r>
      <w:r>
        <w:rPr>
          <w:rFonts w:eastAsia="Segoe UI" w:cs="Segoe UI" w:ascii="Segoe UI" w:hAnsi="Segoe UI"/>
          <w:color w:val="101820"/>
          <w:sz w:val="20"/>
        </w:rPr>
        <w:t>) and 0235 (one base currency and dated exchange rates). These tables and columns are described below where they belong.</w:t>
      </w:r>
      <w:r>
        <w:br w:type="page"/>
      </w:r>
    </w:p>
    <w:p>
      <w:pPr>
        <w:pStyle w:val="Heading1"/>
        <w:rPr/>
      </w:pPr>
      <w:bookmarkStart w:id="10" w:name="__RefHeading___Toc37995_3949650649"/>
      <w:bookmarkEnd w:id="10"/>
      <w:r>
        <w:rPr>
          <w:rFonts w:eastAsia="Segoe UI" w:cs="Segoe UI" w:ascii="Segoe UI" w:hAnsi="Segoe UI"/>
          <w:b/>
          <w:color w:val="0F4761"/>
          <w:sz w:val="32"/>
        </w:rPr>
        <w:t>4.  Conventions</w:t>
      </w:r>
    </w:p>
    <w:p>
      <w:pPr>
        <w:pStyle w:val="Heading2"/>
        <w:rPr/>
      </w:pPr>
      <w:bookmarkStart w:id="11" w:name="__RefHeading___Toc37997_3949650649"/>
      <w:bookmarkEnd w:id="11"/>
      <w:r>
        <w:rPr>
          <w:rFonts w:eastAsia="Segoe UI" w:cs="Segoe UI"/>
          <w:b/>
          <w:color w:val="0F4761"/>
          <w:sz w:val="26"/>
        </w:rPr>
        <w:t>4.1  Naming</w:t>
      </w:r>
    </w:p>
    <w:p>
      <w:pPr>
        <w:pStyle w:val="Normal"/>
        <w:numPr>
          <w:ilvl w:val="0"/>
          <w:numId w:val="1"/>
        </w:numPr>
        <w:spacing w:before="0" w:after="60"/>
        <w:rPr/>
      </w:pPr>
      <w:r>
        <w:rPr>
          <w:rFonts w:eastAsia="Segoe UI" w:cs="Segoe UI" w:ascii="Segoe UI" w:hAnsi="Segoe UI"/>
          <w:color w:val="101820"/>
          <w:sz w:val="21"/>
        </w:rPr>
        <w:t>Tables and columns are lower case with underscores (</w:t>
      </w:r>
      <w:r>
        <w:rPr>
          <w:rFonts w:eastAsia="Consolas" w:cs="Consolas" w:ascii="Consolas" w:hAnsi="Consolas"/>
          <w:color w:val="101820"/>
          <w:sz w:val="19"/>
        </w:rPr>
        <w:t>journal_vouchers</w:t>
      </w:r>
      <w:r>
        <w:rPr>
          <w:rFonts w:eastAsia="Segoe UI" w:cs="Segoe UI" w:ascii="Segoe UI" w:hAnsi="Segoe UI"/>
          <w:color w:val="101820"/>
          <w:sz w:val="21"/>
        </w:rPr>
        <w:t xml:space="preserve">, </w:t>
      </w:r>
      <w:r>
        <w:rPr>
          <w:rFonts w:eastAsia="Consolas" w:cs="Consolas" w:ascii="Consolas" w:hAnsi="Consolas"/>
          <w:color w:val="101820"/>
          <w:sz w:val="19"/>
        </w:rPr>
        <w:t>premium_total</w:t>
      </w:r>
      <w:r>
        <w:rPr>
          <w:rFonts w:eastAsia="Segoe UI" w:cs="Segoe UI" w:ascii="Segoe UI" w:hAnsi="Segoe UI"/>
          <w:color w:val="101820"/>
          <w:sz w:val="21"/>
        </w:rPr>
        <w:t>). Table names are plural nouns (</w:t>
      </w:r>
      <w:r>
        <w:rPr>
          <w:rFonts w:eastAsia="Consolas" w:cs="Consolas" w:ascii="Consolas" w:hAnsi="Consolas"/>
          <w:color w:val="101820"/>
          <w:sz w:val="19"/>
        </w:rPr>
        <w:t>policies</w:t>
      </w:r>
      <w:r>
        <w:rPr>
          <w:rFonts w:eastAsia="Segoe UI" w:cs="Segoe UI" w:ascii="Segoe UI" w:hAnsi="Segoe UI"/>
          <w:color w:val="101820"/>
          <w:sz w:val="21"/>
        </w:rPr>
        <w:t xml:space="preserve">, </w:t>
      </w:r>
      <w:r>
        <w:rPr>
          <w:rFonts w:eastAsia="Consolas" w:cs="Consolas" w:ascii="Consolas" w:hAnsi="Consolas"/>
          <w:color w:val="101820"/>
          <w:sz w:val="19"/>
        </w:rPr>
        <w:t>receipts</w:t>
      </w:r>
      <w:r>
        <w:rPr>
          <w:rFonts w:eastAsia="Segoe UI" w:cs="Segoe UI" w:ascii="Segoe UI" w:hAnsi="Segoe UI"/>
          <w:color w:val="101820"/>
          <w:sz w:val="21"/>
        </w:rPr>
        <w:t>); line and child tables add a suffix (</w:t>
      </w:r>
      <w:r>
        <w:rPr>
          <w:rFonts w:eastAsia="Consolas" w:cs="Consolas" w:ascii="Consolas" w:hAnsi="Consolas"/>
          <w:color w:val="101820"/>
          <w:sz w:val="19"/>
        </w:rPr>
        <w:t>receipt_lines</w:t>
      </w:r>
      <w:r>
        <w:rPr>
          <w:rFonts w:eastAsia="Segoe UI" w:cs="Segoe UI" w:ascii="Segoe UI" w:hAnsi="Segoe UI"/>
          <w:color w:val="101820"/>
          <w:sz w:val="21"/>
        </w:rPr>
        <w:t xml:space="preserve">, </w:t>
      </w:r>
      <w:r>
        <w:rPr>
          <w:rFonts w:eastAsia="Consolas" w:cs="Consolas" w:ascii="Consolas" w:hAnsi="Consolas"/>
          <w:color w:val="101820"/>
          <w:sz w:val="19"/>
        </w:rPr>
        <w:t>posting_rule_lines</w:t>
      </w:r>
      <w:r>
        <w:rPr>
          <w:rFonts w:eastAsia="Segoe UI" w:cs="Segoe UI" w:ascii="Segoe UI" w:hAnsi="Segoe UI"/>
          <w:color w:val="101820"/>
          <w:sz w:val="21"/>
        </w:rPr>
        <w:t xml:space="preserve">, </w:t>
      </w:r>
      <w:r>
        <w:rPr>
          <w:rFonts w:eastAsia="Consolas" w:cs="Consolas" w:ascii="Consolas" w:hAnsi="Consolas"/>
          <w:color w:val="101820"/>
          <w:sz w:val="19"/>
        </w:rPr>
        <w:t>renewal_notices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A foreign-key column is named after the parent with </w:t>
      </w:r>
      <w:r>
        <w:rPr>
          <w:rFonts w:eastAsia="Consolas" w:cs="Consolas" w:ascii="Consolas" w:hAnsi="Consolas"/>
          <w:color w:val="101820"/>
          <w:sz w:val="19"/>
        </w:rPr>
        <w:t>_id</w:t>
      </w:r>
      <w:r>
        <w:rPr>
          <w:rFonts w:eastAsia="Segoe UI" w:cs="Segoe UI" w:ascii="Segoe UI" w:hAnsi="Segoe UI"/>
          <w:color w:val="101820"/>
          <w:sz w:val="21"/>
        </w:rPr>
        <w:t xml:space="preserve"> (</w:t>
      </w:r>
      <w:r>
        <w:rPr>
          <w:rFonts w:eastAsia="Consolas" w:cs="Consolas" w:ascii="Consolas" w:hAnsi="Consolas"/>
          <w:color w:val="101820"/>
          <w:sz w:val="19"/>
        </w:rPr>
        <w:t>policy_id</w:t>
      </w:r>
      <w:r>
        <w:rPr>
          <w:rFonts w:eastAsia="Segoe UI" w:cs="Segoe UI" w:ascii="Segoe UI" w:hAnsi="Segoe UI"/>
          <w:color w:val="101820"/>
          <w:sz w:val="21"/>
        </w:rPr>
        <w:t xml:space="preserve">, </w:t>
      </w:r>
      <w:r>
        <w:rPr>
          <w:rFonts w:eastAsia="Consolas" w:cs="Consolas" w:ascii="Consolas" w:hAnsi="Consolas"/>
          <w:color w:val="101820"/>
          <w:sz w:val="19"/>
        </w:rPr>
        <w:t>client_id</w:t>
      </w:r>
      <w:r>
        <w:rPr>
          <w:rFonts w:eastAsia="Segoe UI" w:cs="Segoe UI" w:ascii="Segoe UI" w:hAnsi="Segoe UI"/>
          <w:color w:val="101820"/>
          <w:sz w:val="21"/>
        </w:rPr>
        <w:t xml:space="preserve">, </w:t>
      </w:r>
      <w:r>
        <w:rPr>
          <w:rFonts w:eastAsia="Consolas" w:cs="Consolas" w:ascii="Consolas" w:hAnsi="Consolas"/>
          <w:color w:val="101820"/>
          <w:sz w:val="19"/>
        </w:rPr>
        <w:t>insurance_company_id</w:t>
      </w:r>
      <w:r>
        <w:rPr>
          <w:rFonts w:eastAsia="Segoe UI" w:cs="Segoe UI" w:ascii="Segoe UI" w:hAnsi="Segoe UI"/>
          <w:color w:val="101820"/>
          <w:sz w:val="21"/>
        </w:rPr>
        <w:t xml:space="preserve">). Where a table refers to the same parent more than once, the column says the role: </w:t>
      </w:r>
      <w:r>
        <w:rPr>
          <w:rFonts w:eastAsia="Consolas" w:cs="Consolas" w:ascii="Consolas" w:hAnsi="Consolas"/>
          <w:color w:val="101820"/>
          <w:sz w:val="19"/>
        </w:rPr>
        <w:t>renewed_from</w:t>
      </w:r>
      <w:r>
        <w:rPr>
          <w:rFonts w:eastAsia="Segoe UI" w:cs="Segoe UI" w:ascii="Segoe UI" w:hAnsi="Segoe UI"/>
          <w:color w:val="101820"/>
          <w:sz w:val="21"/>
        </w:rPr>
        <w:t xml:space="preserve">, </w:t>
      </w:r>
      <w:r>
        <w:rPr>
          <w:rFonts w:eastAsia="Consolas" w:cs="Consolas" w:ascii="Consolas" w:hAnsi="Consolas"/>
          <w:color w:val="101820"/>
          <w:sz w:val="19"/>
        </w:rPr>
        <w:t>new_policy_id</w:t>
      </w:r>
      <w:r>
        <w:rPr>
          <w:rFonts w:eastAsia="Segoe UI" w:cs="Segoe UI" w:ascii="Segoe UI" w:hAnsi="Segoe UI"/>
          <w:color w:val="101820"/>
          <w:sz w:val="21"/>
        </w:rPr>
        <w:t xml:space="preserve">, </w:t>
      </w:r>
      <w:r>
        <w:rPr>
          <w:rFonts w:eastAsia="Consolas" w:cs="Consolas" w:ascii="Consolas" w:hAnsi="Consolas"/>
          <w:color w:val="101820"/>
          <w:sz w:val="19"/>
        </w:rPr>
        <w:t>reversal_of</w:t>
      </w:r>
      <w:r>
        <w:rPr>
          <w:rFonts w:eastAsia="Segoe UI" w:cs="Segoe UI" w:ascii="Segoe UI" w:hAnsi="Segoe UI"/>
          <w:color w:val="101820"/>
          <w:sz w:val="21"/>
        </w:rPr>
        <w:t xml:space="preserve">, </w:t>
      </w:r>
      <w:r>
        <w:rPr>
          <w:rFonts w:eastAsia="Consolas" w:cs="Consolas" w:ascii="Consolas" w:hAnsi="Consolas"/>
          <w:color w:val="101820"/>
          <w:sz w:val="19"/>
        </w:rPr>
        <w:t>booking_jv_id</w:t>
      </w:r>
      <w:r>
        <w:rPr>
          <w:rFonts w:eastAsia="Segoe UI" w:cs="Segoe UI" w:ascii="Segoe UI" w:hAnsi="Segoe UI"/>
          <w:color w:val="101820"/>
          <w:sz w:val="21"/>
        </w:rPr>
        <w:t xml:space="preserve">, </w:t>
      </w:r>
      <w:r>
        <w:rPr>
          <w:rFonts w:eastAsia="Consolas" w:cs="Consolas" w:ascii="Consolas" w:hAnsi="Consolas"/>
          <w:color w:val="101820"/>
          <w:sz w:val="19"/>
        </w:rPr>
        <w:t>accrual_jv_id</w:t>
      </w:r>
      <w:r>
        <w:rPr>
          <w:rFonts w:eastAsia="Segoe UI" w:cs="Segoe UI" w:ascii="Segoe UI" w:hAnsi="Segoe UI"/>
          <w:color w:val="101820"/>
          <w:sz w:val="21"/>
        </w:rPr>
        <w:t xml:space="preserve">, </w:t>
      </w:r>
      <w:r>
        <w:rPr>
          <w:rFonts w:eastAsia="Consolas" w:cs="Consolas" w:ascii="Consolas" w:hAnsi="Consolas"/>
          <w:color w:val="101820"/>
          <w:sz w:val="19"/>
        </w:rPr>
        <w:t>owner_user_id</w:t>
      </w:r>
      <w:r>
        <w:rPr>
          <w:rFonts w:eastAsia="Segoe UI" w:cs="Segoe UI" w:ascii="Segoe UI" w:hAnsi="Segoe UI"/>
          <w:color w:val="101820"/>
          <w:sz w:val="21"/>
        </w:rPr>
        <w:t xml:space="preserve">, </w:t>
      </w:r>
      <w:r>
        <w:rPr>
          <w:rFonts w:eastAsia="Consolas" w:cs="Consolas" w:ascii="Consolas" w:hAnsi="Consolas"/>
          <w:color w:val="101820"/>
          <w:sz w:val="19"/>
        </w:rPr>
        <w:t>handler_user_id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Stamps end in </w:t>
      </w:r>
      <w:r>
        <w:rPr>
          <w:rFonts w:eastAsia="Consolas" w:cs="Consolas" w:ascii="Consolas" w:hAnsi="Consolas"/>
          <w:color w:val="101820"/>
          <w:sz w:val="19"/>
        </w:rPr>
        <w:t>_at</w:t>
      </w:r>
      <w:r>
        <w:rPr>
          <w:rFonts w:eastAsia="Segoe UI" w:cs="Segoe UI" w:ascii="Segoe UI" w:hAnsi="Segoe UI"/>
          <w:color w:val="101820"/>
          <w:sz w:val="21"/>
        </w:rPr>
        <w:t xml:space="preserve"> (date and time) and </w:t>
      </w:r>
      <w:r>
        <w:rPr>
          <w:rFonts w:eastAsia="Consolas" w:cs="Consolas" w:ascii="Consolas" w:hAnsi="Consolas"/>
          <w:color w:val="101820"/>
          <w:sz w:val="19"/>
        </w:rPr>
        <w:t>_by</w:t>
      </w:r>
      <w:r>
        <w:rPr>
          <w:rFonts w:eastAsia="Segoe UI" w:cs="Segoe UI" w:ascii="Segoe UI" w:hAnsi="Segoe UI"/>
          <w:color w:val="101820"/>
          <w:sz w:val="21"/>
        </w:rPr>
        <w:t xml:space="preserve"> (user): </w:t>
      </w:r>
      <w:r>
        <w:rPr>
          <w:rFonts w:eastAsia="Consolas" w:cs="Consolas" w:ascii="Consolas" w:hAnsi="Consolas"/>
          <w:color w:val="101820"/>
          <w:sz w:val="19"/>
        </w:rPr>
        <w:t>approved_at</w:t>
      </w:r>
      <w:r>
        <w:rPr>
          <w:rFonts w:eastAsia="Segoe UI" w:cs="Segoe UI" w:ascii="Segoe UI" w:hAnsi="Segoe UI"/>
          <w:color w:val="101820"/>
          <w:sz w:val="21"/>
        </w:rPr>
        <w:t xml:space="preserve">, </w:t>
      </w:r>
      <w:r>
        <w:rPr>
          <w:rFonts w:eastAsia="Consolas" w:cs="Consolas" w:ascii="Consolas" w:hAnsi="Consolas"/>
          <w:color w:val="101820"/>
          <w:sz w:val="19"/>
        </w:rPr>
        <w:t>approved_by</w:t>
      </w:r>
      <w:r>
        <w:rPr>
          <w:rFonts w:eastAsia="Segoe UI" w:cs="Segoe UI" w:ascii="Segoe UI" w:hAnsi="Segoe UI"/>
          <w:color w:val="101820"/>
          <w:sz w:val="21"/>
        </w:rPr>
        <w:t xml:space="preserve">. Calendar dates end in </w:t>
      </w:r>
      <w:r>
        <w:rPr>
          <w:rFonts w:eastAsia="Consolas" w:cs="Consolas" w:ascii="Consolas" w:hAnsi="Consolas"/>
          <w:color w:val="101820"/>
          <w:sz w:val="19"/>
        </w:rPr>
        <w:t>_date</w:t>
      </w:r>
      <w:r>
        <w:rPr>
          <w:rFonts w:eastAsia="Segoe UI" w:cs="Segoe UI" w:ascii="Segoe UI" w:hAnsi="Segoe UI"/>
          <w:color w:val="101820"/>
          <w:sz w:val="21"/>
        </w:rPr>
        <w:t xml:space="preserve"> (</w:t>
      </w:r>
      <w:r>
        <w:rPr>
          <w:rFonts w:eastAsia="Consolas" w:cs="Consolas" w:ascii="Consolas" w:hAnsi="Consolas"/>
          <w:color w:val="101820"/>
          <w:sz w:val="19"/>
        </w:rPr>
        <w:t>jv_date</w:t>
      </w:r>
      <w:r>
        <w:rPr>
          <w:rFonts w:eastAsia="Segoe UI" w:cs="Segoe UI" w:ascii="Segoe UI" w:hAnsi="Segoe UI"/>
          <w:color w:val="101820"/>
          <w:sz w:val="21"/>
        </w:rPr>
        <w:t xml:space="preserve">, </w:t>
      </w:r>
      <w:r>
        <w:rPr>
          <w:rFonts w:eastAsia="Consolas" w:cs="Consolas" w:ascii="Consolas" w:hAnsi="Consolas"/>
          <w:color w:val="101820"/>
          <w:sz w:val="19"/>
        </w:rPr>
        <w:t>due_date</w:t>
      </w:r>
      <w:r>
        <w:rPr>
          <w:rFonts w:eastAsia="Segoe UI" w:cs="Segoe UI" w:ascii="Segoe UI" w:hAnsi="Segoe UI"/>
          <w:color w:val="101820"/>
          <w:sz w:val="21"/>
        </w:rPr>
        <w:t xml:space="preserve">, </w:t>
      </w:r>
      <w:r>
        <w:rPr>
          <w:rFonts w:eastAsia="Consolas" w:cs="Consolas" w:ascii="Consolas" w:hAnsi="Consolas"/>
          <w:color w:val="101820"/>
          <w:sz w:val="19"/>
        </w:rPr>
        <w:t>loss_date</w:t>
      </w:r>
      <w:r>
        <w:rPr>
          <w:rFonts w:eastAsia="Segoe UI" w:cs="Segoe UI" w:ascii="Segoe UI" w:hAnsi="Segoe UI"/>
          <w:color w:val="101820"/>
          <w:sz w:val="21"/>
        </w:rPr>
        <w:t xml:space="preserve">). Flags start with </w:t>
      </w:r>
      <w:r>
        <w:rPr>
          <w:rFonts w:eastAsia="Consolas" w:cs="Consolas" w:ascii="Consolas" w:hAnsi="Consolas"/>
          <w:color w:val="101820"/>
          <w:sz w:val="19"/>
        </w:rPr>
        <w:t>is_</w:t>
      </w:r>
      <w:r>
        <w:rPr>
          <w:rFonts w:eastAsia="Segoe UI" w:cs="Segoe UI" w:ascii="Segoe UI" w:hAnsi="Segoe UI"/>
          <w:color w:val="101820"/>
          <w:sz w:val="21"/>
        </w:rPr>
        <w:t xml:space="preserve"> or read as a yes or no question (</w:t>
      </w:r>
      <w:r>
        <w:rPr>
          <w:rFonts w:eastAsia="Consolas" w:cs="Consolas" w:ascii="Consolas" w:hAnsi="Consolas"/>
          <w:color w:val="101820"/>
          <w:sz w:val="19"/>
        </w:rPr>
        <w:t>is_open_item</w:t>
      </w:r>
      <w:r>
        <w:rPr>
          <w:rFonts w:eastAsia="Segoe UI" w:cs="Segoe UI" w:ascii="Segoe UI" w:hAnsi="Segoe UI"/>
          <w:color w:val="101820"/>
          <w:sz w:val="21"/>
        </w:rPr>
        <w:t xml:space="preserve">, </w:t>
      </w:r>
      <w:r>
        <w:rPr>
          <w:rFonts w:eastAsia="Consolas" w:cs="Consolas" w:ascii="Consolas" w:hAnsi="Consolas"/>
          <w:color w:val="101820"/>
          <w:sz w:val="19"/>
        </w:rPr>
        <w:t>allow_manual</w:t>
      </w:r>
      <w:r>
        <w:rPr>
          <w:rFonts w:eastAsia="Segoe UI" w:cs="Segoe UI" w:ascii="Segoe UI" w:hAnsi="Segoe UI"/>
          <w:color w:val="101820"/>
          <w:sz w:val="21"/>
        </w:rPr>
        <w:t xml:space="preserve">, </w:t>
      </w:r>
      <w:r>
        <w:rPr>
          <w:rFonts w:eastAsia="Consolas" w:cs="Consolas" w:ascii="Consolas" w:hAnsi="Consolas"/>
          <w:color w:val="101820"/>
          <w:sz w:val="19"/>
        </w:rPr>
        <w:t>per_participant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Readable document numbers end in </w:t>
      </w:r>
      <w:r>
        <w:rPr>
          <w:rFonts w:eastAsia="Consolas" w:cs="Consolas" w:ascii="Consolas" w:hAnsi="Consolas"/>
          <w:color w:val="101820"/>
          <w:sz w:val="19"/>
        </w:rPr>
        <w:t>_number</w:t>
      </w:r>
      <w:r>
        <w:rPr>
          <w:rFonts w:eastAsia="Segoe UI" w:cs="Segoe UI" w:ascii="Segoe UI" w:hAnsi="Segoe UI"/>
          <w:color w:val="101820"/>
          <w:sz w:val="21"/>
        </w:rPr>
        <w:t xml:space="preserve"> (</w:t>
      </w:r>
      <w:r>
        <w:rPr>
          <w:rFonts w:eastAsia="Consolas" w:cs="Consolas" w:ascii="Consolas" w:hAnsi="Consolas"/>
          <w:color w:val="101820"/>
          <w:sz w:val="19"/>
        </w:rPr>
        <w:t>policy_number</w:t>
      </w:r>
      <w:r>
        <w:rPr>
          <w:rFonts w:eastAsia="Segoe UI" w:cs="Segoe UI" w:ascii="Segoe UI" w:hAnsi="Segoe UI"/>
          <w:color w:val="101820"/>
          <w:sz w:val="21"/>
        </w:rPr>
        <w:t xml:space="preserve">, </w:t>
      </w:r>
      <w:r>
        <w:rPr>
          <w:rFonts w:eastAsia="Consolas" w:cs="Consolas" w:ascii="Consolas" w:hAnsi="Consolas"/>
          <w:color w:val="101820"/>
          <w:sz w:val="19"/>
        </w:rPr>
        <w:t>receipt_number</w:t>
      </w:r>
      <w:r>
        <w:rPr>
          <w:rFonts w:eastAsia="Segoe UI" w:cs="Segoe UI" w:ascii="Segoe UI" w:hAnsi="Segoe UI"/>
          <w:color w:val="101820"/>
          <w:sz w:val="21"/>
        </w:rPr>
        <w:t xml:space="preserve">, </w:t>
      </w:r>
      <w:r>
        <w:rPr>
          <w:rFonts w:eastAsia="Consolas" w:cs="Consolas" w:ascii="Consolas" w:hAnsi="Consolas"/>
          <w:color w:val="101820"/>
          <w:sz w:val="19"/>
        </w:rPr>
        <w:t>jv_number</w:t>
      </w:r>
      <w:r>
        <w:rPr>
          <w:rFonts w:eastAsia="Segoe UI" w:cs="Segoe UI" w:ascii="Segoe UI" w:hAnsi="Segoe UI"/>
          <w:color w:val="101820"/>
          <w:sz w:val="21"/>
        </w:rPr>
        <w:t xml:space="preserve">). Rates and shares say their unit where it matters: </w:t>
      </w:r>
      <w:r>
        <w:rPr>
          <w:rFonts w:eastAsia="Consolas" w:cs="Consolas" w:ascii="Consolas" w:hAnsi="Consolas"/>
          <w:color w:val="101820"/>
          <w:sz w:val="19"/>
        </w:rPr>
        <w:t>_pct</w:t>
      </w:r>
      <w:r>
        <w:rPr>
          <w:rFonts w:eastAsia="Segoe UI" w:cs="Segoe UI" w:ascii="Segoe UI" w:hAnsi="Segoe UI"/>
          <w:color w:val="101820"/>
          <w:sz w:val="21"/>
        </w:rPr>
        <w:t xml:space="preserve"> and </w:t>
      </w:r>
      <w:r>
        <w:rPr>
          <w:rFonts w:eastAsia="Consolas" w:cs="Consolas" w:ascii="Consolas" w:hAnsi="Consolas"/>
          <w:color w:val="101820"/>
          <w:sz w:val="19"/>
        </w:rPr>
        <w:t>_percent</w:t>
      </w:r>
      <w:r>
        <w:rPr>
          <w:rFonts w:eastAsia="Segoe UI" w:cs="Segoe UI" w:ascii="Segoe UI" w:hAnsi="Segoe UI"/>
          <w:color w:val="101820"/>
          <w:sz w:val="21"/>
        </w:rPr>
        <w:t xml:space="preserve"> hold percent, </w:t>
      </w:r>
      <w:r>
        <w:rPr>
          <w:rFonts w:eastAsia="Consolas" w:cs="Consolas" w:ascii="Consolas" w:hAnsi="Consolas"/>
          <w:color w:val="101820"/>
          <w:sz w:val="19"/>
        </w:rPr>
        <w:t>commission_rate</w:t>
      </w:r>
      <w:r>
        <w:rPr>
          <w:rFonts w:eastAsia="Segoe UI" w:cs="Segoe UI" w:ascii="Segoe UI" w:hAnsi="Segoe UI"/>
          <w:color w:val="101820"/>
          <w:sz w:val="21"/>
        </w:rPr>
        <w:t xml:space="preserve"> holds a fraction.</w:t>
      </w:r>
    </w:p>
    <w:p>
      <w:pPr>
        <w:pStyle w:val="Normal"/>
        <w:numPr>
          <w:ilvl w:val="0"/>
          <w:numId w:val="1"/>
        </w:numPr>
        <w:spacing w:before="0" w:after="60"/>
        <w:rPr/>
      </w:pPr>
      <w:r>
        <w:rPr>
          <w:rFonts w:eastAsia="Segoe UI" w:cs="Segoe UI" w:ascii="Segoe UI" w:hAnsi="Segoe UI"/>
          <w:color w:val="101820"/>
          <w:sz w:val="21"/>
        </w:rPr>
        <w:t>Codes taken from settings or masters keep the code of the source (</w:t>
      </w:r>
      <w:r>
        <w:rPr>
          <w:rFonts w:eastAsia="Consolas" w:cs="Consolas" w:ascii="Consolas" w:hAnsi="Consolas"/>
          <w:color w:val="101820"/>
          <w:sz w:val="19"/>
        </w:rPr>
        <w:t>branch_code</w:t>
      </w:r>
      <w:r>
        <w:rPr>
          <w:rFonts w:eastAsia="Segoe UI" w:cs="Segoe UI" w:ascii="Segoe UI" w:hAnsi="Segoe UI"/>
          <w:color w:val="101820"/>
          <w:sz w:val="21"/>
        </w:rPr>
        <w:t xml:space="preserve">, </w:t>
      </w:r>
      <w:r>
        <w:rPr>
          <w:rFonts w:eastAsia="Consolas" w:cs="Consolas" w:ascii="Consolas" w:hAnsi="Consolas"/>
          <w:color w:val="101820"/>
          <w:sz w:val="19"/>
        </w:rPr>
        <w:t>account_code</w:t>
      </w:r>
      <w:r>
        <w:rPr>
          <w:rFonts w:eastAsia="Segoe UI" w:cs="Segoe UI" w:ascii="Segoe UI" w:hAnsi="Segoe UI"/>
          <w:color w:val="101820"/>
          <w:sz w:val="21"/>
        </w:rPr>
        <w:t xml:space="preserve">, </w:t>
      </w:r>
      <w:r>
        <w:rPr>
          <w:rFonts w:eastAsia="Consolas" w:cs="Consolas" w:ascii="Consolas" w:hAnsi="Consolas"/>
          <w:color w:val="101820"/>
          <w:sz w:val="19"/>
        </w:rPr>
        <w:t>gl_account_code</w:t>
      </w:r>
      <w:r>
        <w:rPr>
          <w:rFonts w:eastAsia="Segoe UI" w:cs="Segoe UI" w:ascii="Segoe UI" w:hAnsi="Segoe UI"/>
          <w:color w:val="101820"/>
          <w:sz w:val="21"/>
        </w:rPr>
        <w:t xml:space="preserve">, </w:t>
      </w:r>
      <w:r>
        <w:rPr>
          <w:rFonts w:eastAsia="Consolas" w:cs="Consolas" w:ascii="Consolas" w:hAnsi="Consolas"/>
          <w:color w:val="101820"/>
          <w:sz w:val="19"/>
        </w:rPr>
        <w:t>type_code</w:t>
      </w:r>
      <w:r>
        <w:rPr>
          <w:rFonts w:eastAsia="Segoe UI" w:cs="Segoe UI" w:ascii="Segoe UI" w:hAnsi="Segoe UI"/>
          <w:color w:val="101820"/>
          <w:sz w:val="21"/>
        </w:rPr>
        <w:t>).</w:t>
      </w:r>
    </w:p>
    <w:p>
      <w:pPr>
        <w:pStyle w:val="Heading2"/>
        <w:rPr/>
      </w:pPr>
      <w:bookmarkStart w:id="12" w:name="__RefHeading___Toc37999_3949650649"/>
      <w:bookmarkEnd w:id="12"/>
      <w:r>
        <w:rPr>
          <w:rFonts w:eastAsia="Segoe UI" w:cs="Segoe UI"/>
          <w:b/>
          <w:color w:val="0F4761"/>
          <w:sz w:val="26"/>
        </w:rPr>
        <w:t>4.2  Identifiers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Kind</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works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Text key with prefix (61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Business records. The database generates a prefix and random hexadecimal characters, for example </w:t>
            </w:r>
            <w:r>
              <w:rPr>
                <w:rFonts w:eastAsia="Consolas" w:cs="Consolas" w:ascii="Consolas" w:hAnsi="Consolas"/>
                <w:color w:val="101820"/>
                <w:kern w:val="0"/>
                <w:sz w:val="16"/>
                <w:szCs w:val="24"/>
                <w:lang w:val="en-US" w:eastAsia="ja-JP" w:bidi="ar-SA"/>
              </w:rPr>
              <w:t>pol_</w:t>
            </w:r>
            <w:r>
              <w:rPr>
                <w:rFonts w:eastAsia="Segoe UI" w:cs="Segoe UI" w:ascii="Segoe UI" w:hAnsi="Segoe UI"/>
                <w:color w:val="101820"/>
                <w:kern w:val="0"/>
                <w:sz w:val="18"/>
                <w:szCs w:val="24"/>
                <w:lang w:val="en-US" w:eastAsia="ja-JP" w:bidi="ar-SA"/>
              </w:rPr>
              <w:t xml:space="preserve"> + 16 characters for a policy, </w:t>
            </w:r>
            <w:r>
              <w:rPr>
                <w:rFonts w:eastAsia="Consolas" w:cs="Consolas" w:ascii="Consolas" w:hAnsi="Consolas"/>
                <w:color w:val="101820"/>
                <w:kern w:val="0"/>
                <w:sz w:val="16"/>
                <w:szCs w:val="24"/>
                <w:lang w:val="en-US" w:eastAsia="ja-JP" w:bidi="ar-SA"/>
              </w:rPr>
              <w:t>qt_</w:t>
            </w:r>
            <w:r>
              <w:rPr>
                <w:rFonts w:eastAsia="Segoe UI" w:cs="Segoe UI" w:ascii="Segoe UI" w:hAnsi="Segoe UI"/>
                <w:color w:val="101820"/>
                <w:kern w:val="0"/>
                <w:sz w:val="18"/>
                <w:szCs w:val="24"/>
                <w:lang w:val="en-US" w:eastAsia="ja-JP" w:bidi="ar-SA"/>
              </w:rPr>
              <w:t xml:space="preserve"> for a quotation, </w:t>
            </w:r>
            <w:r>
              <w:rPr>
                <w:rFonts w:eastAsia="Consolas" w:cs="Consolas" w:ascii="Consolas" w:hAnsi="Consolas"/>
                <w:color w:val="101820"/>
                <w:kern w:val="0"/>
                <w:sz w:val="16"/>
                <w:szCs w:val="24"/>
                <w:lang w:val="en-US" w:eastAsia="ja-JP" w:bidi="ar-SA"/>
              </w:rPr>
              <w:t>or_</w:t>
            </w:r>
            <w:r>
              <w:rPr>
                <w:rFonts w:eastAsia="Segoe UI" w:cs="Segoe UI" w:ascii="Segoe UI" w:hAnsi="Segoe UI"/>
                <w:color w:val="101820"/>
                <w:kern w:val="0"/>
                <w:sz w:val="18"/>
                <w:szCs w:val="24"/>
                <w:lang w:val="en-US" w:eastAsia="ja-JP" w:bidi="ar-SA"/>
              </w:rPr>
              <w:t xml:space="preserve"> for a receipt, </w:t>
            </w:r>
            <w:r>
              <w:rPr>
                <w:rFonts w:eastAsia="Consolas" w:cs="Consolas" w:ascii="Consolas" w:hAnsi="Consolas"/>
                <w:color w:val="101820"/>
                <w:kern w:val="0"/>
                <w:sz w:val="16"/>
                <w:szCs w:val="24"/>
                <w:lang w:val="en-US" w:eastAsia="ja-JP" w:bidi="ar-SA"/>
              </w:rPr>
              <w:t>jv_</w:t>
            </w:r>
            <w:r>
              <w:rPr>
                <w:rFonts w:eastAsia="Segoe UI" w:cs="Segoe UI" w:ascii="Segoe UI" w:hAnsi="Segoe UI"/>
                <w:color w:val="101820"/>
                <w:kern w:val="0"/>
                <w:sz w:val="18"/>
                <w:szCs w:val="24"/>
                <w:lang w:val="en-US" w:eastAsia="ja-JP" w:bidi="ar-SA"/>
              </w:rPr>
              <w:t xml:space="preserve"> for a journal voucher. The ids cannot be guessed and never collide across tables. </w:t>
            </w:r>
            <w:r>
              <w:rPr>
                <w:rFonts w:eastAsia="Consolas" w:cs="Consolas" w:ascii="Consolas" w:hAnsi="Consolas"/>
                <w:color w:val="101820"/>
                <w:kern w:val="0"/>
                <w:sz w:val="16"/>
                <w:szCs w:val="24"/>
                <w:lang w:val="en-US" w:eastAsia="ja-JP" w:bidi="ar-SA"/>
              </w:rPr>
              <w:t>commission_referrers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reinsurers</w:t>
            </w:r>
            <w:r>
              <w:rPr>
                <w:rFonts w:eastAsia="Segoe UI" w:cs="Segoe UI" w:ascii="Segoe UI" w:hAnsi="Segoe UI"/>
                <w:color w:val="101820"/>
                <w:kern w:val="0"/>
                <w:sz w:val="18"/>
                <w:szCs w:val="24"/>
                <w:lang w:val="en-US" w:eastAsia="ja-JP" w:bidi="ar-SA"/>
              </w:rPr>
              <w:t xml:space="preserve"> use a readable code instead (for example </w:t>
            </w:r>
            <w:r>
              <w:rPr>
                <w:rFonts w:eastAsia="Consolas" w:cs="Consolas" w:ascii="Consolas" w:hAnsi="Consolas"/>
                <w:color w:val="101820"/>
                <w:kern w:val="0"/>
                <w:sz w:val="16"/>
                <w:szCs w:val="24"/>
                <w:lang w:val="en-US" w:eastAsia="ja-JP" w:bidi="ar-SA"/>
              </w:rPr>
              <w:t>ref-dcruz</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RE001</w:t>
            </w:r>
            <w:r>
              <w:rPr>
                <w:rFonts w:eastAsia="Segoe UI" w:cs="Segoe UI" w:ascii="Segoe UI" w:hAnsi="Segoe UI"/>
                <w:color w:val="101820"/>
                <w:kern w:val="0"/>
                <w:sz w:val="18"/>
                <w:szCs w:val="24"/>
                <w:lang w:val="en-US" w:eastAsia="ja-JP" w:bidi="ar-SA"/>
              </w:rPr>
              <w: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Sequential number (83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lines and logs (</w:t>
            </w:r>
            <w:r>
              <w:rPr>
                <w:rFonts w:eastAsia="Consolas" w:cs="Consolas" w:ascii="Consolas" w:hAnsi="Consolas"/>
                <w:color w:val="101820"/>
                <w:kern w:val="0"/>
                <w:sz w:val="16"/>
                <w:szCs w:val="24"/>
                <w:lang w:val="en-US" w:eastAsia="ja-JP" w:bidi="ar-SA"/>
              </w:rPr>
              <w:t>integer</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bigint</w:t>
            </w:r>
            <w:r>
              <w:rPr>
                <w:rFonts w:eastAsia="Segoe UI" w:cs="Segoe UI" w:ascii="Segoe UI" w:hAnsi="Segoe UI"/>
                <w:color w:val="101820"/>
                <w:kern w:val="0"/>
                <w:sz w:val="18"/>
                <w:szCs w:val="24"/>
                <w:lang w:val="en-US" w:eastAsia="ja-JP" w:bidi="ar-SA"/>
              </w:rPr>
              <w:t xml:space="preserve"> from a sequence): countries, banks, insurers, products, </w:t>
            </w:r>
            <w:r>
              <w:rPr>
                <w:rFonts w:eastAsia="Consolas" w:cs="Consolas" w:ascii="Consolas" w:hAnsi="Consolas"/>
                <w:color w:val="101820"/>
                <w:kern w:val="0"/>
                <w:sz w:val="16"/>
                <w:szCs w:val="24"/>
                <w:lang w:val="en-US" w:eastAsia="ja-JP" w:bidi="ar-SA"/>
              </w:rPr>
              <w:t>journal_lines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risk_participants</w:t>
            </w:r>
            <w:r>
              <w:rPr>
                <w:rFonts w:eastAsia="Segoe UI" w:cs="Segoe UI" w:ascii="Segoe UI" w:hAnsi="Segoe UI"/>
                <w:color w:val="101820"/>
                <w:kern w:val="0"/>
                <w:sz w:val="18"/>
                <w:szCs w:val="24"/>
                <w:lang w:val="en-US" w:eastAsia="ja-JP" w:bidi="ar-SA"/>
              </w:rPr>
              <w: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Natural or composite key (the other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Codes that are themselves the key: </w:t>
            </w:r>
            <w:r>
              <w:rPr>
                <w:rFonts w:eastAsia="Consolas" w:cs="Consolas" w:ascii="Consolas" w:hAnsi="Consolas"/>
                <w:color w:val="101820"/>
                <w:kern w:val="0"/>
                <w:sz w:val="16"/>
                <w:szCs w:val="24"/>
                <w:lang w:val="en-US" w:eastAsia="ja-JP" w:bidi="ar-SA"/>
              </w:rPr>
              <w:t>app_settings(key)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gl_accounts(code)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tax_codes(code)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accounting_periods(period)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fiscal_years(code)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master_types(code)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sequences(name, period)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opening_balances(fiscal_year, account_code)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role_permissions(role_id, permission_id)</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Business numbers (QT-2026-00001, POL-2026-00001, OR-2026-00019, JV-, BS-, PS-, REM-, DN-, BRC-, MEC-) are separate unique columns, never primary keys. Every number comes from a series of the Document Numbering master (</w:t>
      </w:r>
      <w:r>
        <w:rPr>
          <w:rFonts w:eastAsia="Consolas" w:cs="Consolas" w:ascii="Consolas" w:hAnsi="Consolas"/>
          <w:color w:val="101820"/>
          <w:sz w:val="19"/>
        </w:rPr>
        <w:t>document_numbering</w:t>
      </w:r>
      <w:r>
        <w:rPr>
          <w:rFonts w:eastAsia="Segoe UI" w:cs="Segoe UI" w:ascii="Segoe UI" w:hAnsi="Segoe UI"/>
          <w:color w:val="101820"/>
          <w:sz w:val="21"/>
        </w:rPr>
        <w:t xml:space="preserve">, 60 series). The SQL function </w:t>
      </w:r>
      <w:r>
        <w:rPr>
          <w:rFonts w:eastAsia="Consolas" w:cs="Consolas" w:ascii="Consolas" w:hAnsi="Consolas"/>
          <w:color w:val="101820"/>
          <w:sz w:val="19"/>
        </w:rPr>
        <w:t>next_document_number()</w:t>
      </w:r>
      <w:r>
        <w:rPr>
          <w:rFonts w:eastAsia="Segoe UI" w:cs="Segoe UI" w:ascii="Segoe UI" w:hAnsi="Segoe UI"/>
          <w:color w:val="101820"/>
          <w:sz w:val="21"/>
        </w:rPr>
        <w:t xml:space="preserve"> locks the counter row in </w:t>
      </w:r>
      <w:r>
        <w:rPr>
          <w:rFonts w:eastAsia="Consolas" w:cs="Consolas" w:ascii="Consolas" w:hAnsi="Consolas"/>
          <w:color w:val="101820"/>
          <w:sz w:val="19"/>
        </w:rPr>
        <w:t>sequences</w:t>
      </w:r>
      <w:r>
        <w:rPr>
          <w:rFonts w:eastAsia="Segoe UI" w:cs="Segoe UI" w:ascii="Segoe UI" w:hAnsi="Segoe UI"/>
          <w:color w:val="101820"/>
          <w:sz w:val="21"/>
        </w:rPr>
        <w:t xml:space="preserve"> until the transaction ends, so two users never receive the same number and a cancelled save gives its number back. The pattern tokens are </w:t>
      </w:r>
      <w:r>
        <w:rPr>
          <w:rFonts w:eastAsia="Consolas" w:cs="Consolas" w:ascii="Consolas" w:hAnsi="Consolas"/>
          <w:color w:val="101820"/>
          <w:sz w:val="19"/>
        </w:rPr>
        <w:t>{PREFIX} {YYYY} {YY} {MM} {FY} {BRANCH} {LOB} {SEQ}</w:t>
      </w:r>
      <w:r>
        <w:rPr>
          <w:rFonts w:eastAsia="Segoe UI" w:cs="Segoe UI" w:ascii="Segoe UI" w:hAnsi="Segoe UI"/>
          <w:color w:val="101820"/>
          <w:sz w:val="21"/>
        </w:rPr>
        <w:t>; the reset rule is yearly, fiscal_yearly, monthly or never.</w:t>
      </w:r>
    </w:p>
    <w:p>
      <w:pPr>
        <w:pStyle w:val="Heading2"/>
        <w:rPr/>
      </w:pPr>
      <w:bookmarkStart w:id="13" w:name="__RefHeading___Toc38001_3949650649"/>
      <w:bookmarkEnd w:id="13"/>
      <w:r>
        <w:rPr>
          <w:rFonts w:eastAsia="Segoe UI" w:cs="Segoe UI"/>
          <w:b/>
          <w:color w:val="0F4761"/>
          <w:sz w:val="26"/>
        </w:rPr>
        <w:t>4.3  Money, rates and shares</w:t>
      </w:r>
    </w:p>
    <w:p>
      <w:pPr>
        <w:pStyle w:val="Normal"/>
        <w:numPr>
          <w:ilvl w:val="0"/>
          <w:numId w:val="1"/>
        </w:numPr>
        <w:spacing w:before="0" w:after="60"/>
        <w:rPr/>
      </w:pPr>
      <w:r>
        <w:rPr>
          <w:rFonts w:eastAsia="Segoe UI" w:cs="Segoe UI" w:ascii="Segoe UI" w:hAnsi="Segoe UI"/>
          <w:color w:val="101820"/>
          <w:sz w:val="21"/>
        </w:rPr>
        <w:t xml:space="preserve">Amounts are </w:t>
      </w:r>
      <w:r>
        <w:rPr>
          <w:rFonts w:eastAsia="Consolas" w:cs="Consolas" w:ascii="Consolas" w:hAnsi="Consolas"/>
          <w:color w:val="101820"/>
          <w:sz w:val="19"/>
        </w:rPr>
        <w:t>numeric</w:t>
      </w:r>
      <w:r>
        <w:rPr>
          <w:rFonts w:eastAsia="Segoe UI" w:cs="Segoe UI" w:ascii="Segoe UI" w:hAnsi="Segoe UI"/>
          <w:color w:val="101820"/>
          <w:sz w:val="21"/>
        </w:rPr>
        <w:t xml:space="preserve">: 232 columns are </w:t>
      </w:r>
      <w:r>
        <w:rPr>
          <w:rFonts w:eastAsia="Consolas" w:cs="Consolas" w:ascii="Consolas" w:hAnsi="Consolas"/>
          <w:color w:val="101820"/>
          <w:sz w:val="19"/>
        </w:rPr>
        <w:t>numeric(14,2)</w:t>
      </w:r>
      <w:r>
        <w:rPr>
          <w:rFonts w:eastAsia="Segoe UI" w:cs="Segoe UI" w:ascii="Segoe UI" w:hAnsi="Segoe UI"/>
          <w:color w:val="101820"/>
          <w:sz w:val="21"/>
        </w:rPr>
        <w:t xml:space="preserve"> and 61 are </w:t>
      </w:r>
      <w:r>
        <w:rPr>
          <w:rFonts w:eastAsia="Consolas" w:cs="Consolas" w:ascii="Consolas" w:hAnsi="Consolas"/>
          <w:color w:val="101820"/>
          <w:sz w:val="19"/>
        </w:rPr>
        <w:t>numeric(16,2)</w:t>
      </w:r>
      <w:r>
        <w:rPr>
          <w:rFonts w:eastAsia="Segoe UI" w:cs="Segoe UI" w:ascii="Segoe UI" w:hAnsi="Segoe UI"/>
          <w:color w:val="101820"/>
          <w:sz w:val="21"/>
        </w:rPr>
        <w:t xml:space="preserve"> (sums insured, credit limits, bank statement and reconciliation figures, statement and certificate totals, treaty capacity). The application rounds every result to two decimals with half away from zero, the same rule as PostgreSQL </w:t>
      </w:r>
      <w:r>
        <w:rPr>
          <w:rFonts w:eastAsia="Consolas" w:cs="Consolas" w:ascii="Consolas" w:hAnsi="Consolas"/>
          <w:color w:val="101820"/>
          <w:sz w:val="19"/>
        </w:rPr>
        <w:t>round(numeric, 2)</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The currency of a document is in a </w:t>
      </w:r>
      <w:r>
        <w:rPr>
          <w:rFonts w:eastAsia="Consolas" w:cs="Consolas" w:ascii="Consolas" w:hAnsi="Consolas"/>
          <w:color w:val="101820"/>
          <w:sz w:val="19"/>
        </w:rPr>
        <w:t>currency</w:t>
      </w:r>
      <w:r>
        <w:rPr>
          <w:rFonts w:eastAsia="Segoe UI" w:cs="Segoe UI" w:ascii="Segoe UI" w:hAnsi="Segoe UI"/>
          <w:color w:val="101820"/>
          <w:sz w:val="21"/>
        </w:rPr>
        <w:t xml:space="preserve"> column (</w:t>
      </w:r>
      <w:r>
        <w:rPr>
          <w:rFonts w:eastAsia="Consolas" w:cs="Consolas" w:ascii="Consolas" w:hAnsi="Consolas"/>
          <w:color w:val="101820"/>
          <w:sz w:val="19"/>
        </w:rPr>
        <w:t>PHP</w:t>
      </w:r>
      <w:r>
        <w:rPr>
          <w:rFonts w:eastAsia="Segoe UI" w:cs="Segoe UI" w:ascii="Segoe UI" w:hAnsi="Segoe UI"/>
          <w:color w:val="101820"/>
          <w:sz w:val="21"/>
        </w:rPr>
        <w:t xml:space="preserve"> by default) where a document can be in another currency; </w:t>
      </w:r>
      <w:r>
        <w:rPr>
          <w:rFonts w:eastAsia="Consolas" w:cs="Consolas" w:ascii="Consolas" w:hAnsi="Consolas"/>
          <w:color w:val="101820"/>
          <w:sz w:val="19"/>
        </w:rPr>
        <w:t>journal_lines</w:t>
      </w:r>
      <w:r>
        <w:rPr>
          <w:rFonts w:eastAsia="Segoe UI" w:cs="Segoe UI" w:ascii="Segoe UI" w:hAnsi="Segoe UI"/>
          <w:color w:val="101820"/>
          <w:sz w:val="21"/>
        </w:rPr>
        <w:t xml:space="preserve"> carry </w:t>
      </w:r>
      <w:r>
        <w:rPr>
          <w:rFonts w:eastAsia="Consolas" w:cs="Consolas" w:ascii="Consolas" w:hAnsi="Consolas"/>
          <w:color w:val="101820"/>
          <w:sz w:val="19"/>
        </w:rPr>
        <w:t>currency_code</w:t>
      </w:r>
      <w:r>
        <w:rPr>
          <w:rFonts w:eastAsia="Segoe UI" w:cs="Segoe UI" w:ascii="Segoe UI" w:hAnsi="Segoe UI"/>
          <w:color w:val="101820"/>
          <w:sz w:val="21"/>
        </w:rPr>
        <w:t xml:space="preserve">, </w:t>
      </w:r>
      <w:r>
        <w:rPr>
          <w:rFonts w:eastAsia="Consolas" w:cs="Consolas" w:ascii="Consolas" w:hAnsi="Consolas"/>
          <w:color w:val="101820"/>
          <w:sz w:val="19"/>
        </w:rPr>
        <w:t>exchange_rate</w:t>
      </w:r>
      <w:r>
        <w:rPr>
          <w:rFonts w:eastAsia="Segoe UI" w:cs="Segoe UI" w:ascii="Segoe UI" w:hAnsi="Segoe UI"/>
          <w:color w:val="101820"/>
          <w:sz w:val="21"/>
        </w:rPr>
        <w:t xml:space="preserve"> and </w:t>
      </w:r>
      <w:r>
        <w:rPr>
          <w:rFonts w:eastAsia="Consolas" w:cs="Consolas" w:ascii="Consolas" w:hAnsi="Consolas"/>
          <w:color w:val="101820"/>
          <w:sz w:val="19"/>
        </w:rPr>
        <w:t>foreign_amount</w:t>
      </w:r>
      <w:r>
        <w:rPr>
          <w:rFonts w:eastAsia="Segoe UI" w:cs="Segoe UI" w:ascii="Segoe UI" w:hAnsi="Segoe UI"/>
          <w:color w:val="101820"/>
          <w:sz w:val="21"/>
        </w:rPr>
        <w:t>. All ledger amounts are in the base currency of the Currency master (PHP); journal vouchers convert at the dated Exchange Rate in force on the voucher date.</w:t>
      </w:r>
    </w:p>
    <w:p>
      <w:pPr>
        <w:pStyle w:val="Normal"/>
        <w:numPr>
          <w:ilvl w:val="0"/>
          <w:numId w:val="1"/>
        </w:numPr>
        <w:spacing w:before="0" w:after="60"/>
        <w:rPr/>
      </w:pPr>
      <w:r>
        <w:rPr>
          <w:rFonts w:eastAsia="Segoe UI" w:cs="Segoe UI" w:ascii="Segoe UI" w:hAnsi="Segoe UI"/>
          <w:color w:val="101820"/>
          <w:sz w:val="21"/>
        </w:rPr>
        <w:t xml:space="preserve">Commission rates are fractions: </w:t>
      </w:r>
      <w:r>
        <w:rPr>
          <w:rFonts w:eastAsia="Consolas" w:cs="Consolas" w:ascii="Consolas" w:hAnsi="Consolas"/>
          <w:color w:val="101820"/>
          <w:sz w:val="19"/>
        </w:rPr>
        <w:t>commission_rate</w:t>
      </w:r>
      <w:r>
        <w:rPr>
          <w:rFonts w:eastAsia="Segoe UI" w:cs="Segoe UI" w:ascii="Segoe UI" w:hAnsi="Segoe UI"/>
          <w:color w:val="101820"/>
          <w:sz w:val="21"/>
        </w:rPr>
        <w:t xml:space="preserve"> 0.15 means 15% (</w:t>
      </w:r>
      <w:r>
        <w:rPr>
          <w:rFonts w:eastAsia="Consolas" w:cs="Consolas" w:ascii="Consolas" w:hAnsi="Consolas"/>
          <w:color w:val="101820"/>
          <w:sz w:val="19"/>
        </w:rPr>
        <w:t>insurance_companies</w:t>
      </w:r>
      <w:r>
        <w:rPr>
          <w:rFonts w:eastAsia="Segoe UI" w:cs="Segoe UI" w:ascii="Segoe UI" w:hAnsi="Segoe UI"/>
          <w:color w:val="101820"/>
          <w:sz w:val="21"/>
        </w:rPr>
        <w:t xml:space="preserve">, </w:t>
      </w:r>
      <w:r>
        <w:rPr>
          <w:rFonts w:eastAsia="Consolas" w:cs="Consolas" w:ascii="Consolas" w:hAnsi="Consolas"/>
          <w:color w:val="101820"/>
          <w:sz w:val="19"/>
        </w:rPr>
        <w:t>commission_rates</w:t>
      </w:r>
      <w:r>
        <w:rPr>
          <w:rFonts w:eastAsia="Segoe UI" w:cs="Segoe UI" w:ascii="Segoe UI" w:hAnsi="Segoe UI"/>
          <w:color w:val="101820"/>
          <w:sz w:val="21"/>
        </w:rPr>
        <w:t xml:space="preserve">, </w:t>
      </w:r>
      <w:r>
        <w:rPr>
          <w:rFonts w:eastAsia="Consolas" w:cs="Consolas" w:ascii="Consolas" w:hAnsi="Consolas"/>
          <w:color w:val="101820"/>
          <w:sz w:val="19"/>
        </w:rPr>
        <w:t>insurer_rate_tables</w:t>
      </w:r>
      <w:r>
        <w:rPr>
          <w:rFonts w:eastAsia="Segoe UI" w:cs="Segoe UI" w:ascii="Segoe UI" w:hAnsi="Segoe UI"/>
          <w:color w:val="101820"/>
          <w:sz w:val="21"/>
        </w:rPr>
        <w:t xml:space="preserve">, </w:t>
      </w:r>
      <w:r>
        <w:rPr>
          <w:rFonts w:eastAsia="Consolas" w:cs="Consolas" w:ascii="Consolas" w:hAnsi="Consolas"/>
          <w:color w:val="101820"/>
          <w:sz w:val="19"/>
        </w:rPr>
        <w:t>risk_participants</w:t>
      </w:r>
      <w:r>
        <w:rPr>
          <w:rFonts w:eastAsia="Segoe UI" w:cs="Segoe UI" w:ascii="Segoe UI" w:hAnsi="Segoe UI"/>
          <w:color w:val="101820"/>
          <w:sz w:val="21"/>
        </w:rPr>
        <w:t xml:space="preserve">). Tax rates in </w:t>
      </w:r>
      <w:r>
        <w:rPr>
          <w:rFonts w:eastAsia="Consolas" w:cs="Consolas" w:ascii="Consolas" w:hAnsi="Consolas"/>
          <w:color w:val="101820"/>
          <w:sz w:val="19"/>
        </w:rPr>
        <w:t>tax_codes.rate</w:t>
      </w:r>
      <w:r>
        <w:rPr>
          <w:rFonts w:eastAsia="Segoe UI" w:cs="Segoe UI" w:ascii="Segoe UI" w:hAnsi="Segoe UI"/>
          <w:color w:val="101820"/>
          <w:sz w:val="21"/>
        </w:rPr>
        <w:t xml:space="preserve"> and </w:t>
      </w:r>
      <w:r>
        <w:rPr>
          <w:rFonts w:eastAsia="Consolas" w:cs="Consolas" w:ascii="Consolas" w:hAnsi="Consolas"/>
          <w:color w:val="101820"/>
          <w:sz w:val="19"/>
        </w:rPr>
        <w:t>premium_charge_rules.rate</w:t>
      </w:r>
      <w:r>
        <w:rPr>
          <w:rFonts w:eastAsia="Segoe UI" w:cs="Segoe UI" w:ascii="Segoe UI" w:hAnsi="Segoe UI"/>
          <w:color w:val="101820"/>
          <w:sz w:val="21"/>
        </w:rPr>
        <w:t xml:space="preserve"> are percent (12 means 12%). Co-insurance shares (</w:t>
      </w:r>
      <w:r>
        <w:rPr>
          <w:rFonts w:eastAsia="Consolas" w:cs="Consolas" w:ascii="Consolas" w:hAnsi="Consolas"/>
          <w:color w:val="101820"/>
          <w:sz w:val="19"/>
        </w:rPr>
        <w:t>share_percent</w:t>
      </w:r>
      <w:r>
        <w:rPr>
          <w:rFonts w:eastAsia="Segoe UI" w:cs="Segoe UI" w:ascii="Segoe UI" w:hAnsi="Segoe UI"/>
          <w:color w:val="101820"/>
          <w:sz w:val="21"/>
        </w:rPr>
        <w:t xml:space="preserve">, </w:t>
      </w:r>
      <w:r>
        <w:rPr>
          <w:rFonts w:eastAsia="Consolas" w:cs="Consolas" w:ascii="Consolas" w:hAnsi="Consolas"/>
          <w:color w:val="101820"/>
          <w:sz w:val="19"/>
        </w:rPr>
        <w:t>offered_share</w:t>
      </w:r>
      <w:r>
        <w:rPr>
          <w:rFonts w:eastAsia="Segoe UI" w:cs="Segoe UI" w:ascii="Segoe UI" w:hAnsi="Segoe UI"/>
          <w:color w:val="101820"/>
          <w:sz w:val="21"/>
        </w:rPr>
        <w:t>) are percent from 0 to 100.</w:t>
      </w:r>
    </w:p>
    <w:p>
      <w:pPr>
        <w:pStyle w:val="Normal"/>
        <w:numPr>
          <w:ilvl w:val="0"/>
          <w:numId w:val="1"/>
        </w:numPr>
        <w:spacing w:before="0" w:after="60"/>
        <w:rPr/>
      </w:pPr>
      <w:r>
        <w:rPr>
          <w:rFonts w:eastAsia="Segoe UI" w:cs="Segoe UI" w:ascii="Segoe UI" w:hAnsi="Segoe UI"/>
          <w:color w:val="101820"/>
          <w:sz w:val="21"/>
        </w:rPr>
        <w:t xml:space="preserve">Debit and credit are separate non-negative columns on </w:t>
      </w:r>
      <w:r>
        <w:rPr>
          <w:rFonts w:eastAsia="Consolas" w:cs="Consolas" w:ascii="Consolas" w:hAnsi="Consolas"/>
          <w:color w:val="101820"/>
          <w:sz w:val="19"/>
        </w:rPr>
        <w:t>journal_lines</w:t>
      </w:r>
      <w:r>
        <w:rPr>
          <w:rFonts w:eastAsia="Segoe UI" w:cs="Segoe UI" w:ascii="Segoe UI" w:hAnsi="Segoe UI"/>
          <w:color w:val="101820"/>
          <w:sz w:val="21"/>
        </w:rPr>
        <w:t xml:space="preserve"> and </w:t>
      </w:r>
      <w:r>
        <w:rPr>
          <w:rFonts w:eastAsia="Consolas" w:cs="Consolas" w:ascii="Consolas" w:hAnsi="Consolas"/>
          <w:color w:val="101820"/>
          <w:sz w:val="19"/>
        </w:rPr>
        <w:t>bank_statement_lines</w:t>
      </w:r>
      <w:r>
        <w:rPr>
          <w:rFonts w:eastAsia="Segoe UI" w:cs="Segoe UI" w:ascii="Segoe UI" w:hAnsi="Segoe UI"/>
          <w:color w:val="101820"/>
          <w:sz w:val="21"/>
        </w:rPr>
        <w:t>; a journal line has either a debit or a credit (CHECK constraint).</w:t>
      </w:r>
    </w:p>
    <w:p>
      <w:pPr>
        <w:pStyle w:val="Heading2"/>
        <w:rPr/>
      </w:pPr>
      <w:bookmarkStart w:id="14" w:name="__RefHeading___Toc38003_3949650649"/>
      <w:bookmarkEnd w:id="14"/>
      <w:r>
        <w:rPr>
          <w:rFonts w:eastAsia="Segoe UI" w:cs="Segoe UI"/>
          <w:b/>
          <w:color w:val="0F4761"/>
          <w:sz w:val="26"/>
        </w:rPr>
        <w:t>4.4  Dates and the business time zone</w:t>
      </w:r>
    </w:p>
    <w:p>
      <w:pPr>
        <w:pStyle w:val="Normal"/>
        <w:numPr>
          <w:ilvl w:val="0"/>
          <w:numId w:val="1"/>
        </w:numPr>
        <w:spacing w:before="0" w:after="60"/>
        <w:rPr/>
      </w:pPr>
      <w:r>
        <w:rPr>
          <w:rFonts w:eastAsia="Segoe UI" w:cs="Segoe UI" w:ascii="Segoe UI" w:hAnsi="Segoe UI"/>
          <w:color w:val="101820"/>
          <w:sz w:val="21"/>
        </w:rPr>
        <w:t xml:space="preserve">Calendar dates (inception, expiry, due, loss, receipt, voucher, statement and period dates) are </w:t>
      </w:r>
      <w:r>
        <w:rPr>
          <w:rFonts w:eastAsia="Consolas" w:cs="Consolas" w:ascii="Consolas" w:hAnsi="Consolas"/>
          <w:color w:val="101820"/>
          <w:sz w:val="19"/>
        </w:rPr>
        <w:t>date</w:t>
      </w:r>
      <w:r>
        <w:rPr>
          <w:rFonts w:eastAsia="Segoe UI" w:cs="Segoe UI" w:ascii="Segoe UI" w:hAnsi="Segoe UI"/>
          <w:color w:val="101820"/>
          <w:sz w:val="21"/>
        </w:rPr>
        <w:t xml:space="preserve"> columns (120 columns). They carry no time and cannot shift with the time zone.</w:t>
      </w:r>
    </w:p>
    <w:p>
      <w:pPr>
        <w:pStyle w:val="Normal"/>
        <w:numPr>
          <w:ilvl w:val="0"/>
          <w:numId w:val="1"/>
        </w:numPr>
        <w:spacing w:before="0" w:after="60"/>
        <w:rPr/>
      </w:pPr>
      <w:r>
        <w:rPr>
          <w:rFonts w:eastAsia="Segoe UI" w:cs="Segoe UI" w:ascii="Segoe UI" w:hAnsi="Segoe UI"/>
          <w:color w:val="101820"/>
          <w:sz w:val="21"/>
        </w:rPr>
        <w:t xml:space="preserve">Instants (creation, approval, posting, sending) are </w:t>
      </w:r>
      <w:r>
        <w:rPr>
          <w:rFonts w:eastAsia="Consolas" w:cs="Consolas" w:ascii="Consolas" w:hAnsi="Consolas"/>
          <w:color w:val="101820"/>
          <w:sz w:val="19"/>
        </w:rPr>
        <w:t>timestamptz</w:t>
      </w:r>
      <w:r>
        <w:rPr>
          <w:rFonts w:eastAsia="Segoe UI" w:cs="Segoe UI" w:ascii="Segoe UI" w:hAnsi="Segoe UI"/>
          <w:color w:val="101820"/>
          <w:sz w:val="21"/>
        </w:rPr>
        <w:t xml:space="preserve"> (363 columns): stored as an absolute point in time and shown in local time.</w:t>
      </w:r>
    </w:p>
    <w:p>
      <w:pPr>
        <w:pStyle w:val="Normal"/>
        <w:numPr>
          <w:ilvl w:val="0"/>
          <w:numId w:val="1"/>
        </w:numPr>
        <w:spacing w:before="0" w:after="60"/>
        <w:rPr/>
      </w:pPr>
      <w:r>
        <w:rPr>
          <w:rFonts w:eastAsia="Segoe UI" w:cs="Segoe UI" w:ascii="Segoe UI" w:hAnsi="Segoe UI"/>
          <w:color w:val="101820"/>
          <w:sz w:val="21"/>
        </w:rPr>
        <w:t xml:space="preserve">"Today" is the business date in the time zone of the setting </w:t>
      </w:r>
      <w:r>
        <w:rPr>
          <w:rFonts w:eastAsia="Consolas" w:cs="Consolas" w:ascii="Consolas" w:hAnsi="Consolas"/>
          <w:color w:val="101820"/>
          <w:sz w:val="19"/>
        </w:rPr>
        <w:t>general.timezone</w:t>
      </w:r>
      <w:r>
        <w:rPr>
          <w:rFonts w:eastAsia="Segoe UI" w:cs="Segoe UI" w:ascii="Segoe UI" w:hAnsi="Segoe UI"/>
          <w:color w:val="101820"/>
          <w:sz w:val="21"/>
        </w:rPr>
        <w:t xml:space="preserve">, seeded as </w:t>
      </w:r>
      <w:r>
        <w:rPr>
          <w:rFonts w:eastAsia="Segoe UI" w:cs="Segoe UI" w:ascii="Segoe UI" w:hAnsi="Segoe UI"/>
          <w:b/>
          <w:color w:val="101820"/>
          <w:sz w:val="21"/>
        </w:rPr>
        <w:t>Asia/Manila</w:t>
      </w:r>
      <w:r>
        <w:rPr>
          <w:rFonts w:eastAsia="Segoe UI" w:cs="Segoe UI" w:ascii="Segoe UI" w:hAnsi="Segoe UI"/>
          <w:color w:val="101820"/>
          <w:sz w:val="21"/>
        </w:rPr>
        <w:t xml:space="preserve">. Date columns that default to today use the function </w:t>
      </w:r>
      <w:r>
        <w:rPr>
          <w:rFonts w:eastAsia="Consolas" w:cs="Consolas" w:ascii="Consolas" w:hAnsi="Consolas"/>
          <w:color w:val="101820"/>
          <w:sz w:val="19"/>
        </w:rPr>
        <w:t>numbering_business_date()</w:t>
      </w:r>
      <w:r>
        <w:rPr>
          <w:rFonts w:eastAsia="Segoe UI" w:cs="Segoe UI" w:ascii="Segoe UI" w:hAnsi="Segoe UI"/>
          <w:color w:val="101820"/>
          <w:sz w:val="21"/>
        </w:rPr>
        <w:t xml:space="preserve"> (migration </w:t>
      </w:r>
      <w:r>
        <w:rPr>
          <w:rFonts w:eastAsia="Consolas" w:cs="Consolas" w:ascii="Consolas" w:hAnsi="Consolas"/>
          <w:color w:val="101820"/>
          <w:sz w:val="19"/>
        </w:rPr>
        <w:t>0145_business_date_defaults.sql</w:t>
      </w:r>
      <w:r>
        <w:rPr>
          <w:rFonts w:eastAsia="Segoe UI" w:cs="Segoe UI" w:ascii="Segoe UI" w:hAnsi="Segoe UI"/>
          <w:color w:val="101820"/>
          <w:sz w:val="21"/>
        </w:rPr>
        <w:t>), so a record created between 00:00 and 08:00 Manila time gets the Manila date, not the date of the server clock, which runs on UTC. Document numbering, period assignment, reports and scheduled jobs use the same business date.</w:t>
      </w:r>
    </w:p>
    <w:p>
      <w:pPr>
        <w:pStyle w:val="Normal"/>
        <w:numPr>
          <w:ilvl w:val="0"/>
          <w:numId w:val="1"/>
        </w:numPr>
        <w:spacing w:before="0" w:after="60"/>
        <w:rPr/>
      </w:pPr>
      <w:r>
        <w:rPr>
          <w:rFonts w:eastAsia="Segoe UI" w:cs="Segoe UI" w:ascii="Segoe UI" w:hAnsi="Segoe UI"/>
          <w:color w:val="101820"/>
          <w:sz w:val="21"/>
        </w:rPr>
        <w:t xml:space="preserve">Accounting periods are keyed </w:t>
      </w:r>
      <w:r>
        <w:rPr>
          <w:rFonts w:eastAsia="Consolas" w:cs="Consolas" w:ascii="Consolas" w:hAnsi="Consolas"/>
          <w:color w:val="101820"/>
          <w:sz w:val="19"/>
        </w:rPr>
        <w:t>YYYY-MM</w:t>
      </w:r>
      <w:r>
        <w:rPr>
          <w:rFonts w:eastAsia="Segoe UI" w:cs="Segoe UI" w:ascii="Segoe UI" w:hAnsi="Segoe UI"/>
          <w:color w:val="101820"/>
          <w:sz w:val="21"/>
        </w:rPr>
        <w:t xml:space="preserve">; period 13 of a fiscal year is the year-end adjustment period. A journal falls in the period of its </w:t>
      </w:r>
      <w:r>
        <w:rPr>
          <w:rFonts w:eastAsia="Consolas" w:cs="Consolas" w:ascii="Consolas" w:hAnsi="Consolas"/>
          <w:color w:val="101820"/>
          <w:sz w:val="19"/>
        </w:rPr>
        <w:t>jv_date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The screens show dates as DD/MM/YYYY (</w:t>
      </w:r>
      <w:r>
        <w:rPr>
          <w:rFonts w:eastAsia="Consolas" w:cs="Consolas" w:ascii="Consolas" w:hAnsi="Consolas"/>
          <w:color w:val="101820"/>
          <w:sz w:val="19"/>
        </w:rPr>
        <w:t>general.date_format</w:t>
      </w:r>
      <w:r>
        <w:rPr>
          <w:rFonts w:eastAsia="Segoe UI" w:cs="Segoe UI" w:ascii="Segoe UI" w:hAnsi="Segoe UI"/>
          <w:color w:val="101820"/>
          <w:sz w:val="21"/>
        </w:rPr>
        <w:t>). This document writes dates as 03 October 2026.</w:t>
      </w:r>
    </w:p>
    <w:p>
      <w:pPr>
        <w:pStyle w:val="Heading2"/>
        <w:rPr/>
      </w:pPr>
      <w:bookmarkStart w:id="15" w:name="__RefHeading___Toc38005_3949650649"/>
      <w:bookmarkEnd w:id="15"/>
      <w:r>
        <w:rPr>
          <w:rFonts w:eastAsia="Segoe UI" w:cs="Segoe UI"/>
          <w:b/>
          <w:color w:val="0F4761"/>
          <w:sz w:val="26"/>
        </w:rPr>
        <w:t>4.5  Audit columns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1"/>
        <w:gridCol w:w="908"/>
        <w:gridCol w:w="5706"/>
      </w:tblGrid>
      <w:tr>
        <w:trPr>
          <w:tblHeader w:val="true"/>
        </w:trPr>
        <w:tc>
          <w:tcPr>
            <w:tcW w:w="24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57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created_at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126</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and time the row was created.</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created_by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id of the creator.</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updated_at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94</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Date and time of the last change; set by the application, and by triggers on </w:t>
            </w: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commission_rates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updated_by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id of the last change.</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stamps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many</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submitted_by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submitted_at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approved_by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approved_at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rejected_by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rejected_at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posted_at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decided_by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decided_at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Every create, update, approval, posting and sign-in related event is also written to </w:t>
      </w:r>
      <w:r>
        <w:rPr>
          <w:rFonts w:eastAsia="Consolas" w:cs="Consolas" w:ascii="Consolas" w:hAnsi="Consolas"/>
          <w:color w:val="101820"/>
          <w:sz w:val="19"/>
        </w:rPr>
        <w:t>audit_log</w:t>
      </w:r>
      <w:r>
        <w:rPr>
          <w:rFonts w:eastAsia="Segoe UI" w:cs="Segoe UI" w:ascii="Segoe UI" w:hAnsi="Segoe UI"/>
          <w:color w:val="101820"/>
          <w:sz w:val="21"/>
        </w:rPr>
        <w:t xml:space="preserve"> (who, when, which record, action, values before and after, IP address). Domain histories add detail where it is needed: </w:t>
      </w:r>
      <w:r>
        <w:rPr>
          <w:rFonts w:eastAsia="Consolas" w:cs="Consolas" w:ascii="Consolas" w:hAnsi="Consolas"/>
          <w:color w:val="101820"/>
          <w:sz w:val="19"/>
        </w:rPr>
        <w:t>claim_history</w:t>
      </w:r>
      <w:r>
        <w:rPr>
          <w:rFonts w:eastAsia="Segoe UI" w:cs="Segoe UI" w:ascii="Segoe UI" w:hAnsi="Segoe UI"/>
          <w:color w:val="101820"/>
          <w:sz w:val="21"/>
        </w:rPr>
        <w:t xml:space="preserve">, </w:t>
      </w:r>
      <w:r>
        <w:rPr>
          <w:rFonts w:eastAsia="Consolas" w:cs="Consolas" w:ascii="Consolas" w:hAnsi="Consolas"/>
          <w:color w:val="101820"/>
          <w:sz w:val="19"/>
        </w:rPr>
        <w:t>claim_field_changes</w:t>
      </w:r>
      <w:r>
        <w:rPr>
          <w:rFonts w:eastAsia="Segoe UI" w:cs="Segoe UI" w:ascii="Segoe UI" w:hAnsi="Segoe UI"/>
          <w:color w:val="101820"/>
          <w:sz w:val="21"/>
        </w:rPr>
        <w:t xml:space="preserve">, </w:t>
      </w:r>
      <w:r>
        <w:rPr>
          <w:rFonts w:eastAsia="Consolas" w:cs="Consolas" w:ascii="Consolas" w:hAnsi="Consolas"/>
          <w:color w:val="101820"/>
          <w:sz w:val="19"/>
        </w:rPr>
        <w:t>renewal_activities</w:t>
      </w:r>
      <w:r>
        <w:rPr>
          <w:rFonts w:eastAsia="Segoe UI" w:cs="Segoe UI" w:ascii="Segoe UI" w:hAnsi="Segoe UI"/>
          <w:color w:val="101820"/>
          <w:sz w:val="21"/>
        </w:rPr>
        <w:t xml:space="preserve">, </w:t>
      </w:r>
      <w:r>
        <w:rPr>
          <w:rFonts w:eastAsia="Consolas" w:cs="Consolas" w:ascii="Consolas" w:hAnsi="Consolas"/>
          <w:color w:val="101820"/>
          <w:sz w:val="19"/>
        </w:rPr>
        <w:t>renewal_notices</w:t>
      </w:r>
      <w:r>
        <w:rPr>
          <w:rFonts w:eastAsia="Segoe UI" w:cs="Segoe UI" w:ascii="Segoe UI" w:hAnsi="Segoe UI"/>
          <w:color w:val="101820"/>
          <w:sz w:val="21"/>
        </w:rPr>
        <w:t xml:space="preserve">, </w:t>
      </w:r>
      <w:r>
        <w:rPr>
          <w:rFonts w:eastAsia="Consolas" w:cs="Consolas" w:ascii="Consolas" w:hAnsi="Consolas"/>
          <w:color w:val="101820"/>
          <w:sz w:val="19"/>
        </w:rPr>
        <w:t>collection_actions</w:t>
      </w:r>
      <w:r>
        <w:rPr>
          <w:rFonts w:eastAsia="Segoe UI" w:cs="Segoe UI" w:ascii="Segoe UI" w:hAnsi="Segoe UI"/>
          <w:color w:val="101820"/>
          <w:sz w:val="21"/>
        </w:rPr>
        <w:t xml:space="preserve">, </w:t>
      </w:r>
      <w:r>
        <w:rPr>
          <w:rFonts w:eastAsia="Consolas" w:cs="Consolas" w:ascii="Consolas" w:hAnsi="Consolas"/>
          <w:color w:val="101820"/>
          <w:sz w:val="19"/>
        </w:rPr>
        <w:t>period_status_history</w:t>
      </w:r>
      <w:r>
        <w:rPr>
          <w:rFonts w:eastAsia="Segoe UI" w:cs="Segoe UI" w:ascii="Segoe UI" w:hAnsi="Segoe UI"/>
          <w:color w:val="101820"/>
          <w:sz w:val="21"/>
        </w:rPr>
        <w:t xml:space="preserve">, </w:t>
      </w:r>
      <w:r>
        <w:rPr>
          <w:rFonts w:eastAsia="Consolas" w:cs="Consolas" w:ascii="Consolas" w:hAnsi="Consolas"/>
          <w:color w:val="101820"/>
          <w:sz w:val="19"/>
        </w:rPr>
        <w:t>bank_reconciliation_history</w:t>
      </w:r>
      <w:r>
        <w:rPr>
          <w:rFonts w:eastAsia="Segoe UI" w:cs="Segoe UI" w:ascii="Segoe UI" w:hAnsi="Segoe UI"/>
          <w:color w:val="101820"/>
          <w:sz w:val="21"/>
        </w:rPr>
        <w:t xml:space="preserve">, </w:t>
      </w:r>
      <w:r>
        <w:rPr>
          <w:rFonts w:eastAsia="Consolas" w:cs="Consolas" w:ascii="Consolas" w:hAnsi="Consolas"/>
          <w:color w:val="101820"/>
          <w:sz w:val="19"/>
        </w:rPr>
        <w:t>remittance_approvals.history</w:t>
      </w:r>
      <w:r>
        <w:rPr>
          <w:rFonts w:eastAsia="Segoe UI" w:cs="Segoe UI" w:ascii="Segoe UI" w:hAnsi="Segoe UI"/>
          <w:color w:val="101820"/>
          <w:sz w:val="21"/>
        </w:rPr>
        <w:t xml:space="preserve">,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password_history</w:t>
      </w:r>
      <w:r>
        <w:rPr>
          <w:rFonts w:eastAsia="Segoe UI" w:cs="Segoe UI" w:ascii="Segoe UI" w:hAnsi="Segoe UI"/>
          <w:color w:val="101820"/>
          <w:sz w:val="21"/>
        </w:rPr>
        <w:t xml:space="preserve"> and </w:t>
      </w:r>
      <w:r>
        <w:rPr>
          <w:rFonts w:eastAsia="Consolas" w:cs="Consolas" w:ascii="Consolas" w:hAnsi="Consolas"/>
          <w:color w:val="101820"/>
          <w:sz w:val="19"/>
        </w:rPr>
        <w:t>job_runs</w:t>
      </w:r>
      <w:r>
        <w:rPr>
          <w:rFonts w:eastAsia="Segoe UI" w:cs="Segoe UI" w:ascii="Segoe UI" w:hAnsi="Segoe UI"/>
          <w:color w:val="101820"/>
          <w:sz w:val="21"/>
        </w:rPr>
        <w:t>.</w:t>
      </w:r>
    </w:p>
    <w:p>
      <w:pPr>
        <w:pStyle w:val="Heading2"/>
        <w:rPr/>
      </w:pPr>
      <w:bookmarkStart w:id="16" w:name="__RefHeading___Toc38007_3949650649"/>
      <w:bookmarkEnd w:id="16"/>
      <w:r>
        <w:rPr>
          <w:rFonts w:eastAsia="Segoe UI" w:cs="Segoe UI"/>
          <w:b/>
          <w:color w:val="0F4761"/>
          <w:sz w:val="26"/>
        </w:rPr>
        <w:t>4.6  Status, soft delete and cancellation</w:t>
      </w:r>
    </w:p>
    <w:p>
      <w:pPr>
        <w:pStyle w:val="Normal"/>
        <w:numPr>
          <w:ilvl w:val="0"/>
          <w:numId w:val="1"/>
        </w:numPr>
        <w:spacing w:before="0" w:after="60"/>
        <w:rPr/>
      </w:pPr>
      <w:r>
        <w:rPr>
          <w:rFonts w:eastAsia="Segoe UI" w:cs="Segoe UI" w:ascii="Segoe UI" w:hAnsi="Segoe UI"/>
          <w:color w:val="101820"/>
          <w:sz w:val="21"/>
        </w:rPr>
        <w:t xml:space="preserve">Almost every business table has a </w:t>
      </w:r>
      <w:r>
        <w:rPr>
          <w:rFonts w:eastAsia="Consolas" w:cs="Consolas" w:ascii="Consolas" w:hAnsi="Consolas"/>
          <w:color w:val="101820"/>
          <w:sz w:val="19"/>
        </w:rPr>
        <w:t>status</w:t>
      </w:r>
      <w:r>
        <w:rPr>
          <w:rFonts w:eastAsia="Segoe UI" w:cs="Segoe UI" w:ascii="Segoe UI" w:hAnsi="Segoe UI"/>
          <w:color w:val="101820"/>
          <w:sz w:val="21"/>
        </w:rPr>
        <w:t xml:space="preserve"> column (110 tables). Statuses are stored as lower-case codes in most tables; some older modules store the label (</w:t>
      </w:r>
      <w:r>
        <w:rPr>
          <w:rFonts w:eastAsia="Consolas" w:cs="Consolas" w:ascii="Consolas" w:hAnsi="Consolas"/>
          <w:color w:val="101820"/>
          <w:sz w:val="19"/>
        </w:rPr>
        <w:t>Accrued</w:t>
      </w:r>
      <w:r>
        <w:rPr>
          <w:rFonts w:eastAsia="Segoe UI" w:cs="Segoe UI" w:ascii="Segoe UI" w:hAnsi="Segoe UI"/>
          <w:color w:val="101820"/>
          <w:sz w:val="21"/>
        </w:rPr>
        <w:t xml:space="preserve">, </w:t>
      </w:r>
      <w:r>
        <w:rPr>
          <w:rFonts w:eastAsia="Consolas" w:cs="Consolas" w:ascii="Consolas" w:hAnsi="Consolas"/>
          <w:color w:val="101820"/>
          <w:sz w:val="19"/>
        </w:rPr>
        <w:t>Paid</w:t>
      </w:r>
      <w:r>
        <w:rPr>
          <w:rFonts w:eastAsia="Segoe UI" w:cs="Segoe UI" w:ascii="Segoe UI" w:hAnsi="Segoe UI"/>
          <w:color w:val="101820"/>
          <w:sz w:val="21"/>
        </w:rPr>
        <w:t xml:space="preserve">, </w:t>
      </w:r>
      <w:r>
        <w:rPr>
          <w:rFonts w:eastAsia="Consolas" w:cs="Consolas" w:ascii="Consolas" w:hAnsi="Consolas"/>
          <w:color w:val="101820"/>
          <w:sz w:val="19"/>
        </w:rPr>
        <w:t>Active</w:t>
      </w:r>
      <w:r>
        <w:rPr>
          <w:rFonts w:eastAsia="Segoe UI" w:cs="Segoe UI" w:ascii="Segoe UI" w:hAnsi="Segoe UI"/>
          <w:color w:val="101820"/>
          <w:sz w:val="21"/>
        </w:rPr>
        <w:t xml:space="preserve">). The screens map codes to labels, for example a quotation with status </w:t>
      </w:r>
      <w:r>
        <w:rPr>
          <w:rFonts w:eastAsia="Consolas" w:cs="Consolas" w:ascii="Consolas" w:hAnsi="Consolas"/>
          <w:color w:val="101820"/>
          <w:sz w:val="19"/>
        </w:rPr>
        <w:t>sent</w:t>
      </w:r>
      <w:r>
        <w:rPr>
          <w:rFonts w:eastAsia="Segoe UI" w:cs="Segoe UI" w:ascii="Segoe UI" w:hAnsi="Segoe UI"/>
          <w:color w:val="101820"/>
          <w:sz w:val="21"/>
        </w:rPr>
        <w:t xml:space="preserve"> shows as </w:t>
      </w:r>
      <w:r>
        <w:rPr>
          <w:rFonts w:eastAsia="Segoe UI" w:cs="Segoe UI" w:ascii="Segoe UI" w:hAnsi="Segoe UI"/>
          <w:b/>
          <w:color w:val="101820"/>
          <w:sz w:val="21"/>
        </w:rPr>
        <w:t>PendingCustomer</w:t>
      </w:r>
      <w:r>
        <w:rPr>
          <w:rFonts w:eastAsia="Segoe UI" w:cs="Segoe UI" w:ascii="Segoe UI" w:hAnsi="Segoe UI"/>
          <w:color w:val="101820"/>
          <w:sz w:val="21"/>
        </w:rPr>
        <w:t>. The values of each status column are in the workbook, sheet Reference values.</w:t>
      </w:r>
    </w:p>
    <w:p>
      <w:pPr>
        <w:pStyle w:val="Normal"/>
        <w:numPr>
          <w:ilvl w:val="0"/>
          <w:numId w:val="1"/>
        </w:numPr>
        <w:spacing w:before="0" w:after="60"/>
        <w:rPr/>
      </w:pPr>
      <w:r>
        <w:rPr>
          <w:rFonts w:eastAsia="Segoe UI" w:cs="Segoe UI" w:ascii="Segoe UI" w:hAnsi="Segoe UI"/>
          <w:color w:val="101820"/>
          <w:sz w:val="21"/>
        </w:rPr>
        <w:t xml:space="preserve">Masters are not deleted while in use: they become </w:t>
      </w:r>
      <w:r>
        <w:rPr>
          <w:rFonts w:eastAsia="Consolas" w:cs="Consolas" w:ascii="Consolas" w:hAnsi="Consolas"/>
          <w:color w:val="101820"/>
          <w:sz w:val="19"/>
        </w:rPr>
        <w:t>inactive</w:t>
      </w:r>
      <w:r>
        <w:rPr>
          <w:rFonts w:eastAsia="Segoe UI" w:cs="Segoe UI" w:ascii="Segoe UI" w:hAnsi="Segoe UI"/>
          <w:color w:val="101820"/>
          <w:sz w:val="21"/>
        </w:rPr>
        <w:t xml:space="preserve">, and generic master records get the status </w:t>
      </w:r>
      <w:r>
        <w:rPr>
          <w:rFonts w:eastAsia="Consolas" w:cs="Consolas" w:ascii="Consolas" w:hAnsi="Consolas"/>
          <w:color w:val="101820"/>
          <w:sz w:val="19"/>
        </w:rPr>
        <w:t>deleted</w:t>
      </w:r>
      <w:r>
        <w:rPr>
          <w:rFonts w:eastAsia="Segoe UI" w:cs="Segoe UI" w:ascii="Segoe UI" w:hAnsi="Segoe UI"/>
          <w:color w:val="101820"/>
          <w:sz w:val="21"/>
        </w:rPr>
        <w:t>; unique indexes on codes are partial (</w:t>
      </w:r>
      <w:r>
        <w:rPr>
          <w:rFonts w:eastAsia="Consolas" w:cs="Consolas" w:ascii="Consolas" w:hAnsi="Consolas"/>
          <w:color w:val="101820"/>
          <w:sz w:val="19"/>
        </w:rPr>
        <w:t>WHERE status &lt;&gt; 'deleted'</w:t>
      </w:r>
      <w:r>
        <w:rPr>
          <w:rFonts w:eastAsia="Segoe UI" w:cs="Segoe UI" w:ascii="Segoe UI" w:hAnsi="Segoe UI"/>
          <w:color w:val="101820"/>
          <w:sz w:val="21"/>
        </w:rPr>
        <w:t>) so a code can be reused after deletion.</w:t>
      </w:r>
    </w:p>
    <w:p>
      <w:pPr>
        <w:pStyle w:val="Normal"/>
        <w:numPr>
          <w:ilvl w:val="0"/>
          <w:numId w:val="1"/>
        </w:numPr>
        <w:spacing w:before="0" w:after="60"/>
        <w:rPr/>
      </w:pPr>
      <w:r>
        <w:rPr>
          <w:rFonts w:eastAsia="Segoe UI" w:cs="Segoe UI" w:ascii="Segoe UI" w:hAnsi="Segoe UI"/>
          <w:color w:val="101820"/>
          <w:sz w:val="21"/>
        </w:rPr>
        <w:t xml:space="preserve">Leads, quotations and bank statements carry </w:t>
      </w:r>
      <w:r>
        <w:rPr>
          <w:rFonts w:eastAsia="Consolas" w:cs="Consolas" w:ascii="Consolas" w:hAnsi="Consolas"/>
          <w:color w:val="101820"/>
          <w:sz w:val="19"/>
        </w:rPr>
        <w:t>deleted_at</w:t>
      </w:r>
      <w:r>
        <w:rPr>
          <w:rFonts w:eastAsia="Segoe UI" w:cs="Segoe UI" w:ascii="Segoe UI" w:hAnsi="Segoe UI"/>
          <w:color w:val="101820"/>
          <w:sz w:val="21"/>
        </w:rPr>
        <w:t xml:space="preserve"> (soft delete). A draft quotation is the only business record deleted physically.</w:t>
      </w:r>
    </w:p>
    <w:p>
      <w:pPr>
        <w:pStyle w:val="Normal"/>
        <w:numPr>
          <w:ilvl w:val="0"/>
          <w:numId w:val="1"/>
        </w:numPr>
        <w:spacing w:before="0" w:after="60"/>
        <w:rPr/>
      </w:pPr>
      <w:r>
        <w:rPr>
          <w:rFonts w:eastAsia="Segoe UI" w:cs="Segoe UI" w:ascii="Segoe UI" w:hAnsi="Segoe UI"/>
          <w:color w:val="101820"/>
          <w:sz w:val="21"/>
        </w:rPr>
        <w:t>Financial documents are never deleted. A receipt is cancelled, a journal is reversed or corrected by another journal (</w:t>
      </w:r>
      <w:r>
        <w:rPr>
          <w:rFonts w:eastAsia="Consolas" w:cs="Consolas" w:ascii="Consolas" w:hAnsi="Consolas"/>
          <w:color w:val="101820"/>
          <w:sz w:val="19"/>
        </w:rPr>
        <w:t>reversal_of</w:t>
      </w:r>
      <w:r>
        <w:rPr>
          <w:rFonts w:eastAsia="Segoe UI" w:cs="Segoe UI" w:ascii="Segoe UI" w:hAnsi="Segoe UI"/>
          <w:color w:val="101820"/>
          <w:sz w:val="21"/>
        </w:rPr>
        <w:t xml:space="preserve">, </w:t>
      </w:r>
      <w:r>
        <w:rPr>
          <w:rFonts w:eastAsia="Consolas" w:cs="Consolas" w:ascii="Consolas" w:hAnsi="Consolas"/>
          <w:color w:val="101820"/>
          <w:sz w:val="19"/>
        </w:rPr>
        <w:t>reversed_by_jv</w:t>
      </w:r>
      <w:r>
        <w:rPr>
          <w:rFonts w:eastAsia="Segoe UI" w:cs="Segoe UI" w:ascii="Segoe UI" w:hAnsi="Segoe UI"/>
          <w:color w:val="101820"/>
          <w:sz w:val="21"/>
        </w:rPr>
        <w:t xml:space="preserve">, </w:t>
      </w:r>
      <w:r>
        <w:rPr>
          <w:rFonts w:eastAsia="Consolas" w:cs="Consolas" w:ascii="Consolas" w:hAnsi="Consolas"/>
          <w:color w:val="101820"/>
          <w:sz w:val="19"/>
        </w:rPr>
        <w:t>correction_of</w:t>
      </w:r>
      <w:r>
        <w:rPr>
          <w:rFonts w:eastAsia="Segoe UI" w:cs="Segoe UI" w:ascii="Segoe UI" w:hAnsi="Segoe UI"/>
          <w:color w:val="101820"/>
          <w:sz w:val="21"/>
        </w:rPr>
        <w:t>), a BIR Form 2307 certificate is cancelled (</w:t>
      </w:r>
      <w:r>
        <w:rPr>
          <w:rFonts w:eastAsia="Consolas" w:cs="Consolas" w:ascii="Consolas" w:hAnsi="Consolas"/>
          <w:color w:val="101820"/>
          <w:sz w:val="19"/>
        </w:rPr>
        <w:t>cancelled_at</w:t>
      </w:r>
      <w:r>
        <w:rPr>
          <w:rFonts w:eastAsia="Segoe UI" w:cs="Segoe UI" w:ascii="Segoe UI" w:hAnsi="Segoe UI"/>
          <w:color w:val="101820"/>
          <w:sz w:val="21"/>
        </w:rPr>
        <w:t>), a debit note collection is reversed.</w:t>
      </w:r>
    </w:p>
    <w:p>
      <w:pPr>
        <w:pStyle w:val="Heading2"/>
        <w:rPr/>
      </w:pPr>
      <w:bookmarkStart w:id="17" w:name="__RefHeading___Toc38009_3949650649"/>
      <w:bookmarkEnd w:id="17"/>
      <w:r>
        <w:rPr>
          <w:rFonts w:eastAsia="Segoe UI" w:cs="Segoe UI"/>
          <w:b/>
          <w:color w:val="0F4761"/>
          <w:sz w:val="26"/>
        </w:rPr>
        <w:t>4.7  JSON document columns</w:t>
      </w:r>
    </w:p>
    <w:p>
      <w:pPr>
        <w:pStyle w:val="Normal"/>
        <w:spacing w:lineRule="auto" w:line="276" w:before="0" w:after="120"/>
        <w:rPr/>
      </w:pPr>
      <w:r>
        <w:rPr>
          <w:rFonts w:eastAsia="Segoe UI" w:cs="Segoe UI" w:ascii="Segoe UI" w:hAnsi="Segoe UI"/>
          <w:color w:val="101820"/>
          <w:sz w:val="21"/>
        </w:rPr>
        <w:t xml:space="preserve">103 columns are </w:t>
      </w:r>
      <w:r>
        <w:rPr>
          <w:rFonts w:eastAsia="Consolas" w:cs="Consolas" w:ascii="Consolas" w:hAnsi="Consolas"/>
          <w:color w:val="101820"/>
          <w:sz w:val="19"/>
        </w:rPr>
        <w:t>jsonb</w:t>
      </w:r>
      <w:r>
        <w:rPr>
          <w:rFonts w:eastAsia="Segoe UI" w:cs="Segoe UI" w:ascii="Segoe UI" w:hAnsi="Segoe UI"/>
          <w:color w:val="101820"/>
          <w:sz w:val="21"/>
        </w:rPr>
        <w:t>. They hold the parts of a record whose structure depends on the product or the screen: the full document of a quotation, broker slip, placement or policy (</w:t>
      </w:r>
      <w:r>
        <w:rPr>
          <w:rFonts w:eastAsia="Consolas" w:cs="Consolas" w:ascii="Consolas" w:hAnsi="Consolas"/>
          <w:color w:val="101820"/>
          <w:sz w:val="19"/>
        </w:rPr>
        <w:t>doc</w:t>
      </w:r>
      <w:r>
        <w:rPr>
          <w:rFonts w:eastAsia="Segoe UI" w:cs="Segoe UI" w:ascii="Segoe UI" w:hAnsi="Segoe UI"/>
          <w:color w:val="101820"/>
          <w:sz w:val="21"/>
        </w:rPr>
        <w:t>), vehicle and cover selections, claim details, endorsement changes, configuration values (</w:t>
      </w:r>
      <w:r>
        <w:rPr>
          <w:rFonts w:eastAsia="Consolas" w:cs="Consolas" w:ascii="Consolas" w:hAnsi="Consolas"/>
          <w:color w:val="101820"/>
          <w:sz w:val="19"/>
        </w:rPr>
        <w:t>app_settings.value</w:t>
      </w:r>
      <w:r>
        <w:rPr>
          <w:rFonts w:eastAsia="Segoe UI" w:cs="Segoe UI" w:ascii="Segoe UI" w:hAnsi="Segoe UI"/>
          <w:color w:val="101820"/>
          <w:sz w:val="21"/>
        </w:rPr>
        <w:t>), master record fields (</w:t>
      </w:r>
      <w:r>
        <w:rPr>
          <w:rFonts w:eastAsia="Consolas" w:cs="Consolas" w:ascii="Consolas" w:hAnsi="Consolas"/>
          <w:color w:val="101820"/>
          <w:sz w:val="19"/>
        </w:rPr>
        <w:t>master_records.data</w:t>
      </w:r>
      <w:r>
        <w:rPr>
          <w:rFonts w:eastAsia="Segoe UI" w:cs="Segoe UI" w:ascii="Segoe UI" w:hAnsi="Segoe UI"/>
          <w:color w:val="101820"/>
          <w:sz w:val="21"/>
        </w:rPr>
        <w:t>) and before and after values of the audit trail. Anything that is searched, totalled, joined or reported on is kept in ordinary columns. The workbook marks each JSON column and describes its content.</w:t>
      </w:r>
    </w:p>
    <w:p>
      <w:pPr>
        <w:pStyle w:val="Heading2"/>
        <w:rPr/>
      </w:pPr>
      <w:bookmarkStart w:id="18" w:name="__RefHeading___Toc38011_3949650649"/>
      <w:bookmarkEnd w:id="18"/>
      <w:r>
        <w:rPr>
          <w:rFonts w:eastAsia="Segoe UI" w:cs="Segoe UI"/>
          <w:b/>
          <w:color w:val="0F4761"/>
          <w:sz w:val="26"/>
        </w:rPr>
        <w:t>4.8  Keys, constraints and indexes</w:t>
      </w:r>
    </w:p>
    <w:p>
      <w:pPr>
        <w:pStyle w:val="Normal"/>
        <w:numPr>
          <w:ilvl w:val="0"/>
          <w:numId w:val="1"/>
        </w:numPr>
        <w:spacing w:before="0" w:after="60"/>
        <w:rPr/>
      </w:pPr>
      <w:r>
        <w:rPr>
          <w:rFonts w:eastAsia="Segoe UI" w:cs="Segoe UI" w:ascii="Segoe UI" w:hAnsi="Segoe UI"/>
          <w:b/>
          <w:color w:val="101820"/>
          <w:sz w:val="21"/>
        </w:rPr>
        <w:t>Foreign keys.</w:t>
      </w:r>
      <w:r>
        <w:rPr>
          <w:rFonts w:eastAsia="Segoe UI" w:cs="Segoe UI" w:ascii="Segoe UI" w:hAnsi="Segoe UI"/>
          <w:color w:val="101820"/>
          <w:sz w:val="21"/>
        </w:rPr>
        <w:t xml:space="preserve"> 292 foreign keys. 244 use no action: a referenced record cannot be deleted while it is used. 44 cascade: lines and histories that have no meaning without their parent (journal lines, receipt lines, claim history, renewal notices, role grants, match items). 4 set the reference to empty when the parent goes. 47 foreign keys point to </w:t>
      </w:r>
      <w:r>
        <w:rPr>
          <w:rFonts w:eastAsia="Consolas" w:cs="Consolas" w:ascii="Consolas" w:hAnsi="Consolas"/>
          <w:color w:val="101820"/>
          <w:sz w:val="19"/>
        </w:rPr>
        <w:t>users</w:t>
      </w:r>
      <w:r>
        <w:rPr>
          <w:rFonts w:eastAsia="Segoe UI" w:cs="Segoe UI" w:ascii="Segoe UI" w:hAnsi="Segoe UI"/>
          <w:color w:val="101820"/>
          <w:sz w:val="21"/>
        </w:rPr>
        <w:t>; other user columns (</w:t>
      </w:r>
      <w:r>
        <w:rPr>
          <w:rFonts w:eastAsia="Consolas" w:cs="Consolas" w:ascii="Consolas" w:hAnsi="Consolas"/>
          <w:color w:val="101820"/>
          <w:sz w:val="19"/>
        </w:rPr>
        <w:t>created_by</w:t>
      </w:r>
      <w:r>
        <w:rPr>
          <w:rFonts w:eastAsia="Segoe UI" w:cs="Segoe UI" w:ascii="Segoe UI" w:hAnsi="Segoe UI"/>
          <w:color w:val="101820"/>
          <w:sz w:val="21"/>
        </w:rPr>
        <w:t xml:space="preserve">, </w:t>
      </w:r>
      <w:r>
        <w:rPr>
          <w:rFonts w:eastAsia="Consolas" w:cs="Consolas" w:ascii="Consolas" w:hAnsi="Consolas"/>
          <w:color w:val="101820"/>
          <w:sz w:val="19"/>
        </w:rPr>
        <w:t>approved_by</w:t>
      </w:r>
      <w:r>
        <w:rPr>
          <w:rFonts w:eastAsia="Segoe UI" w:cs="Segoe UI" w:ascii="Segoe UI" w:hAnsi="Segoe UI"/>
          <w:color w:val="101820"/>
          <w:sz w:val="21"/>
        </w:rPr>
        <w:t>) hold the user id without a foreign key.</w:t>
      </w:r>
    </w:p>
    <w:p>
      <w:pPr>
        <w:pStyle w:val="Normal"/>
        <w:numPr>
          <w:ilvl w:val="0"/>
          <w:numId w:val="1"/>
        </w:numPr>
        <w:spacing w:before="0" w:after="60"/>
        <w:rPr/>
      </w:pPr>
      <w:r>
        <w:rPr>
          <w:rFonts w:eastAsia="Segoe UI" w:cs="Segoe UI" w:ascii="Segoe UI" w:hAnsi="Segoe UI"/>
          <w:b/>
          <w:color w:val="101820"/>
          <w:sz w:val="21"/>
        </w:rPr>
        <w:t>Supporting indexes.</w:t>
      </w:r>
      <w:r>
        <w:rPr>
          <w:rFonts w:eastAsia="Segoe UI" w:cs="Segoe UI" w:ascii="Segoe UI" w:hAnsi="Segoe UI"/>
          <w:color w:val="101820"/>
          <w:sz w:val="21"/>
        </w:rPr>
        <w:t xml:space="preserve"> 69 foreign keys have no index whose first column is the foreign-key column. They are on small master and set-up tables or are maker-checker stamp columns. The sheet Relationships flags them.</w:t>
      </w:r>
    </w:p>
    <w:p>
      <w:pPr>
        <w:pStyle w:val="Normal"/>
        <w:numPr>
          <w:ilvl w:val="0"/>
          <w:numId w:val="1"/>
        </w:numPr>
        <w:spacing w:before="0" w:after="60"/>
        <w:rPr/>
      </w:pPr>
      <w:r>
        <w:rPr>
          <w:rFonts w:eastAsia="Segoe UI" w:cs="Segoe UI" w:ascii="Segoe UI" w:hAnsi="Segoe UI"/>
          <w:b/>
          <w:color w:val="101820"/>
          <w:sz w:val="21"/>
        </w:rPr>
        <w:t>CHECK constraints.</w:t>
      </w:r>
      <w:r>
        <w:rPr>
          <w:rFonts w:eastAsia="Segoe UI" w:cs="Segoe UI" w:ascii="Segoe UI" w:hAnsi="Segoe UI"/>
          <w:color w:val="101820"/>
          <w:sz w:val="21"/>
        </w:rPr>
        <w:t xml:space="preserve"> 174 constraints protect allowed values (statuses, kinds, rate bases), number ranges (rates, shares, instalment counts) and rules that span columns (a journal line has a debit or a credit, a limit is for a role or for a user, a delegation ends after it starts).</w:t>
      </w:r>
    </w:p>
    <w:p>
      <w:pPr>
        <w:pStyle w:val="Normal"/>
        <w:numPr>
          <w:ilvl w:val="0"/>
          <w:numId w:val="1"/>
        </w:numPr>
        <w:spacing w:before="0" w:after="60"/>
        <w:rPr/>
      </w:pPr>
      <w:r>
        <w:rPr>
          <w:rFonts w:eastAsia="Segoe UI" w:cs="Segoe UI" w:ascii="Segoe UI" w:hAnsi="Segoe UI"/>
          <w:b/>
          <w:color w:val="101820"/>
          <w:sz w:val="21"/>
        </w:rPr>
        <w:t>Unique and partial indexes.</w:t>
      </w:r>
      <w:r>
        <w:rPr>
          <w:rFonts w:eastAsia="Segoe UI" w:cs="Segoe UI" w:ascii="Segoe UI" w:hAnsi="Segoe UI"/>
          <w:color w:val="101820"/>
          <w:sz w:val="21"/>
        </w:rPr>
        <w:t xml:space="preserve"> Business numbers and codes are unique. Partial unique indexes enforce rules such as one active instalment plan per bill, one pending warranty extension per policy, one lead insurer per co-insured record and one open renewal per policy.</w:t>
      </w:r>
    </w:p>
    <w:p>
      <w:pPr>
        <w:pStyle w:val="Normal"/>
        <w:numPr>
          <w:ilvl w:val="0"/>
          <w:numId w:val="1"/>
        </w:numPr>
        <w:spacing w:before="0" w:after="60"/>
        <w:rPr/>
      </w:pPr>
      <w:r>
        <w:rPr>
          <w:rFonts w:eastAsia="Segoe UI" w:cs="Segoe UI" w:ascii="Segoe UI" w:hAnsi="Segoe UI"/>
          <w:b/>
          <w:color w:val="101820"/>
          <w:sz w:val="21"/>
        </w:rPr>
        <w:t>Triggers.</w:t>
      </w:r>
      <w:r>
        <w:rPr>
          <w:rFonts w:eastAsia="Segoe UI" w:cs="Segoe UI" w:ascii="Segoe UI" w:hAnsi="Segoe UI"/>
          <w:color w:val="101820"/>
          <w:sz w:val="21"/>
        </w:rPr>
        <w:t xml:space="preserve"> </w:t>
      </w:r>
      <w:r>
        <w:rPr>
          <w:rFonts w:eastAsia="Consolas" w:cs="Consolas" w:ascii="Consolas" w:hAnsi="Consolas"/>
          <w:color w:val="101820"/>
          <w:sz w:val="19"/>
        </w:rPr>
        <w:t>jv_check_posting</w:t>
      </w:r>
      <w:r>
        <w:rPr>
          <w:rFonts w:eastAsia="Segoe UI" w:cs="Segoe UI" w:ascii="Segoe UI" w:hAnsi="Segoe UI"/>
          <w:color w:val="101820"/>
          <w:sz w:val="21"/>
        </w:rPr>
        <w:t xml:space="preserve"> refuses to post a journal that is unbalanced, has fewer than two lines or falls in a period that does not accept postings. </w:t>
      </w:r>
      <w:r>
        <w:rPr>
          <w:rFonts w:eastAsia="Consolas" w:cs="Consolas" w:ascii="Consolas" w:hAnsi="Consolas"/>
          <w:color w:val="101820"/>
          <w:sz w:val="19"/>
        </w:rPr>
        <w:t>accounting_period_lock_guard</w:t>
      </w:r>
      <w:r>
        <w:rPr>
          <w:rFonts w:eastAsia="Segoe UI" w:cs="Segoe UI" w:ascii="Segoe UI" w:hAnsi="Segoe UI"/>
          <w:color w:val="101820"/>
          <w:sz w:val="21"/>
        </w:rPr>
        <w:t xml:space="preserve"> refuses to reopen a period locked by the year-end close. Further triggers keep </w:t>
      </w:r>
      <w:r>
        <w:rPr>
          <w:rFonts w:eastAsia="Consolas" w:cs="Consolas" w:ascii="Consolas" w:hAnsi="Consolas"/>
          <w:color w:val="101820"/>
          <w:sz w:val="19"/>
        </w:rPr>
        <w:t>updated_at</w:t>
      </w:r>
      <w:r>
        <w:rPr>
          <w:rFonts w:eastAsia="Segoe UI" w:cs="Segoe UI" w:ascii="Segoe UI" w:hAnsi="Segoe UI"/>
          <w:color w:val="101820"/>
          <w:sz w:val="21"/>
        </w:rPr>
        <w:t>, derive the normal balance of a GL account and mirror number series prefixes into settings.</w:t>
      </w:r>
    </w:p>
    <w:p>
      <w:pPr>
        <w:pStyle w:val="Heading2"/>
        <w:rPr/>
      </w:pPr>
      <w:bookmarkStart w:id="19" w:name="__RefHeading___Toc38013_3949650649"/>
      <w:bookmarkEnd w:id="19"/>
      <w:r>
        <w:rPr>
          <w:rFonts w:eastAsia="Segoe UI" w:cs="Segoe UI"/>
          <w:b/>
          <w:color w:val="0F4761"/>
          <w:sz w:val="26"/>
        </w:rPr>
        <w:t>4.9  References without a foreign key</w:t>
      </w:r>
    </w:p>
    <w:p>
      <w:pPr>
        <w:pStyle w:val="Normal"/>
        <w:spacing w:lineRule="auto" w:line="276" w:before="0" w:after="120"/>
        <w:rPr/>
      </w:pPr>
      <w:r>
        <w:rPr>
          <w:rFonts w:eastAsia="Segoe UI" w:cs="Segoe UI" w:ascii="Segoe UI" w:hAnsi="Segoe UI"/>
          <w:color w:val="101820"/>
          <w:sz w:val="21"/>
        </w:rPr>
        <w:t>Some tables refer to more than one kind of parent, so the reference is a pair of columns without a foreign key: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80"/>
        <w:gridCol w:w="2253"/>
        <w:gridCol w:w="3381"/>
      </w:tblGrid>
      <w:tr>
        <w:trPr>
          <w:tblHeader w:val="true"/>
        </w:trPr>
        <w:tc>
          <w:tcPr>
            <w:tcW w:w="33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c>
          <w:tcPr>
            <w:tcW w:w="33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Refers to</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broker slip, quotation, placement or policy (co-insurance participants).</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package_sections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bundle quotation or a package policy.</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reference_type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reference_id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source document of a journal (Policy, Receipt, Disbursement, Commission, Endorsement, Claim ...).</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record a stored file belongs to.</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notifications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agent_events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record the entry is about.</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remittance_approvals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remittance or a remittance work item.</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target_type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target_id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bundle quotation, quotation or policy.</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bank_rec_matches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bank account master record (</w:t>
            </w:r>
            <w:r>
              <w:rPr>
                <w:rFonts w:eastAsia="Consolas" w:cs="Consolas" w:ascii="Consolas" w:hAnsi="Consolas"/>
                <w:color w:val="101820"/>
                <w:kern w:val="0"/>
                <w:sz w:val="16"/>
                <w:szCs w:val="24"/>
                <w:lang w:val="en-US" w:eastAsia="ja-JP" w:bidi="ar-SA"/>
              </w:rPr>
              <w:t>master_records</w:t>
            </w:r>
            <w:r>
              <w:rPr>
                <w:rFonts w:eastAsia="Segoe UI" w:cs="Segoe UI" w:ascii="Segoe UI" w:hAnsi="Segoe UI"/>
                <w:color w:val="101820"/>
                <w:kern w:val="0"/>
                <w:sz w:val="18"/>
                <w:szCs w:val="24"/>
                <w:lang w:val="en-US" w:eastAsia="ja-JP" w:bidi="ar-SA"/>
              </w:rPr>
              <w:t xml:space="preserve">, type </w:t>
            </w:r>
            <w:r>
              <w:rPr>
                <w:rFonts w:eastAsia="Consolas" w:cs="Consolas" w:ascii="Consolas" w:hAnsi="Consolas"/>
                <w:color w:val="101820"/>
                <w:kern w:val="0"/>
                <w:sz w:val="16"/>
                <w:szCs w:val="24"/>
                <w:lang w:val="en-US" w:eastAsia="ja-JP" w:bidi="ar-SA"/>
              </w:rPr>
              <w:t>bank-account</w:t>
            </w:r>
            <w:r>
              <w:rPr>
                <w:rFonts w:eastAsia="Segoe UI" w:cs="Segoe UI" w:ascii="Segoe UI" w:hAnsi="Segoe UI"/>
                <w:color w:val="101820"/>
                <w:kern w:val="0"/>
                <w:sz w:val="18"/>
                <w:szCs w:val="24"/>
                <w:lang w:val="en-US" w:eastAsia="ja-JP" w:bidi="ar-SA"/>
              </w:rPr>
              <w:t>).</w:t>
            </w:r>
          </w:p>
        </w:tc>
      </w:tr>
    </w:tbl>
    <w:p>
      <w:pPr>
        <w:pStyle w:val="Heading1"/>
        <w:rPr/>
      </w:pPr>
      <w:r>
        <w:br w:type="page"/>
      </w:r>
      <w:bookmarkStart w:id="20" w:name="__RefHeading___Toc38015_3949650649"/>
      <w:bookmarkEnd w:id="20"/>
      <w:r>
        <w:rPr>
          <w:rFonts w:eastAsia="Segoe UI" w:cs="Segoe UI" w:ascii="Segoe UI" w:hAnsi="Segoe UI"/>
          <w:b/>
          <w:color w:val="0F4761"/>
          <w:sz w:val="32"/>
        </w:rPr>
        <w:t>5.  Data model by functional area</w:t>
      </w:r>
    </w:p>
    <w:p>
      <w:pPr>
        <w:pStyle w:val="Heading2"/>
        <w:rPr/>
      </w:pPr>
      <w:bookmarkStart w:id="21" w:name="__RefHeading___Toc38017_3949650649"/>
      <w:bookmarkEnd w:id="21"/>
      <w:r>
        <w:rPr>
          <w:rFonts w:eastAsia="Segoe UI" w:cs="Segoe UI"/>
          <w:b/>
          <w:color w:val="0F4761"/>
          <w:sz w:val="26"/>
        </w:rPr>
        <w:t>5.1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9"/>
        <w:gridCol w:w="1162"/>
        <w:gridCol w:w="4653"/>
      </w:tblGrid>
      <w:tr>
        <w:trPr>
          <w:tblHeader w:val="true"/>
        </w:trPr>
        <w:tc>
          <w:tcPr>
            <w:tcW w:w="31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Functional area</w:t>
            </w:r>
          </w:p>
        </w:tc>
        <w:tc>
          <w:tcPr>
            <w:tcW w:w="11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4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Key tables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Party and client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insurance_companies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and rating</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product_templates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premium_charge_rules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quotation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payment_links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insurer_offers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risk_participants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and endorsement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receipts and payments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receipt_applications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insurer accounting</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direct_bill_items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commission_rates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claim_settlement_movements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renewal_quotes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General ledger and period end</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gl_accounts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posting_rules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+ 2 views</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premium_instalment_plans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reinsurance_treaties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reinsurance_recoveries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incentive_results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and audit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schedules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master_records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scheduled_jobs</w:t>
            </w:r>
          </w:p>
        </w:tc>
      </w:tr>
    </w:tbl>
    <w:p>
      <w:pPr>
        <w:pStyle w:val="Normal"/>
        <w:spacing w:before="0" w:after="80"/>
        <w:rPr/>
      </w:pPr>
      <w:r>
        <w:rPr/>
      </w:r>
    </w:p>
    <w:p>
      <w:pPr>
        <w:pStyle w:val="Heading2"/>
        <w:rPr/>
      </w:pPr>
      <w:bookmarkStart w:id="22" w:name="__RefHeading___Toc38019_3949650649"/>
      <w:bookmarkEnd w:id="22"/>
      <w:r>
        <w:rPr>
          <w:rFonts w:eastAsia="Segoe UI" w:cs="Segoe UI"/>
          <w:b/>
          <w:color w:val="0F4761"/>
          <w:sz w:val="26"/>
        </w:rPr>
        <w:t>5.2  Party and client</w:t>
      </w:r>
    </w:p>
    <w:p>
      <w:pPr>
        <w:pStyle w:val="Normal"/>
        <w:spacing w:lineRule="auto" w:line="276" w:before="0" w:after="120"/>
        <w:rPr/>
      </w:pPr>
      <w:r>
        <w:rPr>
          <w:rFonts w:eastAsia="Segoe UI" w:cs="Segoe UI" w:ascii="Segoe UI" w:hAnsi="Segoe UI"/>
          <w:color w:val="101820"/>
          <w:sz w:val="21"/>
        </w:rPr>
        <w:t>The client is the insured party. A client is created from a lead when a quotation is converted, by bulk upload or directly on the client screen. Individual and corporate clients share one table (</w:t>
      </w:r>
      <w:r>
        <w:rPr>
          <w:rFonts w:eastAsia="Consolas" w:cs="Consolas" w:ascii="Consolas" w:hAnsi="Consolas"/>
          <w:color w:val="101820"/>
          <w:sz w:val="19"/>
        </w:rPr>
        <w:t>client_type</w:t>
      </w:r>
      <w:r>
        <w:rPr>
          <w:rFonts w:eastAsia="Segoe UI" w:cs="Segoe UI" w:ascii="Segoe UI" w:hAnsi="Segoe UI"/>
          <w:color w:val="101820"/>
          <w:sz w:val="21"/>
        </w:rPr>
        <w:t xml:space="preserve">); identity, contact and address fields are columns, further screen fields are in </w:t>
      </w:r>
      <w:r>
        <w:rPr>
          <w:rFonts w:eastAsia="Consolas" w:cs="Consolas" w:ascii="Consolas" w:hAnsi="Consolas"/>
          <w:color w:val="101820"/>
          <w:sz w:val="19"/>
        </w:rPr>
        <w:t>extra</w:t>
      </w:r>
      <w:r>
        <w:rPr>
          <w:rFonts w:eastAsia="Segoe UI" w:cs="Segoe UI" w:ascii="Segoe UI" w:hAnsi="Segoe UI"/>
          <w:color w:val="101820"/>
          <w:sz w:val="21"/>
        </w:rPr>
        <w:t>. Insurers (principals) carry the commission rate used when the rate matrix has no rate, the premium payment warranty days, the remittance terms and the default billing mode. The address masters (</w:t>
      </w:r>
      <w:r>
        <w:rPr>
          <w:rFonts w:eastAsia="Consolas" w:cs="Consolas" w:ascii="Consolas" w:hAnsi="Consolas"/>
          <w:color w:val="101820"/>
          <w:sz w:val="19"/>
        </w:rPr>
        <w:t>countries</w:t>
      </w:r>
      <w:r>
        <w:rPr>
          <w:rFonts w:eastAsia="Segoe UI" w:cs="Segoe UI" w:ascii="Segoe UI" w:hAnsi="Segoe UI"/>
          <w:color w:val="101820"/>
          <w:sz w:val="21"/>
        </w:rPr>
        <w:t xml:space="preserve"> → </w:t>
      </w:r>
      <w:r>
        <w:rPr>
          <w:rFonts w:eastAsia="Consolas" w:cs="Consolas" w:ascii="Consolas" w:hAnsi="Consolas"/>
          <w:color w:val="101820"/>
          <w:sz w:val="19"/>
        </w:rPr>
        <w:t>states</w:t>
      </w:r>
      <w:r>
        <w:rPr>
          <w:rFonts w:eastAsia="Segoe UI" w:cs="Segoe UI" w:ascii="Segoe UI" w:hAnsi="Segoe UI"/>
          <w:color w:val="101820"/>
          <w:sz w:val="21"/>
        </w:rPr>
        <w:t xml:space="preserve"> → </w:t>
      </w:r>
      <w:r>
        <w:rPr>
          <w:rFonts w:eastAsia="Consolas" w:cs="Consolas" w:ascii="Consolas" w:hAnsi="Consolas"/>
          <w:color w:val="101820"/>
          <w:sz w:val="19"/>
        </w:rPr>
        <w:t>cities</w:t>
      </w:r>
      <w:r>
        <w:rPr>
          <w:rFonts w:eastAsia="Segoe UI" w:cs="Segoe UI" w:ascii="Segoe UI" w:hAnsi="Segoe UI"/>
          <w:color w:val="101820"/>
          <w:sz w:val="21"/>
        </w:rPr>
        <w:t xml:space="preserve"> → </w:t>
      </w:r>
      <w:r>
        <w:rPr>
          <w:rFonts w:eastAsia="Consolas" w:cs="Consolas" w:ascii="Consolas" w:hAnsi="Consolas"/>
          <w:color w:val="101820"/>
          <w:sz w:val="19"/>
        </w:rPr>
        <w:t>districts</w:t>
      </w:r>
      <w:r>
        <w:rPr>
          <w:rFonts w:eastAsia="Segoe UI" w:cs="Segoe UI" w:ascii="Segoe UI" w:hAnsi="Segoe UI"/>
          <w:color w:val="101820"/>
          <w:sz w:val="21"/>
        </w:rPr>
        <w:t xml:space="preserve">, and </w:t>
      </w:r>
      <w:r>
        <w:rPr>
          <w:rFonts w:eastAsia="Consolas" w:cs="Consolas" w:ascii="Consolas" w:hAnsi="Consolas"/>
          <w:color w:val="101820"/>
          <w:sz w:val="19"/>
        </w:rPr>
        <w:t>postal_codes</w:t>
      </w:r>
      <w:r>
        <w:rPr>
          <w:rFonts w:eastAsia="Segoe UI" w:cs="Segoe UI" w:ascii="Segoe UI" w:hAnsi="Segoe UI"/>
          <w:color w:val="101820"/>
          <w:sz w:val="21"/>
        </w:rPr>
        <w:t>) feed the address fields. Branches and signatories are printed on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parties: code, type, names, birth date, contact, address, TIN, owner, credit limit.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code, name, TIN, contact, default commission rate, premium warranty days, remittance terms days, default billing mode.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Banks and mortgagees. Bank accounts of the broker are master records of type </w:t>
            </w:r>
            <w:r>
              <w:rPr>
                <w:rFonts w:eastAsia="Consolas" w:cs="Consolas" w:ascii="Consolas" w:hAnsi="Consolas"/>
                <w:color w:val="101820"/>
                <w:kern w:val="0"/>
                <w:sz w:val="16"/>
                <w:szCs w:val="24"/>
                <w:lang w:val="en-US" w:eastAsia="ja-JP" w:bidi="ar-SA"/>
              </w:rPr>
              <w:t>bank-account</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signatories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branches and the persons who sign documents.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countries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states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cities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districts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postal_codes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masters.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97"/>
        <w:gridCol w:w="1219"/>
        <w:gridCol w:w="3898"/>
      </w:tblGrid>
      <w:tr>
        <w:trPr>
          <w:tblHeader w:val="true"/>
        </w:trPr>
        <w:tc>
          <w:tcPr>
            <w:tcW w:w="38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2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8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clients.lead_id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the client was converted from (unique when set).</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clients.owner_user_id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executive who owns the client.</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states.country_id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cities.state_id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districts.city_id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masters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Province within a country, city within a province, district within a city.</w:t>
            </w:r>
          </w:p>
        </w:tc>
      </w:tr>
    </w:tbl>
    <w:p>
      <w:pPr>
        <w:pStyle w:val="Normal"/>
        <w:spacing w:before="0" w:after="80"/>
        <w:rPr/>
      </w:pPr>
      <w:r>
        <w:rPr/>
      </w:r>
    </w:p>
    <w:p>
      <w:pPr>
        <w:pStyle w:val="Heading2"/>
        <w:rPr/>
      </w:pPr>
      <w:bookmarkStart w:id="23" w:name="__RefHeading___Toc38021_3949650649"/>
      <w:bookmarkEnd w:id="23"/>
      <w:r>
        <w:rPr>
          <w:rFonts w:eastAsia="Segoe UI" w:cs="Segoe UI"/>
          <w:b/>
          <w:color w:val="0F4761"/>
          <w:sz w:val="26"/>
        </w:rPr>
        <w:t>5.3  Product and rating</w:t>
      </w:r>
    </w:p>
    <w:p>
      <w:pPr>
        <w:pStyle w:val="Normal"/>
        <w:spacing w:lineRule="auto" w:line="276" w:before="0" w:after="120"/>
        <w:rPr/>
      </w:pPr>
      <w:r>
        <w:rPr>
          <w:rFonts w:eastAsia="Segoe UI" w:cs="Segoe UI" w:ascii="Segoe UI" w:hAnsi="Segoe UI"/>
          <w:color w:val="101820"/>
          <w:sz w:val="21"/>
        </w:rPr>
        <w:t xml:space="preserve">Products are the lines sold (motor, fire, marine, casualty, engineering, accident, employee benefits). Each product has policy types and, for motor, the cover options for bodily injury, property damage and personal accident. The product configurator keeps versioned templates with their components (covers, rating factors, taxes, rules, documents) and the risk definitions per line. Premium charges (VAT or premium tax, DST, FST, LGT) are computed from </w:t>
      </w:r>
      <w:r>
        <w:rPr>
          <w:rFonts w:eastAsia="Consolas" w:cs="Consolas" w:ascii="Consolas" w:hAnsi="Consolas"/>
          <w:color w:val="101820"/>
          <w:sz w:val="19"/>
        </w:rPr>
        <w:t>premium_charge_rules</w:t>
      </w:r>
      <w:r>
        <w:rPr>
          <w:rFonts w:eastAsia="Segoe UI" w:cs="Segoe UI" w:ascii="Segoe UI" w:hAnsi="Segoe UI"/>
          <w:color w:val="101820"/>
          <w:sz w:val="21"/>
        </w:rPr>
        <w:t xml:space="preserve"> and the LGT rates per province or city. Packaged products combine several products in one bundle; insurer rate tables price each section for the quick quote comparison.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coverages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catalogue, policy types per product, motor cover options.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product_components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product templates and their components (JSON).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product_risk_mappings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product_risk_sections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fields and risk sections per product or line.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premium_charge_rules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lgu_tax_rates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and charge rules with effective dates; LGT rate per LGU.</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package_bundle_sections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insurer_rate_tables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Bundles, their sections and the insurer rates used to price them.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vehicle_brands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vehicle_models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vehicle_variants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make, model and variant lists for motor quotations.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4"/>
        <w:gridCol w:w="2305"/>
        <w:gridCol w:w="3355"/>
      </w:tblGrid>
      <w:tr>
        <w:trPr>
          <w:tblHeader w:val="true"/>
        </w:trPr>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3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type of a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coverages.policy_type_id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option of a policy type.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parent_id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product_templates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of a product; version derived from an earlier one.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product_components.template_id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 of a template (deleted with it).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package_bundle_sections.bundle_id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of a bundle and its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insurer_rate_tables.insurance_company_id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of an insurer for a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lgu_tax_rates.city_id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cities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City whose LGT rate applies.</w:t>
            </w:r>
          </w:p>
        </w:tc>
      </w:tr>
    </w:tbl>
    <w:p>
      <w:pPr>
        <w:pStyle w:val="Normal"/>
        <w:spacing w:before="0" w:after="80"/>
        <w:rPr/>
      </w:pPr>
      <w:r>
        <w:rPr/>
      </w:r>
    </w:p>
    <w:p>
      <w:pPr>
        <w:pStyle w:val="Heading2"/>
        <w:rPr/>
      </w:pPr>
      <w:bookmarkStart w:id="24" w:name="__RefHeading___Toc38023_3949650649"/>
      <w:bookmarkEnd w:id="24"/>
      <w:r>
        <w:rPr>
          <w:rFonts w:eastAsia="Segoe UI" w:cs="Segoe UI"/>
          <w:b/>
          <w:color w:val="0F4761"/>
          <w:sz w:val="26"/>
        </w:rPr>
        <w:t>5.4  Sales and quotation</w:t>
      </w:r>
    </w:p>
    <w:p>
      <w:pPr>
        <w:pStyle w:val="Normal"/>
        <w:spacing w:lineRule="auto" w:line="276" w:before="0" w:after="120"/>
        <w:rPr/>
      </w:pPr>
      <w:r>
        <w:rPr>
          <w:rFonts w:eastAsia="Segoe UI" w:cs="Segoe UI" w:ascii="Segoe UI" w:hAnsi="Segoe UI"/>
          <w:color w:val="101820"/>
          <w:sz w:val="21"/>
        </w:rPr>
        <w:t>A lead is a prospect with its contact data, product interest, source and owner. A quotation (</w:t>
      </w:r>
      <w:r>
        <w:rPr>
          <w:rFonts w:eastAsia="Consolas" w:cs="Consolas" w:ascii="Consolas" w:hAnsi="Consolas"/>
          <w:color w:val="101820"/>
          <w:sz w:val="19"/>
        </w:rPr>
        <w:t>quotes</w:t>
      </w:r>
      <w:r>
        <w:rPr>
          <w:rFonts w:eastAsia="Segoe UI" w:cs="Segoe UI" w:ascii="Segoe UI" w:hAnsi="Segoe UI"/>
          <w:color w:val="101820"/>
          <w:sz w:val="21"/>
        </w:rPr>
        <w:t xml:space="preserve">) is prepared for a lead or a client, for a product, policy type and insurer; motor quotations keep the vehicle and cover selections, all quotations keep the full document in </w:t>
      </w:r>
      <w:r>
        <w:rPr>
          <w:rFonts w:eastAsia="Consolas" w:cs="Consolas" w:ascii="Consolas" w:hAnsi="Consolas"/>
          <w:color w:val="101820"/>
          <w:sz w:val="19"/>
        </w:rPr>
        <w:t>doc</w:t>
      </w:r>
      <w:r>
        <w:rPr>
          <w:rFonts w:eastAsia="Segoe UI" w:cs="Segoe UI" w:ascii="Segoe UI" w:hAnsi="Segoe UI"/>
          <w:color w:val="101820"/>
          <w:sz w:val="21"/>
        </w:rPr>
        <w:t xml:space="preserve"> with the premium breakdown. The customer accepts through an e-mailed approval link (only the hash of the token is checked) or staff record the answer in </w:t>
      </w:r>
      <w:r>
        <w:rPr>
          <w:rFonts w:eastAsia="Consolas" w:cs="Consolas" w:ascii="Consolas" w:hAnsi="Consolas"/>
          <w:color w:val="101820"/>
          <w:sz w:val="19"/>
        </w:rPr>
        <w:t>quote_customer_responses</w:t>
      </w:r>
      <w:r>
        <w:rPr>
          <w:rFonts w:eastAsia="Segoe UI" w:cs="Segoe UI" w:ascii="Segoe UI" w:hAnsi="Segoe UI"/>
          <w:color w:val="101820"/>
          <w:sz w:val="21"/>
        </w:rPr>
        <w:t xml:space="preserve">. Converting an accepted quotation issues the policy. Packaged products have their own bundle quotations with one priced section per product. Payment links let a client pay a quotation, a bundle quotation or a policy's open premium online through a gateway; every gateway notification is logged in </w:t>
      </w:r>
      <w:r>
        <w:rPr>
          <w:rFonts w:eastAsia="Consolas" w:cs="Consolas" w:ascii="Consolas" w:hAnsi="Consolas"/>
          <w:color w:val="101820"/>
          <w:sz w:val="19"/>
        </w:rPr>
        <w:t>payment_events</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number, type, names, contact, address, product interest, source, status, owner.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number, lead or client, product, insurer, vehicle and covers, premium, taxes, commission, approval link, status.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answers recorded by staff, with channel, outcome and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package_sections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quotations and their priced sections (also the sections of a package policy).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payment_events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Online payment set-up, payment requests and the gateway notification log.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events and reminders of a user.</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2145"/>
        <w:gridCol w:w="3435"/>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quotes.lead_id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or client quoted.</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is quoted and with which insurer.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quotes.broker_slip_id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the quotation was prepared from (placement journey).</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quotes.policy_id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from the quotation.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quote_customer_responses.quote_id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to a quotation.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package_quotes.bundle_id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quoted; package policy issued.</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payment_links.gateway_code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Gateway used; official receipt created from the payment.</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payment_events.link_id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about a payment link.</w:t>
            </w:r>
          </w:p>
        </w:tc>
      </w:tr>
    </w:tbl>
    <w:p>
      <w:pPr>
        <w:pStyle w:val="Normal"/>
        <w:spacing w:before="0" w:after="80"/>
        <w:rPr/>
      </w:pPr>
      <w:r>
        <w:rPr/>
      </w:r>
    </w:p>
    <w:p>
      <w:pPr>
        <w:pStyle w:val="Heading2"/>
        <w:rPr/>
      </w:pPr>
      <w:bookmarkStart w:id="25" w:name="__RefHeading___Toc38025_3949650649"/>
      <w:bookmarkEnd w:id="25"/>
      <w:r>
        <w:rPr>
          <w:rFonts w:eastAsia="Segoe UI" w:cs="Segoe UI"/>
          <w:b/>
          <w:color w:val="0F4761"/>
          <w:sz w:val="26"/>
        </w:rPr>
        <w:t>5.5  Placement</w:t>
      </w:r>
    </w:p>
    <w:p>
      <w:pPr>
        <w:pStyle w:val="Normal"/>
        <w:spacing w:lineRule="auto" w:line="276" w:before="0" w:after="120"/>
        <w:rPr/>
      </w:pPr>
      <w:r>
        <w:rPr>
          <w:rFonts w:eastAsia="Segoe UI" w:cs="Segoe UI" w:ascii="Segoe UI" w:hAnsi="Segoe UI"/>
          <w:color w:val="101820"/>
          <w:sz w:val="21"/>
        </w:rPr>
        <w:t xml:space="preserve">Placement is the journey for risks that need terms from several insurers. A broker slip describes the risk and the covers requested and is sent to several insurers; each answer is an insurer offer (premium, rate, taxes, deductibles, validity, share offered) or a decline. The selected offers become a quotation or a placement slip, the firm order to the chosen insurers. When the risk is co-insured, </w:t>
      </w:r>
      <w:r>
        <w:rPr>
          <w:rFonts w:eastAsia="Consolas" w:cs="Consolas" w:ascii="Consolas" w:hAnsi="Consolas"/>
          <w:color w:val="101820"/>
          <w:sz w:val="19"/>
        </w:rPr>
        <w:t>risk_participants</w:t>
      </w:r>
      <w:r>
        <w:rPr>
          <w:rFonts w:eastAsia="Segoe UI" w:cs="Segoe UI" w:ascii="Segoe UI" w:hAnsi="Segoe UI"/>
          <w:color w:val="101820"/>
          <w:sz w:val="21"/>
        </w:rPr>
        <w:t xml:space="preserve"> holds the lead insurer and the co-insurers with their shares, premium, taxes and commission; the same table serves the broker slip, quotation, placement and policy. The policy is issued when every participant has bound.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(BS-): client or lead, product, risk details, requested covers, response due date, status.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Offers (OFR-) or declines from each insurer on a slip; the selected flag.</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(PS-): lead insurer, premium, taxes, billing mode, binding and issue stamps, policy issued.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participants: insurer, lead flag, share, premium, taxes, commission, binding confirmation.</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8"/>
        <w:gridCol w:w="1932"/>
        <w:gridCol w:w="3864"/>
      </w:tblGrid>
      <w:tr>
        <w:trPr>
          <w:tblHeader w:val="true"/>
        </w:trPr>
        <w:tc>
          <w:tcPr>
            <w:tcW w:w="32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9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8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insurer_offers.broker_slip_id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on a slip (deleted with the slip).</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broker_slips.quote_id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slip prepared from the selected offers.</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placements.broker_slip_id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Origin of the placement.</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placements.policy_id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from the placement.</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risk_participants.insurance_company_id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Participating insurer; the parent record is given by </w:t>
            </w: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entity_id</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26" w:name="__RefHeading___Toc38027_3949650649"/>
      <w:bookmarkEnd w:id="26"/>
      <w:r>
        <w:rPr>
          <w:rFonts w:eastAsia="Segoe UI" w:cs="Segoe UI"/>
          <w:b/>
          <w:color w:val="0F4761"/>
          <w:sz w:val="26"/>
        </w:rPr>
        <w:t>5.6  Policy and endorsement</w:t>
      </w:r>
    </w:p>
    <w:p>
      <w:pPr>
        <w:pStyle w:val="Normal"/>
        <w:spacing w:lineRule="auto" w:line="276" w:before="0" w:after="120"/>
        <w:rPr/>
      </w:pPr>
      <w:r>
        <w:rPr>
          <w:rFonts w:eastAsia="Segoe UI" w:cs="Segoe UI" w:ascii="Segoe UI" w:hAnsi="Segoe UI"/>
          <w:color w:val="101820"/>
          <w:sz w:val="21"/>
        </w:rPr>
        <w:t xml:space="preserve">The policy is the central record. It points to the client, product, policy type, insurer (the lead insurer when co-insured), the quotation or placement it came from and the policy it renews. </w:t>
      </w:r>
      <w:r>
        <w:rPr>
          <w:rFonts w:eastAsia="Consolas" w:cs="Consolas" w:ascii="Consolas" w:hAnsi="Consolas"/>
          <w:color w:val="101820"/>
          <w:sz w:val="19"/>
        </w:rPr>
        <w:t>billing_mode</w:t>
      </w:r>
      <w:r>
        <w:rPr>
          <w:rFonts w:eastAsia="Segoe UI" w:cs="Segoe UI" w:ascii="Segoe UI" w:hAnsi="Segoe UI"/>
          <w:color w:val="101820"/>
          <w:sz w:val="21"/>
        </w:rPr>
        <w:t xml:space="preserve"> decides the money flow: </w:t>
      </w:r>
      <w:r>
        <w:rPr>
          <w:rFonts w:eastAsia="Segoe UI" w:cs="Segoe UI" w:ascii="Segoe UI" w:hAnsi="Segoe UI"/>
          <w:b/>
          <w:color w:val="101820"/>
          <w:sz w:val="21"/>
        </w:rPr>
        <w:t>broker</w:t>
      </w:r>
      <w:r>
        <w:rPr>
          <w:rFonts w:eastAsia="Segoe UI" w:cs="Segoe UI" w:ascii="Segoe UI" w:hAnsi="Segoe UI"/>
          <w:color w:val="101820"/>
          <w:sz w:val="21"/>
        </w:rPr>
        <w:t xml:space="preserve"> (the broker bills and collects the premium and remits it to the insurer) or </w:t>
      </w:r>
      <w:r>
        <w:rPr>
          <w:rFonts w:eastAsia="Segoe UI" w:cs="Segoe UI" w:ascii="Segoe UI" w:hAnsi="Segoe UI"/>
          <w:b/>
          <w:color w:val="101820"/>
          <w:sz w:val="21"/>
        </w:rPr>
        <w:t>direct</w:t>
      </w:r>
      <w:r>
        <w:rPr>
          <w:rFonts w:eastAsia="Segoe UI" w:cs="Segoe UI" w:ascii="Segoe UI" w:hAnsi="Segoe UI"/>
          <w:color w:val="101820"/>
          <w:sz w:val="21"/>
        </w:rPr>
        <w:t xml:space="preserve"> (the insurer bills the client and the broker bills its commission to the insurer). Endorsements change an issued policy, re-price it and may raise their own bill or return premium; a cancellation is an endorsement. Front-office staff capture premium payments on a policy in </w:t>
      </w:r>
      <w:r>
        <w:rPr>
          <w:rFonts w:eastAsia="Consolas" w:cs="Consolas" w:ascii="Consolas" w:hAnsi="Consolas"/>
          <w:color w:val="101820"/>
          <w:sz w:val="19"/>
        </w:rPr>
        <w:t>policy_payments</w:t>
      </w:r>
      <w:r>
        <w:rPr>
          <w:rFonts w:eastAsia="Segoe UI" w:cs="Segoe UI" w:ascii="Segoe UI" w:hAnsi="Segoe UI"/>
          <w:color w:val="101820"/>
          <w:sz w:val="21"/>
        </w:rPr>
        <w:t xml:space="preserve"> until Accounting confirms them and issues the official receipt.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number, client, product, insurer, term, sum insured, premium, taxes, commission, billing mode, payment status, renewal links, 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and cancellations: type, changes, premium change, billing link, 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package_endorsements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of one section of a package policy and the additional 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captured on a policy awaiting confirmation by Accounting.</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3"/>
        <w:gridCol w:w="2507"/>
        <w:gridCol w:w="3254"/>
      </w:tblGrid>
      <w:tr>
        <w:trPr>
          <w:tblHeader w:val="true"/>
        </w:trPr>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masters and </w:t>
            </w:r>
            <w:r>
              <w:rPr>
                <w:rFonts w:eastAsia="Consolas" w:cs="Consolas" w:ascii="Consolas" w:hAnsi="Consolas"/>
                <w:color w:val="101820"/>
                <w:kern w:val="0"/>
                <w:sz w:val="16"/>
                <w:szCs w:val="24"/>
                <w:lang w:val="en-US" w:eastAsia="ja-JP" w:bidi="ar-SA"/>
              </w:rPr>
              <w:t>clients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product and insurer of the policy.</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policies.quote_id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Origin of the policy.</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policies.renewed_from</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policy this one renews (</w:t>
            </w:r>
            <w:r>
              <w:rPr>
                <w:rFonts w:eastAsia="Consolas" w:cs="Consolas" w:ascii="Consolas" w:hAnsi="Consolas"/>
                <w:color w:val="101820"/>
                <w:kern w:val="0"/>
                <w:sz w:val="16"/>
                <w:szCs w:val="24"/>
                <w:lang w:val="en-US" w:eastAsia="ja-JP" w:bidi="ar-SA"/>
              </w:rPr>
              <w:t>renewed_to</w:t>
            </w:r>
            <w:r>
              <w:rPr>
                <w:rFonts w:eastAsia="Segoe UI" w:cs="Segoe UI" w:ascii="Segoe UI" w:hAnsi="Segoe UI"/>
                <w:color w:val="101820"/>
                <w:kern w:val="0"/>
                <w:sz w:val="18"/>
                <w:szCs w:val="24"/>
                <w:lang w:val="en-US" w:eastAsia="ja-JP" w:bidi="ar-SA"/>
              </w:rPr>
              <w:t xml:space="preserve"> holds the reverse link).</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changed; bill raised for the additional premium.</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captured, bill paid and receipt issued on confirmation.</w:t>
            </w:r>
          </w:p>
        </w:tc>
      </w:tr>
    </w:tbl>
    <w:p>
      <w:pPr>
        <w:pStyle w:val="Normal"/>
        <w:spacing w:before="0" w:after="80"/>
        <w:rPr/>
      </w:pPr>
      <w:r>
        <w:rPr/>
      </w:r>
    </w:p>
    <w:p>
      <w:pPr>
        <w:pStyle w:val="Heading2"/>
        <w:rPr/>
      </w:pPr>
      <w:bookmarkStart w:id="27" w:name="__RefHeading___Toc38029_3949650649"/>
      <w:bookmarkEnd w:id="27"/>
      <w:r>
        <w:rPr>
          <w:rFonts w:eastAsia="Segoe UI" w:cs="Segoe UI"/>
          <w:b/>
          <w:color w:val="0F4761"/>
          <w:sz w:val="26"/>
        </w:rPr>
        <w:t>5.7  Billing, receipts and payments</w:t>
      </w:r>
    </w:p>
    <w:p>
      <w:pPr>
        <w:pStyle w:val="Normal"/>
        <w:spacing w:lineRule="auto" w:line="276" w:before="0" w:after="120"/>
        <w:rPr/>
      </w:pPr>
      <w:r>
        <w:rPr>
          <w:rFonts w:eastAsia="Segoe UI" w:cs="Segoe UI" w:ascii="Segoe UI" w:hAnsi="Segoe UI"/>
          <w:color w:val="101820"/>
          <w:sz w:val="21"/>
        </w:rPr>
        <w:t>Issuing a broker-billed policy, endorsement or renewal raises a premium bill (</w:t>
      </w:r>
      <w:r>
        <w:rPr>
          <w:rFonts w:eastAsia="Consolas" w:cs="Consolas" w:ascii="Consolas" w:hAnsi="Consolas"/>
          <w:color w:val="101820"/>
          <w:sz w:val="19"/>
        </w:rPr>
        <w:t>receivables</w:t>
      </w:r>
      <w:r>
        <w:rPr>
          <w:rFonts w:eastAsia="Segoe UI" w:cs="Segoe UI" w:ascii="Segoe UI" w:hAnsi="Segoe UI"/>
          <w:color w:val="101820"/>
          <w:sz w:val="21"/>
        </w:rPr>
        <w:t xml:space="preserve">, INV-) and its booking journal. For a co-insured policy </w:t>
      </w:r>
      <w:r>
        <w:rPr>
          <w:rFonts w:eastAsia="Consolas" w:cs="Consolas" w:ascii="Consolas" w:hAnsi="Consolas"/>
          <w:color w:val="101820"/>
          <w:sz w:val="19"/>
        </w:rPr>
        <w:t>receivable_participants</w:t>
      </w:r>
      <w:r>
        <w:rPr>
          <w:rFonts w:eastAsia="Segoe UI" w:cs="Segoe UI" w:ascii="Segoe UI" w:hAnsi="Segoe UI"/>
          <w:color w:val="101820"/>
          <w:sz w:val="21"/>
        </w:rPr>
        <w:t xml:space="preserve"> splits the bill per insurer. An official receipt (</w:t>
      </w:r>
      <w:r>
        <w:rPr>
          <w:rFonts w:eastAsia="Consolas" w:cs="Consolas" w:ascii="Consolas" w:hAnsi="Consolas"/>
          <w:color w:val="101820"/>
          <w:sz w:val="19"/>
        </w:rPr>
        <w:t>receipts</w:t>
      </w:r>
      <w:r>
        <w:rPr>
          <w:rFonts w:eastAsia="Segoe UI" w:cs="Segoe UI" w:ascii="Segoe UI" w:hAnsi="Segoe UI"/>
          <w:color w:val="101820"/>
          <w:sz w:val="21"/>
        </w:rPr>
        <w:t xml:space="preserve">, OR-) has lines per policy, and receipt applications allocate the money to the bills and link the posting journal. Return premium and cancellations reduce a bill through </w:t>
      </w:r>
      <w:r>
        <w:rPr>
          <w:rFonts w:eastAsia="Consolas" w:cs="Consolas" w:ascii="Consolas" w:hAnsi="Consolas"/>
          <w:color w:val="101820"/>
          <w:sz w:val="19"/>
        </w:rPr>
        <w:t>receivable_credits</w:t>
      </w:r>
      <w:r>
        <w:rPr>
          <w:rFonts w:eastAsia="Segoe UI" w:cs="Segoe UI" w:ascii="Segoe UI" w:hAnsi="Segoe UI"/>
          <w:color w:val="101820"/>
          <w:sz w:val="21"/>
        </w:rPr>
        <w:t xml:space="preserve">; small differences are written off with a reason from </w:t>
      </w:r>
      <w:r>
        <w:rPr>
          <w:rFonts w:eastAsia="Consolas" w:cs="Consolas" w:ascii="Consolas" w:hAnsi="Consolas"/>
          <w:color w:val="101820"/>
          <w:sz w:val="19"/>
        </w:rPr>
        <w:t>write_off_reasons</w:t>
      </w:r>
      <w:r>
        <w:rPr>
          <w:rFonts w:eastAsia="Segoe UI" w:cs="Segoe UI" w:ascii="Segoe UI" w:hAnsi="Segoe UI"/>
          <w:color w:val="101820"/>
          <w:sz w:val="21"/>
        </w:rPr>
        <w:t>. Payments out are payment vouchers (</w:t>
      </w:r>
      <w:r>
        <w:rPr>
          <w:rFonts w:eastAsia="Consolas" w:cs="Consolas" w:ascii="Consolas" w:hAnsi="Consolas"/>
          <w:color w:val="101820"/>
          <w:sz w:val="19"/>
        </w:rPr>
        <w:t>disbursements</w:t>
      </w:r>
      <w:r>
        <w:rPr>
          <w:rFonts w:eastAsia="Segoe UI" w:cs="Segoe UI" w:ascii="Segoe UI" w:hAnsi="Segoe UI"/>
          <w:color w:val="101820"/>
          <w:sz w:val="21"/>
        </w:rPr>
        <w:t>, PV-) that settle invoice lists (amounts due to insurers, clients or referrers) and may be paid by cheque (</w:t>
      </w:r>
      <w:r>
        <w:rPr>
          <w:rFonts w:eastAsia="Consolas" w:cs="Consolas" w:ascii="Consolas" w:hAnsi="Consolas"/>
          <w:color w:val="101820"/>
          <w:sz w:val="19"/>
        </w:rPr>
        <w:t>checkbooks</w:t>
      </w:r>
      <w:r>
        <w:rPr>
          <w:rFonts w:eastAsia="Segoe UI" w:cs="Segoe UI" w:ascii="Segoe UI" w:hAnsi="Segoe UI"/>
          <w:color w:val="101820"/>
          <w:sz w:val="21"/>
        </w:rPr>
        <w:t>). Petty cash funds have their own requests, payments, receipts and replenishments.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number, policy, client, amount, balance, due date, ageing, booking journal, status.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receivable_participants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shares of a co-insured bill: gross, commission, taxes, due to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and cancellation credits applied to a bill, with the refund part.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receipt_applications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their lines per policy and the application to bills.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write_off_reasons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Write-off reasons with GL account and maximum amount.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checkbooks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the invoice lists they settle and cheques.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petty_cash_requests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petty_cash_request_lines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petty_cash_replenishments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2"/>
        <w:gridCol w:w="2790"/>
        <w:gridCol w:w="3113"/>
      </w:tblGrid>
      <w:tr>
        <w:trPr>
          <w:tblHeader w:val="true"/>
        </w:trPr>
        <w:tc>
          <w:tcPr>
            <w:tcW w:w="31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7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booking_jv_id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of a policy and the journal that booked it.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receipt_lines.receipt_id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 receipt (deleted with it).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receipt_applications.receipt_id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receipts, </w:t>
            </w: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of a receipt line applied to a bill, and the posting journal.</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on a bill and its journal.</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invoice_lists.disbursement_id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 list settled by a payment voucher.</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checkbooks.disbursement_id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issued for a voucher.</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Movements of a petty cash fund.</w:t>
            </w:r>
          </w:p>
        </w:tc>
      </w:tr>
    </w:tbl>
    <w:p>
      <w:pPr>
        <w:pStyle w:val="Normal"/>
        <w:spacing w:before="0" w:after="80"/>
        <w:rPr/>
      </w:pPr>
      <w:r>
        <w:rPr/>
      </w:r>
    </w:p>
    <w:p>
      <w:pPr>
        <w:pStyle w:val="Heading2"/>
        <w:rPr/>
      </w:pPr>
      <w:bookmarkStart w:id="28" w:name="__RefHeading___Toc38031_3949650649"/>
      <w:bookmarkEnd w:id="28"/>
      <w:r>
        <w:rPr>
          <w:rFonts w:eastAsia="Segoe UI" w:cs="Segoe UI"/>
          <w:b/>
          <w:color w:val="0F4761"/>
          <w:sz w:val="26"/>
        </w:rPr>
        <w:t>5.8  Remittance and insurer accounting</w:t>
      </w:r>
    </w:p>
    <w:p>
      <w:pPr>
        <w:pStyle w:val="Normal"/>
        <w:spacing w:lineRule="auto" w:line="276" w:before="0" w:after="120"/>
        <w:rPr/>
      </w:pPr>
      <w:r>
        <w:rPr>
          <w:rFonts w:eastAsia="Segoe UI" w:cs="Segoe UI" w:ascii="Segoe UI" w:hAnsi="Segoe UI"/>
          <w:color w:val="101820"/>
          <w:sz w:val="21"/>
        </w:rPr>
        <w:t xml:space="preserve">Broker-billed premium collected from clients is remitted to the insurers net of commission. A remittance (REM-) has lines per policy; for a co-insured policy </w:t>
      </w:r>
      <w:r>
        <w:rPr>
          <w:rFonts w:eastAsia="Consolas" w:cs="Consolas" w:ascii="Consolas" w:hAnsi="Consolas"/>
          <w:color w:val="101820"/>
          <w:sz w:val="19"/>
        </w:rPr>
        <w:t>remittance_allocations</w:t>
      </w:r>
      <w:r>
        <w:rPr>
          <w:rFonts w:eastAsia="Segoe UI" w:cs="Segoe UI" w:ascii="Segoe UI" w:hAnsi="Segoe UI"/>
          <w:color w:val="101820"/>
          <w:sz w:val="21"/>
        </w:rPr>
        <w:t xml:space="preserve"> splits each collection by insurer share. Settlements, adjustments and exceptions are remittance work items, and </w:t>
      </w:r>
      <w:r>
        <w:rPr>
          <w:rFonts w:eastAsia="Consolas" w:cs="Consolas" w:ascii="Consolas" w:hAnsi="Consolas"/>
          <w:color w:val="101820"/>
          <w:sz w:val="19"/>
        </w:rPr>
        <w:t>remittance_approvals</w:t>
      </w:r>
      <w:r>
        <w:rPr>
          <w:rFonts w:eastAsia="Segoe UI" w:cs="Segoe UI" w:ascii="Segoe UI" w:hAnsi="Segoe UI"/>
          <w:color w:val="101820"/>
          <w:sz w:val="21"/>
        </w:rPr>
        <w:t xml:space="preserve"> is the multi-level approval register with SLA and history. Refunds due from an insurer on premium already remitted are held in </w:t>
      </w:r>
      <w:r>
        <w:rPr>
          <w:rFonts w:eastAsia="Consolas" w:cs="Consolas" w:ascii="Consolas" w:hAnsi="Consolas"/>
          <w:color w:val="101820"/>
          <w:sz w:val="19"/>
        </w:rPr>
        <w:t>insurer_refund_credits</w:t>
      </w:r>
      <w:r>
        <w:rPr>
          <w:rFonts w:eastAsia="Segoe UI" w:cs="Segoe UI" w:ascii="Segoe UI" w:hAnsi="Segoe UI"/>
          <w:color w:val="101820"/>
          <w:sz w:val="21"/>
        </w:rPr>
        <w:t xml:space="preserve"> and netted against the next remittance. For direct-billed policies the broker's commission is a receivable from the insurer: </w:t>
      </w:r>
      <w:r>
        <w:rPr>
          <w:rFonts w:eastAsia="Consolas" w:cs="Consolas" w:ascii="Consolas" w:hAnsi="Consolas"/>
          <w:color w:val="101820"/>
          <w:sz w:val="19"/>
        </w:rPr>
        <w:t>direct_bill_items</w:t>
      </w:r>
      <w:r>
        <w:rPr>
          <w:rFonts w:eastAsia="Segoe UI" w:cs="Segoe UI" w:ascii="Segoe UI" w:hAnsi="Segoe UI"/>
          <w:color w:val="101820"/>
          <w:sz w:val="21"/>
        </w:rPr>
        <w:t xml:space="preserve"> are billed on commission debit notes (DN-) and settled by debit note collections (cash plus EWT supported by BIR Form 2307). The client's own payment to the insurer is recorded in </w:t>
      </w:r>
      <w:r>
        <w:rPr>
          <w:rFonts w:eastAsia="Consolas" w:cs="Consolas" w:ascii="Consolas" w:hAnsi="Consolas"/>
          <w:color w:val="101820"/>
          <w:sz w:val="19"/>
        </w:rPr>
        <w:t>direct_bill_client_payments</w:t>
      </w:r>
      <w:r>
        <w:rPr>
          <w:rFonts w:eastAsia="Segoe UI" w:cs="Segoe UI" w:ascii="Segoe UI" w:hAnsi="Segoe UI"/>
          <w:color w:val="101820"/>
          <w:sz w:val="21"/>
        </w:rPr>
        <w:t xml:space="preserve"> for follow-up only; it posts no journal.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remittance_lines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bills to insurers and the policies 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split of each collection by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remittance_approvals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Work items and approval requests (approval limits and delegations: </w:t>
            </w:r>
            <w:r>
              <w:rPr>
                <w:rFonts w:eastAsia="Consolas" w:cs="Consolas" w:ascii="Consolas" w:hAnsi="Consolas"/>
                <w:color w:val="101820"/>
                <w:kern w:val="0"/>
                <w:sz w:val="16"/>
                <w:szCs w:val="24"/>
                <w:lang w:val="en-US" w:eastAsia="ja-JP" w:bidi="ar-SA"/>
              </w:rPr>
              <w:t>authority_limits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user_delegations</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insurer_refund_credits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Refunds due from insurers, netted against later remittances.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commission_debit_note_collections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commission receivable, debit notes and their collection.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payments made directly to the insurer (no journal).</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remittance_lines.remittance_id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in a remittance (deleted with the remittance).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remittances.insurance_company_id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paid.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remittance_allocations.receipt_application_id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split and the invoice list that remitted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booking_jv_id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item billed on a debit note, its policy and booking journal.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item_id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direct_bill_items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debit note.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commission_debit_note_collections.debit_note_id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against a debit note and its journal.</w:t>
            </w:r>
          </w:p>
        </w:tc>
      </w:tr>
    </w:tbl>
    <w:p>
      <w:pPr>
        <w:pStyle w:val="Normal"/>
        <w:spacing w:before="0" w:after="80"/>
        <w:rPr/>
      </w:pPr>
      <w:r>
        <w:rPr/>
      </w:r>
    </w:p>
    <w:p>
      <w:pPr>
        <w:pStyle w:val="Heading2"/>
        <w:rPr/>
      </w:pPr>
      <w:bookmarkStart w:id="29" w:name="__RefHeading___Toc38033_3949650649"/>
      <w:bookmarkEnd w:id="29"/>
      <w:r>
        <w:rPr>
          <w:rFonts w:eastAsia="Segoe UI" w:cs="Segoe UI"/>
          <w:b/>
          <w:color w:val="0F4761"/>
          <w:sz w:val="26"/>
        </w:rPr>
        <w:t>5.9  Commission</w:t>
      </w:r>
    </w:p>
    <w:p>
      <w:pPr>
        <w:pStyle w:val="Normal"/>
        <w:spacing w:lineRule="auto" w:line="276" w:before="0" w:after="120"/>
        <w:rPr/>
      </w:pPr>
      <w:r>
        <w:rPr>
          <w:rFonts w:eastAsia="Segoe UI" w:cs="Segoe UI" w:ascii="Segoe UI" w:hAnsi="Segoe UI"/>
          <w:color w:val="101820"/>
          <w:sz w:val="21"/>
        </w:rPr>
        <w:t>Commission (</w:t>
      </w:r>
      <w:r>
        <w:rPr>
          <w:rFonts w:eastAsia="Consolas" w:cs="Consolas" w:ascii="Consolas" w:hAnsi="Consolas"/>
          <w:color w:val="101820"/>
          <w:sz w:val="19"/>
        </w:rPr>
        <w:t>commissions</w:t>
      </w:r>
      <w:r>
        <w:rPr>
          <w:rFonts w:eastAsia="Segoe UI" w:cs="Segoe UI" w:ascii="Segoe UI" w:hAnsi="Segoe UI"/>
          <w:color w:val="101820"/>
          <w:sz w:val="21"/>
        </w:rPr>
        <w:t>) here is the referrer commission (comsub) paid to sub-agents and external referrers. One line is created per policy or endorsement and per referrer in the referral chain (</w:t>
      </w:r>
      <w:r>
        <w:rPr>
          <w:rFonts w:eastAsia="Consolas" w:cs="Consolas" w:ascii="Consolas" w:hAnsi="Consolas"/>
          <w:color w:val="101820"/>
          <w:sz w:val="19"/>
        </w:rPr>
        <w:t>chain_position</w:t>
      </w:r>
      <w:r>
        <w:rPr>
          <w:rFonts w:eastAsia="Segoe UI" w:cs="Segoe UI" w:ascii="Segoe UI" w:hAnsi="Segoe UI"/>
          <w:color w:val="101820"/>
          <w:sz w:val="21"/>
        </w:rPr>
        <w:t xml:space="preserve">); the line shows the brokerage the broker earns, the comsub (a fixed amount plus a percent of net premium), withholding tax and the net payable. The line links to its accrual and payment journals and to the payment voucher that paid it. When premium is returned or a policy cancelled, </w:t>
      </w:r>
      <w:r>
        <w:rPr>
          <w:rFonts w:eastAsia="Consolas" w:cs="Consolas" w:ascii="Consolas" w:hAnsi="Consolas"/>
          <w:color w:val="101820"/>
          <w:sz w:val="19"/>
        </w:rPr>
        <w:t>commission_adjustments</w:t>
      </w:r>
      <w:r>
        <w:rPr>
          <w:rFonts w:eastAsia="Segoe UI" w:cs="Segoe UI" w:ascii="Segoe UI" w:hAnsi="Segoe UI"/>
          <w:color w:val="101820"/>
          <w:sz w:val="21"/>
        </w:rPr>
        <w:t xml:space="preserve"> records the reduction, reversal or clawback. The broker's own commission rate for a new policy comes from </w:t>
      </w:r>
      <w:r>
        <w:rPr>
          <w:rFonts w:eastAsia="Consolas" w:cs="Consolas" w:ascii="Consolas" w:hAnsi="Consolas"/>
          <w:color w:val="101820"/>
          <w:sz w:val="19"/>
        </w:rPr>
        <w:t>commission_rates</w:t>
      </w:r>
      <w:r>
        <w:rPr>
          <w:rFonts w:eastAsia="Segoe UI" w:cs="Segoe UI" w:ascii="Segoe UI" w:hAnsi="Segoe UI"/>
          <w:color w:val="101820"/>
          <w:sz w:val="21"/>
        </w:rPr>
        <w:t xml:space="preserve"> (insurer, product, line, new or renewal, effective dates), else from the insurer's default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lines: basis, rates, comsub, withholding, net, journals, voucher, status.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Reductions, reversals and clawbacks of commission lines.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commission_rates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rate matrix with effective dates.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 hierarchy, withholding rate, payout bank account.</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referrer_id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and payee of the commission line.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commissions.accrual_jv_id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and payment journals and the paying voucher.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commission_adjustments.commission_id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adjusted.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commission_referrers.parent_referrer_id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hierarchy.</w:t>
            </w:r>
          </w:p>
        </w:tc>
      </w:tr>
    </w:tbl>
    <w:p>
      <w:pPr>
        <w:pStyle w:val="Normal"/>
        <w:spacing w:before="0" w:after="80"/>
        <w:rPr/>
      </w:pPr>
      <w:r>
        <w:rPr/>
      </w:r>
    </w:p>
    <w:p>
      <w:pPr>
        <w:pStyle w:val="Heading2"/>
        <w:rPr/>
      </w:pPr>
      <w:bookmarkStart w:id="30" w:name="__RefHeading___Toc38035_3949650649"/>
      <w:bookmarkEnd w:id="30"/>
      <w:r>
        <w:rPr>
          <w:rFonts w:eastAsia="Segoe UI" w:cs="Segoe UI"/>
          <w:b/>
          <w:color w:val="0F4761"/>
          <w:sz w:val="26"/>
        </w:rPr>
        <w:t>5.10  Claims</w:t>
      </w:r>
    </w:p>
    <w:p>
      <w:pPr>
        <w:pStyle w:val="Normal"/>
        <w:spacing w:lineRule="auto" w:line="276" w:before="0" w:after="120"/>
        <w:rPr/>
      </w:pPr>
      <w:r>
        <w:rPr>
          <w:rFonts w:eastAsia="Segoe UI" w:cs="Segoe UI" w:ascii="Segoe UI" w:hAnsi="Segoe UI"/>
          <w:color w:val="101820"/>
          <w:sz w:val="21"/>
        </w:rPr>
        <w:t xml:space="preserve">A claim belongs to a policy and client and carries the loss details, the estimate, approved and settled amounts and the handler. Motor claims keep driver and third-party details in JSON. Every status change is in </w:t>
      </w:r>
      <w:r>
        <w:rPr>
          <w:rFonts w:eastAsia="Consolas" w:cs="Consolas" w:ascii="Consolas" w:hAnsi="Consolas"/>
          <w:color w:val="101820"/>
          <w:sz w:val="19"/>
        </w:rPr>
        <w:t>claim_history</w:t>
      </w:r>
      <w:r>
        <w:rPr>
          <w:rFonts w:eastAsia="Segoe UI" w:cs="Segoe UI" w:ascii="Segoe UI" w:hAnsi="Segoe UI"/>
          <w:color w:val="101820"/>
          <w:sz w:val="21"/>
        </w:rPr>
        <w:t xml:space="preserve"> and every field change in </w:t>
      </w:r>
      <w:r>
        <w:rPr>
          <w:rFonts w:eastAsia="Consolas" w:cs="Consolas" w:ascii="Consolas" w:hAnsi="Consolas"/>
          <w:color w:val="101820"/>
          <w:sz w:val="19"/>
        </w:rPr>
        <w:t>claim_field_changes</w:t>
      </w:r>
      <w:r>
        <w:rPr>
          <w:rFonts w:eastAsia="Segoe UI" w:cs="Segoe UI" w:ascii="Segoe UI" w:hAnsi="Segoe UI"/>
          <w:color w:val="101820"/>
          <w:sz w:val="21"/>
        </w:rPr>
        <w:t xml:space="preserve">. Settlement cash is recorded in </w:t>
      </w:r>
      <w:r>
        <w:rPr>
          <w:rFonts w:eastAsia="Consolas" w:cs="Consolas" w:ascii="Consolas" w:hAnsi="Consolas"/>
          <w:color w:val="101820"/>
          <w:sz w:val="19"/>
        </w:rPr>
        <w:t>claim_settlement_movements</w:t>
      </w:r>
      <w:r>
        <w:rPr>
          <w:rFonts w:eastAsia="Segoe UI" w:cs="Segoe UI" w:ascii="Segoe UI" w:hAnsi="Segoe UI"/>
          <w:color w:val="101820"/>
          <w:sz w:val="21"/>
        </w:rPr>
        <w:t>: funds received from each insurer and payments to the claimant, each with its journal. Recoveries from reinsurers are in the reinsurance area.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83"/>
        <w:gridCol w:w="5030"/>
      </w:tblGrid>
      <w:tr>
        <w:trPr>
          <w:tblHeader w:val="true"/>
        </w:trPr>
        <w:tc>
          <w:tcPr>
            <w:tcW w:w="3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number, policy, client, loss date, type, place, amounts, handler, adjuster, settlement, status.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claim_field_changes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history and field-level change trail.</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Funds received from insurers and paid to claimants, with journals.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and insured of the claim.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claim_field_changes.claim_id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Histories (deleted with the claim).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cash movement, paying insurer and journal.</w:t>
            </w:r>
          </w:p>
        </w:tc>
      </w:tr>
    </w:tbl>
    <w:p>
      <w:pPr>
        <w:pStyle w:val="Normal"/>
        <w:spacing w:before="0" w:after="80"/>
        <w:rPr/>
      </w:pPr>
      <w:r>
        <w:rPr/>
      </w:r>
    </w:p>
    <w:p>
      <w:pPr>
        <w:pStyle w:val="Heading2"/>
        <w:rPr/>
      </w:pPr>
      <w:bookmarkStart w:id="31" w:name="__RefHeading___Toc38037_3949650649"/>
      <w:bookmarkEnd w:id="31"/>
      <w:r>
        <w:rPr>
          <w:rFonts w:eastAsia="Segoe UI" w:cs="Segoe UI"/>
          <w:b/>
          <w:color w:val="0F4761"/>
          <w:sz w:val="26"/>
        </w:rPr>
        <w:t>5.11  Renewals</w:t>
      </w:r>
    </w:p>
    <w:p>
      <w:pPr>
        <w:pStyle w:val="Normal"/>
        <w:spacing w:lineRule="auto" w:line="276" w:before="0" w:after="120"/>
        <w:rPr/>
      </w:pPr>
      <w:r>
        <w:rPr>
          <w:rFonts w:eastAsia="Segoe UI" w:cs="Segoe UI" w:ascii="Segoe UI" w:hAnsi="Segoe UI"/>
          <w:color w:val="101820"/>
          <w:sz w:val="21"/>
        </w:rPr>
        <w:t>The renewal pipeline job creates a renewal case for each policy approaching expiry. The case tracks notices sent, contact attempts, the renewal quotation (re-rating with loading and discounts), approval and the outcome: the renewal policy or a lapse. Renewal batches send notices and quotations for many policies at once through the background queue. Win-back campaigns target lapsed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cases: expiring policy, client, old and new premium, notice stage, contact attempts, type, status, renewal policy.</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quotations with loading, discount and variance.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renewal_activities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Notices sent and contact activities.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renewal_batch_policies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runs and the policies in them.</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winback_campaigns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Win-back campaigns.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7"/>
        <w:gridCol w:w="2699"/>
        <w:gridCol w:w="3158"/>
      </w:tblGrid>
      <w:tr>
        <w:trPr>
          <w:tblHeader w:val="true"/>
        </w:trPr>
        <w:tc>
          <w:tcPr>
            <w:tcW w:w="31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1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new_policy_id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policy and the renewal policy issued.</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renewal_quotes.renewal_id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renewal_notices.renewal_id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renewal_activities.renewal_id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notices and activities of a case (deleted with it).</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renewal_batch_policies.batch_id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in a batch run.</w:t>
            </w:r>
          </w:p>
        </w:tc>
      </w:tr>
    </w:tbl>
    <w:p>
      <w:pPr>
        <w:pStyle w:val="Normal"/>
        <w:spacing w:before="0" w:after="80"/>
        <w:rPr/>
      </w:pPr>
      <w:r>
        <w:rPr/>
      </w:r>
    </w:p>
    <w:p>
      <w:pPr>
        <w:pStyle w:val="Heading2"/>
        <w:rPr/>
      </w:pPr>
      <w:bookmarkStart w:id="32" w:name="__RefHeading___Toc38039_3949650649"/>
      <w:bookmarkEnd w:id="32"/>
      <w:r>
        <w:rPr>
          <w:rFonts w:eastAsia="Segoe UI" w:cs="Segoe UI"/>
          <w:b/>
          <w:color w:val="0F4761"/>
          <w:sz w:val="26"/>
        </w:rPr>
        <w:t>5.12  General ledger and period end</w:t>
      </w:r>
    </w:p>
    <w:p>
      <w:pPr>
        <w:pStyle w:val="Normal"/>
        <w:spacing w:lineRule="auto" w:line="276" w:before="0" w:after="120"/>
        <w:rPr/>
      </w:pPr>
      <w:r>
        <w:rPr>
          <w:rFonts w:eastAsia="Segoe UI" w:cs="Segoe UI" w:ascii="Segoe UI" w:hAnsi="Segoe UI"/>
          <w:color w:val="101820"/>
          <w:sz w:val="21"/>
        </w:rPr>
        <w:t xml:space="preserve">Every system journal is built from a posting rule: the rule of a business event (for example </w:t>
      </w:r>
      <w:r>
        <w:rPr>
          <w:rFonts w:eastAsia="Consolas" w:cs="Consolas" w:ascii="Consolas" w:hAnsi="Consolas"/>
          <w:color w:val="101820"/>
          <w:sz w:val="19"/>
        </w:rPr>
        <w:t>policy.issue.broker_billed</w:t>
      </w:r>
      <w:r>
        <w:rPr>
          <w:rFonts w:eastAsia="Segoe UI" w:cs="Segoe UI" w:ascii="Segoe UI" w:hAnsi="Segoe UI"/>
          <w:color w:val="101820"/>
          <w:sz w:val="21"/>
        </w:rPr>
        <w:t xml:space="preserve">, </w:t>
      </w:r>
      <w:r>
        <w:rPr>
          <w:rFonts w:eastAsia="Consolas" w:cs="Consolas" w:ascii="Consolas" w:hAnsi="Consolas"/>
          <w:color w:val="101820"/>
          <w:sz w:val="19"/>
        </w:rPr>
        <w:t>receipt.apply</w:t>
      </w:r>
      <w:r>
        <w:rPr>
          <w:rFonts w:eastAsia="Segoe UI" w:cs="Segoe UI" w:ascii="Segoe UI" w:hAnsi="Segoe UI"/>
          <w:color w:val="101820"/>
          <w:sz w:val="21"/>
        </w:rPr>
        <w:t xml:space="preserve">, </w:t>
      </w:r>
      <w:r>
        <w:rPr>
          <w:rFonts w:eastAsia="Consolas" w:cs="Consolas" w:ascii="Consolas" w:hAnsi="Consolas"/>
          <w:color w:val="101820"/>
          <w:sz w:val="19"/>
        </w:rPr>
        <w:t>remittance.settlement</w:t>
      </w:r>
      <w:r>
        <w:rPr>
          <w:rFonts w:eastAsia="Segoe UI" w:cs="Segoe UI" w:ascii="Segoe UI" w:hAnsi="Segoe UI"/>
          <w:color w:val="101820"/>
          <w:sz w:val="21"/>
        </w:rPr>
        <w:t xml:space="preserve">) has versions with an effective date and lines that name a GL account or an account role. Account roles resolve to GL accounts through the Account Determination settings </w:t>
      </w:r>
      <w:r>
        <w:rPr>
          <w:rFonts w:eastAsia="Consolas" w:cs="Consolas" w:ascii="Consolas" w:hAnsi="Consolas"/>
          <w:color w:val="101820"/>
          <w:sz w:val="19"/>
        </w:rPr>
        <w:t>accounting.account.&lt;role&gt;</w:t>
      </w:r>
      <w:r>
        <w:rPr>
          <w:rFonts w:eastAsia="Segoe UI" w:cs="Segoe UI" w:ascii="Segoe UI" w:hAnsi="Segoe UI"/>
          <w:color w:val="101820"/>
          <w:sz w:val="21"/>
        </w:rPr>
        <w:t>. A line marked per participant is split across co-insurers by share. Changes to posting rules and account determination wait for a second user's approval (</w:t>
      </w:r>
      <w:r>
        <w:rPr>
          <w:rFonts w:eastAsia="Consolas" w:cs="Consolas" w:ascii="Consolas" w:hAnsi="Consolas"/>
          <w:color w:val="101820"/>
          <w:sz w:val="19"/>
        </w:rPr>
        <w:t>accounting_config_changes</w:t>
      </w:r>
      <w:r>
        <w:rPr>
          <w:rFonts w:eastAsia="Segoe UI" w:cs="Segoe UI" w:ascii="Segoe UI" w:hAnsi="Segoe UI"/>
          <w:color w:val="101820"/>
          <w:sz w:val="21"/>
        </w:rPr>
        <w:t xml:space="preserve">). Journal vouchers hold balanced journal lines on the chart of accounts; open-item accounts are matched debit to credit in </w:t>
      </w:r>
      <w:r>
        <w:rPr>
          <w:rFonts w:eastAsia="Consolas" w:cs="Consolas" w:ascii="Consolas" w:hAnsi="Consolas"/>
          <w:color w:val="101820"/>
          <w:sz w:val="19"/>
        </w:rPr>
        <w:t>entry_matches</w:t>
      </w:r>
      <w:r>
        <w:rPr>
          <w:rFonts w:eastAsia="Segoe UI" w:cs="Segoe UI" w:ascii="Segoe UI" w:hAnsi="Segoe UI"/>
          <w:color w:val="101820"/>
          <w:sz w:val="21"/>
        </w:rPr>
        <w:t xml:space="preserve">. Periods 1 to 12 and the adjustment period 13 of each fiscal year are opened, soft-closed, closed and locked; the month-end close run posts accruals and recurring journals, checks the checklist and closes the period. The year-end close posts the closing entries, carries the balances into </w:t>
      </w:r>
      <w:r>
        <w:rPr>
          <w:rFonts w:eastAsia="Consolas" w:cs="Consolas" w:ascii="Consolas" w:hAnsi="Consolas"/>
          <w:color w:val="101820"/>
          <w:sz w:val="19"/>
        </w:rPr>
        <w:t>opening_balances</w:t>
      </w:r>
      <w:r>
        <w:rPr>
          <w:rFonts w:eastAsia="Segoe UI" w:cs="Segoe UI" w:ascii="Segoe UI" w:hAnsi="Segoe UI"/>
          <w:color w:val="101820"/>
          <w:sz w:val="21"/>
        </w:rPr>
        <w:t xml:space="preserve"> of the next year and locks the year. Tax codes hold VAT, EWT with ATC, DST and LGT; BIR Form 2307 certificates are kept per payee or payor and quarter.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gl_accounts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type, category, financial statement group, normal balance, open-item and manual-use flags.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and their debit and credit lines with client, policy, insurer, branch and department tags.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Open-item matching of debit and credit lines, with write-off.</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posting_rule_lines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accounting_config_changes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versions, their lines and pending configuration changes.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period_status_history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periods and every period status change.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period_close_checklist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period_close_run_checks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period_close_entries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checklist, close runs, check results and close journals.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recurring_journal_runs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and accrual journal templates and their occurrences.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runs and the opening balances they carry forward (or loaded at go-live).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tax_codes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bir_2307_certificates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and BIR Form 2307 certificates.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50"/>
        <w:gridCol w:w="1713"/>
        <w:gridCol w:w="3651"/>
      </w:tblGrid>
      <w:tr>
        <w:trPr>
          <w:tblHeader w:val="true"/>
        </w:trPr>
        <w:tc>
          <w:tcPr>
            <w:tcW w:w="36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journal_lines.jv_id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journal (deleted with a draft journal).</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Subsidiary-ledger tags of a line.</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journal_vouchers.posting_rule_id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 version the journal was built from.</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journal_vouchers.reversal_of</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reversed_by_jv</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correction_of</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Reversal and correction chain.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entry_matches.debit_line_id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credit_line_id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matched as an open item.</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posting_rule_lines.rule_id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rule version.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accounting_periods.fiscal_year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opening_balances.fiscal_year</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Periods and opening balances of a year.</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period_close_runs.period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closed by a run.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year_end_runs.closing_jv_id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transfer_jv_id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and retained-earnings transfer journals.</w:t>
            </w:r>
          </w:p>
        </w:tc>
      </w:tr>
    </w:tbl>
    <w:p>
      <w:pPr>
        <w:pStyle w:val="Normal"/>
        <w:spacing w:before="0" w:after="80"/>
        <w:rPr/>
      </w:pPr>
      <w:r>
        <w:rPr/>
      </w:r>
    </w:p>
    <w:p>
      <w:pPr>
        <w:pStyle w:val="Heading2"/>
        <w:rPr/>
      </w:pPr>
      <w:bookmarkStart w:id="33" w:name="__RefHeading___Toc38041_3949650649"/>
      <w:bookmarkEnd w:id="33"/>
      <w:r>
        <w:rPr>
          <w:rFonts w:eastAsia="Segoe UI" w:cs="Segoe UI"/>
          <w:b/>
          <w:color w:val="0F4761"/>
          <w:sz w:val="26"/>
        </w:rPr>
        <w:t>5.13  Bank and insurer reconciliation</w:t>
      </w:r>
    </w:p>
    <w:p>
      <w:pPr>
        <w:pStyle w:val="Normal"/>
        <w:spacing w:lineRule="auto" w:line="276" w:before="0" w:after="120"/>
        <w:rPr/>
      </w:pPr>
      <w:r>
        <w:rPr>
          <w:rFonts w:eastAsia="Segoe UI" w:cs="Segoe UI" w:ascii="Segoe UI" w:hAnsi="Segoe UI"/>
          <w:color w:val="101820"/>
          <w:sz w:val="21"/>
        </w:rPr>
        <w:t xml:space="preserve">Bank statements are imported with a statement format (or keyed) into </w:t>
      </w:r>
      <w:r>
        <w:rPr>
          <w:rFonts w:eastAsia="Consolas" w:cs="Consolas" w:ascii="Consolas" w:hAnsi="Consolas"/>
          <w:color w:val="101820"/>
          <w:sz w:val="19"/>
        </w:rPr>
        <w:t>bank_statements</w:t>
      </w:r>
      <w:r>
        <w:rPr>
          <w:rFonts w:eastAsia="Segoe UI" w:cs="Segoe UI" w:ascii="Segoe UI" w:hAnsi="Segoe UI"/>
          <w:color w:val="101820"/>
          <w:sz w:val="21"/>
        </w:rPr>
        <w:t xml:space="preserve"> and </w:t>
      </w:r>
      <w:r>
        <w:rPr>
          <w:rFonts w:eastAsia="Consolas" w:cs="Consolas" w:ascii="Consolas" w:hAnsi="Consolas"/>
          <w:color w:val="101820"/>
          <w:sz w:val="19"/>
        </w:rPr>
        <w:t>bank_statement_lines</w:t>
      </w:r>
      <w:r>
        <w:rPr>
          <w:rFonts w:eastAsia="Segoe UI" w:cs="Segoe UI" w:ascii="Segoe UI" w:hAnsi="Segoe UI"/>
          <w:color w:val="101820"/>
          <w:sz w:val="21"/>
        </w:rPr>
        <w:t xml:space="preserve">; a line hash refuses duplicates. Matches link bank lines to the journal lines on the GL cash account of the bank account (the view </w:t>
      </w:r>
      <w:r>
        <w:rPr>
          <w:rFonts w:eastAsia="Consolas" w:cs="Consolas" w:ascii="Consolas" w:hAnsi="Consolas"/>
          <w:color w:val="101820"/>
          <w:sz w:val="19"/>
        </w:rPr>
        <w:t>bank_book_lines</w:t>
      </w:r>
      <w:r>
        <w:rPr>
          <w:rFonts w:eastAsia="Segoe UI" w:cs="Segoe UI" w:ascii="Segoe UI" w:hAnsi="Segoe UI"/>
          <w:color w:val="101820"/>
          <w:sz w:val="21"/>
        </w:rPr>
        <w:t xml:space="preserve"> gives that book side). Unmatched bank items such as charges and interest are posted with a bank transaction type. The monthly bank reconciliation stores the statement figures and, once approved, locks the matches cleared up to its date. Insurer statements of account (premium remittance confirmations or commission statements) are imported with a per-insurer column mapping and matched line by line to remittance lines, debit note lines or policies; differences are resolved with a note or an adjustment journal posted on approval.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bank_statement_formats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bank_transaction_types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bank_match_rules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layouts, bank-side transaction types and automatic matching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keyed statements and their lines.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bank_rec_match_items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Matches and the bank and book lines in each.</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bank_reconciliation_history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reconciliation statements and their status history.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bank_book_lines</w:t>
            </w:r>
            <w:r>
              <w:rPr>
                <w:rFonts w:eastAsia="Segoe UI" w:cs="Segoe UI" w:ascii="Segoe UI" w:hAnsi="Segoe UI"/>
                <w:color w:val="101820"/>
                <w:kern w:val="0"/>
                <w:sz w:val="18"/>
                <w:szCs w:val="24"/>
                <w:lang w:val="en-US" w:eastAsia="ja-JP" w:bidi="ar-SA"/>
              </w:rPr>
              <w:t xml:space="preserve"> (views)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 with their GL account; posted lines on bank cash accounts.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insurer_statement_formats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insurer_statement_resolutions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layouts, imported statements, lines with match results and resolutions.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bank_statement_lines.statement_id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 statement.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bank_rec_match_items.match_id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side and book side of a match.</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bank_reconciliation_history.rec_id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change of a reconciliation.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insurer_statement_lines.statement_id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an insurer statement and the policy it concerns.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insurer_statement_resolutions.line_id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Resolution of a line and the adjustment journal.</w:t>
            </w:r>
          </w:p>
        </w:tc>
      </w:tr>
    </w:tbl>
    <w:p>
      <w:pPr>
        <w:pStyle w:val="Normal"/>
        <w:spacing w:before="0" w:after="80"/>
        <w:rPr/>
      </w:pPr>
      <w:r>
        <w:rPr/>
      </w:r>
    </w:p>
    <w:p>
      <w:pPr>
        <w:pStyle w:val="Heading2"/>
        <w:rPr/>
      </w:pPr>
      <w:bookmarkStart w:id="34" w:name="__RefHeading___Toc38043_3949650649"/>
      <w:bookmarkEnd w:id="34"/>
      <w:r>
        <w:rPr>
          <w:rFonts w:eastAsia="Segoe UI" w:cs="Segoe UI"/>
          <w:b/>
          <w:color w:val="0F4761"/>
          <w:sz w:val="26"/>
        </w:rPr>
        <w:t>5.14  Credit control</w:t>
      </w:r>
    </w:p>
    <w:p>
      <w:pPr>
        <w:pStyle w:val="Normal"/>
        <w:spacing w:lineRule="auto" w:line="276" w:before="0" w:after="120"/>
        <w:rPr/>
      </w:pPr>
      <w:r>
        <w:rPr>
          <w:rFonts w:eastAsia="Segoe UI" w:cs="Segoe UI" w:ascii="Segoe UI" w:hAnsi="Segoe UI"/>
          <w:color w:val="101820"/>
          <w:sz w:val="21"/>
        </w:rPr>
        <w:t>Credit control applies to broker-billed business. Collection items follow up open bills with assignments, commitments and escalation; every call, e-mail or visit is a collection action. A premium bill can be split into instalments without changing the bill in the ledger. The premium warranty monitor lists policies whose premium is unpaid near or past the warranty deadline; Accounting sends reminders, requests a deadline extension (approved by a second user holding approve:credit-control) or requests the cancellation of a breached policy, which creates a draft cancellation endorsement for Operations. A client credit limit is checked when a new policy is issued and every policy issued beyond it is logged for Accounting to acknowledge.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collection_actions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of open bills and the actions taken.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premium_instalments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plans of a bill and their due dates and amounts.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premium_warranty_actions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deadline extension requests and monitor actions.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beyond a client's credit limit (</w:t>
            </w:r>
            <w:r>
              <w:rPr>
                <w:rFonts w:eastAsia="Consolas" w:cs="Consolas" w:ascii="Consolas" w:hAnsi="Consolas"/>
                <w:color w:val="101820"/>
                <w:kern w:val="0"/>
                <w:sz w:val="16"/>
                <w:szCs w:val="24"/>
                <w:lang w:val="en-US" w:eastAsia="ja-JP" w:bidi="ar-SA"/>
              </w:rPr>
              <w:t>clients.credit_limit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0"/>
        <w:gridCol w:w="2092"/>
        <w:gridCol w:w="3461"/>
      </w:tblGrid>
      <w:tr>
        <w:trPr>
          <w:tblHeader w:val="true"/>
        </w:trPr>
        <w:tc>
          <w:tcPr>
            <w:tcW w:w="34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0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collection_items.receivable_id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followed up (one item per bill).</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collection_actions.collection_id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Actions on an item (deleted with it).</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split into instalments.</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premium_instalments.plan_id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Instalments of a plan.</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premium_warranty_actions.extension_id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 taken on an extension request.</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over limit and the policy that took it there.</w:t>
            </w:r>
          </w:p>
        </w:tc>
      </w:tr>
    </w:tbl>
    <w:p>
      <w:pPr>
        <w:pStyle w:val="Normal"/>
        <w:spacing w:before="0" w:after="80"/>
        <w:rPr/>
      </w:pPr>
      <w:r>
        <w:rPr/>
      </w:r>
    </w:p>
    <w:p>
      <w:pPr>
        <w:pStyle w:val="Heading2"/>
        <w:rPr/>
      </w:pPr>
      <w:bookmarkStart w:id="35" w:name="__RefHeading___Toc38045_3949650649"/>
      <w:bookmarkEnd w:id="35"/>
      <w:r>
        <w:rPr>
          <w:rFonts w:eastAsia="Segoe UI" w:cs="Segoe UI"/>
          <w:b/>
          <w:color w:val="0F4761"/>
          <w:sz w:val="26"/>
        </w:rPr>
        <w:t>5.15  Reinsurance</w:t>
      </w:r>
    </w:p>
    <w:p>
      <w:pPr>
        <w:pStyle w:val="Normal"/>
        <w:spacing w:lineRule="auto" w:line="276" w:before="0" w:after="120"/>
        <w:rPr/>
      </w:pPr>
      <w:r>
        <w:rPr>
          <w:rFonts w:eastAsia="Segoe UI" w:cs="Segoe UI" w:ascii="Segoe UI" w:hAnsi="Segoe UI"/>
          <w:color w:val="101820"/>
          <w:sz w:val="21"/>
        </w:rPr>
        <w:t>Reinsurers and treaties (type, capacity, share, retention) are set up in the reinsurance module. A cession passes part of a policy's sum insured and premium to a treaty or, facultatively, to one reinsurer. Recoveries claim the reinsured part of a loss. Bordereaux report cessions or claims to reinsurers, and reconciliations compare the broker's figures with the reinsurer's statement, with exceptions to resolve.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 and treaties.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and facultative cessions per policy.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recoveries from reinsurers.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reinsurance_bordereaux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reinsurance_exceptions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statement reconciliations and their exceptions.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8"/>
        <w:gridCol w:w="3277"/>
        <w:gridCol w:w="2459"/>
      </w:tblGrid>
      <w:tr>
        <w:trPr>
          <w:tblHeader w:val="true"/>
        </w:trPr>
        <w:tc>
          <w:tcPr>
            <w:tcW w:w="32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2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treaty_id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facultative_reinsurer_id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reinsurers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ceded and where.</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treaty_id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recovered under a cession.</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reinsurance_exceptions.reconciliation_id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reinsurance_reconciliations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Exception found in a reconciliation.</w:t>
            </w:r>
          </w:p>
        </w:tc>
      </w:tr>
    </w:tbl>
    <w:p>
      <w:pPr>
        <w:pStyle w:val="Normal"/>
        <w:spacing w:before="0" w:after="80"/>
        <w:rPr/>
      </w:pPr>
      <w:r>
        <w:rPr/>
      </w:r>
    </w:p>
    <w:p>
      <w:pPr>
        <w:pStyle w:val="Heading2"/>
        <w:rPr/>
      </w:pPr>
      <w:bookmarkStart w:id="36" w:name="__RefHeading___Toc38047_3949650649"/>
      <w:bookmarkEnd w:id="36"/>
      <w:r>
        <w:rPr>
          <w:rFonts w:eastAsia="Segoe UI" w:cs="Segoe UI"/>
          <w:b/>
          <w:color w:val="0F4761"/>
          <w:sz w:val="26"/>
        </w:rPr>
        <w:t>5.16  Incentives</w:t>
      </w:r>
    </w:p>
    <w:p>
      <w:pPr>
        <w:pStyle w:val="Normal"/>
        <w:spacing w:lineRule="auto" w:line="276" w:before="0" w:after="120"/>
        <w:rPr/>
      </w:pPr>
      <w:r>
        <w:rPr>
          <w:rFonts w:eastAsia="Segoe UI" w:cs="Segoe UI" w:ascii="Segoe UI" w:hAnsi="Segoe UI"/>
          <w:color w:val="101820"/>
          <w:sz w:val="21"/>
        </w:rPr>
        <w:t>Incentive programmes define the measure (premium, policies, conversion), targets, tiers and eligibility. A calculation batch computes the results of a period for every participant and goes through maker-checker approval before payment.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Programmes: measure, target, stretch target, structure, eligibility, frequency.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incentive_calculations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with approval, journals and payment.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 and payout per programme, participant and period.</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incentive_results.program_id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calculation_id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agent_user_id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incentive_calculations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 of a participant in a programme and batch.</w:t>
            </w:r>
          </w:p>
        </w:tc>
      </w:tr>
    </w:tbl>
    <w:p>
      <w:pPr>
        <w:pStyle w:val="Normal"/>
        <w:spacing w:before="0" w:after="80"/>
        <w:rPr/>
      </w:pPr>
      <w:r>
        <w:rPr/>
      </w:r>
    </w:p>
    <w:p>
      <w:pPr>
        <w:pStyle w:val="Heading2"/>
        <w:rPr/>
      </w:pPr>
      <w:bookmarkStart w:id="37" w:name="__RefHeading___Toc38049_3949650649"/>
      <w:bookmarkEnd w:id="37"/>
      <w:r>
        <w:rPr>
          <w:rFonts w:eastAsia="Segoe UI" w:cs="Segoe UI"/>
          <w:b/>
          <w:color w:val="0F4761"/>
          <w:sz w:val="26"/>
        </w:rPr>
        <w:t>5.17  Security and audit</w:t>
      </w:r>
    </w:p>
    <w:p>
      <w:pPr>
        <w:pStyle w:val="Normal"/>
        <w:spacing w:lineRule="auto" w:line="276" w:before="0" w:after="120"/>
        <w:rPr/>
      </w:pPr>
      <w:r>
        <w:rPr>
          <w:rFonts w:eastAsia="Segoe UI" w:cs="Segoe UI" w:ascii="Segoe UI" w:hAnsi="Segoe UI"/>
          <w:color w:val="101820"/>
          <w:sz w:val="21"/>
        </w:rPr>
        <w:t>Users sign in with a username and password (bcrypt hash only) and, where required by role, a second factor (TOTP secret stored encrypted). Roles carry permissions (</w:t>
      </w:r>
      <w:r>
        <w:rPr>
          <w:rFonts w:eastAsia="Consolas" w:cs="Consolas" w:ascii="Consolas" w:hAnsi="Consolas"/>
          <w:color w:val="101820"/>
          <w:sz w:val="19"/>
        </w:rPr>
        <w:t>read:&lt;module&gt;</w:t>
      </w:r>
      <w:r>
        <w:rPr>
          <w:rFonts w:eastAsia="Segoe UI" w:cs="Segoe UI" w:ascii="Segoe UI" w:hAnsi="Segoe UI"/>
          <w:color w:val="101820"/>
          <w:sz w:val="21"/>
        </w:rPr>
        <w:t xml:space="preserve">, </w:t>
      </w:r>
      <w:r>
        <w:rPr>
          <w:rFonts w:eastAsia="Consolas" w:cs="Consolas" w:ascii="Consolas" w:hAnsi="Consolas"/>
          <w:color w:val="101820"/>
          <w:sz w:val="19"/>
        </w:rPr>
        <w:t>write:&lt;module&gt;</w:t>
      </w:r>
      <w:r>
        <w:rPr>
          <w:rFonts w:eastAsia="Segoe UI" w:cs="Segoe UI" w:ascii="Segoe UI" w:hAnsi="Segoe UI"/>
          <w:color w:val="101820"/>
          <w:sz w:val="21"/>
        </w:rPr>
        <w:t xml:space="preserve">, </w:t>
      </w:r>
      <w:r>
        <w:rPr>
          <w:rFonts w:eastAsia="Consolas" w:cs="Consolas" w:ascii="Consolas" w:hAnsi="Consolas"/>
          <w:color w:val="101820"/>
          <w:sz w:val="19"/>
        </w:rPr>
        <w:t>approve:&lt;area&gt;</w:t>
      </w:r>
      <w:r>
        <w:rPr>
          <w:rFonts w:eastAsia="Segoe UI" w:cs="Segoe UI" w:ascii="Segoe UI" w:hAnsi="Segoe UI"/>
          <w:color w:val="101820"/>
          <w:sz w:val="21"/>
        </w:rPr>
        <w:t xml:space="preserve">) and may inherit another role. Refresh tokens are rotated and revoked by family. The access control tables add the authority matrix (approval limits per role or user and transaction type, effective once a second administrator approves), segregation-of-duties rules, out-of-office delegations and periodic access reviews. </w:t>
      </w:r>
      <w:r>
        <w:rPr>
          <w:rFonts w:eastAsia="Consolas" w:cs="Consolas" w:ascii="Consolas" w:hAnsi="Consolas"/>
          <w:color w:val="101820"/>
          <w:sz w:val="19"/>
        </w:rPr>
        <w:t>audit_log</w:t>
      </w:r>
      <w:r>
        <w:rPr>
          <w:rFonts w:eastAsia="Segoe UI" w:cs="Segoe UI" w:ascii="Segoe UI" w:hAnsi="Segoe UI"/>
          <w:color w:val="101820"/>
          <w:sz w:val="21"/>
        </w:rPr>
        <w:t xml:space="preserve"> and </w:t>
      </w:r>
      <w:r>
        <w:rPr>
          <w:rFonts w:eastAsia="Consolas" w:cs="Consolas" w:ascii="Consolas" w:hAnsi="Consolas"/>
          <w:color w:val="101820"/>
          <w:sz w:val="19"/>
        </w:rPr>
        <w:t>login_history</w:t>
      </w:r>
      <w:r>
        <w:rPr>
          <w:rFonts w:eastAsia="Segoe UI" w:cs="Segoe UI" w:ascii="Segoe UI" w:hAnsi="Segoe UI"/>
          <w:color w:val="101820"/>
          <w:sz w:val="21"/>
        </w:rPr>
        <w:t xml:space="preserve"> are the audit trail.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role_permissions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permissions and their assignments.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password_resets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password_history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 reset codes (hash only), previous password hashes, sign-in attempts.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authority_transaction_types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authority_limits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user_delegations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Segregation-of-duties rules and delegations.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access_review_items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 and the decision per user.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of every change.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privacy_consents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given, refused or withdrawn by a client or prospect per purpose (processing, marketing, sharing), with channel, notice version and evidence; never deleted.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data_subject_requests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of data subject requests (DSR-): type, requester, party, date received, due date, status, assignee, outcome and the exports and anonymisation done.</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47"/>
        <w:gridCol w:w="2984"/>
        <w:gridCol w:w="2984"/>
      </w:tblGrid>
      <w:tr>
        <w:trPr>
          <w:tblHeader w:val="true"/>
        </w:trPr>
        <w:tc>
          <w:tcPr>
            <w:tcW w:w="30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9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29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user_roles.user_id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assigned to a user.</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role_permissions.role_id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granted to a role.</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authority_limits.role_code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transaction_type</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authority_transaction_types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 of a role or user for a transaction type.</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sod_rules.role_a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role_b</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Conflicting pair of roles.</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access_review_items.review_id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reviewed in a campaign.</w:t>
            </w:r>
          </w:p>
        </w:tc>
      </w:tr>
    </w:tbl>
    <w:p>
      <w:pPr>
        <w:pStyle w:val="Normal"/>
        <w:spacing w:before="0" w:after="80"/>
        <w:rPr/>
      </w:pPr>
      <w:r>
        <w:rPr/>
      </w:r>
    </w:p>
    <w:p>
      <w:pPr>
        <w:pStyle w:val="Heading2"/>
        <w:rPr/>
      </w:pPr>
      <w:bookmarkStart w:id="38" w:name="__RefHeading___Toc38051_3949650649"/>
      <w:bookmarkEnd w:id="38"/>
      <w:r>
        <w:rPr>
          <w:rFonts w:eastAsia="Segoe UI" w:cs="Segoe UI"/>
          <w:b/>
          <w:color w:val="0F4761"/>
          <w:sz w:val="26"/>
        </w:rPr>
        <w:t>5.18  Configuration and schedules</w:t>
      </w:r>
    </w:p>
    <w:p>
      <w:pPr>
        <w:pStyle w:val="Normal"/>
        <w:spacing w:lineRule="auto" w:line="276" w:before="0" w:after="120"/>
        <w:rPr/>
      </w:pPr>
      <w:r>
        <w:rPr>
          <w:rFonts w:eastAsia="Segoe UI" w:cs="Segoe UI" w:ascii="Segoe UI" w:hAnsi="Segoe UI"/>
          <w:color w:val="101820"/>
          <w:sz w:val="21"/>
        </w:rPr>
        <w:t xml:space="preserve">Business parameters are keys of </w:t>
      </w:r>
      <w:r>
        <w:rPr>
          <w:rFonts w:eastAsia="Consolas" w:cs="Consolas" w:ascii="Consolas" w:hAnsi="Consolas"/>
          <w:color w:val="101820"/>
          <w:sz w:val="19"/>
        </w:rPr>
        <w:t>app_settings</w:t>
      </w:r>
      <w:r>
        <w:rPr>
          <w:rFonts w:eastAsia="Segoe UI" w:cs="Segoe UI" w:ascii="Segoe UI" w:hAnsi="Segoe UI"/>
          <w:color w:val="101820"/>
          <w:sz w:val="21"/>
        </w:rPr>
        <w:t xml:space="preserve"> (404 keys in 42 groups), edited in Master &gt; Configuration and System Settings; the workbook lists every key with its group, label and seeded value. Masters without a table of their own are records of </w:t>
      </w:r>
      <w:r>
        <w:rPr>
          <w:rFonts w:eastAsia="Consolas" w:cs="Consolas" w:ascii="Consolas" w:hAnsi="Consolas"/>
          <w:color w:val="101820"/>
          <w:sz w:val="19"/>
        </w:rPr>
        <w:t>master_records</w:t>
      </w:r>
      <w:r>
        <w:rPr>
          <w:rFonts w:eastAsia="Segoe UI" w:cs="Segoe UI" w:ascii="Segoe UI" w:hAnsi="Segoe UI"/>
          <w:color w:val="101820"/>
          <w:sz w:val="21"/>
        </w:rPr>
        <w:t xml:space="preserve"> described by </w:t>
      </w:r>
      <w:r>
        <w:rPr>
          <w:rFonts w:eastAsia="Consolas" w:cs="Consolas" w:ascii="Consolas" w:hAnsi="Consolas"/>
          <w:color w:val="101820"/>
          <w:sz w:val="19"/>
        </w:rPr>
        <w:t>master_types</w:t>
      </w:r>
      <w:r>
        <w:rPr>
          <w:rFonts w:eastAsia="Segoe UI" w:cs="Segoe UI" w:ascii="Segoe UI" w:hAnsi="Segoe UI"/>
          <w:color w:val="101820"/>
          <w:sz w:val="21"/>
        </w:rPr>
        <w:t xml:space="preserve"> (fields, unique keys, screen). Document number series and their counters are in </w:t>
      </w:r>
      <w:r>
        <w:rPr>
          <w:rFonts w:eastAsia="Consolas" w:cs="Consolas" w:ascii="Consolas" w:hAnsi="Consolas"/>
          <w:color w:val="101820"/>
          <w:sz w:val="19"/>
        </w:rPr>
        <w:t>document_numbering</w:t>
      </w:r>
      <w:r>
        <w:rPr>
          <w:rFonts w:eastAsia="Segoe UI" w:cs="Segoe UI" w:ascii="Segoe UI" w:hAnsi="Segoe UI"/>
          <w:color w:val="101820"/>
          <w:sz w:val="21"/>
        </w:rPr>
        <w:t xml:space="preserve"> and </w:t>
      </w:r>
      <w:r>
        <w:rPr>
          <w:rFonts w:eastAsia="Consolas" w:cs="Consolas" w:ascii="Consolas" w:hAnsi="Consolas"/>
          <w:color w:val="101820"/>
          <w:sz w:val="19"/>
        </w:rPr>
        <w:t>sequences</w:t>
      </w:r>
      <w:r>
        <w:rPr>
          <w:rFonts w:eastAsia="Segoe UI" w:cs="Segoe UI" w:ascii="Segoe UI" w:hAnsi="Segoe UI"/>
          <w:color w:val="101820"/>
          <w:sz w:val="21"/>
        </w:rPr>
        <w:t>. Scheduled jobs and their run history, the background queue, notifications, the e-mail outbox, stored files and the report catalogue complete the platform tables.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keys with JSON value, group, label and type.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master_records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screen registry and generic master records.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currencies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Currencies with the base flag (exactly one base currency, locked once a journal exists) and decimals. Exchange rates come only from the dated Exchange Rate master; the old </w:t>
            </w:r>
            <w:r>
              <w:rPr>
                <w:rFonts w:eastAsia="Consolas" w:cs="Consolas" w:ascii="Consolas" w:hAnsi="Consolas"/>
                <w:color w:val="101820"/>
                <w:kern w:val="0"/>
                <w:sz w:val="16"/>
                <w:szCs w:val="24"/>
                <w:lang w:val="en-US" w:eastAsia="ja-JP" w:bidi="ar-SA"/>
              </w:rPr>
              <w:t>exchange_rate</w:t>
            </w:r>
            <w:r>
              <w:rPr>
                <w:rFonts w:eastAsia="Segoe UI" w:cs="Segoe UI" w:ascii="Segoe UI" w:hAnsi="Segoe UI"/>
                <w:color w:val="101820"/>
                <w:kern w:val="0"/>
                <w:sz w:val="18"/>
                <w:szCs w:val="24"/>
                <w:lang w:val="en-US" w:eastAsia="ja-JP" w:bidi="ar-SA"/>
              </w:rPr>
              <w:t xml:space="preserve"> column is kept for history and not read.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sequences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 and their counters per period.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job_queue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Cron jobs, run history and the background queue.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documents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In-app notifications, queued e-mails, registry of stored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report_schedules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generated_reports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catalogue, e-mailed schedules and generated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schema_migrations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migration files.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62"/>
        <w:gridCol w:w="2719"/>
        <w:gridCol w:w="3434"/>
      </w:tblGrid>
      <w:tr>
        <w:trPr>
          <w:tblHeader w:val="true"/>
        </w:trPr>
        <w:tc>
          <w:tcPr>
            <w:tcW w:w="2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7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master_records.type_code</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of a master type.</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job_runs.job_id</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of a job.</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report_schedules.report_code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job_id</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scheduled_jobs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sent by a schedule and the job that runs it.</w:t>
            </w:r>
          </w:p>
        </w:tc>
      </w:tr>
    </w:tbl>
    <w:p>
      <w:pPr>
        <w:pStyle w:val="Heading1"/>
        <w:rPr/>
      </w:pPr>
      <w:r>
        <w:br w:type="page"/>
      </w:r>
      <w:bookmarkStart w:id="39" w:name="__RefHeading___Toc38053_3949650649"/>
      <w:bookmarkEnd w:id="39"/>
      <w:r>
        <w:rPr>
          <w:rFonts w:eastAsia="Segoe UI" w:cs="Segoe UI" w:ascii="Segoe UI" w:hAnsi="Segoe UI"/>
          <w:b/>
          <w:color w:val="0F4761"/>
          <w:sz w:val="32"/>
        </w:rPr>
        <w:t>6.  Status lifecycles</w:t>
      </w:r>
    </w:p>
    <w:p>
      <w:pPr>
        <w:pStyle w:val="Normal"/>
        <w:spacing w:lineRule="auto" w:line="276" w:before="0" w:after="120"/>
        <w:rPr/>
      </w:pPr>
      <w:r>
        <w:rPr>
          <w:rFonts w:eastAsia="Segoe UI" w:cs="Segoe UI" w:ascii="Segoe UI" w:hAnsi="Segoe UI"/>
          <w:color w:val="101820"/>
          <w:sz w:val="21"/>
        </w:rPr>
        <w:t>The tables below give the main status flows. The values are the codes stored in the database; screen labels are given where they differ. The complete vocabularies, including the allowed values enforced by CHECK constraints, are in the workbook, sheet Reference values.</w:t>
      </w:r>
    </w:p>
    <w:p>
      <w:pPr>
        <w:pStyle w:val="Heading2"/>
        <w:rPr/>
      </w:pPr>
      <w:bookmarkStart w:id="40" w:name="__RefHeading___Toc38055_3949650649"/>
      <w:bookmarkEnd w:id="40"/>
      <w:r>
        <w:rPr>
          <w:rFonts w:eastAsia="Segoe UI" w:cs="Segoe UI"/>
          <w:b/>
          <w:color w:val="0F4761"/>
          <w:sz w:val="26"/>
        </w:rPr>
        <w:t>6.1  Sales, placement and policy</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2"/>
        <w:gridCol w:w="3136"/>
        <w:gridCol w:w="3135"/>
      </w:tblGrid>
      <w:tr>
        <w:trPr>
          <w:tblHeader w:val="true"/>
        </w:trPr>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1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w:t>
            </w:r>
            <w:r>
              <w:rPr>
                <w:rFonts w:eastAsia="Consolas" w:cs="Consolas" w:ascii="Consolas" w:hAnsi="Consolas"/>
                <w:color w:val="101820"/>
                <w:kern w:val="0"/>
                <w:sz w:val="16"/>
                <w:szCs w:val="24"/>
                <w:lang w:val="en-US" w:eastAsia="ja-JP" w:bidi="ar-SA"/>
              </w:rPr>
              <w:t>leads.status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 Contacted → Qualified → QuoteGenerated → Converted; or Lost</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QuoteGenerated is set when the first quotation is created; Converted when the lead becomes a client.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w:t>
            </w:r>
            <w:r>
              <w:rPr>
                <w:rFonts w:eastAsia="Consolas" w:cs="Consolas" w:ascii="Consolas" w:hAnsi="Consolas"/>
                <w:color w:val="101820"/>
                <w:kern w:val="0"/>
                <w:sz w:val="16"/>
                <w:szCs w:val="24"/>
                <w:lang w:val="en-US" w:eastAsia="ja-JP" w:bidi="ar-SA"/>
              </w:rPr>
              <w:t>quotes.status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(Draft) → sent (PendingCustomer) → accepted (CustomerAccepted) → submitted (SubmittedToInsurer) → approved → converted (ConvertedToPolicy); or rejected, dropped, expired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Sending e-mails the approval link. A recorded customer response sets accepted, rejected or back to draft (</w:t>
            </w:r>
            <w:r>
              <w:rPr>
                <w:rFonts w:eastAsia="Consolas" w:cs="Consolas" w:ascii="Consolas" w:hAnsi="Consolas"/>
                <w:color w:val="101820"/>
                <w:kern w:val="0"/>
                <w:sz w:val="16"/>
                <w:szCs w:val="24"/>
                <w:lang w:val="en-US" w:eastAsia="ja-JP" w:bidi="ar-SA"/>
              </w:rPr>
              <w:t>quotations.customer_response_status</w:t>
            </w:r>
            <w:r>
              <w:rPr>
                <w:rFonts w:eastAsia="Segoe UI" w:cs="Segoe UI" w:ascii="Segoe UI" w:hAnsi="Segoe UI"/>
                <w:color w:val="101820"/>
                <w:kern w:val="0"/>
                <w:sz w:val="18"/>
                <w:szCs w:val="24"/>
                <w:lang w:val="en-US" w:eastAsia="ja-JP" w:bidi="ar-SA"/>
              </w:rPr>
              <w:t xml:space="preserve">). Conversion is allowed from the statuses in </w:t>
            </w:r>
            <w:r>
              <w:rPr>
                <w:rFonts w:eastAsia="Consolas" w:cs="Consolas" w:ascii="Consolas" w:hAnsi="Consolas"/>
                <w:color w:val="101820"/>
                <w:kern w:val="0"/>
                <w:sz w:val="16"/>
                <w:szCs w:val="24"/>
                <w:lang w:val="en-US" w:eastAsia="ja-JP" w:bidi="ar-SA"/>
              </w:rPr>
              <w:t>quotations.convertible_statuses</w:t>
            </w:r>
            <w:r>
              <w:rPr>
                <w:rFonts w:eastAsia="Segoe UI" w:cs="Segoe UI" w:ascii="Segoe UI" w:hAnsi="Segoe UI"/>
                <w:color w:val="101820"/>
                <w:kern w:val="0"/>
                <w:sz w:val="18"/>
                <w:szCs w:val="24"/>
                <w:lang w:val="en-US" w:eastAsia="ja-JP" w:bidi="ar-SA"/>
              </w:rPr>
              <w:t xml:space="preserve"> (CustomerAccepted, Approved). The quotation expiry job sets expired.</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t>
            </w:r>
            <w:r>
              <w:rPr>
                <w:rFonts w:eastAsia="Consolas" w:cs="Consolas" w:ascii="Consolas" w:hAnsi="Consolas"/>
                <w:color w:val="101820"/>
                <w:kern w:val="0"/>
                <w:sz w:val="16"/>
                <w:szCs w:val="24"/>
                <w:lang w:val="en-US" w:eastAsia="ja-JP" w:bidi="ar-SA"/>
              </w:rPr>
              <w:t>broker_slips.status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 responses-in → closed; or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 (</w:t>
            </w:r>
            <w:r>
              <w:rPr>
                <w:rFonts w:eastAsia="Consolas" w:cs="Consolas" w:ascii="Consolas" w:hAnsi="Consolas"/>
                <w:color w:val="101820"/>
                <w:kern w:val="0"/>
                <w:sz w:val="16"/>
                <w:szCs w:val="24"/>
                <w:lang w:val="en-US" w:eastAsia="ja-JP" w:bidi="ar-SA"/>
              </w:rPr>
              <w:t>insurer_offers.status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offered or declined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chosen offers carry </w:t>
            </w:r>
            <w:r>
              <w:rPr>
                <w:rFonts w:eastAsia="Consolas" w:cs="Consolas" w:ascii="Consolas" w:hAnsi="Consolas"/>
                <w:color w:val="101820"/>
                <w:kern w:val="0"/>
                <w:sz w:val="16"/>
                <w:szCs w:val="24"/>
                <w:lang w:val="en-US" w:eastAsia="ja-JP" w:bidi="ar-SA"/>
              </w:rPr>
              <w:t>selected</w:t>
            </w:r>
            <w:r>
              <w:rPr>
                <w:rFonts w:eastAsia="Segoe UI" w:cs="Segoe UI" w:ascii="Segoe UI" w:hAnsi="Segoe UI"/>
                <w:color w:val="101820"/>
                <w:kern w:val="0"/>
                <w:sz w:val="18"/>
                <w:szCs w:val="24"/>
                <w:lang w:val="en-US" w:eastAsia="ja-JP" w:bidi="ar-SA"/>
              </w:rPr>
              <w: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w:t>
            </w:r>
            <w:r>
              <w:rPr>
                <w:rFonts w:eastAsia="Consolas" w:cs="Consolas" w:ascii="Consolas" w:hAnsi="Consolas"/>
                <w:color w:val="101820"/>
                <w:kern w:val="0"/>
                <w:sz w:val="16"/>
                <w:szCs w:val="24"/>
                <w:lang w:val="en-US" w:eastAsia="ja-JP" w:bidi="ar-SA"/>
              </w:rPr>
              <w:t>placements.status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sent → bound → issued; or declined,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Bound when every participant has confirmed (</w:t>
            </w:r>
            <w:r>
              <w:rPr>
                <w:rFonts w:eastAsia="Consolas" w:cs="Consolas" w:ascii="Consolas" w:hAnsi="Consolas"/>
                <w:color w:val="101820"/>
                <w:kern w:val="0"/>
                <w:sz w:val="16"/>
                <w:szCs w:val="24"/>
                <w:lang w:val="en-US" w:eastAsia="ja-JP" w:bidi="ar-SA"/>
              </w:rPr>
              <w:t>risk_participants.confirmed_at</w:t>
            </w:r>
            <w:r>
              <w:rPr>
                <w:rFonts w:eastAsia="Segoe UI" w:cs="Segoe UI" w:ascii="Segoe UI" w:hAnsi="Segoe UI"/>
                <w:color w:val="101820"/>
                <w:kern w:val="0"/>
                <w:sz w:val="18"/>
                <w:szCs w:val="24"/>
                <w:lang w:val="en-US" w:eastAsia="ja-JP" w:bidi="ar-SA"/>
              </w:rPr>
              <w: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w:t>
            </w:r>
            <w:r>
              <w:rPr>
                <w:rFonts w:eastAsia="Consolas" w:cs="Consolas" w:ascii="Consolas" w:hAnsi="Consolas"/>
                <w:color w:val="101820"/>
                <w:kern w:val="0"/>
                <w:sz w:val="16"/>
                <w:szCs w:val="24"/>
                <w:lang w:val="en-US" w:eastAsia="ja-JP" w:bidi="ar-SA"/>
              </w:rPr>
              <w:t>policies.status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 expired, renewed or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policy expiry job sets expired; issuing the renewal sets renewed; a cancellation endorsement sets cancelled. </w:t>
            </w:r>
            <w:r>
              <w:rPr>
                <w:rFonts w:eastAsia="Consolas" w:cs="Consolas" w:ascii="Consolas" w:hAnsi="Consolas"/>
                <w:color w:val="101820"/>
                <w:kern w:val="0"/>
                <w:sz w:val="16"/>
                <w:szCs w:val="24"/>
                <w:lang w:val="en-US" w:eastAsia="ja-JP" w:bidi="ar-SA"/>
              </w:rPr>
              <w:t>payment_status</w:t>
            </w:r>
            <w:r>
              <w:rPr>
                <w:rFonts w:eastAsia="Segoe UI" w:cs="Segoe UI" w:ascii="Segoe UI" w:hAnsi="Segoe UI"/>
                <w:color w:val="101820"/>
                <w:kern w:val="0"/>
                <w:sz w:val="18"/>
                <w:szCs w:val="24"/>
                <w:lang w:val="en-US" w:eastAsia="ja-JP" w:bidi="ar-SA"/>
              </w:rPr>
              <w:t xml:space="preserve"> follows the premium: Pending, Reviewing, Partial, Completed, Refunded.</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w:t>
            </w:r>
            <w:r>
              <w:rPr>
                <w:rFonts w:eastAsia="Consolas" w:cs="Consolas" w:ascii="Consolas" w:hAnsi="Consolas"/>
                <w:color w:val="101820"/>
                <w:kern w:val="0"/>
                <w:sz w:val="16"/>
                <w:szCs w:val="24"/>
                <w:lang w:val="en-US" w:eastAsia="ja-JP" w:bidi="ar-SA"/>
              </w:rPr>
              <w:t>endorsements.status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(PendingCustomer) → approved → completed; or cancel-initiated, rejected,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 (</w:t>
            </w:r>
            <w:r>
              <w:rPr>
                <w:rFonts w:eastAsia="Consolas" w:cs="Consolas" w:ascii="Consolas" w:hAnsi="Consolas"/>
                <w:color w:val="101820"/>
                <w:kern w:val="0"/>
                <w:sz w:val="16"/>
                <w:szCs w:val="24"/>
                <w:lang w:val="en-US" w:eastAsia="ja-JP" w:bidi="ar-SA"/>
              </w:rPr>
              <w:t>policy_payments.status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 → confirmed or rejected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Confirmation by Accounting issues the official receipt.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 (</w:t>
            </w:r>
            <w:r>
              <w:rPr>
                <w:rFonts w:eastAsia="Consolas" w:cs="Consolas" w:ascii="Consolas" w:hAnsi="Consolas"/>
                <w:color w:val="101820"/>
                <w:kern w:val="0"/>
                <w:sz w:val="16"/>
                <w:szCs w:val="24"/>
                <w:lang w:val="en-US" w:eastAsia="ja-JP" w:bidi="ar-SA"/>
              </w:rPr>
              <w:t>payment_links.status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paid, failed, expired, cancelled or review</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apply_status</w:t>
            </w:r>
            <w:r>
              <w:rPr>
                <w:rFonts w:eastAsia="Segoe UI" w:cs="Segoe UI" w:ascii="Segoe UI" w:hAnsi="Segoe UI"/>
                <w:color w:val="101820"/>
                <w:kern w:val="0"/>
                <w:sz w:val="18"/>
                <w:szCs w:val="24"/>
                <w:lang w:val="en-US" w:eastAsia="ja-JP" w:bidi="ar-SA"/>
              </w:rPr>
              <w:t>: not_applied → applied, awaiting_issue or error.</w:t>
            </w:r>
          </w:p>
        </w:tc>
      </w:tr>
    </w:tbl>
    <w:p>
      <w:pPr>
        <w:pStyle w:val="Normal"/>
        <w:spacing w:before="0" w:after="80"/>
        <w:rPr/>
      </w:pPr>
      <w:r>
        <w:rPr/>
      </w:r>
    </w:p>
    <w:p>
      <w:pPr>
        <w:pStyle w:val="Heading2"/>
        <w:rPr/>
      </w:pPr>
      <w:bookmarkStart w:id="41" w:name="__RefHeading___Toc38057_3949650649"/>
      <w:bookmarkEnd w:id="41"/>
      <w:r>
        <w:rPr>
          <w:rFonts w:eastAsia="Segoe UI" w:cs="Segoe UI"/>
          <w:b/>
          <w:color w:val="0F4761"/>
          <w:sz w:val="26"/>
        </w:rPr>
        <w:t>6.2  Money and accounting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 (</w:t>
            </w:r>
            <w:r>
              <w:rPr>
                <w:rFonts w:eastAsia="Consolas" w:cs="Consolas" w:ascii="Consolas" w:hAnsi="Consolas"/>
                <w:color w:val="101820"/>
                <w:kern w:val="0"/>
                <w:sz w:val="16"/>
                <w:szCs w:val="24"/>
                <w:lang w:val="en-US" w:eastAsia="ja-JP" w:bidi="ar-SA"/>
              </w:rPr>
              <w:t>receivables.status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 partial → paid; or credited, written-off,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w:t>
            </w:r>
            <w:r>
              <w:rPr>
                <w:rFonts w:eastAsia="Consolas" w:cs="Consolas" w:ascii="Consolas" w:hAnsi="Consolas"/>
                <w:color w:val="101820"/>
                <w:kern w:val="0"/>
                <w:sz w:val="16"/>
                <w:szCs w:val="24"/>
                <w:lang w:val="en-US" w:eastAsia="ja-JP" w:bidi="ar-SA"/>
              </w:rPr>
              <w:t>receipts.status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applications: applied → reversed.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 (</w:t>
            </w:r>
            <w:r>
              <w:rPr>
                <w:rFonts w:eastAsia="Consolas" w:cs="Consolas" w:ascii="Consolas" w:hAnsi="Consolas"/>
                <w:color w:val="101820"/>
                <w:kern w:val="0"/>
                <w:sz w:val="16"/>
                <w:szCs w:val="24"/>
                <w:lang w:val="en-US" w:eastAsia="ja-JP" w:bidi="ar-SA"/>
              </w:rPr>
              <w:t>disbursements.status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paid;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w:t>
            </w:r>
            <w:r>
              <w:rPr>
                <w:rFonts w:eastAsia="Consolas" w:cs="Consolas" w:ascii="Consolas" w:hAnsi="Consolas"/>
                <w:color w:val="101820"/>
                <w:kern w:val="0"/>
                <w:sz w:val="16"/>
                <w:szCs w:val="24"/>
                <w:lang w:val="en-US" w:eastAsia="ja-JP" w:bidi="ar-SA"/>
              </w:rPr>
              <w:t>checkbooks.status</w:t>
            </w:r>
            <w:r>
              <w:rPr>
                <w:rFonts w:eastAsia="Segoe UI" w:cs="Segoe UI" w:ascii="Segoe UI" w:hAnsi="Segoe UI"/>
                <w:color w:val="101820"/>
                <w:kern w:val="0"/>
                <w:sz w:val="18"/>
                <w:szCs w:val="24"/>
                <w:lang w:val="en-US" w:eastAsia="ja-JP" w:bidi="ar-SA"/>
              </w:rPr>
              <w:t>): Pending → Approved → Printed; or Cancelled. Invoice list: open → in-voucher → paid; or cancelled.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w:t>
            </w:r>
            <w:r>
              <w:rPr>
                <w:rFonts w:eastAsia="Consolas" w:cs="Consolas" w:ascii="Consolas" w:hAnsi="Consolas"/>
                <w:color w:val="101820"/>
                <w:kern w:val="0"/>
                <w:sz w:val="16"/>
                <w:szCs w:val="24"/>
                <w:lang w:val="en-US" w:eastAsia="ja-JP" w:bidi="ar-SA"/>
              </w:rPr>
              <w:t>remittances.status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settled;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item (</w:t>
            </w:r>
            <w:r>
              <w:rPr>
                <w:rFonts w:eastAsia="Consolas" w:cs="Consolas" w:ascii="Consolas" w:hAnsi="Consolas"/>
                <w:color w:val="101820"/>
                <w:kern w:val="0"/>
                <w:sz w:val="16"/>
                <w:szCs w:val="24"/>
                <w:lang w:val="en-US" w:eastAsia="ja-JP" w:bidi="ar-SA"/>
              </w:rPr>
              <w:t>direct_bill_items.status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unbilled → billed → collected;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w:t>
            </w:r>
            <w:r>
              <w:rPr>
                <w:rFonts w:eastAsia="Consolas" w:cs="Consolas" w:ascii="Consolas" w:hAnsi="Consolas"/>
                <w:color w:val="101820"/>
                <w:kern w:val="0"/>
                <w:sz w:val="16"/>
                <w:szCs w:val="24"/>
                <w:lang w:val="en-US" w:eastAsia="ja-JP" w:bidi="ar-SA"/>
              </w:rPr>
              <w:t>commission_debit_notes.status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open → partial → collected; or rejected,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line (</w:t>
            </w:r>
            <w:r>
              <w:rPr>
                <w:rFonts w:eastAsia="Consolas" w:cs="Consolas" w:ascii="Consolas" w:hAnsi="Consolas"/>
                <w:color w:val="101820"/>
                <w:kern w:val="0"/>
                <w:sz w:val="16"/>
                <w:szCs w:val="24"/>
                <w:lang w:val="en-US" w:eastAsia="ja-JP" w:bidi="ar-SA"/>
              </w:rPr>
              <w:t>commissions.status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Accrued → Eligible → Approved → Paid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Eligible once the premium is collected. A reversal after payment sets the clawback flag.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w:t>
            </w:r>
            <w:r>
              <w:rPr>
                <w:rFonts w:eastAsia="Consolas" w:cs="Consolas" w:ascii="Consolas" w:hAnsi="Consolas"/>
                <w:color w:val="101820"/>
                <w:kern w:val="0"/>
                <w:sz w:val="16"/>
                <w:szCs w:val="24"/>
                <w:lang w:val="en-US" w:eastAsia="ja-JP" w:bidi="ar-SA"/>
              </w:rPr>
              <w:t>journal_vouchers.status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posted; or rejected; posted → reversed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trigger refuses an unbalanced journal or one in a period that does not accept postings.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 (</w:t>
            </w:r>
            <w:r>
              <w:rPr>
                <w:rFonts w:eastAsia="Consolas" w:cs="Consolas" w:ascii="Consolas" w:hAnsi="Consolas"/>
                <w:color w:val="101820"/>
                <w:kern w:val="0"/>
                <w:sz w:val="16"/>
                <w:szCs w:val="24"/>
                <w:lang w:val="en-US" w:eastAsia="ja-JP" w:bidi="ar-SA"/>
              </w:rPr>
              <w:t>accounting_periods.status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 soft_closed → closed →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 only by the year-end close; a locked period cannot be reopened.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w:t>
            </w:r>
            <w:r>
              <w:rPr>
                <w:rFonts w:eastAsia="Consolas" w:cs="Consolas" w:ascii="Consolas" w:hAnsi="Consolas"/>
                <w:color w:val="101820"/>
                <w:kern w:val="0"/>
                <w:sz w:val="16"/>
                <w:szCs w:val="24"/>
                <w:lang w:val="en-US" w:eastAsia="ja-JP" w:bidi="ar-SA"/>
              </w:rPr>
              <w:t>period_close_runs.status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in-progress → blocked or ready → pending-approval → soft-closed or closed;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blocking automatic check that fails gives blocked.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 (</w:t>
            </w:r>
            <w:r>
              <w:rPr>
                <w:rFonts w:eastAsia="Consolas" w:cs="Consolas" w:ascii="Consolas" w:hAnsi="Consolas"/>
                <w:color w:val="101820"/>
                <w:kern w:val="0"/>
                <w:sz w:val="16"/>
                <w:szCs w:val="24"/>
                <w:lang w:val="en-US" w:eastAsia="ja-JP" w:bidi="ar-SA"/>
              </w:rPr>
              <w:t>year_end_runs.status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checked → closed → reversed;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t>
            </w:r>
            <w:r>
              <w:rPr>
                <w:rFonts w:eastAsia="Consolas" w:cs="Consolas" w:ascii="Consolas" w:hAnsi="Consolas"/>
                <w:color w:val="101820"/>
                <w:kern w:val="0"/>
                <w:sz w:val="16"/>
                <w:szCs w:val="24"/>
                <w:lang w:val="en-US" w:eastAsia="ja-JP" w:bidi="ar-SA"/>
              </w:rPr>
              <w:t>bank_reconciliations.status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prepared → approved;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approved reconciliation can be reopened with remarks.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w:t>
            </w:r>
            <w:r>
              <w:rPr>
                <w:rFonts w:eastAsia="Consolas" w:cs="Consolas" w:ascii="Consolas" w:hAnsi="Consolas"/>
                <w:color w:val="101820"/>
                <w:kern w:val="0"/>
                <w:sz w:val="16"/>
                <w:szCs w:val="24"/>
                <w:lang w:val="en-US" w:eastAsia="ja-JP" w:bidi="ar-SA"/>
              </w:rPr>
              <w:t>insurer_statements.status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 approved;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Adjustment journals post on approval.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 (</w:t>
            </w:r>
            <w:r>
              <w:rPr>
                <w:rFonts w:eastAsia="Consolas" w:cs="Consolas" w:ascii="Consolas" w:hAnsi="Consolas"/>
                <w:color w:val="101820"/>
                <w:kern w:val="0"/>
                <w:sz w:val="16"/>
                <w:szCs w:val="24"/>
                <w:lang w:val="en-US" w:eastAsia="ja-JP" w:bidi="ar-SA"/>
              </w:rPr>
              <w:t>posting_rules.approval_status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approved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changes: pending → approved, rejected or withdrawn.</w:t>
            </w:r>
          </w:p>
        </w:tc>
      </w:tr>
    </w:tbl>
    <w:p>
      <w:pPr>
        <w:pStyle w:val="Normal"/>
        <w:spacing w:before="0" w:after="80"/>
        <w:rPr/>
      </w:pPr>
      <w:r>
        <w:rPr/>
      </w:r>
    </w:p>
    <w:p>
      <w:pPr>
        <w:pStyle w:val="Heading2"/>
        <w:rPr/>
      </w:pPr>
      <w:bookmarkStart w:id="42" w:name="__RefHeading___Toc38059_3949650649"/>
      <w:bookmarkEnd w:id="42"/>
      <w:r>
        <w:rPr>
          <w:rFonts w:eastAsia="Segoe UI" w:cs="Segoe UI"/>
          <w:b/>
          <w:color w:val="0F4761"/>
          <w:sz w:val="26"/>
        </w:rPr>
        <w:t>6.3  Claims, renewals and other areas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w:t>
            </w:r>
            <w:r>
              <w:rPr>
                <w:rFonts w:eastAsia="Consolas" w:cs="Consolas" w:ascii="Consolas" w:hAnsi="Consolas"/>
                <w:color w:val="101820"/>
                <w:kern w:val="0"/>
                <w:sz w:val="16"/>
                <w:szCs w:val="24"/>
                <w:lang w:val="en-US" w:eastAsia="ja-JP" w:bidi="ar-SA"/>
              </w:rPr>
              <w:t>claims.status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 in-review → pending-approval → approved → settled → closed;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change is written to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 (</w:t>
            </w:r>
            <w:r>
              <w:rPr>
                <w:rFonts w:eastAsia="Consolas" w:cs="Consolas" w:ascii="Consolas" w:hAnsi="Consolas"/>
                <w:color w:val="101820"/>
                <w:kern w:val="0"/>
                <w:sz w:val="16"/>
                <w:szCs w:val="24"/>
                <w:lang w:val="en-US" w:eastAsia="ja-JP" w:bidi="ar-SA"/>
              </w:rPr>
              <w:t>renewals.status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 notice-1 → notice-2 → final-notice → quoted → pending-approval → renewed; or lapsed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renewal_type</w:t>
            </w:r>
            <w:r>
              <w:rPr>
                <w:rFonts w:eastAsia="Segoe UI" w:cs="Segoe UI" w:ascii="Segoe UI" w:hAnsi="Segoe UI"/>
                <w:color w:val="101820"/>
                <w:kern w:val="0"/>
                <w:sz w:val="18"/>
                <w:szCs w:val="24"/>
                <w:lang w:val="en-US" w:eastAsia="ja-JP" w:bidi="ar-SA"/>
              </w:rPr>
              <w:t xml:space="preserve"> records whether the renewal was regular, in the grace period or after lapse.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 / warranty extension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active or cancelled; extension: pending → approved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 (</w:t>
            </w:r>
            <w:r>
              <w:rPr>
                <w:rFonts w:eastAsia="Consolas" w:cs="Consolas" w:ascii="Consolas" w:hAnsi="Consolas"/>
                <w:color w:val="101820"/>
                <w:kern w:val="0"/>
                <w:sz w:val="16"/>
                <w:szCs w:val="24"/>
                <w:lang w:val="en-US" w:eastAsia="ja-JP" w:bidi="ar-SA"/>
              </w:rPr>
              <w:t>cessions.status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Confirmed; or Rejected,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Pending → Processing → Recovered; or Disputed, Rejected.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w:t>
            </w:r>
            <w:r>
              <w:rPr>
                <w:rFonts w:eastAsia="Consolas" w:cs="Consolas" w:ascii="Consolas" w:hAnsi="Consolas"/>
                <w:color w:val="101820"/>
                <w:kern w:val="0"/>
                <w:sz w:val="16"/>
                <w:szCs w:val="24"/>
                <w:lang w:val="en-US" w:eastAsia="ja-JP" w:bidi="ar-SA"/>
              </w:rPr>
              <w:t>incentive_calculations.status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Calculated → Pending Approval → Approved → Paid;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limit (</w:t>
            </w:r>
            <w:r>
              <w:rPr>
                <w:rFonts w:eastAsia="Consolas" w:cs="Consolas" w:ascii="Consolas" w:hAnsi="Consolas"/>
                <w:color w:val="101820"/>
                <w:kern w:val="0"/>
                <w:sz w:val="16"/>
                <w:szCs w:val="24"/>
                <w:lang w:val="en-US" w:eastAsia="ja-JP" w:bidi="ar-SA"/>
              </w:rPr>
              <w:t>authority_limits.status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active → retired;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changed limit is a new pending row that retires the old one on approval.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open → closed; item: pending → keep or revoke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w:t>
            </w:r>
            <w:r>
              <w:rPr>
                <w:rFonts w:eastAsia="Consolas" w:cs="Consolas" w:ascii="Consolas" w:hAnsi="Consolas"/>
                <w:color w:val="101820"/>
                <w:kern w:val="0"/>
                <w:sz w:val="16"/>
                <w:szCs w:val="24"/>
                <w:lang w:val="en-US" w:eastAsia="ja-JP" w:bidi="ar-SA"/>
              </w:rPr>
              <w:t>users.status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inactive,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dormant accounts job deactivates users who have not signed in for </w:t>
            </w:r>
            <w:r>
              <w:rPr>
                <w:rFonts w:eastAsia="Consolas" w:cs="Consolas" w:ascii="Consolas" w:hAnsi="Consolas"/>
                <w:color w:val="101820"/>
                <w:kern w:val="0"/>
                <w:sz w:val="16"/>
                <w:szCs w:val="24"/>
                <w:lang w:val="en-US" w:eastAsia="ja-JP" w:bidi="ar-SA"/>
              </w:rPr>
              <w:t>access.dormant_days</w:t>
            </w:r>
            <w:r>
              <w:rPr>
                <w:rFonts w:eastAsia="Segoe UI" w:cs="Segoe UI" w:ascii="Segoe UI" w:hAnsi="Segoe UI"/>
                <w:color w:val="101820"/>
                <w:kern w:val="0"/>
                <w:sz w:val="18"/>
                <w:szCs w:val="24"/>
                <w:lang w:val="en-US" w:eastAsia="ja-JP" w:bidi="ar-SA"/>
              </w:rPr>
              <w:t>.</w:t>
            </w:r>
          </w:p>
        </w:tc>
      </w:tr>
    </w:tbl>
    <w:p>
      <w:pPr>
        <w:pStyle w:val="Heading1"/>
        <w:rPr/>
      </w:pPr>
      <w:r>
        <w:br w:type="page"/>
      </w:r>
      <w:bookmarkStart w:id="43" w:name="__RefHeading___Toc38061_3949650649"/>
      <w:bookmarkEnd w:id="43"/>
      <w:r>
        <w:rPr>
          <w:rFonts w:eastAsia="Segoe UI" w:cs="Segoe UI" w:ascii="Segoe UI" w:hAnsi="Segoe UI"/>
          <w:b/>
          <w:color w:val="0F4761"/>
          <w:sz w:val="32"/>
        </w:rPr>
        <w:t>7.  Personal data and retention</w:t>
      </w:r>
    </w:p>
    <w:p>
      <w:pPr>
        <w:pStyle w:val="Heading2"/>
        <w:rPr/>
      </w:pPr>
      <w:bookmarkStart w:id="44" w:name="__RefHeading___Toc38063_3949650649"/>
      <w:bookmarkEnd w:id="44"/>
      <w:r>
        <w:rPr>
          <w:rFonts w:eastAsia="Segoe UI" w:cs="Segoe UI"/>
          <w:b/>
          <w:color w:val="0F4761"/>
          <w:sz w:val="26"/>
        </w:rPr>
        <w:t>7.1  Personal data under the Data Privacy Act</w:t>
      </w:r>
    </w:p>
    <w:p>
      <w:pPr>
        <w:pStyle w:val="Normal"/>
        <w:spacing w:lineRule="auto" w:line="276" w:before="0" w:after="120"/>
        <w:rPr/>
      </w:pPr>
      <w:r>
        <w:rPr>
          <w:rFonts w:eastAsia="Segoe UI" w:cs="Segoe UI" w:ascii="Segoe UI" w:hAnsi="Segoe UI"/>
          <w:color w:val="101820"/>
          <w:sz w:val="21"/>
        </w:rPr>
        <w:t xml:space="preserve">BrokerVerse processes personal information of clients, prospects, claimants, drivers and third parties, referrers and staff users. The workbook classifies every column in the column </w:t>
      </w:r>
      <w:r>
        <w:rPr>
          <w:rFonts w:eastAsia="Segoe UI" w:cs="Segoe UI" w:ascii="Segoe UI" w:hAnsi="Segoe UI"/>
          <w:b/>
          <w:color w:val="101820"/>
          <w:sz w:val="21"/>
        </w:rPr>
        <w:t>Personal data (RA 10173)</w:t>
      </w:r>
      <w:r>
        <w:rPr>
          <w:rFonts w:eastAsia="Segoe UI" w:cs="Segoe UI" w:ascii="Segoe UI" w:hAnsi="Segoe UI"/>
          <w:color w:val="101820"/>
          <w:sz w:val="21"/>
        </w:rPr>
        <w:t xml:space="preserve"> using four classes: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7"/>
        <w:gridCol w:w="4803"/>
        <w:gridCol w:w="1004"/>
      </w:tblGrid>
      <w:tr>
        <w:trPr>
          <w:tblHeader w:val="true"/>
        </w:trPr>
        <w:tc>
          <w:tcPr>
            <w:tcW w:w="3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Class</w:t>
            </w:r>
          </w:p>
        </w:tc>
        <w:tc>
          <w:tcPr>
            <w:tcW w:w="4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Information from which the identity of an individual is apparent or can be reasonably ascertained (Section 3(g) of RA 10173): names, addresses, e-mail, phone, IP address, plate number.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3(l) of RA 10173: age (date of birth), government-issued identifiers such as the TIN, and health or offence-related details that claims may contain.</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 security secret</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hashes, second-factor secrets, reset codes, tokens. Not personal information in themselves but must be protected as security data.</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 text, JSON documents and stored files that hold personal information depending on what users enter or upload.</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classification is an assessment made for this document from the column names, their use in the code and the test data. The broker's Data Protection Officer should confirm it and record it in the register of processing activities.</w:t>
      </w:r>
    </w:p>
    <w:p>
      <w:pPr>
        <w:pStyle w:val="Heading2"/>
        <w:rPr/>
      </w:pPr>
      <w:bookmarkStart w:id="45" w:name="__RefHeading___Toc38065_3949650649"/>
      <w:bookmarkEnd w:id="45"/>
      <w:r>
        <w:rPr>
          <w:rFonts w:eastAsia="Segoe UI" w:cs="Segoe UI"/>
          <w:b/>
          <w:color w:val="0F4761"/>
          <w:sz w:val="26"/>
        </w:rPr>
        <w:t>7.2  Tables and columns holding personal data</w:t>
      </w:r>
    </w:p>
    <w:p>
      <w:pPr>
        <w:pStyle w:val="Normal"/>
        <w:spacing w:lineRule="auto" w:line="276" w:before="0" w:after="120"/>
        <w:rPr/>
      </w:pPr>
      <w:r>
        <w:rPr>
          <w:rFonts w:eastAsia="Segoe UI" w:cs="Segoe UI" w:ascii="Segoe UI" w:hAnsi="Segoe UI"/>
          <w:color w:val="101820"/>
          <w:sz w:val="21"/>
        </w:rPr>
        <w:t>In the table, Personal, Sensitive, Credential and May contain refer to the four classes above.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 holding personal data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first_name, last_name, company_name, display_name, email, phone, gender, address, city, state, country, postal_code, preferred_name, house_no, barangay, road, soi, moo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tin, birth_date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extra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signatories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name, designation, signature_key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first_name, last_name, company_name, display_name, email, phone, gender, address, city, state, country, postal_code, preferred_name, house_no, barangay, road, soi, moo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birth_date, tax_number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notes, extra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payload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payer_name, payer_email, payer_mobile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token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remarks, attachment_key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vehicle, approval_sent_to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approval_token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changes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details,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proof_key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customer_name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payee_name, referrer_name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petty_cash_receipts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customer_name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proof_key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name, email, phone, bank_name, bank_account_no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tin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old_value, new_value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loss_address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driver, third_party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 details, policy_info, adjuster, settlement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recipient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coverage_details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bir_2307_certificates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payee_name, payee_address, payor_name, payor_address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payee_tin, payor_tin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notes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last_login_at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ip</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before_data, after_data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ip, user_agent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password_history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password_hash</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code, code_hash</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device_id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jti</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display_name, first_name, last_name, email, phone, employee_code, department, designation, reporting_to, last_login_at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password_hash, totp_secret, totp_pending_secret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storage_key, file_name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to_address, cc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body_html, attachments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privacy_consents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evidence, withdrawal_reason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data_subject_requests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 requester_contact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 outcome, response_notes</w:t>
            </w:r>
          </w:p>
        </w:tc>
      </w:tr>
    </w:tbl>
    <w:p>
      <w:pPr>
        <w:pStyle w:val="Normal"/>
        <w:spacing w:before="0" w:after="80"/>
        <w:rPr/>
      </w:pPr>
      <w:r>
        <w:rPr/>
      </w:r>
    </w:p>
    <w:p>
      <w:pPr>
        <w:pStyle w:val="Heading2"/>
        <w:rPr/>
      </w:pPr>
      <w:bookmarkStart w:id="46" w:name="__RefHeading___Toc38067_3949650649"/>
      <w:bookmarkEnd w:id="46"/>
      <w:r>
        <w:rPr>
          <w:rFonts w:eastAsia="Segoe UI" w:cs="Segoe UI"/>
          <w:b/>
          <w:color w:val="0F4761"/>
          <w:sz w:val="26"/>
        </w:rPr>
        <w:t>7.3  Protection in the database</w:t>
      </w:r>
    </w:p>
    <w:p>
      <w:pPr>
        <w:pStyle w:val="Normal"/>
        <w:numPr>
          <w:ilvl w:val="0"/>
          <w:numId w:val="1"/>
        </w:numPr>
        <w:spacing w:before="0" w:after="60"/>
        <w:rPr/>
      </w:pPr>
      <w:r>
        <w:rPr>
          <w:rFonts w:eastAsia="Segoe UI" w:cs="Segoe UI" w:ascii="Segoe UI" w:hAnsi="Segoe UI"/>
          <w:color w:val="101820"/>
          <w:sz w:val="21"/>
        </w:rPr>
        <w:t xml:space="preserve">Passwords are stored only as bcrypt hashes; reset codes only as keyed hashes; the second-factor secret is encrypted with AES-256-GCM using the key in </w:t>
      </w:r>
      <w:r>
        <w:rPr>
          <w:rFonts w:eastAsia="Consolas" w:cs="Consolas" w:ascii="Consolas" w:hAnsi="Consolas"/>
          <w:color w:val="101820"/>
          <w:sz w:val="19"/>
        </w:rPr>
        <w:t>DATA_ENCRYPTION_KEY</w:t>
      </w:r>
      <w:r>
        <w:rPr>
          <w:rFonts w:eastAsia="Segoe UI" w:cs="Segoe UI" w:ascii="Segoe UI" w:hAnsi="Segoe UI"/>
          <w:color w:val="101820"/>
          <w:sz w:val="21"/>
        </w:rPr>
        <w:t>. Payment gateway credentials are not stored in the database but read from the environment.</w:t>
      </w:r>
    </w:p>
    <w:p>
      <w:pPr>
        <w:pStyle w:val="Normal"/>
        <w:numPr>
          <w:ilvl w:val="0"/>
          <w:numId w:val="1"/>
        </w:numPr>
        <w:spacing w:before="0" w:after="60"/>
        <w:rPr/>
      </w:pPr>
      <w:r>
        <w:rPr>
          <w:rFonts w:eastAsia="Segoe UI" w:cs="Segoe UI" w:ascii="Segoe UI" w:hAnsi="Segoe UI"/>
          <w:color w:val="101820"/>
          <w:sz w:val="21"/>
        </w:rPr>
        <w:t>Access to the data in the application follows the role permissions; the authority matrix, segregation-of-duties rules and access reviews control who may approve and who holds which roles.</w:t>
      </w:r>
    </w:p>
    <w:p>
      <w:pPr>
        <w:pStyle w:val="Normal"/>
        <w:numPr>
          <w:ilvl w:val="0"/>
          <w:numId w:val="1"/>
        </w:numPr>
        <w:spacing w:before="0" w:after="60"/>
        <w:rPr/>
      </w:pPr>
      <w:r>
        <w:rPr>
          <w:rFonts w:eastAsia="Segoe UI" w:cs="Segoe UI" w:ascii="Segoe UI" w:hAnsi="Segoe UI"/>
          <w:color w:val="101820"/>
          <w:sz w:val="21"/>
        </w:rPr>
        <w:t xml:space="preserve">Every change to a record is in </w:t>
      </w:r>
      <w:r>
        <w:rPr>
          <w:rFonts w:eastAsia="Consolas" w:cs="Consolas" w:ascii="Consolas" w:hAnsi="Consolas"/>
          <w:color w:val="101820"/>
          <w:sz w:val="19"/>
        </w:rPr>
        <w:t>audit_log</w:t>
      </w:r>
      <w:r>
        <w:rPr>
          <w:rFonts w:eastAsia="Segoe UI" w:cs="Segoe UI" w:ascii="Segoe UI" w:hAnsi="Segoe UI"/>
          <w:color w:val="101820"/>
          <w:sz w:val="21"/>
        </w:rPr>
        <w:t xml:space="preserve"> with the user, time, IP address and the values before and after. Because the audit trail copies record values, it holds personal information too.</w:t>
      </w:r>
    </w:p>
    <w:p>
      <w:pPr>
        <w:pStyle w:val="Normal"/>
        <w:numPr>
          <w:ilvl w:val="0"/>
          <w:numId w:val="1"/>
        </w:numPr>
        <w:spacing w:before="0" w:after="60"/>
        <w:rPr/>
      </w:pPr>
      <w:r>
        <w:rPr>
          <w:rFonts w:eastAsia="Segoe UI" w:cs="Segoe UI" w:ascii="Segoe UI" w:hAnsi="Segoe UI"/>
          <w:color w:val="101820"/>
          <w:sz w:val="21"/>
        </w:rPr>
        <w:t>The database has no column-level encryption or masking of client data; protection relies on database access control, encryption of the storage and of backups, and the application's permissions. See the Architecture, Infrastructure, Security and Privacy document.</w:t>
      </w:r>
    </w:p>
    <w:p>
      <w:pPr>
        <w:pStyle w:val="Heading2"/>
        <w:rPr/>
      </w:pPr>
      <w:bookmarkStart w:id="47" w:name="__RefHeading___Toc38069_3949650649"/>
      <w:bookmarkEnd w:id="47"/>
      <w:r>
        <w:rPr>
          <w:rFonts w:eastAsia="Segoe UI" w:cs="Segoe UI"/>
          <w:b/>
          <w:color w:val="0F4761"/>
          <w:sz w:val="26"/>
        </w:rPr>
        <w:t>7.4  Retention</w:t>
      </w:r>
    </w:p>
    <w:p>
      <w:pPr>
        <w:pStyle w:val="Normal"/>
        <w:spacing w:lineRule="auto" w:line="276" w:before="0" w:after="120"/>
        <w:rPr/>
      </w:pPr>
      <w:r>
        <w:rPr>
          <w:rFonts w:eastAsia="Segoe UI" w:cs="Segoe UI" w:ascii="Segoe UI" w:hAnsi="Segoe UI"/>
          <w:color w:val="101820"/>
          <w:sz w:val="21"/>
        </w:rPr>
        <w:t xml:space="preserve">The system has two kinds of retention. Operational rows are deleted by the daily housekeeping job after the number of days set in System Settings &gt; Housekeeping (0 means keep forever). Business and financial records are never deleted by the system. The personal data of a client or prospect can be anonymised from a data subject request once </w:t>
      </w:r>
      <w:r>
        <w:rPr>
          <w:rFonts w:eastAsia="Consolas" w:cs="Consolas" w:ascii="Consolas" w:hAnsi="Consolas"/>
          <w:color w:val="101820"/>
          <w:sz w:val="19"/>
        </w:rPr>
        <w:t>privacy.retention_years</w:t>
      </w:r>
      <w:r>
        <w:rPr>
          <w:rFonts w:eastAsia="Segoe UI" w:cs="Segoe UI" w:ascii="Segoe UI" w:hAnsi="Segoe UI"/>
          <w:color w:val="101820"/>
          <w:sz w:val="21"/>
        </w:rPr>
        <w:t xml:space="preserve"> (10 years after the last policy expiry) has passed: names are replaced by an anonymised label and contact details, addresses, ID numbers, birth date and personal notes are cleared in the party and its prospects, policies, quotations, claims and slips, while numbers, amounts and dates stay (</w:t>
      </w:r>
      <w:r>
        <w:rPr>
          <w:rFonts w:eastAsia="Consolas" w:cs="Consolas" w:ascii="Consolas" w:hAnsi="Consolas"/>
          <w:color w:val="101820"/>
          <w:sz w:val="19"/>
        </w:rPr>
        <w:t>clients.anonymised_at</w:t>
      </w:r>
      <w:r>
        <w:rPr>
          <w:rFonts w:eastAsia="Segoe UI" w:cs="Segoe UI" w:ascii="Segoe UI" w:hAnsi="Segoe UI"/>
          <w:color w:val="101820"/>
          <w:sz w:val="21"/>
        </w:rPr>
        <w:t xml:space="preserve">, </w:t>
      </w:r>
      <w:r>
        <w:rPr>
          <w:rFonts w:eastAsia="Consolas" w:cs="Consolas" w:ascii="Consolas" w:hAnsi="Consolas"/>
          <w:color w:val="101820"/>
          <w:sz w:val="19"/>
        </w:rPr>
        <w:t>leads.anonymised_at</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1722"/>
        <w:gridCol w:w="2727"/>
        <w:gridCol w:w="2853"/>
      </w:tblGrid>
      <w:tr>
        <w:trPr>
          <w:tblHeader w:val="true"/>
        </w:trPr>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17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 deleted</w:t>
            </w:r>
          </w:p>
        </w:tc>
        <w:tc>
          <w:tcPr>
            <w:tcW w:w="27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8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Seeded days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 history</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housekeeping.job_runs_days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e-mails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e-mails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housekeeping.email_outbox_failed_days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attempts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housekeeping.login_history_days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Expired or revoked sessions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housekeeping.refresh_tokens_days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or expired reset codes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housekeeping.password_resets_days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housekeeping.notifications_read_days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job_queue</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background jobs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housekeeping.job_queue_done_days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entries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housekeeping.audit_log_days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(keep); when set, never less than 2,557 days (7 years)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generated_reports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 files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reports.retention_days</w:t>
            </w:r>
            <w:r>
              <w:rPr>
                <w:rFonts w:eastAsia="Segoe UI" w:cs="Segoe UI" w:ascii="Segoe UI" w:hAnsi="Segoe UI"/>
                <w:color w:val="101820"/>
                <w:kern w:val="0"/>
                <w:sz w:val="18"/>
                <w:szCs w:val="24"/>
                <w:lang w:val="en-US" w:eastAsia="ja-JP" w:bidi="ar-SA"/>
              </w:rPr>
              <w:t xml:space="preserve"> (daily reports job)</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table also carries a retention class in the workbook (sheet Tables):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0"/>
        <w:gridCol w:w="908"/>
        <w:gridCol w:w="6586"/>
      </w:tblGrid>
      <w:tr>
        <w:trPr>
          <w:tblHeader w:val="true"/>
        </w:trPr>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Class</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65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Handling</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56</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bills, receipts, payments, commissions, remittances, reconciliations, tax certificates. Kept for the statutory record-keeping period; cancelled or reversed, never deleted.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quotations, placements, policies, endorsements, claims, renewals, reinsurance. Kept for the life of the policy or claim plus the regulatory period.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settings, posting rules, number series, roles. Kept while in use; changes audited.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 / audit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histories, sign-in history, job runs. Kept for the audit period.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Tokens, reset codes, outbox, queue, notifications, generated files. Purged by housekeeping.</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Recommendation, to be confirmed by the broker's Data Protection Officer and finance: set the retention period of financial and transaction records to the longest period required by the BIR, the Insurance Commission and the broker's own policy, and apply the DPA principle of proportionality to prospects that never became clients (leads with no quotation or policy). The application has no anonymisation or erasure function for clients and leads; a data subject's request for erasure or blocking is handled by the support team with a reviewed database script, keeping the records that a statutory retention period still requires.</w:t>
      </w:r>
      <w:r>
        <w:br w:type="page"/>
      </w:r>
    </w:p>
    <w:p>
      <w:pPr>
        <w:pStyle w:val="Heading1"/>
        <w:rPr/>
      </w:pPr>
      <w:bookmarkStart w:id="48" w:name="__RefHeading___Toc38071_3949650649"/>
      <w:bookmarkEnd w:id="48"/>
      <w:r>
        <w:rPr>
          <w:rFonts w:eastAsia="Segoe UI" w:cs="Segoe UI" w:ascii="Segoe UI" w:hAnsi="Segoe UI"/>
          <w:b/>
          <w:color w:val="0F4761"/>
          <w:sz w:val="32"/>
        </w:rPr>
        <w:t>8.  Appendix A: Table list</w:t>
      </w:r>
    </w:p>
    <w:p>
      <w:pPr>
        <w:pStyle w:val="Normal"/>
        <w:spacing w:lineRule="auto" w:line="276" w:before="0" w:after="120"/>
        <w:rPr/>
      </w:pPr>
      <w:r>
        <w:rPr>
          <w:rFonts w:eastAsia="Segoe UI" w:cs="Segoe UI" w:ascii="Segoe UI" w:hAnsi="Segoe UI"/>
          <w:color w:val="101820"/>
          <w:sz w:val="21"/>
        </w:rPr>
        <w:t>This appendix lists every table and view with a one-line description and the number of rows in the loaded test database. The columns of each table are in the workbook, sheet Columns.</w:t>
      </w:r>
    </w:p>
    <w:p>
      <w:pPr>
        <w:pStyle w:val="Heading2"/>
        <w:rPr/>
      </w:pPr>
      <w:bookmarkStart w:id="49" w:name="__RefHeading___Toc38073_3949650649"/>
      <w:bookmarkEnd w:id="49"/>
      <w:r>
        <w:rPr>
          <w:rFonts w:eastAsia="Segoe UI" w:cs="Segoe UI"/>
          <w:b/>
          <w:color w:val="0F4761"/>
          <w:sz w:val="26"/>
        </w:rPr>
        <w:t>8.1  Party and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3"/>
        <w:gridCol w:w="5584"/>
        <w:gridCol w:w="907"/>
      </w:tblGrid>
      <w:tr>
        <w:trPr>
          <w:tblHeader w:val="true"/>
        </w:trPr>
        <w:tc>
          <w:tcPr>
            <w:tcW w:w="25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5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mortgagees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branches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Cities and municipalities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parties) with KYC fields and 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68</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countries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Countries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districts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Districts / barangays with postal code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(principals): contact, default commission rate, credit terms, billing mode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postal_codes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Postal code lookup (province, city, district)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signatories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signatories for documents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states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Provinces / states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r>
    </w:tbl>
    <w:p>
      <w:pPr>
        <w:pStyle w:val="Normal"/>
        <w:spacing w:before="0" w:after="80"/>
        <w:rPr/>
      </w:pPr>
      <w:r>
        <w:rPr/>
      </w:r>
    </w:p>
    <w:p>
      <w:pPr>
        <w:pStyle w:val="Heading2"/>
        <w:rPr/>
      </w:pPr>
      <w:bookmarkStart w:id="50" w:name="__RefHeading___Toc38075_3949650649"/>
      <w:bookmarkEnd w:id="50"/>
      <w:r>
        <w:rPr>
          <w:rFonts w:eastAsia="Segoe UI" w:cs="Segoe UI"/>
          <w:b/>
          <w:color w:val="0F4761"/>
          <w:sz w:val="26"/>
        </w:rPr>
        <w:t>8.2  Product and rating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23"/>
        <w:gridCol w:w="5284"/>
        <w:gridCol w:w="907"/>
      </w:tblGrid>
      <w:tr>
        <w:trPr>
          <w:tblHeader w:val="true"/>
        </w:trPr>
        <w:tc>
          <w:tcPr>
            <w:tcW w:w="28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2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coverages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 / PD / PA cover options with amount and premium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insurer_rate_tables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rates per product for the quick quote comparison of packaged products: rate basis, minimum premium, deductible,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lgu_tax_rates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(LGT) tax rates per province or city with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package_bundle_sections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Sections of a bundle: product, default sum insured, rate, minimum premium and the insurers that may carry it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Packaged product bundles (for example a multi-line SME cover): segment, term, discount, online issue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types per product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premium_charge_rules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charge rules (VAT, premium tax, DST, FST, LGT, other): method, rate, unit size, minimum and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product_components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components: covers, rating tables, rules, documents (JSONB data)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product_risk_mappings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 line-of-business risk definitions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product_risk_sections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sections of a mapping with default rates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product templates (config JSONB, rates, limits, 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products / lines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vehicle_brands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makes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vehicle_models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models per make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vehicle_variants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variants (body type, seating)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r>
    </w:tbl>
    <w:p>
      <w:pPr>
        <w:pStyle w:val="Normal"/>
        <w:spacing w:before="0" w:after="80"/>
        <w:rPr/>
      </w:pPr>
      <w:r>
        <w:rPr/>
      </w:r>
    </w:p>
    <w:p>
      <w:pPr>
        <w:pStyle w:val="Heading2"/>
        <w:rPr/>
      </w:pPr>
      <w:bookmarkStart w:id="51" w:name="__RefHeading___Toc38077_3949650649"/>
      <w:bookmarkEnd w:id="51"/>
      <w:r>
        <w:rPr>
          <w:rFonts w:eastAsia="Segoe UI" w:cs="Segoe UI"/>
          <w:b/>
          <w:color w:val="0F4761"/>
          <w:sz w:val="26"/>
        </w:rPr>
        <w:t>8.3  Sales and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7"/>
        <w:gridCol w:w="5210"/>
        <w:gridCol w:w="907"/>
      </w:tblGrid>
      <w:tr>
        <w:trPr>
          <w:tblHeader w:val="true"/>
        </w:trPr>
        <w:tc>
          <w:tcPr>
            <w:tcW w:w="28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2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events and reminders of a user (open items screen)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 prospects (individual or corporate), owner,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quotations: client, location, premium, discount, taxes, commission and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package_sections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Priced sections of a bundle quotation or package policy, each with its insurer, premium, taxes and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notification received from a payment gateway (or simulated), valid or not: the payments log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Online payment gateways (Dragonpay, PayMongo, sandbox): mode, methods, fee handling, link validity; credentials stay in the environment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sent to a client to pay a package quotation, quotation or policy premium online, and the result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responses to a quotation recorded by staff (phone, Viber, meeting, signed form) as evidence of the status change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vehicle / coverage JSONB, premium, taxes, commission, approval token hash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r>
    </w:tbl>
    <w:p>
      <w:pPr>
        <w:pStyle w:val="Normal"/>
        <w:spacing w:before="0" w:after="80"/>
        <w:rPr/>
      </w:pPr>
      <w:r>
        <w:rPr/>
      </w:r>
    </w:p>
    <w:p>
      <w:pPr>
        <w:pStyle w:val="Heading2"/>
        <w:rPr/>
      </w:pPr>
      <w:bookmarkStart w:id="52" w:name="__RefHeading___Toc38079_3949650649"/>
      <w:bookmarkEnd w:id="52"/>
      <w:r>
        <w:rPr>
          <w:rFonts w:eastAsia="Segoe UI" w:cs="Segoe UI"/>
          <w:b/>
          <w:color w:val="0F4761"/>
          <w:sz w:val="26"/>
        </w:rPr>
        <w:t>8.4  Placement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9"/>
        <w:gridCol w:w="5748"/>
        <w:gridCol w:w="907"/>
      </w:tblGrid>
      <w:tr>
        <w:trPr>
          <w:tblHeader w:val="true"/>
        </w:trPr>
        <w:tc>
          <w:tcPr>
            <w:tcW w:w="23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7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(BS-): a client risk sent to several insurers for terms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offers (OFR-) on a broker slip: premium, rate, taxes, deductibles, validity, share, or a decline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118</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(PS-): firm order to the chosen insurers, binding per participant, policy issue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participants of a broker slip, quotation, placement or policy: lead, share, premium and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219</w:t>
            </w:r>
          </w:p>
        </w:tc>
      </w:tr>
    </w:tbl>
    <w:p>
      <w:pPr>
        <w:pStyle w:val="Normal"/>
        <w:spacing w:before="0" w:after="80"/>
        <w:rPr/>
      </w:pPr>
      <w:r>
        <w:rPr/>
      </w:r>
    </w:p>
    <w:p>
      <w:pPr>
        <w:pStyle w:val="Heading2"/>
        <w:rPr/>
      </w:pPr>
      <w:bookmarkStart w:id="53" w:name="__RefHeading___Toc38081_3949650649"/>
      <w:bookmarkEnd w:id="53"/>
      <w:r>
        <w:rPr>
          <w:rFonts w:eastAsia="Segoe UI" w:cs="Segoe UI"/>
          <w:b/>
          <w:color w:val="0F4761"/>
          <w:sz w:val="26"/>
        </w:rPr>
        <w:t>8.5  Policy and endorsement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3"/>
        <w:gridCol w:w="5504"/>
        <w:gridCol w:w="907"/>
      </w:tblGrid>
      <w:tr>
        <w:trPr>
          <w:tblHeader w:val="true"/>
        </w:trPr>
        <w:tc>
          <w:tcPr>
            <w:tcW w:w="2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endorsements and cancellations, premium delta, billing link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package_endorsements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of one section of a package policy: change of sum insured and the additional premium billed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Issued policies: term, premium, insurer, billing mode, details / doc JSONB</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payments captured on a policy, awaiting finance confirmation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r>
    </w:tbl>
    <w:p>
      <w:pPr>
        <w:pStyle w:val="Normal"/>
        <w:spacing w:before="0" w:after="80"/>
        <w:rPr/>
      </w:pPr>
      <w:r>
        <w:rPr/>
      </w:r>
    </w:p>
    <w:p>
      <w:pPr>
        <w:pStyle w:val="Heading2"/>
        <w:rPr/>
      </w:pPr>
      <w:bookmarkStart w:id="54" w:name="__RefHeading___Toc38083_3949650649"/>
      <w:bookmarkEnd w:id="54"/>
      <w:r>
        <w:rPr>
          <w:rFonts w:eastAsia="Segoe UI" w:cs="Segoe UI"/>
          <w:b/>
          <w:color w:val="0F4761"/>
          <w:sz w:val="26"/>
        </w:rPr>
        <w:t>8.6  Billing, receipts and payments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4"/>
        <w:gridCol w:w="5143"/>
        <w:gridCol w:w="907"/>
      </w:tblGrid>
      <w:tr>
        <w:trPr>
          <w:tblHeader w:val="true"/>
        </w:trPr>
        <w:tc>
          <w:tcPr>
            <w:tcW w:w="29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1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Cheques issued (instrument, approval, printing)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(PV-) to insurers, agents, clients; approval and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invoice_lists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 lists (IL-) settled by a disbursement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petty_cash_disbursements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payments (VAT, WHT,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funds (size, limits, custodian, available cash)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petty_cash_receipts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into a petty cash fund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petty_cash_replenishments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Fund replenishments from bank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petty_cash_request_lines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petty cash request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requests and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of receipt lines to bills, with journal link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receipt_lines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lines per policy (premium, taxes, EWT, discounts)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(OR-) header: payer, amount, mode,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and cancellation credits applied to a bill, with the refund part and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receivable_participants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Per-insurer split of a co-insured bill: share, gross, commission, taxes, due to 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(INV-) per policy / endorsement / renewal with balance and ageing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write_off_reasons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Write-off reasons with GL account and maximum amount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bl>
    <w:p>
      <w:pPr>
        <w:pStyle w:val="Normal"/>
        <w:spacing w:before="0" w:after="80"/>
        <w:rPr/>
      </w:pPr>
      <w:r>
        <w:rPr/>
      </w:r>
    </w:p>
    <w:p>
      <w:pPr>
        <w:pStyle w:val="Heading2"/>
        <w:rPr/>
      </w:pPr>
      <w:bookmarkStart w:id="55" w:name="__RefHeading___Toc38085_3949650649"/>
      <w:bookmarkEnd w:id="55"/>
      <w:r>
        <w:rPr>
          <w:rFonts w:eastAsia="Segoe UI" w:cs="Segoe UI"/>
          <w:b/>
          <w:color w:val="0F4761"/>
          <w:sz w:val="26"/>
        </w:rPr>
        <w:t>8.7  Remittance and insurer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44"/>
        <w:gridCol w:w="4663"/>
        <w:gridCol w:w="907"/>
      </w:tblGrid>
      <w:tr>
        <w:trPr>
          <w:tblHeader w:val="true"/>
        </w:trPr>
        <w:tc>
          <w:tcPr>
            <w:tcW w:w="34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6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commission_debit_note_collections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payments against a debit note (cash, EWT, Form 2307)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 items on a debit note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notes (DN-) to insurers for direct-billed policies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premium payment made directly to the insurer on a direct-billed policy, with the insurer's receipt reference and proof; no journal is posted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receivable items booked for direct-billed policies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insurer_refund_credits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Refunds due from insurers on returned premium already remitted; netted against the next remittance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collected on a co-insured policy, split for remittance to each 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remittance_approvals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Multi-level approval requests with SLA and history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remittance_delegations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Approval delegations of earlier releases; no longer read or written (see </w:t>
            </w:r>
            <w:r>
              <w:rPr>
                <w:rFonts w:eastAsia="Consolas" w:cs="Consolas" w:ascii="Consolas" w:hAnsi="Consolas"/>
                <w:color w:val="101820"/>
                <w:kern w:val="0"/>
                <w:sz w:val="16"/>
                <w:szCs w:val="24"/>
                <w:lang w:val="en-US" w:eastAsia="ja-JP" w:bidi="ar-SA"/>
              </w:rPr>
              <w:t>user_delegations</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remittance_items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work items (settlements, adjustments, transfers, exceptions)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included in a remittance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remittances / bills to insurers (REM-): gross, commission, net due, approval, settlement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bl>
    <w:p>
      <w:pPr>
        <w:pStyle w:val="Normal"/>
        <w:spacing w:before="0" w:after="80"/>
        <w:rPr/>
      </w:pPr>
      <w:r>
        <w:rPr/>
      </w:r>
    </w:p>
    <w:p>
      <w:pPr>
        <w:pStyle w:val="Heading2"/>
        <w:rPr/>
      </w:pPr>
      <w:bookmarkStart w:id="56" w:name="__RefHeading___Toc38087_3949650649"/>
      <w:bookmarkEnd w:id="56"/>
      <w:r>
        <w:rPr>
          <w:rFonts w:eastAsia="Segoe UI" w:cs="Segoe UI"/>
          <w:b/>
          <w:color w:val="0F4761"/>
          <w:sz w:val="26"/>
        </w:rPr>
        <w:t>8.8  Commission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reversed or clawed back when premium is returned or a policy cancelled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commission_rates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 matrix: rate per insurer, product, line and policy type with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 sub-agents (no sign-in): hierarchy, WHT rate, bank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lines per policy / endorsement and referrer: accrual, eligibility, approval,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w:t>
            </w:r>
          </w:p>
        </w:tc>
      </w:tr>
    </w:tbl>
    <w:p>
      <w:pPr>
        <w:pStyle w:val="Normal"/>
        <w:spacing w:before="0" w:after="80"/>
        <w:rPr/>
      </w:pPr>
      <w:r>
        <w:rPr/>
      </w:r>
    </w:p>
    <w:p>
      <w:pPr>
        <w:pStyle w:val="Heading2"/>
        <w:rPr/>
      </w:pPr>
      <w:bookmarkStart w:id="57" w:name="__RefHeading___Toc38089_3949650649"/>
      <w:bookmarkEnd w:id="57"/>
      <w:r>
        <w:rPr>
          <w:rFonts w:eastAsia="Segoe UI" w:cs="Segoe UI"/>
          <w:b/>
          <w:color w:val="0F4761"/>
          <w:sz w:val="26"/>
        </w:rPr>
        <w:t>8.9  Claims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32"/>
        <w:gridCol w:w="5075"/>
        <w:gridCol w:w="907"/>
      </w:tblGrid>
      <w:tr>
        <w:trPr>
          <w:tblHeader w:val="true"/>
        </w:trPr>
        <w:tc>
          <w:tcPr>
            <w:tcW w:w="30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audit trail of claim edits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79</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status history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settlement cash: funds received from each insurer and payments to the claimant, with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loss details, estimate, approved and settled amounts, handler, lifecycle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bl>
    <w:p>
      <w:pPr>
        <w:pStyle w:val="Normal"/>
        <w:spacing w:before="0" w:after="80"/>
        <w:rPr/>
      </w:pPr>
      <w:r>
        <w:rPr/>
      </w:r>
    </w:p>
    <w:p>
      <w:pPr>
        <w:pStyle w:val="Heading2"/>
        <w:rPr/>
      </w:pPr>
      <w:bookmarkStart w:id="58" w:name="__RefHeading___Toc38091_3949650649"/>
      <w:bookmarkEnd w:id="58"/>
      <w:r>
        <w:rPr>
          <w:rFonts w:eastAsia="Segoe UI" w:cs="Segoe UI"/>
          <w:b/>
          <w:color w:val="0F4761"/>
          <w:sz w:val="26"/>
        </w:rPr>
        <w:t>8.10  Renewals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renewal_activities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 and follow-up activities on a renewal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renewal_batch_policies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in a renewal batch and their notice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renewal notice runs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sent (stage, method, recipient,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quotations (loading, discount, variance)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cases of expiring policies (status, notices, contact, premium old / new)</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winback_campaigns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Win-back campaigns for lapsed business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59" w:name="__RefHeading___Toc38093_3949650649"/>
      <w:bookmarkEnd w:id="59"/>
      <w:r>
        <w:rPr>
          <w:rFonts w:eastAsia="Segoe UI" w:cs="Segoe UI"/>
          <w:b/>
          <w:color w:val="0F4761"/>
          <w:sz w:val="26"/>
        </w:rPr>
        <w:t>8.11  General ledger and period end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1"/>
        <w:gridCol w:w="5146"/>
        <w:gridCol w:w="907"/>
      </w:tblGrid>
      <w:tr>
        <w:trPr>
          <w:tblHeader w:val="true"/>
        </w:trPr>
        <w:tc>
          <w:tcPr>
            <w:tcW w:w="29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accounting_config_changes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approved or rejected changes to posting rules and account determination (maker-checker); a change takes effect only on approval by a different user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Periods 1 to 12 and adjustment period 13 per fiscal year: dates and status (open, soft_closed, closed, locked)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bir_2307_certificates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certificates issued and received, per payee and quarter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Open-item matching of debit and credit journal lines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(FY2026): dates and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gl_accounts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(type, statement group, normal balance, open-item flag)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129</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lines: account, debit / credit, branch, department, client / policy tags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804</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vouchers (JV-): source, status, maker-checker, reversal / correction links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194</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opening_balances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 per fiscal year and account: carried forward by the year-end close or loaded at go-live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period_close_checklist</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checklist items (automatic or manual, severity)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period_close_entries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created by a close run and their automatic reversal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period_close_run_checks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Checklist results of a close run and sign-off of manual items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runs (MEC-): steps, preparer,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period_status_history</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change of an accounting period status, with source and user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posting_rule_lines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posting rule: side, account or account role, amount key, split per co-insurer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146</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versions per business event (effective date, entry type, narration)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generated from a recurring template per occurrence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and accrual journal templates (frequency, lines, auto-post, auto-reverse)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tax_codes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VAT, expanded withholding with ATC, DST, LGT; rate and GL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runs (YEC-): closing and transfer journals, net income, reversal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60" w:name="__RefHeading___Toc38095_3949650649"/>
      <w:bookmarkEnd w:id="60"/>
      <w:r>
        <w:rPr>
          <w:rFonts w:eastAsia="Segoe UI" w:cs="Segoe UI"/>
          <w:b/>
          <w:color w:val="0F4761"/>
          <w:sz w:val="26"/>
        </w:rPr>
        <w:t>8.12  Bank and insurer reconciliation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1"/>
        <w:gridCol w:w="4887"/>
        <w:gridCol w:w="907"/>
      </w:tblGrid>
      <w:tr>
        <w:trPr>
          <w:tblHeader w:val="true"/>
        </w:trPr>
        <w:tc>
          <w:tcPr>
            <w:tcW w:w="32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8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bank_account_links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 bank account masters with their GL cash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bank_book_lines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 posted journal lines on bank cash accounts, the book side of bank matching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bank_match_rules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Automatic matching rules (reference, amount-date, one-to-many, many-to-one)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bank_rec_match_items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book lines of a match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152</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Matches between bank lines and cash-account journal lines, with difference treatment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bank_reconciliation_history</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history of a reconciliation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bank reconciliation statements (BRC-): figures, preparer, approver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bank_statement_formats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 layouts (columns, date format, sign convention)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lines (amount, reference, line hash), status and adjustment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keyed bank statements per bank account and period, with file hash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bank_transaction_types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Bank-side transaction types (charges, interest, direct credits) and their GL account role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insurer_statement_formats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 mapping of an insurer's statement export (CSV or XLSX)</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an insurer statement with their match to the broker's remittance line, debit note line or policy and the differences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insurer_statement_resolutions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a statement difference, or a broker record missing on the statement, was settled: note or adjustment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insurer statement of account (ISR): premium remittance confirmation or commission statement, totals, sign-off</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bl>
    <w:p>
      <w:pPr>
        <w:pStyle w:val="Normal"/>
        <w:spacing w:before="0" w:after="80"/>
        <w:rPr/>
      </w:pPr>
      <w:r>
        <w:rPr/>
      </w:r>
    </w:p>
    <w:p>
      <w:pPr>
        <w:pStyle w:val="Heading2"/>
        <w:rPr/>
      </w:pPr>
      <w:bookmarkStart w:id="61" w:name="__RefHeading___Toc38097_3949650649"/>
      <w:bookmarkEnd w:id="61"/>
      <w:r>
        <w:rPr>
          <w:rFonts w:eastAsia="Segoe UI" w:cs="Segoe UI"/>
          <w:b/>
          <w:color w:val="0F4761"/>
          <w:sz w:val="26"/>
        </w:rPr>
        <w:t>8.13  Credit control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3"/>
        <w:gridCol w:w="5014"/>
        <w:gridCol w:w="907"/>
      </w:tblGrid>
      <w:tr>
        <w:trPr>
          <w:tblHeader w:val="true"/>
        </w:trPr>
        <w:tc>
          <w:tcPr>
            <w:tcW w:w="3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beyond a client's credit limit: exposure before and after, and Accounting's acknowledgement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actions: calls, e-mails, commitments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follow-up items for open bills (commitment, escalation, assignee)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 of a premium bill: frequency, number of instalments, first due date and down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Instalments of a plan: sequence, due date and amount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premium_warranty_actions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warranty monitor actions: reminders, extension decisions and cancellation requests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to extend the premium payment warranty deadline of a policy (maker-checker)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62" w:name="__RefHeading___Toc38099_3949650649"/>
      <w:bookmarkEnd w:id="62"/>
      <w:r>
        <w:rPr>
          <w:rFonts w:eastAsia="Segoe UI" w:cs="Segoe UI"/>
          <w:b/>
          <w:color w:val="0F4761"/>
          <w:sz w:val="26"/>
        </w:rPr>
        <w:t>8.14  Reinsurance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3"/>
        <w:gridCol w:w="5014"/>
        <w:gridCol w:w="907"/>
      </w:tblGrid>
      <w:tr>
        <w:trPr>
          <w:tblHeader w:val="true"/>
        </w:trPr>
        <w:tc>
          <w:tcPr>
            <w:tcW w:w="3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of policies to treaties / facultative reinsurers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reinsurance_bordereaux</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 claims bordereaux (entries JSONB, file)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reinsurance_exceptions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exceptions and resolution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reinsurance_reconciliations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 statement reconciliations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recoveries from reinsurers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reinsurance_treaties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Treaties (type, capacity, share, retention,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reinsurers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 (rating, capacity, contact)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bl>
    <w:p>
      <w:pPr>
        <w:pStyle w:val="Normal"/>
        <w:spacing w:before="0" w:after="80"/>
        <w:rPr/>
      </w:pPr>
      <w:r>
        <w:rPr/>
      </w:r>
    </w:p>
    <w:p>
      <w:pPr>
        <w:pStyle w:val="Heading2"/>
        <w:rPr/>
      </w:pPr>
      <w:bookmarkStart w:id="63" w:name="__RefHeading___Toc38101_3949650649"/>
      <w:bookmarkEnd w:id="63"/>
      <w:r>
        <w:rPr>
          <w:rFonts w:eastAsia="Segoe UI" w:cs="Segoe UI"/>
          <w:b/>
          <w:color w:val="0F4761"/>
          <w:sz w:val="26"/>
        </w:rPr>
        <w:t>8.15  Incentives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incentive_calculations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batches with maker-checker and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programmes (metric, targets, tiers, eligibility)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 and payouts per participant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bl>
    <w:p>
      <w:pPr>
        <w:pStyle w:val="Normal"/>
        <w:spacing w:before="0" w:after="80"/>
        <w:rPr/>
      </w:pPr>
      <w:r>
        <w:rPr/>
      </w:r>
    </w:p>
    <w:p>
      <w:pPr>
        <w:pStyle w:val="Heading2"/>
        <w:rPr/>
      </w:pPr>
      <w:bookmarkStart w:id="64" w:name="__RefHeading___Toc38103_3949650649"/>
      <w:bookmarkEnd w:id="64"/>
      <w:r>
        <w:rPr>
          <w:rFonts w:eastAsia="Segoe UI" w:cs="Segoe UI"/>
          <w:b/>
          <w:color w:val="0F4761"/>
          <w:sz w:val="26"/>
        </w:rPr>
        <w:t>8.16  Security and audit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2"/>
        <w:gridCol w:w="5025"/>
        <w:gridCol w:w="907"/>
      </w:tblGrid>
      <w:tr>
        <w:trPr>
          <w:tblHeader w:val="true"/>
        </w:trPr>
        <w:tc>
          <w:tcPr>
            <w:tcW w:w="30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user in an access review: the roles held, last sign-in and the reviewer's decision to keep or revoke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Periodic access review (recertification) campaign: scope, reviewer, due date and closure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did what to which record, with before / after JSON and IP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1,515</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authority_limits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approval limit per role or per user and transaction type, effective once approved by another administrator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authority_transaction_types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Transactions that need an approver and are limited by amount or percent (authority matrix rows)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sign-in attempt: user, IP, user agent, success, reason, method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password_history</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password hashes for the history rule (last N kept)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password reset codes (HMAC hash only), expiry and attempts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permissions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codes read:&lt;module&gt;, write:&lt;module&gt; and approve:&lt;area&gt; granted to roles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Refresh-token register (jti, family, expiry, rotation / revocation reason)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role_permissions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Grant of permissions to roles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176</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catalogue: System Administrator, Sales &amp; Marketing, Processing Team, Operations, Claims, Accounting, Accounting Manager and custom roles; a role may inherit another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Segregation-of-duties rules: pairs of roles one person should not hold together, with block or warn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user_delegations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Out-of-office delegation: the delegate may approve with the delegator's authority for the listed transaction types and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user_roles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Assignment of roles to users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accounts: bcrypt password hash, status, lockout counter, 2FA (encrypted TOTP secret), token version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bl>
    <w:p>
      <w:pPr>
        <w:pStyle w:val="Normal"/>
        <w:spacing w:before="0" w:after="80"/>
        <w:rPr/>
      </w:pPr>
      <w:r>
        <w:rPr/>
      </w:r>
    </w:p>
    <w:p>
      <w:pPr>
        <w:pStyle w:val="Heading2"/>
        <w:rPr/>
      </w:pPr>
      <w:bookmarkStart w:id="65" w:name="__RefHeading___Toc38105_3949650649"/>
      <w:bookmarkEnd w:id="65"/>
      <w:r>
        <w:rPr>
          <w:rFonts w:eastAsia="Segoe UI" w:cs="Segoe UI"/>
          <w:b/>
          <w:color w:val="0F4761"/>
          <w:sz w:val="26"/>
        </w:rPr>
        <w:t>8.17  Configuration and schedules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41"/>
        <w:gridCol w:w="5666"/>
        <w:gridCol w:w="907"/>
      </w:tblGrid>
      <w:tr>
        <w:trPr>
          <w:tblHeader w:val="true"/>
        </w:trPr>
        <w:tc>
          <w:tcPr>
            <w:tcW w:w="24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keys (JSONB value, group, label, type); every business parameter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currencies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Currencies (one base currency, decimals)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document_numbering</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 series: prefix, pattern, width, reset rule, start number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 of stored files: storage key, name, type, size, owning entity, uploader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Queued e-mails (to, subject, HTML body, status, attempts, error)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generated_reports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 files (code, parameters, format, storage key, rows)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job_queue</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work queue (renewal notice batches); status, progress, attempts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 of scheduled and manual job runs (status, output, error)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master_records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Generic master records (JSONB data) for masters without their own table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screen registry: fields, storage table, keys of each configurable master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In-app notifications per user or per permission audience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catalogue (parameters, query, columns, roles, permission)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report_schedules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E-mailed report schedules (cron, format, recipients)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Cron jobs (code, cron, handler, params, enabled, last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schema_migrations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migration files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sequences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Document-number counters per series and reset period (year, fiscal year, month or 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66" w:name="__RefHeading___Toc38107_3949650649"/>
      <w:bookmarkStart w:id="67" w:name="_Toc233203395"/>
      <w:bookmarkEnd w:id="66"/>
      <w:r>
        <w:rPr>
          <w:rStyle w:val="BookTitle"/>
          <w:bCs w:val="false"/>
          <w:i w:val="false"/>
          <w:iCs w:val="false"/>
          <w:spacing w:val="0"/>
        </w:rPr>
        <w:t>9.  Document Sign-Off</w:t>
      </w:r>
      <w:bookmarkEnd w:id="6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