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Customer responsibilities annex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Customer responsibilities annex</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Responsibilities and RACI</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Responsibilities and RACI</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ATP</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Authority to Print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L1/L2/L3</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Support levels 1, 2 and 3</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Responsible, Accountable, Consulted, Informed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RAID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Risks, assumptions, issues and dependencies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SMTP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Simple Mail Transfer Protocol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annex</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Customer Responsibilities and RACI Annex (the </w:t>
      </w:r>
      <w:r>
        <w:rPr>
          <w:rFonts w:ascii="Segoe UI" w:hAnsi="Segoe UI" w:cs="Segoe UI" w:eastAsia="Segoe UI"/>
          <w:b/>
          <w:color w:val="101820"/>
          <w:sz w:val="21"/>
        </w:rPr>
        <w:t>RACI Annex</w:t>
      </w:r>
      <w:r>
        <w:rPr>
          <w:rFonts w:ascii="Segoe UI" w:hAnsi="Segoe UI" w:cs="Segoe UI" w:eastAsia="Segoe UI"/>
          <w:color w:val="101820"/>
          <w:sz w:val="21"/>
        </w:rPr>
        <w:t xml:space="preserve">) sets out what [Client legal name] (the </w:t>
      </w:r>
      <w:r>
        <w:rPr>
          <w:rFonts w:ascii="Segoe UI" w:hAnsi="Segoe UI" w:cs="Segoe UI" w:eastAsia="Segoe UI"/>
          <w:b/>
          <w:color w:val="101820"/>
          <w:sz w:val="21"/>
        </w:rPr>
        <w:t>Client</w:t>
      </w:r>
      <w:r>
        <w:rPr>
          <w:rFonts w:ascii="Segoe UI" w:hAnsi="Segoe UI" w:cs="Segoe UI" w:eastAsia="Segoe UI"/>
          <w:color w:val="101820"/>
          <w:sz w:val="21"/>
        </w:rPr>
        <w:t>) provides and does, and who is responsible, accountable, consulted and informed for each activity, in:</w:t>
      </w:r>
    </w:p>
    <w:p>
      <w:pPr>
        <w:spacing w:after="60"/>
        <w:numPr>
          <w:ilvl w:val="0"/>
          <w:numId w:val="3"/>
        </w:numPr>
      </w:pPr>
      <w:r>
        <w:rPr>
          <w:rFonts w:ascii="Segoe UI" w:hAnsi="Segoe UI" w:cs="Segoe UI" w:eastAsia="Segoe UI"/>
          <w:color w:val="101820"/>
          <w:sz w:val="21"/>
        </w:rPr>
        <w:t xml:space="preserve">the implementation of iNXT BrokerVerse OOTB under the Implementation Statement of Work (the </w:t>
      </w:r>
      <w:r>
        <w:rPr>
          <w:rFonts w:ascii="Segoe UI" w:hAnsi="Segoe UI" w:cs="Segoe UI" w:eastAsia="Segoe UI"/>
          <w:b/>
          <w:color w:val="101820"/>
          <w:sz w:val="21"/>
        </w:rPr>
        <w:t>SOW</w:t>
      </w:r>
      <w:r>
        <w:rPr>
          <w:rFonts w:ascii="Segoe UI" w:hAnsi="Segoe UI" w:cs="Segoe UI" w:eastAsia="Segoe UI"/>
          <w:color w:val="101820"/>
          <w:sz w:val="21"/>
        </w:rPr>
        <w:t>); and</w:t>
      </w:r>
    </w:p>
    <w:p>
      <w:pPr>
        <w:spacing w:after="60"/>
        <w:numPr>
          <w:ilvl w:val="0"/>
          <w:numId w:val="3"/>
        </w:numPr>
      </w:pPr>
      <w:r>
        <w:rPr>
          <w:rFonts w:ascii="Segoe UI" w:hAnsi="Segoe UI" w:cs="Segoe UI" w:eastAsia="Segoe UI"/>
          <w:color w:val="101820"/>
          <w:sz w:val="21"/>
        </w:rPr>
        <w:t xml:space="preserve">production support under the Annual Maintenance and Support Agreement and Service Level Agreement (the </w:t>
      </w:r>
      <w:r>
        <w:rPr>
          <w:rFonts w:ascii="Segoe UI" w:hAnsi="Segoe UI" w:cs="Segoe UI" w:eastAsia="Segoe UI"/>
          <w:b/>
          <w:color w:val="101820"/>
          <w:sz w:val="21"/>
        </w:rPr>
        <w:t>Support Agreement</w:t>
      </w:r>
      <w:r>
        <w:rPr>
          <w:rFonts w:ascii="Segoe UI" w:hAnsi="Segoe UI" w:cs="Segoe UI" w:eastAsia="Segoe UI"/>
          <w:color w:val="101820"/>
          <w:sz w:val="21"/>
        </w:rPr>
        <w:t>), for a perpetual licence or a subscription.</w:t>
      </w:r>
    </w:p>
    <w:p>
      <w:pPr>
        <w:spacing w:after="120" w:line="276" w:lineRule="auto"/>
      </w:pPr>
      <w:r>
        <w:rPr>
          <w:rFonts w:ascii="Segoe UI" w:hAnsi="Segoe UI" w:cs="Segoe UI" w:eastAsia="Segoe UI"/>
          <w:color w:val="101820"/>
          <w:sz w:val="21"/>
        </w:rPr>
        <w:t xml:space="preserve">It is an annex to the Order Form under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w:t>
      </w:r>
      <w:r>
        <w:rPr>
          <w:rFonts w:ascii="Segoe UI" w:hAnsi="Segoe UI" w:cs="Segoe UI" w:eastAsia="Segoe UI"/>
          <w:b/>
          <w:color w:val="101820"/>
          <w:sz w:val="21"/>
        </w:rPr>
        <w:t>iorta TechNXT</w:t>
      </w:r>
      <w:r>
        <w:rPr>
          <w:rFonts w:ascii="Segoe UI" w:hAnsi="Segoe UI" w:cs="Segoe UI" w:eastAsia="Segoe UI"/>
          <w:color w:val="101820"/>
          <w:sz w:val="21"/>
        </w:rPr>
        <w:t>) and the Client. It brings together the Client responsibilities clause of the MSA, the Client responsibilities and Assumptions chapters of the SOW, and the Client obligations chapter of the Support Agreement. If this annex conflicts with one of them, that clause prevails. The detailed implementation RACI by task is in the iorta TechNXT Implementation Approach and Plan and its workbook. Text in [square brackets] is a placeholder or an option.</w:t>
      </w:r>
    </w:p>
    <w:p>
      <w:pPr>
        <w:pStyle w:val="Heading2"/>
      </w:pPr>
      <w:r>
        <w:rPr>
          <w:rFonts w:ascii="Segoe UI" w:hAnsi="Segoe UI" w:cs="Segoe UI" w:eastAsia="Segoe UI"/>
          <w:b/>
          <w:color w:val="0F4761"/>
          <w:sz w:val="26"/>
        </w:rPr>
        <w:t>3.1  RACI codes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8107"/>
      </w:tblGrid>
      <w:tr>
        <w:trPr>
          <w:tblHeader w:val="true"/>
        </w:trPr>
        <w:tc>
          <w:tcPr>
            <w:tcW w:type="dxa" w:w="907"/>
            <w:shd w:val="clear" w:color="auto" w:fill="DCE9F7"/>
          </w:tcPr>
          <w:p>
            <w:pPr>
              <w:spacing w:after="20"/>
            </w:pPr>
            <w:r>
              <w:rPr>
                <w:rFonts w:ascii="Segoe UI" w:hAnsi="Segoe UI" w:cs="Segoe UI" w:eastAsia="Segoe UI"/>
                <w:b/>
                <w:color w:val="0F4761"/>
                <w:sz w:val="18"/>
              </w:rPr>
              <w:t>Code</w:t>
            </w:r>
          </w:p>
        </w:tc>
        <w:tc>
          <w:tcPr>
            <w:tcW w:type="dxa" w:w="8107"/>
            <w:shd w:val="clear" w:color="auto" w:fill="DCE9F7"/>
          </w:tcPr>
          <w:p>
            <w:pPr>
              <w:spacing w:after="20"/>
            </w:pPr>
            <w:r>
              <w:rPr>
                <w:rFonts w:ascii="Segoe UI" w:hAnsi="Segoe UI" w:cs="Segoe UI" w:eastAsia="Segoe UI"/>
                <w:b/>
                <w:color w:val="0F4761"/>
                <w:sz w:val="18"/>
              </w:rPr>
              <w:t>Meaning</w:t>
            </w:r>
          </w:p>
        </w:tc>
      </w:tr>
      <w:tr>
        <w:tc>
          <w:tcPr>
            <w:tcW w:type="dxa" w:w="907"/>
          </w:tcPr>
          <w:p>
            <w:pPr>
              <w:spacing w:after="20"/>
            </w:pPr>
            <w:r>
              <w:rPr>
                <w:rFonts w:ascii="Segoe UI" w:hAnsi="Segoe UI" w:cs="Segoe UI" w:eastAsia="Segoe UI"/>
                <w:color w:val="101820"/>
                <w:sz w:val="18"/>
              </w:rPr>
              <w:t>R</w:t>
            </w:r>
          </w:p>
        </w:tc>
        <w:tc>
          <w:tcPr>
            <w:tcW w:type="dxa" w:w="8107"/>
          </w:tcPr>
          <w:p>
            <w:pPr>
              <w:spacing w:after="20"/>
            </w:pPr>
            <w:r>
              <w:rPr>
                <w:rFonts w:ascii="Segoe UI" w:hAnsi="Segoe UI" w:cs="Segoe UI" w:eastAsia="Segoe UI"/>
                <w:color w:val="101820"/>
                <w:sz w:val="18"/>
              </w:rPr>
              <w:t>Responsible: does the work</w:t>
            </w:r>
          </w:p>
        </w:tc>
      </w:tr>
      <w:tr>
        <w:tc>
          <w:tcPr>
            <w:tcW w:type="dxa" w:w="907"/>
          </w:tcPr>
          <w:p>
            <w:pPr>
              <w:spacing w:after="20"/>
            </w:pPr>
            <w:r>
              <w:rPr>
                <w:rFonts w:ascii="Segoe UI" w:hAnsi="Segoe UI" w:cs="Segoe UI" w:eastAsia="Segoe UI"/>
                <w:color w:val="101820"/>
                <w:sz w:val="18"/>
              </w:rPr>
              <w:t>A</w:t>
            </w:r>
          </w:p>
        </w:tc>
        <w:tc>
          <w:tcPr>
            <w:tcW w:type="dxa" w:w="8107"/>
          </w:tcPr>
          <w:p>
            <w:pPr>
              <w:spacing w:after="20"/>
            </w:pPr>
            <w:r>
              <w:rPr>
                <w:rFonts w:ascii="Segoe UI" w:hAnsi="Segoe UI" w:cs="Segoe UI" w:eastAsia="Segoe UI"/>
                <w:color w:val="101820"/>
                <w:sz w:val="18"/>
              </w:rPr>
              <w:t>Accountable: owns the result and signs it off; one per activity</w:t>
            </w:r>
          </w:p>
        </w:tc>
      </w:tr>
      <w:tr>
        <w:tc>
          <w:tcPr>
            <w:tcW w:type="dxa" w:w="907"/>
          </w:tcPr>
          <w:p>
            <w:pPr>
              <w:spacing w:after="20"/>
            </w:pPr>
            <w:r>
              <w:rPr>
                <w:rFonts w:ascii="Segoe UI" w:hAnsi="Segoe UI" w:cs="Segoe UI" w:eastAsia="Segoe UI"/>
                <w:color w:val="101820"/>
                <w:sz w:val="18"/>
              </w:rPr>
              <w:t>C</w:t>
            </w:r>
          </w:p>
        </w:tc>
        <w:tc>
          <w:tcPr>
            <w:tcW w:type="dxa" w:w="8107"/>
          </w:tcPr>
          <w:p>
            <w:pPr>
              <w:spacing w:after="20"/>
            </w:pPr>
            <w:r>
              <w:rPr>
                <w:rFonts w:ascii="Segoe UI" w:hAnsi="Segoe UI" w:cs="Segoe UI" w:eastAsia="Segoe UI"/>
                <w:color w:val="101820"/>
                <w:sz w:val="18"/>
              </w:rPr>
              <w:t>Consulted: gives input before the work or the decision</w:t>
            </w:r>
          </w:p>
        </w:tc>
      </w:tr>
      <w:tr>
        <w:tc>
          <w:tcPr>
            <w:tcW w:type="dxa" w:w="907"/>
          </w:tcPr>
          <w:p>
            <w:pPr>
              <w:spacing w:after="20"/>
            </w:pPr>
            <w:r>
              <w:rPr>
                <w:rFonts w:ascii="Segoe UI" w:hAnsi="Segoe UI" w:cs="Segoe UI" w:eastAsia="Segoe UI"/>
                <w:color w:val="101820"/>
                <w:sz w:val="18"/>
              </w:rPr>
              <w:t>I</w:t>
            </w:r>
          </w:p>
        </w:tc>
        <w:tc>
          <w:tcPr>
            <w:tcW w:type="dxa" w:w="8107"/>
          </w:tcPr>
          <w:p>
            <w:pPr>
              <w:spacing w:after="20"/>
            </w:pPr>
            <w:r>
              <w:rPr>
                <w:rFonts w:ascii="Segoe UI" w:hAnsi="Segoe UI" w:cs="Segoe UI" w:eastAsia="Segoe UI"/>
                <w:color w:val="101820"/>
                <w:sz w:val="18"/>
              </w:rPr>
              <w:t>Informed: told of the result</w:t>
            </w:r>
          </w:p>
        </w:tc>
      </w:tr>
    </w:tbl>
    <w:p>
      <w:pPr>
        <w:pStyle w:val="Heading1"/>
        <w:pageBreakBefore/>
      </w:pPr>
      <w:r>
        <w:rPr>
          <w:rFonts w:ascii="Segoe UI" w:hAnsi="Segoe UI" w:cs="Segoe UI" w:eastAsia="Segoe UI"/>
          <w:b/>
          <w:color w:val="0F4761"/>
          <w:sz w:val="32"/>
        </w:rPr>
        <w:t>4.  Roles</w:t>
      </w:r>
    </w:p>
    <w:p>
      <w:pPr>
        <w:pStyle w:val="Heading2"/>
      </w:pPr>
      <w:r>
        <w:rPr>
          <w:rFonts w:ascii="Segoe UI" w:hAnsi="Segoe UI" w:cs="Segoe UI" w:eastAsia="Segoe UI"/>
          <w:b/>
          <w:color w:val="0F4761"/>
          <w:sz w:val="26"/>
        </w:rPr>
        <w:t>4.1  Client roles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3328"/>
        <w:gridCol w:w="3328"/>
      </w:tblGrid>
      <w:tr>
        <w:trPr>
          <w:tblHeader w:val="true"/>
        </w:trPr>
        <w:tc>
          <w:tcPr>
            <w:tcW w:type="dxa" w:w="2358"/>
            <w:shd w:val="clear" w:color="auto" w:fill="DCE9F7"/>
          </w:tcPr>
          <w:p>
            <w:pPr>
              <w:spacing w:after="20"/>
            </w:pPr>
            <w:r>
              <w:rPr>
                <w:rFonts w:ascii="Segoe UI" w:hAnsi="Segoe UI" w:cs="Segoe UI" w:eastAsia="Segoe UI"/>
                <w:b/>
                <w:color w:val="0F4761"/>
                <w:sz w:val="18"/>
              </w:rPr>
              <w:t>Role</w:t>
            </w:r>
          </w:p>
        </w:tc>
        <w:tc>
          <w:tcPr>
            <w:tcW w:type="dxa" w:w="3328"/>
            <w:shd w:val="clear" w:color="auto" w:fill="DCE9F7"/>
          </w:tcPr>
          <w:p>
            <w:pPr>
              <w:spacing w:after="20"/>
            </w:pPr>
            <w:r>
              <w:rPr>
                <w:rFonts w:ascii="Segoe UI" w:hAnsi="Segoe UI" w:cs="Segoe UI" w:eastAsia="Segoe UI"/>
                <w:b/>
                <w:color w:val="0F4761"/>
                <w:sz w:val="18"/>
              </w:rPr>
              <w:t>Responsibilities</w:t>
            </w:r>
          </w:p>
        </w:tc>
        <w:tc>
          <w:tcPr>
            <w:tcW w:type="dxa" w:w="3328"/>
            <w:shd w:val="clear" w:color="auto" w:fill="DCE9F7"/>
          </w:tcPr>
          <w:p>
            <w:pPr>
              <w:spacing w:after="20"/>
            </w:pPr>
            <w:r>
              <w:rPr>
                <w:rFonts w:ascii="Segoe UI" w:hAnsi="Segoe UI" w:cs="Segoe UI" w:eastAsia="Segoe UI"/>
                <w:b/>
                <w:color w:val="0F4761"/>
                <w:sz w:val="18"/>
              </w:rPr>
              <w:t>Commitment</w:t>
            </w:r>
          </w:p>
        </w:tc>
      </w:tr>
      <w:tr>
        <w:tc>
          <w:tcPr>
            <w:tcW w:type="dxa" w:w="2358"/>
          </w:tcPr>
          <w:p>
            <w:pPr>
              <w:spacing w:after="20"/>
            </w:pPr>
            <w:r>
              <w:rPr>
                <w:rFonts w:ascii="Segoe UI" w:hAnsi="Segoe UI" w:cs="Segoe UI" w:eastAsia="Segoe UI"/>
                <w:color w:val="101820"/>
                <w:sz w:val="18"/>
              </w:rPr>
              <w:t>Sponsor</w:t>
            </w:r>
          </w:p>
        </w:tc>
        <w:tc>
          <w:tcPr>
            <w:tcW w:type="dxa" w:w="3328"/>
          </w:tcPr>
          <w:p>
            <w:pPr>
              <w:spacing w:after="20"/>
            </w:pPr>
            <w:r>
              <w:rPr>
                <w:rFonts w:ascii="Segoe UI" w:hAnsi="Segoe UI" w:cs="Segoe UI" w:eastAsia="Segoe UI"/>
                <w:color w:val="101820"/>
                <w:sz w:val="18"/>
              </w:rPr>
              <w:t>Chairs the steering committee; approves scope, change requests, go/no-go and sign-offs</w:t>
            </w:r>
          </w:p>
        </w:tc>
        <w:tc>
          <w:tcPr>
            <w:tcW w:type="dxa" w:w="3328"/>
          </w:tcPr>
          <w:p>
            <w:pPr>
              <w:spacing w:after="20"/>
            </w:pPr>
            <w:r>
              <w:rPr>
                <w:rFonts w:ascii="Segoe UI" w:hAnsi="Segoe UI" w:cs="Segoe UI" w:eastAsia="Segoe UI"/>
                <w:color w:val="101820"/>
                <w:sz w:val="18"/>
              </w:rPr>
              <w:t>Steering committee meetings and each go/no-go</w:t>
            </w:r>
          </w:p>
        </w:tc>
      </w:tr>
      <w:tr>
        <w:tc>
          <w:tcPr>
            <w:tcW w:type="dxa" w:w="2358"/>
          </w:tcPr>
          <w:p>
            <w:pPr>
              <w:spacing w:after="20"/>
            </w:pPr>
            <w:r>
              <w:rPr>
                <w:rFonts w:ascii="Segoe UI" w:hAnsi="Segoe UI" w:cs="Segoe UI" w:eastAsia="Segoe UI"/>
                <w:color w:val="101820"/>
                <w:sz w:val="18"/>
              </w:rPr>
              <w:t>Project manager</w:t>
            </w:r>
          </w:p>
        </w:tc>
        <w:tc>
          <w:tcPr>
            <w:tcW w:type="dxa" w:w="3328"/>
          </w:tcPr>
          <w:p>
            <w:pPr>
              <w:spacing w:after="20"/>
            </w:pPr>
            <w:r>
              <w:rPr>
                <w:rFonts w:ascii="Segoe UI" w:hAnsi="Segoe UI" w:cs="Segoe UI" w:eastAsia="Segoe UI"/>
                <w:color w:val="101820"/>
                <w:sz w:val="18"/>
              </w:rPr>
              <w:t>Plans the Client's work, obtains data and decisions, runs UAT and training logistics</w:t>
            </w:r>
          </w:p>
        </w:tc>
        <w:tc>
          <w:tcPr>
            <w:tcW w:type="dxa" w:w="3328"/>
          </w:tcPr>
          <w:p>
            <w:pPr>
              <w:spacing w:after="20"/>
            </w:pPr>
            <w:r>
              <w:rPr>
                <w:rFonts w:ascii="Segoe UI" w:hAnsi="Segoe UI" w:cs="Segoe UI" w:eastAsia="Segoe UI"/>
                <w:color w:val="101820"/>
                <w:sz w:val="18"/>
              </w:rPr>
              <w:t>At least 50% during discovery, UAT and cutover</w:t>
            </w:r>
          </w:p>
        </w:tc>
      </w:tr>
      <w:tr>
        <w:tc>
          <w:tcPr>
            <w:tcW w:type="dxa" w:w="2358"/>
          </w:tcPr>
          <w:p>
            <w:pPr>
              <w:spacing w:after="20"/>
            </w:pPr>
            <w:r>
              <w:rPr>
                <w:rFonts w:ascii="Segoe UI" w:hAnsi="Segoe UI" w:cs="Segoe UI" w:eastAsia="Segoe UI"/>
                <w:color w:val="101820"/>
                <w:sz w:val="18"/>
              </w:rPr>
              <w:t>Process owners and key users</w:t>
            </w:r>
          </w:p>
        </w:tc>
        <w:tc>
          <w:tcPr>
            <w:tcW w:type="dxa" w:w="3328"/>
          </w:tcPr>
          <w:p>
            <w:pPr>
              <w:spacing w:after="20"/>
            </w:pPr>
            <w:r>
              <w:rPr>
                <w:rFonts w:ascii="Segoe UI" w:hAnsi="Segoe UI" w:cs="Segoe UI" w:eastAsia="Segoe UI"/>
                <w:color w:val="101820"/>
                <w:sz w:val="18"/>
              </w:rPr>
              <w:t>One per team; take part in discovery, decide configuration, test, train their team; become L1 super users after go-live</w:t>
            </w:r>
          </w:p>
        </w:tc>
        <w:tc>
          <w:tcPr>
            <w:tcW w:type="dxa" w:w="3328"/>
          </w:tcPr>
          <w:p>
            <w:pPr>
              <w:spacing w:after="20"/>
            </w:pPr>
            <w:r>
              <w:rPr>
                <w:rFonts w:ascii="Segoe UI" w:hAnsi="Segoe UI" w:cs="Segoe UI" w:eastAsia="Segoe UI"/>
                <w:color w:val="101820"/>
                <w:sz w:val="18"/>
              </w:rPr>
              <w:t>At least 50% during discovery, UAT and cutover</w:t>
            </w:r>
          </w:p>
        </w:tc>
      </w:tr>
      <w:tr>
        <w:tc>
          <w:tcPr>
            <w:tcW w:type="dxa" w:w="2358"/>
          </w:tcPr>
          <w:p>
            <w:pPr>
              <w:spacing w:after="20"/>
            </w:pPr>
            <w:r>
              <w:rPr>
                <w:rFonts w:ascii="Segoe UI" w:hAnsi="Segoe UI" w:cs="Segoe UI" w:eastAsia="Segoe UI"/>
                <w:color w:val="101820"/>
                <w:sz w:val="18"/>
              </w:rPr>
              <w:t>Accounting Manager</w:t>
            </w:r>
          </w:p>
        </w:tc>
        <w:tc>
          <w:tcPr>
            <w:tcW w:type="dxa" w:w="3328"/>
          </w:tcPr>
          <w:p>
            <w:pPr>
              <w:spacing w:after="20"/>
            </w:pPr>
            <w:r>
              <w:rPr>
                <w:rFonts w:ascii="Segoe UI" w:hAnsi="Segoe UI" w:cs="Segoe UI" w:eastAsia="Segoe UI"/>
                <w:color w:val="101820"/>
                <w:sz w:val="18"/>
              </w:rPr>
              <w:t>Chart of accounts, posting rules, tax set-up, opening balances, close; signs off financial reconciliation</w:t>
            </w:r>
          </w:p>
        </w:tc>
        <w:tc>
          <w:tcPr>
            <w:tcW w:type="dxa" w:w="3328"/>
          </w:tcPr>
          <w:p>
            <w:pPr>
              <w:spacing w:after="20"/>
            </w:pPr>
            <w:r>
              <w:rPr>
                <w:rFonts w:ascii="Segoe UI" w:hAnsi="Segoe UI" w:cs="Segoe UI" w:eastAsia="Segoe UI"/>
                <w:color w:val="101820"/>
                <w:sz w:val="18"/>
              </w:rPr>
              <w:t>As needed for ledger, tax and opening balance decisions</w:t>
            </w:r>
          </w:p>
        </w:tc>
      </w:tr>
      <w:tr>
        <w:tc>
          <w:tcPr>
            <w:tcW w:type="dxa" w:w="2358"/>
          </w:tcPr>
          <w:p>
            <w:pPr>
              <w:spacing w:after="20"/>
            </w:pPr>
            <w:r>
              <w:rPr>
                <w:rFonts w:ascii="Segoe UI" w:hAnsi="Segoe UI" w:cs="Segoe UI" w:eastAsia="Segoe UI"/>
                <w:color w:val="101820"/>
                <w:sz w:val="18"/>
              </w:rPr>
              <w:t>System Administrator</w:t>
            </w:r>
          </w:p>
        </w:tc>
        <w:tc>
          <w:tcPr>
            <w:tcW w:type="dxa" w:w="3328"/>
          </w:tcPr>
          <w:p>
            <w:pPr>
              <w:spacing w:after="20"/>
            </w:pPr>
            <w:r>
              <w:rPr>
                <w:rFonts w:ascii="Segoe UI" w:hAnsi="Segoe UI" w:cs="Segoe UI" w:eastAsia="Segoe UI"/>
                <w:color w:val="101820"/>
                <w:sz w:val="18"/>
              </w:rPr>
              <w:t>Users, roles, masters and settings after go-live; second line inside the Client</w:t>
            </w:r>
          </w:p>
        </w:tc>
        <w:tc>
          <w:tcPr>
            <w:tcW w:type="dxa" w:w="3328"/>
          </w:tcPr>
          <w:p>
            <w:pPr>
              <w:spacing w:after="20"/>
            </w:pPr>
            <w:r>
              <w:rPr>
                <w:rFonts w:ascii="Segoe UI" w:hAnsi="Segoe UI" w:cs="Segoe UI" w:eastAsia="Segoe UI"/>
                <w:color w:val="101820"/>
                <w:sz w:val="18"/>
              </w:rPr>
              <w:t>Trained and available in service hours</w:t>
            </w:r>
          </w:p>
        </w:tc>
      </w:tr>
      <w:tr>
        <w:tc>
          <w:tcPr>
            <w:tcW w:type="dxa" w:w="2358"/>
          </w:tcPr>
          <w:p>
            <w:pPr>
              <w:spacing w:after="20"/>
            </w:pPr>
            <w:r>
              <w:rPr>
                <w:rFonts w:ascii="Segoe UI" w:hAnsi="Segoe UI" w:cs="Segoe UI" w:eastAsia="Segoe UI"/>
                <w:color w:val="101820"/>
                <w:sz w:val="18"/>
              </w:rPr>
              <w:t>IT head</w:t>
            </w:r>
          </w:p>
        </w:tc>
        <w:tc>
          <w:tcPr>
            <w:tcW w:type="dxa" w:w="3328"/>
          </w:tcPr>
          <w:p>
            <w:pPr>
              <w:spacing w:after="20"/>
            </w:pPr>
            <w:r>
              <w:rPr>
                <w:rFonts w:ascii="Segoe UI" w:hAnsi="Segoe UI" w:cs="Segoe UI" w:eastAsia="Segoe UI"/>
                <w:color w:val="101820"/>
                <w:sz w:val="18"/>
              </w:rPr>
              <w:t>Escalations, change decisions, network and devices</w:t>
            </w:r>
          </w:p>
        </w:tc>
        <w:tc>
          <w:tcPr>
            <w:tcW w:type="dxa" w:w="3328"/>
          </w:tcPr>
          <w:p>
            <w:pPr>
              <w:spacing w:after="20"/>
            </w:pPr>
            <w:r>
              <w:rPr>
                <w:rFonts w:ascii="Segoe UI" w:hAnsi="Segoe UI" w:cs="Segoe UI" w:eastAsia="Segoe UI"/>
                <w:color w:val="101820"/>
                <w:sz w:val="18"/>
              </w:rPr>
              <w:t>As needed</w:t>
            </w:r>
          </w:p>
        </w:tc>
      </w:tr>
      <w:tr>
        <w:tc>
          <w:tcPr>
            <w:tcW w:type="dxa" w:w="2358"/>
          </w:tcPr>
          <w:p>
            <w:pPr>
              <w:spacing w:after="20"/>
            </w:pPr>
            <w:r>
              <w:rPr>
                <w:rFonts w:ascii="Segoe UI" w:hAnsi="Segoe UI" w:cs="Segoe UI" w:eastAsia="Segoe UI"/>
                <w:color w:val="101820"/>
                <w:sz w:val="18"/>
              </w:rPr>
              <w:t>Change owner</w:t>
            </w:r>
          </w:p>
        </w:tc>
        <w:tc>
          <w:tcPr>
            <w:tcW w:type="dxa" w:w="3328"/>
          </w:tcPr>
          <w:p>
            <w:pPr>
              <w:spacing w:after="20"/>
            </w:pPr>
            <w:r>
              <w:rPr>
                <w:rFonts w:ascii="Segoe UI" w:hAnsi="Segoe UI" w:cs="Segoe UI" w:eastAsia="Segoe UI"/>
                <w:color w:val="101820"/>
                <w:sz w:val="18"/>
              </w:rPr>
              <w:t>Approves normal changes in production with iorta TechNXT (CAB)</w:t>
            </w:r>
          </w:p>
        </w:tc>
        <w:tc>
          <w:tcPr>
            <w:tcW w:type="dxa" w:w="3328"/>
          </w:tcPr>
          <w:p>
            <w:pPr>
              <w:spacing w:after="20"/>
            </w:pPr>
            <w:r>
              <w:rPr>
                <w:rFonts w:ascii="Segoe UI" w:hAnsi="Segoe UI" w:cs="Segoe UI" w:eastAsia="Segoe UI"/>
                <w:color w:val="101820"/>
                <w:sz w:val="18"/>
              </w:rPr>
              <w:t>As needed</w:t>
            </w:r>
          </w:p>
        </w:tc>
      </w:tr>
      <w:tr>
        <w:tc>
          <w:tcPr>
            <w:tcW w:type="dxa" w:w="2358"/>
          </w:tcPr>
          <w:p>
            <w:pPr>
              <w:spacing w:after="20"/>
            </w:pPr>
            <w:r>
              <w:rPr>
                <w:rFonts w:ascii="Segoe UI" w:hAnsi="Segoe UI" w:cs="Segoe UI" w:eastAsia="Segoe UI"/>
                <w:color w:val="101820"/>
                <w:sz w:val="18"/>
              </w:rPr>
              <w:t>Data protection officer</w:t>
            </w:r>
          </w:p>
        </w:tc>
        <w:tc>
          <w:tcPr>
            <w:tcW w:type="dxa" w:w="3328"/>
          </w:tcPr>
          <w:p>
            <w:pPr>
              <w:spacing w:after="20"/>
            </w:pPr>
            <w:r>
              <w:rPr>
                <w:rFonts w:ascii="Segoe UI" w:hAnsi="Segoe UI" w:cs="Segoe UI" w:eastAsia="Segoe UI"/>
                <w:color w:val="101820"/>
                <w:sz w:val="18"/>
              </w:rPr>
              <w:t>Privacy matters, breach decisions, privacy impact assessment, transfer decision</w:t>
            </w:r>
          </w:p>
        </w:tc>
        <w:tc>
          <w:tcPr>
            <w:tcW w:type="dxa" w:w="3328"/>
          </w:tcPr>
          <w:p>
            <w:pPr>
              <w:spacing w:after="20"/>
            </w:pPr>
            <w:r>
              <w:rPr>
                <w:rFonts w:ascii="Segoe UI" w:hAnsi="Segoe UI" w:cs="Segoe UI" w:eastAsia="Segoe UI"/>
                <w:color w:val="101820"/>
                <w:sz w:val="18"/>
              </w:rPr>
              <w:t>As needed</w:t>
            </w:r>
          </w:p>
        </w:tc>
      </w:tr>
      <w:tr>
        <w:tc>
          <w:tcPr>
            <w:tcW w:type="dxa" w:w="2358"/>
          </w:tcPr>
          <w:p>
            <w:pPr>
              <w:spacing w:after="20"/>
            </w:pPr>
            <w:r>
              <w:rPr>
                <w:rFonts w:ascii="Segoe UI" w:hAnsi="Segoe UI" w:cs="Segoe UI" w:eastAsia="Segoe UI"/>
                <w:color w:val="101820"/>
                <w:sz w:val="18"/>
              </w:rPr>
              <w:t>Tax adviser and compliance officer</w:t>
            </w:r>
          </w:p>
        </w:tc>
        <w:tc>
          <w:tcPr>
            <w:tcW w:type="dxa" w:w="3328"/>
          </w:tcPr>
          <w:p>
            <w:pPr>
              <w:spacing w:after="20"/>
            </w:pPr>
            <w:r>
              <w:rPr>
                <w:rFonts w:ascii="Segoe UI" w:hAnsi="Segoe UI" w:cs="Segoe UI" w:eastAsia="Segoe UI"/>
                <w:color w:val="101820"/>
                <w:sz w:val="18"/>
              </w:rPr>
              <w:t>Review of tax codes, rates and BIR working papers</w:t>
            </w:r>
          </w:p>
        </w:tc>
        <w:tc>
          <w:tcPr>
            <w:tcW w:type="dxa" w:w="3328"/>
          </w:tcPr>
          <w:p>
            <w:pPr>
              <w:spacing w:after="20"/>
            </w:pPr>
            <w:r>
              <w:rPr>
                <w:rFonts w:ascii="Segoe UI" w:hAnsi="Segoe UI" w:cs="Segoe UI" w:eastAsia="Segoe UI"/>
                <w:color w:val="101820"/>
                <w:sz w:val="18"/>
              </w:rPr>
              <w:t>Configuration phase and before go-live</w:t>
            </w:r>
          </w:p>
        </w:tc>
      </w:tr>
    </w:tbl>
    <w:p>
      <w:pPr>
        <w:spacing w:after="80"/>
      </w:pPr>
    </w:p>
    <w:p>
      <w:pPr>
        <w:pStyle w:val="Heading2"/>
      </w:pPr>
      <w:r>
        <w:rPr>
          <w:rFonts w:ascii="Segoe UI" w:hAnsi="Segoe UI" w:cs="Segoe UI" w:eastAsia="Segoe UI"/>
          <w:b/>
          <w:color w:val="0F4761"/>
          <w:sz w:val="26"/>
        </w:rPr>
        <w:t>4.2  iorta TechNXT roles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87"/>
        <w:gridCol w:w="5927"/>
      </w:tblGrid>
      <w:tr>
        <w:trPr>
          <w:tblHeader w:val="true"/>
        </w:trPr>
        <w:tc>
          <w:tcPr>
            <w:tcW w:type="dxa" w:w="3087"/>
            <w:shd w:val="clear" w:color="auto" w:fill="DCE9F7"/>
          </w:tcPr>
          <w:p>
            <w:pPr>
              <w:spacing w:after="20"/>
            </w:pPr>
            <w:r>
              <w:rPr>
                <w:rFonts w:ascii="Segoe UI" w:hAnsi="Segoe UI" w:cs="Segoe UI" w:eastAsia="Segoe UI"/>
                <w:b/>
                <w:color w:val="0F4761"/>
                <w:sz w:val="18"/>
              </w:rPr>
              <w:t>Role</w:t>
            </w:r>
          </w:p>
        </w:tc>
        <w:tc>
          <w:tcPr>
            <w:tcW w:type="dxa" w:w="5927"/>
            <w:shd w:val="clear" w:color="auto" w:fill="DCE9F7"/>
          </w:tcPr>
          <w:p>
            <w:pPr>
              <w:spacing w:after="20"/>
            </w:pPr>
            <w:r>
              <w:rPr>
                <w:rFonts w:ascii="Segoe UI" w:hAnsi="Segoe UI" w:cs="Segoe UI" w:eastAsia="Segoe UI"/>
                <w:b/>
                <w:color w:val="0F4761"/>
                <w:sz w:val="18"/>
              </w:rPr>
              <w:t>Responsibilities</w:t>
            </w:r>
          </w:p>
        </w:tc>
      </w:tr>
      <w:tr>
        <w:tc>
          <w:tcPr>
            <w:tcW w:type="dxa" w:w="3087"/>
          </w:tcPr>
          <w:p>
            <w:pPr>
              <w:spacing w:after="20"/>
            </w:pPr>
            <w:r>
              <w:rPr>
                <w:rFonts w:ascii="Segoe UI" w:hAnsi="Segoe UI" w:cs="Segoe UI" w:eastAsia="Segoe UI"/>
                <w:color w:val="101820"/>
                <w:sz w:val="18"/>
              </w:rPr>
              <w:t>Account manager</w:t>
            </w:r>
          </w:p>
        </w:tc>
        <w:tc>
          <w:tcPr>
            <w:tcW w:type="dxa" w:w="5927"/>
          </w:tcPr>
          <w:p>
            <w:pPr>
              <w:spacing w:after="20"/>
            </w:pPr>
            <w:r>
              <w:rPr>
                <w:rFonts w:ascii="Segoe UI" w:hAnsi="Segoe UI" w:cs="Segoe UI" w:eastAsia="Segoe UI"/>
                <w:color w:val="101820"/>
                <w:sz w:val="18"/>
              </w:rPr>
              <w:t>Commercial owner of the relationship; steering committee member</w:t>
            </w:r>
          </w:p>
        </w:tc>
      </w:tr>
      <w:tr>
        <w:tc>
          <w:tcPr>
            <w:tcW w:type="dxa" w:w="3087"/>
          </w:tcPr>
          <w:p>
            <w:pPr>
              <w:spacing w:after="20"/>
            </w:pPr>
            <w:r>
              <w:rPr>
                <w:rFonts w:ascii="Segoe UI" w:hAnsi="Segoe UI" w:cs="Segoe UI" w:eastAsia="Segoe UI"/>
                <w:color w:val="101820"/>
                <w:sz w:val="18"/>
              </w:rPr>
              <w:t>Head of delivery</w:t>
            </w:r>
          </w:p>
        </w:tc>
        <w:tc>
          <w:tcPr>
            <w:tcW w:type="dxa" w:w="5927"/>
          </w:tcPr>
          <w:p>
            <w:pPr>
              <w:spacing w:after="20"/>
            </w:pPr>
            <w:r>
              <w:rPr>
                <w:rFonts w:ascii="Segoe UI" w:hAnsi="Segoe UI" w:cs="Segoe UI" w:eastAsia="Segoe UI"/>
                <w:color w:val="101820"/>
                <w:sz w:val="18"/>
              </w:rPr>
              <w:t>Delivery quality and resources; escalation point</w:t>
            </w:r>
          </w:p>
        </w:tc>
      </w:tr>
      <w:tr>
        <w:tc>
          <w:tcPr>
            <w:tcW w:type="dxa" w:w="3087"/>
          </w:tcPr>
          <w:p>
            <w:pPr>
              <w:spacing w:after="20"/>
            </w:pPr>
            <w:r>
              <w:rPr>
                <w:rFonts w:ascii="Segoe UI" w:hAnsi="Segoe UI" w:cs="Segoe UI" w:eastAsia="Segoe UI"/>
                <w:color w:val="101820"/>
                <w:sz w:val="18"/>
              </w:rPr>
              <w:t>Project manager</w:t>
            </w:r>
          </w:p>
        </w:tc>
        <w:tc>
          <w:tcPr>
            <w:tcW w:type="dxa" w:w="5927"/>
          </w:tcPr>
          <w:p>
            <w:pPr>
              <w:spacing w:after="20"/>
            </w:pPr>
            <w:r>
              <w:rPr>
                <w:rFonts w:ascii="Segoe UI" w:hAnsi="Segoe UI" w:cs="Segoe UI" w:eastAsia="Segoe UI"/>
                <w:color w:val="101820"/>
                <w:sz w:val="18"/>
              </w:rPr>
              <w:t>Plan, RAID log, status reports, steering committee papers</w:t>
            </w:r>
          </w:p>
        </w:tc>
      </w:tr>
      <w:tr>
        <w:tc>
          <w:tcPr>
            <w:tcW w:type="dxa" w:w="3087"/>
          </w:tcPr>
          <w:p>
            <w:pPr>
              <w:spacing w:after="20"/>
            </w:pPr>
            <w:r>
              <w:rPr>
                <w:rFonts w:ascii="Segoe UI" w:hAnsi="Segoe UI" w:cs="Segoe UI" w:eastAsia="Segoe UI"/>
                <w:color w:val="101820"/>
                <w:sz w:val="18"/>
              </w:rPr>
              <w:t>Functional consultants</w:t>
            </w:r>
          </w:p>
        </w:tc>
        <w:tc>
          <w:tcPr>
            <w:tcW w:type="dxa" w:w="5927"/>
          </w:tcPr>
          <w:p>
            <w:pPr>
              <w:spacing w:after="20"/>
            </w:pPr>
            <w:r>
              <w:rPr>
                <w:rFonts w:ascii="Segoe UI" w:hAnsi="Segoe UI" w:cs="Segoe UI" w:eastAsia="Segoe UI"/>
                <w:color w:val="101820"/>
                <w:sz w:val="18"/>
              </w:rPr>
              <w:t>Discovery, configuration, data mapping, SIT, training of key users, UAT support</w:t>
            </w:r>
          </w:p>
        </w:tc>
      </w:tr>
      <w:tr>
        <w:tc>
          <w:tcPr>
            <w:tcW w:type="dxa" w:w="3087"/>
          </w:tcPr>
          <w:p>
            <w:pPr>
              <w:spacing w:after="20"/>
            </w:pPr>
            <w:r>
              <w:rPr>
                <w:rFonts w:ascii="Segoe UI" w:hAnsi="Segoe UI" w:cs="Segoe UI" w:eastAsia="Segoe UI"/>
                <w:color w:val="101820"/>
                <w:sz w:val="18"/>
              </w:rPr>
              <w:t>Migration lead</w:t>
            </w:r>
          </w:p>
        </w:tc>
        <w:tc>
          <w:tcPr>
            <w:tcW w:type="dxa" w:w="5927"/>
          </w:tcPr>
          <w:p>
            <w:pPr>
              <w:spacing w:after="20"/>
            </w:pPr>
            <w:r>
              <w:rPr>
                <w:rFonts w:ascii="Segoe UI" w:hAnsi="Segoe UI" w:cs="Segoe UI" w:eastAsia="Segoe UI"/>
                <w:color w:val="101820"/>
                <w:sz w:val="18"/>
              </w:rPr>
              <w:t>Mapping, load runs, load logs, reconciliation reports, cutover runbook</w:t>
            </w:r>
          </w:p>
        </w:tc>
      </w:tr>
      <w:tr>
        <w:tc>
          <w:tcPr>
            <w:tcW w:type="dxa" w:w="3087"/>
          </w:tcPr>
          <w:p>
            <w:pPr>
              <w:spacing w:after="20"/>
            </w:pPr>
            <w:r>
              <w:rPr>
                <w:rFonts w:ascii="Segoe UI" w:hAnsi="Segoe UI" w:cs="Segoe UI" w:eastAsia="Segoe UI"/>
                <w:color w:val="101820"/>
                <w:sz w:val="18"/>
              </w:rPr>
              <w:t>Technical and DevOps lead</w:t>
            </w:r>
          </w:p>
        </w:tc>
        <w:tc>
          <w:tcPr>
            <w:tcW w:type="dxa" w:w="5927"/>
          </w:tcPr>
          <w:p>
            <w:pPr>
              <w:spacing w:after="20"/>
            </w:pPr>
            <w:r>
              <w:rPr>
                <w:rFonts w:ascii="Segoe UI" w:hAnsi="Segoe UI" w:cs="Segoe UI" w:eastAsia="Segoe UI"/>
                <w:color w:val="101820"/>
                <w:sz w:val="18"/>
              </w:rPr>
              <w:t>Environments, e-mail, payment gateway, backups, monitoring, data loads, cutover execution</w:t>
            </w:r>
          </w:p>
        </w:tc>
      </w:tr>
      <w:tr>
        <w:tc>
          <w:tcPr>
            <w:tcW w:type="dxa" w:w="3087"/>
          </w:tcPr>
          <w:p>
            <w:pPr>
              <w:spacing w:after="20"/>
            </w:pPr>
            <w:r>
              <w:rPr>
                <w:rFonts w:ascii="Segoe UI" w:hAnsi="Segoe UI" w:cs="Segoe UI" w:eastAsia="Segoe UI"/>
                <w:color w:val="101820"/>
                <w:sz w:val="18"/>
              </w:rPr>
              <w:t>Support manager</w:t>
            </w:r>
          </w:p>
        </w:tc>
        <w:tc>
          <w:tcPr>
            <w:tcW w:type="dxa" w:w="5927"/>
          </w:tcPr>
          <w:p>
            <w:pPr>
              <w:spacing w:after="20"/>
            </w:pPr>
            <w:r>
              <w:rPr>
                <w:rFonts w:ascii="Segoe UI" w:hAnsi="Segoe UI" w:cs="Segoe UI" w:eastAsia="Segoe UI"/>
                <w:color w:val="101820"/>
                <w:sz w:val="18"/>
              </w:rPr>
              <w:t>Service desk, SLA, monthly service report and review, CAB</w:t>
            </w:r>
          </w:p>
        </w:tc>
      </w:tr>
      <w:tr>
        <w:tc>
          <w:tcPr>
            <w:tcW w:type="dxa" w:w="3087"/>
          </w:tcPr>
          <w:p>
            <w:pPr>
              <w:spacing w:after="20"/>
            </w:pPr>
            <w:r>
              <w:rPr>
                <w:rFonts w:ascii="Segoe UI" w:hAnsi="Segoe UI" w:cs="Segoe UI" w:eastAsia="Segoe UI"/>
                <w:color w:val="101820"/>
                <w:sz w:val="18"/>
              </w:rPr>
              <w:t>L2 application support</w:t>
            </w:r>
          </w:p>
        </w:tc>
        <w:tc>
          <w:tcPr>
            <w:tcW w:type="dxa" w:w="5927"/>
          </w:tcPr>
          <w:p>
            <w:pPr>
              <w:spacing w:after="20"/>
            </w:pPr>
            <w:r>
              <w:rPr>
                <w:rFonts w:ascii="Segoe UI" w:hAnsi="Segoe UI" w:cs="Segoe UI" w:eastAsia="Segoe UI"/>
                <w:color w:val="101820"/>
                <w:sz w:val="18"/>
              </w:rPr>
              <w:t>Triage, reproduction, analysis, configuration and data corrections under change control, workarounds</w:t>
            </w:r>
          </w:p>
        </w:tc>
      </w:tr>
      <w:tr>
        <w:tc>
          <w:tcPr>
            <w:tcW w:type="dxa" w:w="3087"/>
          </w:tcPr>
          <w:p>
            <w:pPr>
              <w:spacing w:after="20"/>
            </w:pPr>
            <w:r>
              <w:rPr>
                <w:rFonts w:ascii="Segoe UI" w:hAnsi="Segoe UI" w:cs="Segoe UI" w:eastAsia="Segoe UI"/>
                <w:color w:val="101820"/>
                <w:sz w:val="18"/>
              </w:rPr>
              <w:t>L3 engineering</w:t>
            </w:r>
          </w:p>
        </w:tc>
        <w:tc>
          <w:tcPr>
            <w:tcW w:type="dxa" w:w="5927"/>
          </w:tcPr>
          <w:p>
            <w:pPr>
              <w:spacing w:after="20"/>
            </w:pPr>
            <w:r>
              <w:rPr>
                <w:rFonts w:ascii="Segoe UI" w:hAnsi="Segoe UI" w:cs="Segoe UI" w:eastAsia="Segoe UI"/>
                <w:color w:val="101820"/>
                <w:sz w:val="18"/>
              </w:rPr>
              <w:t>Code defects, database scripts, performance, infrastructure where iorta TechNXT hosts, security incidents, fixes and releases</w:t>
            </w:r>
          </w:p>
        </w:tc>
      </w:tr>
    </w:tbl>
    <w:p>
      <w:pPr>
        <w:pStyle w:val="Heading1"/>
        <w:pageBreakBefore/>
      </w:pPr>
      <w:r>
        <w:rPr>
          <w:rFonts w:ascii="Segoe UI" w:hAnsi="Segoe UI" w:cs="Segoe UI" w:eastAsia="Segoe UI"/>
          <w:b/>
          <w:color w:val="0F4761"/>
          <w:sz w:val="32"/>
        </w:rPr>
        <w:t>5.  Client responsibilities</w:t>
      </w:r>
    </w:p>
    <w:p>
      <w:pPr>
        <w:pStyle w:val="Heading2"/>
      </w:pPr>
      <w:r>
        <w:rPr>
          <w:rFonts w:ascii="Segoe UI" w:hAnsi="Segoe UI" w:cs="Segoe UI" w:eastAsia="Segoe UI"/>
          <w:b/>
          <w:color w:val="0F4761"/>
          <w:sz w:val="26"/>
        </w:rPr>
        <w:t>5.1  Client responsibilities in the implementation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684"/>
        <w:gridCol w:w="3423"/>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684"/>
            <w:shd w:val="clear" w:color="auto" w:fill="DCE9F7"/>
          </w:tcPr>
          <w:p>
            <w:pPr>
              <w:spacing w:after="20"/>
            </w:pPr>
            <w:r>
              <w:rPr>
                <w:rFonts w:ascii="Segoe UI" w:hAnsi="Segoe UI" w:cs="Segoe UI" w:eastAsia="Segoe UI"/>
                <w:b/>
                <w:color w:val="0F4761"/>
                <w:sz w:val="18"/>
              </w:rPr>
              <w:t>Responsibility</w:t>
            </w:r>
          </w:p>
        </w:tc>
        <w:tc>
          <w:tcPr>
            <w:tcW w:type="dxa" w:w="3423"/>
            <w:shd w:val="clear" w:color="auto" w:fill="DCE9F7"/>
          </w:tcPr>
          <w:p>
            <w:pPr>
              <w:spacing w:after="20"/>
            </w:pPr>
            <w:r>
              <w:rPr>
                <w:rFonts w:ascii="Segoe UI" w:hAnsi="Segoe UI" w:cs="Segoe UI" w:eastAsia="Segoe UI"/>
                <w:b/>
                <w:color w:val="0F4761"/>
                <w:sz w:val="18"/>
              </w:rPr>
              <w:t>Needed by</w:t>
            </w:r>
          </w:p>
        </w:tc>
      </w:tr>
      <w:tr>
        <w:tc>
          <w:tcPr>
            <w:tcW w:type="dxa" w:w="907"/>
          </w:tcPr>
          <w:p>
            <w:pPr>
              <w:spacing w:after="20"/>
            </w:pPr>
            <w:r>
              <w:rPr>
                <w:rFonts w:ascii="Segoe UI" w:hAnsi="Segoe UI" w:cs="Segoe UI" w:eastAsia="Segoe UI"/>
                <w:color w:val="101820"/>
                <w:sz w:val="18"/>
              </w:rPr>
              <w:t>1</w:t>
            </w:r>
          </w:p>
        </w:tc>
        <w:tc>
          <w:tcPr>
            <w:tcW w:type="dxa" w:w="4684"/>
          </w:tcPr>
          <w:p>
            <w:pPr>
              <w:spacing w:after="20"/>
            </w:pPr>
            <w:r>
              <w:rPr>
                <w:rFonts w:ascii="Segoe UI" w:hAnsi="Segoe UI" w:cs="Segoe UI" w:eastAsia="Segoe UI"/>
                <w:color w:val="101820"/>
                <w:sz w:val="18"/>
              </w:rPr>
              <w:t>Name the project manager, key users (one per team) and Accounting Manager, available at least 50% during discovery, UAT and cutover</w:t>
            </w:r>
          </w:p>
        </w:tc>
        <w:tc>
          <w:tcPr>
            <w:tcW w:type="dxa" w:w="3423"/>
          </w:tcPr>
          <w:p>
            <w:pPr>
              <w:spacing w:after="20"/>
            </w:pPr>
            <w:r>
              <w:rPr>
                <w:rFonts w:ascii="Segoe UI" w:hAnsi="Segoe UI" w:cs="Segoe UI" w:eastAsia="Segoe UI"/>
                <w:color w:val="101820"/>
                <w:sz w:val="18"/>
              </w:rPr>
              <w:t>Week 1</w:t>
            </w:r>
          </w:p>
        </w:tc>
      </w:tr>
      <w:tr>
        <w:tc>
          <w:tcPr>
            <w:tcW w:type="dxa" w:w="907"/>
          </w:tcPr>
          <w:p>
            <w:pPr>
              <w:spacing w:after="20"/>
            </w:pPr>
            <w:r>
              <w:rPr>
                <w:rFonts w:ascii="Segoe UI" w:hAnsi="Segoe UI" w:cs="Segoe UI" w:eastAsia="Segoe UI"/>
                <w:color w:val="101820"/>
                <w:sz w:val="18"/>
              </w:rPr>
              <w:t>2</w:t>
            </w:r>
          </w:p>
        </w:tc>
        <w:tc>
          <w:tcPr>
            <w:tcW w:type="dxa" w:w="4684"/>
          </w:tcPr>
          <w:p>
            <w:pPr>
              <w:spacing w:after="20"/>
            </w:pPr>
            <w:r>
              <w:rPr>
                <w:rFonts w:ascii="Segoe UI" w:hAnsi="Segoe UI" w:cs="Segoe UI" w:eastAsia="Segoe UI"/>
                <w:color w:val="101820"/>
                <w:sz w:val="18"/>
              </w:rPr>
              <w:t>Name a sponsor with authority to approve scope, changes and sign-offs</w:t>
            </w:r>
          </w:p>
        </w:tc>
        <w:tc>
          <w:tcPr>
            <w:tcW w:type="dxa" w:w="3423"/>
          </w:tcPr>
          <w:p>
            <w:pPr>
              <w:spacing w:after="20"/>
            </w:pPr>
            <w:r>
              <w:rPr>
                <w:rFonts w:ascii="Segoe UI" w:hAnsi="Segoe UI" w:cs="Segoe UI" w:eastAsia="Segoe UI"/>
                <w:color w:val="101820"/>
                <w:sz w:val="18"/>
              </w:rPr>
              <w:t>Week 1</w:t>
            </w:r>
          </w:p>
        </w:tc>
      </w:tr>
      <w:tr>
        <w:tc>
          <w:tcPr>
            <w:tcW w:type="dxa" w:w="907"/>
          </w:tcPr>
          <w:p>
            <w:pPr>
              <w:spacing w:after="20"/>
            </w:pPr>
            <w:r>
              <w:rPr>
                <w:rFonts w:ascii="Segoe UI" w:hAnsi="Segoe UI" w:cs="Segoe UI" w:eastAsia="Segoe UI"/>
                <w:color w:val="101820"/>
                <w:sz w:val="18"/>
              </w:rPr>
              <w:t>3</w:t>
            </w:r>
          </w:p>
        </w:tc>
        <w:tc>
          <w:tcPr>
            <w:tcW w:type="dxa" w:w="4684"/>
          </w:tcPr>
          <w:p>
            <w:pPr>
              <w:spacing w:after="20"/>
            </w:pPr>
            <w:r>
              <w:rPr>
                <w:rFonts w:ascii="Segoe UI" w:hAnsi="Segoe UI" w:cs="Segoe UI" w:eastAsia="Segoe UI"/>
                <w:color w:val="101820"/>
                <w:sz w:val="18"/>
              </w:rPr>
              <w:t>Provide the insurer list and agreements, commission and referrer rates, and the product list</w:t>
            </w:r>
          </w:p>
        </w:tc>
        <w:tc>
          <w:tcPr>
            <w:tcW w:type="dxa" w:w="3423"/>
          </w:tcPr>
          <w:p>
            <w:pPr>
              <w:spacing w:after="20"/>
            </w:pPr>
            <w:r>
              <w:rPr>
                <w:rFonts w:ascii="Segoe UI" w:hAnsi="Segoe UI" w:cs="Segoe UI" w:eastAsia="Segoe UI"/>
                <w:color w:val="101820"/>
                <w:sz w:val="18"/>
              </w:rPr>
              <w:t>End of discovery</w:t>
            </w:r>
          </w:p>
        </w:tc>
      </w:tr>
      <w:tr>
        <w:tc>
          <w:tcPr>
            <w:tcW w:type="dxa" w:w="907"/>
          </w:tcPr>
          <w:p>
            <w:pPr>
              <w:spacing w:after="20"/>
            </w:pPr>
            <w:r>
              <w:rPr>
                <w:rFonts w:ascii="Segoe UI" w:hAnsi="Segoe UI" w:cs="Segoe UI" w:eastAsia="Segoe UI"/>
                <w:color w:val="101820"/>
                <w:sz w:val="18"/>
              </w:rPr>
              <w:t>4</w:t>
            </w:r>
          </w:p>
        </w:tc>
        <w:tc>
          <w:tcPr>
            <w:tcW w:type="dxa" w:w="4684"/>
          </w:tcPr>
          <w:p>
            <w:pPr>
              <w:spacing w:after="20"/>
            </w:pPr>
            <w:r>
              <w:rPr>
                <w:rFonts w:ascii="Segoe UI" w:hAnsi="Segoe UI" w:cs="Segoe UI" w:eastAsia="Segoe UI"/>
                <w:color w:val="101820"/>
                <w:sz w:val="18"/>
              </w:rPr>
              <w:t>Provide the chart of accounts and the accountant's mapping decisions</w:t>
            </w:r>
          </w:p>
        </w:tc>
        <w:tc>
          <w:tcPr>
            <w:tcW w:type="dxa" w:w="3423"/>
          </w:tcPr>
          <w:p>
            <w:pPr>
              <w:spacing w:after="20"/>
            </w:pPr>
            <w:r>
              <w:rPr>
                <w:rFonts w:ascii="Segoe UI" w:hAnsi="Segoe UI" w:cs="Segoe UI" w:eastAsia="Segoe UI"/>
                <w:color w:val="101820"/>
                <w:sz w:val="18"/>
              </w:rPr>
              <w:t>Start of ledger configuration</w:t>
            </w:r>
          </w:p>
        </w:tc>
      </w:tr>
      <w:tr>
        <w:tc>
          <w:tcPr>
            <w:tcW w:type="dxa" w:w="907"/>
          </w:tcPr>
          <w:p>
            <w:pPr>
              <w:spacing w:after="20"/>
            </w:pPr>
            <w:r>
              <w:rPr>
                <w:rFonts w:ascii="Segoe UI" w:hAnsi="Segoe UI" w:cs="Segoe UI" w:eastAsia="Segoe UI"/>
                <w:color w:val="101820"/>
                <w:sz w:val="18"/>
              </w:rPr>
              <w:t>5</w:t>
            </w:r>
          </w:p>
        </w:tc>
        <w:tc>
          <w:tcPr>
            <w:tcW w:type="dxa" w:w="4684"/>
          </w:tcPr>
          <w:p>
            <w:pPr>
              <w:spacing w:after="20"/>
            </w:pPr>
            <w:r>
              <w:rPr>
                <w:rFonts w:ascii="Segoe UI" w:hAnsi="Segoe UI" w:cs="Segoe UI" w:eastAsia="Segoe UI"/>
                <w:color w:val="101820"/>
                <w:sz w:val="18"/>
              </w:rPr>
              <w:t>Provide the BIR Authority to Print or registered series for official receipts and invoices, and the last numbers used</w:t>
            </w:r>
          </w:p>
        </w:tc>
        <w:tc>
          <w:tcPr>
            <w:tcW w:type="dxa" w:w="3423"/>
          </w:tcPr>
          <w:p>
            <w:pPr>
              <w:spacing w:after="20"/>
            </w:pPr>
            <w:r>
              <w:rPr>
                <w:rFonts w:ascii="Segoe UI" w:hAnsi="Segoe UI" w:cs="Segoe UI" w:eastAsia="Segoe UI"/>
                <w:color w:val="101820"/>
                <w:sz w:val="18"/>
              </w:rPr>
              <w:t>Configuration of document numbering</w:t>
            </w:r>
          </w:p>
        </w:tc>
      </w:tr>
      <w:tr>
        <w:tc>
          <w:tcPr>
            <w:tcW w:type="dxa" w:w="907"/>
          </w:tcPr>
          <w:p>
            <w:pPr>
              <w:spacing w:after="20"/>
            </w:pPr>
            <w:r>
              <w:rPr>
                <w:rFonts w:ascii="Segoe UI" w:hAnsi="Segoe UI" w:cs="Segoe UI" w:eastAsia="Segoe UI"/>
                <w:color w:val="101820"/>
                <w:sz w:val="18"/>
              </w:rPr>
              <w:t>6</w:t>
            </w:r>
          </w:p>
        </w:tc>
        <w:tc>
          <w:tcPr>
            <w:tcW w:type="dxa" w:w="4684"/>
          </w:tcPr>
          <w:p>
            <w:pPr>
              <w:spacing w:after="20"/>
            </w:pPr>
            <w:r>
              <w:rPr>
                <w:rFonts w:ascii="Segoe UI" w:hAnsi="Segoe UI" w:cs="Segoe UI" w:eastAsia="Segoe UI"/>
                <w:color w:val="101820"/>
                <w:sz w:val="18"/>
              </w:rPr>
              <w:t>Provide the SMTP mailbox and credentials, and the payment gateway merchant account and credentials</w:t>
            </w:r>
          </w:p>
        </w:tc>
        <w:tc>
          <w:tcPr>
            <w:tcW w:type="dxa" w:w="3423"/>
          </w:tcPr>
          <w:p>
            <w:pPr>
              <w:spacing w:after="20"/>
            </w:pPr>
            <w:r>
              <w:rPr>
                <w:rFonts w:ascii="Segoe UI" w:hAnsi="Segoe UI" w:cs="Segoe UI" w:eastAsia="Segoe UI"/>
                <w:color w:val="101820"/>
                <w:sz w:val="18"/>
              </w:rPr>
              <w:t>Integrations phase</w:t>
            </w:r>
          </w:p>
        </w:tc>
      </w:tr>
      <w:tr>
        <w:tc>
          <w:tcPr>
            <w:tcW w:type="dxa" w:w="907"/>
          </w:tcPr>
          <w:p>
            <w:pPr>
              <w:spacing w:after="20"/>
            </w:pPr>
            <w:r>
              <w:rPr>
                <w:rFonts w:ascii="Segoe UI" w:hAnsi="Segoe UI" w:cs="Segoe UI" w:eastAsia="Segoe UI"/>
                <w:color w:val="101820"/>
                <w:sz w:val="18"/>
              </w:rPr>
              <w:t>7</w:t>
            </w:r>
          </w:p>
        </w:tc>
        <w:tc>
          <w:tcPr>
            <w:tcW w:type="dxa" w:w="4684"/>
          </w:tcPr>
          <w:p>
            <w:pPr>
              <w:spacing w:after="20"/>
            </w:pPr>
            <w:r>
              <w:rPr>
                <w:rFonts w:ascii="Segoe UI" w:hAnsi="Segoe UI" w:cs="Segoe UI" w:eastAsia="Segoe UI"/>
                <w:color w:val="101820"/>
                <w:sz w:val="18"/>
              </w:rPr>
              <w:t>Provide one recent statement export per bank account</w:t>
            </w:r>
          </w:p>
        </w:tc>
        <w:tc>
          <w:tcPr>
            <w:tcW w:type="dxa" w:w="3423"/>
          </w:tcPr>
          <w:p>
            <w:pPr>
              <w:spacing w:after="20"/>
            </w:pPr>
            <w:r>
              <w:rPr>
                <w:rFonts w:ascii="Segoe UI" w:hAnsi="Segoe UI" w:cs="Segoe UI" w:eastAsia="Segoe UI"/>
                <w:color w:val="101820"/>
                <w:sz w:val="18"/>
              </w:rPr>
              <w:t>Integrations phase</w:t>
            </w:r>
          </w:p>
        </w:tc>
      </w:tr>
      <w:tr>
        <w:tc>
          <w:tcPr>
            <w:tcW w:type="dxa" w:w="907"/>
          </w:tcPr>
          <w:p>
            <w:pPr>
              <w:spacing w:after="20"/>
            </w:pPr>
            <w:r>
              <w:rPr>
                <w:rFonts w:ascii="Segoe UI" w:hAnsi="Segoe UI" w:cs="Segoe UI" w:eastAsia="Segoe UI"/>
                <w:color w:val="101820"/>
                <w:sz w:val="18"/>
              </w:rPr>
              <w:t>8</w:t>
            </w:r>
          </w:p>
        </w:tc>
        <w:tc>
          <w:tcPr>
            <w:tcW w:type="dxa" w:w="4684"/>
          </w:tcPr>
          <w:p>
            <w:pPr>
              <w:spacing w:after="20"/>
            </w:pPr>
            <w:r>
              <w:rPr>
                <w:rFonts w:ascii="Segoe UI" w:hAnsi="Segoe UI" w:cs="Segoe UI" w:eastAsia="Segoe UI"/>
                <w:color w:val="101820"/>
                <w:sz w:val="18"/>
              </w:rPr>
              <w:t>Extract and cleanse the in-force policy, open receivable and trial balance data, in the delivered templates</w:t>
            </w:r>
          </w:p>
        </w:tc>
        <w:tc>
          <w:tcPr>
            <w:tcW w:type="dxa" w:w="3423"/>
          </w:tcPr>
          <w:p>
            <w:pPr>
              <w:spacing w:after="20"/>
            </w:pPr>
            <w:r>
              <w:rPr>
                <w:rFonts w:ascii="Segoe UI" w:hAnsi="Segoe UI" w:cs="Segoe UI" w:eastAsia="Segoe UI"/>
                <w:color w:val="101820"/>
                <w:sz w:val="18"/>
              </w:rPr>
              <w:t>Each mock load and cutover</w:t>
            </w:r>
          </w:p>
        </w:tc>
      </w:tr>
      <w:tr>
        <w:tc>
          <w:tcPr>
            <w:tcW w:type="dxa" w:w="907"/>
          </w:tcPr>
          <w:p>
            <w:pPr>
              <w:spacing w:after="20"/>
            </w:pPr>
            <w:r>
              <w:rPr>
                <w:rFonts w:ascii="Segoe UI" w:hAnsi="Segoe UI" w:cs="Segoe UI" w:eastAsia="Segoe UI"/>
                <w:color w:val="101820"/>
                <w:sz w:val="18"/>
              </w:rPr>
              <w:t>9</w:t>
            </w:r>
          </w:p>
        </w:tc>
        <w:tc>
          <w:tcPr>
            <w:tcW w:type="dxa" w:w="4684"/>
          </w:tcPr>
          <w:p>
            <w:pPr>
              <w:spacing w:after="20"/>
            </w:pPr>
            <w:r>
              <w:rPr>
                <w:rFonts w:ascii="Segoe UI" w:hAnsi="Segoe UI" w:cs="Segoe UI" w:eastAsia="Segoe UI"/>
                <w:color w:val="101820"/>
                <w:sz w:val="18"/>
              </w:rPr>
              <w:t>Provide the user list with roles and e-mail addresses</w:t>
            </w:r>
          </w:p>
        </w:tc>
        <w:tc>
          <w:tcPr>
            <w:tcW w:type="dxa" w:w="3423"/>
          </w:tcPr>
          <w:p>
            <w:pPr>
              <w:spacing w:after="20"/>
            </w:pPr>
            <w:r>
              <w:rPr>
                <w:rFonts w:ascii="Segoe UI" w:hAnsi="Segoe UI" w:cs="Segoe UI" w:eastAsia="Segoe UI"/>
                <w:color w:val="101820"/>
                <w:sz w:val="18"/>
              </w:rPr>
              <w:t>Two weeks before training</w:t>
            </w:r>
          </w:p>
        </w:tc>
      </w:tr>
      <w:tr>
        <w:tc>
          <w:tcPr>
            <w:tcW w:type="dxa" w:w="907"/>
          </w:tcPr>
          <w:p>
            <w:pPr>
              <w:spacing w:after="20"/>
            </w:pPr>
            <w:r>
              <w:rPr>
                <w:rFonts w:ascii="Segoe UI" w:hAnsi="Segoe UI" w:cs="Segoe UI" w:eastAsia="Segoe UI"/>
                <w:color w:val="101820"/>
                <w:sz w:val="18"/>
              </w:rPr>
              <w:t>10</w:t>
            </w:r>
          </w:p>
        </w:tc>
        <w:tc>
          <w:tcPr>
            <w:tcW w:type="dxa" w:w="4684"/>
          </w:tcPr>
          <w:p>
            <w:pPr>
              <w:spacing w:after="20"/>
            </w:pPr>
            <w:r>
              <w:rPr>
                <w:rFonts w:ascii="Segoe UI" w:hAnsi="Segoe UI" w:cs="Segoe UI" w:eastAsia="Segoe UI"/>
                <w:color w:val="101820"/>
                <w:sz w:val="18"/>
              </w:rPr>
              <w:t>Provide training rooms, devices and attendance</w:t>
            </w:r>
          </w:p>
        </w:tc>
        <w:tc>
          <w:tcPr>
            <w:tcW w:type="dxa" w:w="3423"/>
          </w:tcPr>
          <w:p>
            <w:pPr>
              <w:spacing w:after="20"/>
            </w:pPr>
            <w:r>
              <w:rPr>
                <w:rFonts w:ascii="Segoe UI" w:hAnsi="Segoe UI" w:cs="Segoe UI" w:eastAsia="Segoe UI"/>
                <w:color w:val="101820"/>
                <w:sz w:val="18"/>
              </w:rPr>
              <w:t>Training phase</w:t>
            </w:r>
          </w:p>
        </w:tc>
      </w:tr>
      <w:tr>
        <w:tc>
          <w:tcPr>
            <w:tcW w:type="dxa" w:w="907"/>
          </w:tcPr>
          <w:p>
            <w:pPr>
              <w:spacing w:after="20"/>
            </w:pPr>
            <w:r>
              <w:rPr>
                <w:rFonts w:ascii="Segoe UI" w:hAnsi="Segoe UI" w:cs="Segoe UI" w:eastAsia="Segoe UI"/>
                <w:color w:val="101820"/>
                <w:sz w:val="18"/>
              </w:rPr>
              <w:t>11</w:t>
            </w:r>
          </w:p>
        </w:tc>
        <w:tc>
          <w:tcPr>
            <w:tcW w:type="dxa" w:w="4684"/>
          </w:tcPr>
          <w:p>
            <w:pPr>
              <w:spacing w:after="20"/>
            </w:pPr>
            <w:r>
              <w:rPr>
                <w:rFonts w:ascii="Segoe UI" w:hAnsi="Segoe UI" w:cs="Segoe UI" w:eastAsia="Segoe UI"/>
                <w:color w:val="101820"/>
                <w:sz w:val="18"/>
              </w:rPr>
              <w:t>Provide UAT testers and sign-off authority</w:t>
            </w:r>
          </w:p>
        </w:tc>
        <w:tc>
          <w:tcPr>
            <w:tcW w:type="dxa" w:w="3423"/>
          </w:tcPr>
          <w:p>
            <w:pPr>
              <w:spacing w:after="20"/>
            </w:pPr>
            <w:r>
              <w:rPr>
                <w:rFonts w:ascii="Segoe UI" w:hAnsi="Segoe UI" w:cs="Segoe UI" w:eastAsia="Segoe UI"/>
                <w:color w:val="101820"/>
                <w:sz w:val="18"/>
              </w:rPr>
              <w:t>UAT phase</w:t>
            </w:r>
          </w:p>
        </w:tc>
      </w:tr>
      <w:tr>
        <w:tc>
          <w:tcPr>
            <w:tcW w:type="dxa" w:w="907"/>
          </w:tcPr>
          <w:p>
            <w:pPr>
              <w:spacing w:after="20"/>
            </w:pPr>
            <w:r>
              <w:rPr>
                <w:rFonts w:ascii="Segoe UI" w:hAnsi="Segoe UI" w:cs="Segoe UI" w:eastAsia="Segoe UI"/>
                <w:color w:val="101820"/>
                <w:sz w:val="18"/>
              </w:rPr>
              <w:t>12</w:t>
            </w:r>
          </w:p>
        </w:tc>
        <w:tc>
          <w:tcPr>
            <w:tcW w:type="dxa" w:w="4684"/>
          </w:tcPr>
          <w:p>
            <w:pPr>
              <w:spacing w:after="20"/>
            </w:pPr>
            <w:r>
              <w:rPr>
                <w:rFonts w:ascii="Segoe UI" w:hAnsi="Segoe UI" w:cs="Segoe UI" w:eastAsia="Segoe UI"/>
                <w:color w:val="101820"/>
                <w:sz w:val="18"/>
              </w:rPr>
              <w:t>Freeze the old system and provide the final extract at cutover; keep the old system read-only for reference</w:t>
            </w:r>
          </w:p>
        </w:tc>
        <w:tc>
          <w:tcPr>
            <w:tcW w:type="dxa" w:w="3423"/>
          </w:tcPr>
          <w:p>
            <w:pPr>
              <w:spacing w:after="20"/>
            </w:pPr>
            <w:r>
              <w:rPr>
                <w:rFonts w:ascii="Segoe UI" w:hAnsi="Segoe UI" w:cs="Segoe UI" w:eastAsia="Segoe UI"/>
                <w:color w:val="101820"/>
                <w:sz w:val="18"/>
              </w:rPr>
              <w:t>Cutover</w:t>
            </w:r>
          </w:p>
        </w:tc>
      </w:tr>
      <w:tr>
        <w:tc>
          <w:tcPr>
            <w:tcW w:type="dxa" w:w="907"/>
          </w:tcPr>
          <w:p>
            <w:pPr>
              <w:spacing w:after="20"/>
            </w:pPr>
            <w:r>
              <w:rPr>
                <w:rFonts w:ascii="Segoe UI" w:hAnsi="Segoe UI" w:cs="Segoe UI" w:eastAsia="Segoe UI"/>
                <w:color w:val="101820"/>
                <w:sz w:val="18"/>
              </w:rPr>
              <w:t>13</w:t>
            </w:r>
          </w:p>
        </w:tc>
        <w:tc>
          <w:tcPr>
            <w:tcW w:type="dxa" w:w="4684"/>
          </w:tcPr>
          <w:p>
            <w:pPr>
              <w:spacing w:after="20"/>
            </w:pPr>
            <w:r>
              <w:rPr>
                <w:rFonts w:ascii="Segoe UI" w:hAnsi="Segoe UI" w:cs="Segoe UI" w:eastAsia="Segoe UI"/>
                <w:color w:val="101820"/>
                <w:sz w:val="18"/>
              </w:rPr>
              <w:t>Decide on the fit-gap register and change requests within 3 Business Days</w:t>
            </w:r>
          </w:p>
        </w:tc>
        <w:tc>
          <w:tcPr>
            <w:tcW w:type="dxa" w:w="3423"/>
          </w:tcPr>
          <w:p>
            <w:pPr>
              <w:spacing w:after="20"/>
            </w:pPr>
            <w:r>
              <w:rPr>
                <w:rFonts w:ascii="Segoe UI" w:hAnsi="Segoe UI" w:cs="Segoe UI" w:eastAsia="Segoe UI"/>
                <w:color w:val="101820"/>
                <w:sz w:val="18"/>
              </w:rPr>
              <w:t>Throughout</w:t>
            </w:r>
          </w:p>
        </w:tc>
      </w:tr>
      <w:tr>
        <w:tc>
          <w:tcPr>
            <w:tcW w:type="dxa" w:w="907"/>
          </w:tcPr>
          <w:p>
            <w:pPr>
              <w:spacing w:after="20"/>
            </w:pPr>
            <w:r>
              <w:rPr>
                <w:rFonts w:ascii="Segoe UI" w:hAnsi="Segoe UI" w:cs="Segoe UI" w:eastAsia="Segoe UI"/>
                <w:color w:val="101820"/>
                <w:sz w:val="18"/>
              </w:rPr>
              <w:t>14</w:t>
            </w:r>
          </w:p>
        </w:tc>
        <w:tc>
          <w:tcPr>
            <w:tcW w:type="dxa" w:w="4684"/>
          </w:tcPr>
          <w:p>
            <w:pPr>
              <w:spacing w:after="20"/>
            </w:pPr>
            <w:r>
              <w:rPr>
                <w:rFonts w:ascii="Segoe UI" w:hAnsi="Segoe UI" w:cs="Segoe UI" w:eastAsia="Segoe UI"/>
                <w:color w:val="101820"/>
                <w:sz w:val="18"/>
              </w:rPr>
              <w:t>Have the tax codes, rates and BIR working papers reviewed by the Client's tax adviser</w:t>
            </w:r>
          </w:p>
        </w:tc>
        <w:tc>
          <w:tcPr>
            <w:tcW w:type="dxa" w:w="3423"/>
          </w:tcPr>
          <w:p>
            <w:pPr>
              <w:spacing w:after="20"/>
            </w:pPr>
            <w:r>
              <w:rPr>
                <w:rFonts w:ascii="Segoe UI" w:hAnsi="Segoe UI" w:cs="Segoe UI" w:eastAsia="Segoe UI"/>
                <w:color w:val="101820"/>
                <w:sz w:val="18"/>
              </w:rPr>
              <w:t>Configuration phase</w:t>
            </w:r>
          </w:p>
        </w:tc>
      </w:tr>
      <w:tr>
        <w:tc>
          <w:tcPr>
            <w:tcW w:type="dxa" w:w="907"/>
          </w:tcPr>
          <w:p>
            <w:pPr>
              <w:spacing w:after="20"/>
            </w:pPr>
            <w:r>
              <w:rPr>
                <w:rFonts w:ascii="Segoe UI" w:hAnsi="Segoe UI" w:cs="Segoe UI" w:eastAsia="Segoe UI"/>
                <w:color w:val="101820"/>
                <w:sz w:val="18"/>
              </w:rPr>
              <w:t>15</w:t>
            </w:r>
          </w:p>
        </w:tc>
        <w:tc>
          <w:tcPr>
            <w:tcW w:type="dxa" w:w="4684"/>
          </w:tcPr>
          <w:p>
            <w:pPr>
              <w:spacing w:after="20"/>
            </w:pPr>
            <w:r>
              <w:rPr>
                <w:rFonts w:ascii="Segoe UI" w:hAnsi="Segoe UI" w:cs="Segoe UI" w:eastAsia="Segoe UI"/>
                <w:color w:val="101820"/>
                <w:sz w:val="18"/>
              </w:rPr>
              <w:t>Choose the hosting option and decide on and document any transfer of personal data outside the Philippines</w:t>
            </w:r>
          </w:p>
        </w:tc>
        <w:tc>
          <w:tcPr>
            <w:tcW w:type="dxa" w:w="3423"/>
          </w:tcPr>
          <w:p>
            <w:pPr>
              <w:spacing w:after="20"/>
            </w:pPr>
            <w:r>
              <w:rPr>
                <w:rFonts w:ascii="Segoe UI" w:hAnsi="Segoe UI" w:cs="Segoe UI" w:eastAsia="Segoe UI"/>
                <w:color w:val="101820"/>
                <w:sz w:val="18"/>
              </w:rPr>
              <w:t>Before environment set-up</w:t>
            </w:r>
          </w:p>
        </w:tc>
      </w:tr>
      <w:tr>
        <w:tc>
          <w:tcPr>
            <w:tcW w:type="dxa" w:w="907"/>
          </w:tcPr>
          <w:p>
            <w:pPr>
              <w:spacing w:after="20"/>
            </w:pPr>
            <w:r>
              <w:rPr>
                <w:rFonts w:ascii="Segoe UI" w:hAnsi="Segoe UI" w:cs="Segoe UI" w:eastAsia="Segoe UI"/>
                <w:color w:val="101820"/>
                <w:sz w:val="18"/>
              </w:rPr>
              <w:t>16</w:t>
            </w:r>
          </w:p>
        </w:tc>
        <w:tc>
          <w:tcPr>
            <w:tcW w:type="dxa" w:w="4684"/>
          </w:tcPr>
          <w:p>
            <w:pPr>
              <w:spacing w:after="20"/>
            </w:pPr>
            <w:r>
              <w:rPr>
                <w:rFonts w:ascii="Segoe UI" w:hAnsi="Segoe UI" w:cs="Segoe UI" w:eastAsia="Segoe UI"/>
                <w:color w:val="101820"/>
                <w:sz w:val="18"/>
              </w:rPr>
              <w:t>Sign or reject each Deliverable within 5 Business Days of submission</w:t>
            </w:r>
          </w:p>
        </w:tc>
        <w:tc>
          <w:tcPr>
            <w:tcW w:type="dxa" w:w="3423"/>
          </w:tcPr>
          <w:p>
            <w:pPr>
              <w:spacing w:after="20"/>
            </w:pPr>
            <w:r>
              <w:rPr>
                <w:rFonts w:ascii="Segoe UI" w:hAnsi="Segoe UI" w:cs="Segoe UI" w:eastAsia="Segoe UI"/>
                <w:color w:val="101820"/>
                <w:sz w:val="18"/>
              </w:rPr>
              <w:t>Throughout</w:t>
            </w:r>
          </w:p>
        </w:tc>
      </w:tr>
    </w:tbl>
    <w:p>
      <w:pPr>
        <w:spacing w:after="80"/>
      </w:pPr>
    </w:p>
    <w:p>
      <w:pPr>
        <w:pStyle w:val="Heading2"/>
      </w:pPr>
      <w:r>
        <w:rPr>
          <w:rFonts w:ascii="Segoe UI" w:hAnsi="Segoe UI" w:cs="Segoe UI" w:eastAsia="Segoe UI"/>
          <w:b/>
          <w:color w:val="0F4761"/>
          <w:sz w:val="26"/>
        </w:rPr>
        <w:t>5.2  Client responsibilities in production support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810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8107"/>
            <w:shd w:val="clear" w:color="auto" w:fill="DCE9F7"/>
          </w:tcPr>
          <w:p>
            <w:pPr>
              <w:spacing w:after="20"/>
            </w:pPr>
            <w:r>
              <w:rPr>
                <w:rFonts w:ascii="Segoe UI" w:hAnsi="Segoe UI" w:cs="Segoe UI" w:eastAsia="Segoe UI"/>
                <w:b/>
                <w:color w:val="0F4761"/>
                <w:sz w:val="18"/>
              </w:rPr>
              <w:t>Responsibility</w:t>
            </w:r>
          </w:p>
        </w:tc>
      </w:tr>
      <w:tr>
        <w:tc>
          <w:tcPr>
            <w:tcW w:type="dxa" w:w="907"/>
          </w:tcPr>
          <w:p>
            <w:pPr>
              <w:spacing w:after="20"/>
            </w:pPr>
            <w:r>
              <w:rPr>
                <w:rFonts w:ascii="Segoe UI" w:hAnsi="Segoe UI" w:cs="Segoe UI" w:eastAsia="Segoe UI"/>
                <w:color w:val="101820"/>
                <w:sz w:val="18"/>
              </w:rPr>
              <w:t>1</w:t>
            </w:r>
          </w:p>
        </w:tc>
        <w:tc>
          <w:tcPr>
            <w:tcW w:type="dxa" w:w="8107"/>
          </w:tcPr>
          <w:p>
            <w:pPr>
              <w:spacing w:after="20"/>
            </w:pPr>
            <w:r>
              <w:rPr>
                <w:rFonts w:ascii="Segoe UI" w:hAnsi="Segoe UI" w:cs="Segoe UI" w:eastAsia="Segoe UI"/>
                <w:color w:val="101820"/>
                <w:sz w:val="18"/>
              </w:rPr>
              <w:t>Keep named L1 super users (one per team) and a System Administrator, trained and available in service hours</w:t>
            </w:r>
          </w:p>
        </w:tc>
      </w:tr>
      <w:tr>
        <w:tc>
          <w:tcPr>
            <w:tcW w:type="dxa" w:w="907"/>
          </w:tcPr>
          <w:p>
            <w:pPr>
              <w:spacing w:after="20"/>
            </w:pPr>
            <w:r>
              <w:rPr>
                <w:rFonts w:ascii="Segoe UI" w:hAnsi="Segoe UI" w:cs="Segoe UI" w:eastAsia="Segoe UI"/>
                <w:color w:val="101820"/>
                <w:sz w:val="18"/>
              </w:rPr>
              <w:t>2</w:t>
            </w:r>
          </w:p>
        </w:tc>
        <w:tc>
          <w:tcPr>
            <w:tcW w:type="dxa" w:w="8107"/>
          </w:tcPr>
          <w:p>
            <w:pPr>
              <w:spacing w:after="20"/>
            </w:pPr>
            <w:r>
              <w:rPr>
                <w:rFonts w:ascii="Segoe UI" w:hAnsi="Segoe UI" w:cs="Segoe UI" w:eastAsia="Segoe UI"/>
                <w:color w:val="101820"/>
                <w:sz w:val="18"/>
              </w:rPr>
              <w:t>Keep a change owner and an IT head for escalations and change decisions, and a DPO for privacy matters</w:t>
            </w:r>
          </w:p>
        </w:tc>
      </w:tr>
      <w:tr>
        <w:tc>
          <w:tcPr>
            <w:tcW w:type="dxa" w:w="907"/>
          </w:tcPr>
          <w:p>
            <w:pPr>
              <w:spacing w:after="20"/>
            </w:pPr>
            <w:r>
              <w:rPr>
                <w:rFonts w:ascii="Segoe UI" w:hAnsi="Segoe UI" w:cs="Segoe UI" w:eastAsia="Segoe UI"/>
                <w:color w:val="101820"/>
                <w:sz w:val="18"/>
              </w:rPr>
              <w:t>3</w:t>
            </w:r>
          </w:p>
        </w:tc>
        <w:tc>
          <w:tcPr>
            <w:tcW w:type="dxa" w:w="8107"/>
          </w:tcPr>
          <w:p>
            <w:pPr>
              <w:spacing w:after="20"/>
            </w:pPr>
            <w:r>
              <w:rPr>
                <w:rFonts w:ascii="Segoe UI" w:hAnsi="Segoe UI" w:cs="Segoe UI" w:eastAsia="Segoe UI"/>
                <w:color w:val="101820"/>
                <w:sz w:val="18"/>
              </w:rPr>
              <w:t>Raise tickets only through named L1 contacts (up to [5]), with the minimum content of the Support Agreement</w:t>
            </w:r>
          </w:p>
        </w:tc>
      </w:tr>
      <w:tr>
        <w:tc>
          <w:tcPr>
            <w:tcW w:type="dxa" w:w="907"/>
          </w:tcPr>
          <w:p>
            <w:pPr>
              <w:spacing w:after="20"/>
            </w:pPr>
            <w:r>
              <w:rPr>
                <w:rFonts w:ascii="Segoe UI" w:hAnsi="Segoe UI" w:cs="Segoe UI" w:eastAsia="Segoe UI"/>
                <w:color w:val="101820"/>
                <w:sz w:val="18"/>
              </w:rPr>
              <w:t>4</w:t>
            </w:r>
          </w:p>
        </w:tc>
        <w:tc>
          <w:tcPr>
            <w:tcW w:type="dxa" w:w="8107"/>
          </w:tcPr>
          <w:p>
            <w:pPr>
              <w:spacing w:after="20"/>
            </w:pPr>
            <w:r>
              <w:rPr>
                <w:rFonts w:ascii="Segoe UI" w:hAnsi="Segoe UI" w:cs="Segoe UI" w:eastAsia="Segoe UI"/>
                <w:color w:val="101820"/>
                <w:sz w:val="18"/>
              </w:rPr>
              <w:t>Give access to the people who can reproduce the issue and test the fix</w:t>
            </w:r>
          </w:p>
        </w:tc>
      </w:tr>
      <w:tr>
        <w:tc>
          <w:tcPr>
            <w:tcW w:type="dxa" w:w="907"/>
          </w:tcPr>
          <w:p>
            <w:pPr>
              <w:spacing w:after="20"/>
            </w:pPr>
            <w:r>
              <w:rPr>
                <w:rFonts w:ascii="Segoe UI" w:hAnsi="Segoe UI" w:cs="Segoe UI" w:eastAsia="Segoe UI"/>
                <w:color w:val="101820"/>
                <w:sz w:val="18"/>
              </w:rPr>
              <w:t>5</w:t>
            </w:r>
          </w:p>
        </w:tc>
        <w:tc>
          <w:tcPr>
            <w:tcW w:type="dxa" w:w="8107"/>
          </w:tcPr>
          <w:p>
            <w:pPr>
              <w:spacing w:after="20"/>
            </w:pPr>
            <w:r>
              <w:rPr>
                <w:rFonts w:ascii="Segoe UI" w:hAnsi="Segoe UI" w:cs="Segoe UI" w:eastAsia="Segoe UI"/>
                <w:color w:val="101820"/>
                <w:sz w:val="18"/>
              </w:rPr>
              <w:t>Provide testers for releases in UAT and approve releases within the agreed time</w:t>
            </w:r>
          </w:p>
        </w:tc>
      </w:tr>
      <w:tr>
        <w:tc>
          <w:tcPr>
            <w:tcW w:type="dxa" w:w="907"/>
          </w:tcPr>
          <w:p>
            <w:pPr>
              <w:spacing w:after="20"/>
            </w:pPr>
            <w:r>
              <w:rPr>
                <w:rFonts w:ascii="Segoe UI" w:hAnsi="Segoe UI" w:cs="Segoe UI" w:eastAsia="Segoe UI"/>
                <w:color w:val="101820"/>
                <w:sz w:val="18"/>
              </w:rPr>
              <w:t>6</w:t>
            </w:r>
          </w:p>
        </w:tc>
        <w:tc>
          <w:tcPr>
            <w:tcW w:type="dxa" w:w="8107"/>
          </w:tcPr>
          <w:p>
            <w:pPr>
              <w:spacing w:after="20"/>
            </w:pPr>
            <w:r>
              <w:rPr>
                <w:rFonts w:ascii="Segoe UI" w:hAnsi="Segoe UI" w:cs="Segoe UI" w:eastAsia="Segoe UI"/>
                <w:color w:val="101820"/>
                <w:sz w:val="18"/>
              </w:rPr>
              <w:t>Give notice of business events that affect support: month-end and year-end dates, BIR filing dates, peak renewal periods, new branches or large data loads</w:t>
            </w:r>
          </w:p>
        </w:tc>
      </w:tr>
      <w:tr>
        <w:tc>
          <w:tcPr>
            <w:tcW w:type="dxa" w:w="907"/>
          </w:tcPr>
          <w:p>
            <w:pPr>
              <w:spacing w:after="20"/>
            </w:pPr>
            <w:r>
              <w:rPr>
                <w:rFonts w:ascii="Segoe UI" w:hAnsi="Segoe UI" w:cs="Segoe UI" w:eastAsia="Segoe UI"/>
                <w:color w:val="101820"/>
                <w:sz w:val="18"/>
              </w:rPr>
              <w:t>7</w:t>
            </w:r>
          </w:p>
        </w:tc>
        <w:tc>
          <w:tcPr>
            <w:tcW w:type="dxa" w:w="8107"/>
          </w:tcPr>
          <w:p>
            <w:pPr>
              <w:spacing w:after="20"/>
            </w:pPr>
            <w:r>
              <w:rPr>
                <w:rFonts w:ascii="Segoe UI" w:hAnsi="Segoe UI" w:cs="Segoe UI" w:eastAsia="Segoe UI"/>
                <w:color w:val="101820"/>
                <w:sz w:val="18"/>
              </w:rPr>
              <w:t>Keep the credentials, contracts and support contacts of third parties the Client owns (SMTP mailbox, payment gateway, banks, domain names)</w:t>
            </w:r>
          </w:p>
        </w:tc>
      </w:tr>
      <w:tr>
        <w:tc>
          <w:tcPr>
            <w:tcW w:type="dxa" w:w="907"/>
          </w:tcPr>
          <w:p>
            <w:pPr>
              <w:spacing w:after="20"/>
            </w:pPr>
            <w:r>
              <w:rPr>
                <w:rFonts w:ascii="Segoe UI" w:hAnsi="Segoe UI" w:cs="Segoe UI" w:eastAsia="Segoe UI"/>
                <w:color w:val="101820"/>
                <w:sz w:val="18"/>
              </w:rPr>
              <w:t>8</w:t>
            </w:r>
          </w:p>
        </w:tc>
        <w:tc>
          <w:tcPr>
            <w:tcW w:type="dxa" w:w="8107"/>
          </w:tcPr>
          <w:p>
            <w:pPr>
              <w:spacing w:after="20"/>
            </w:pPr>
            <w:r>
              <w:rPr>
                <w:rFonts w:ascii="Segoe UI" w:hAnsi="Segoe UI" w:cs="Segoe UI" w:eastAsia="Segoe UI"/>
                <w:color w:val="101820"/>
                <w:sz w:val="18"/>
              </w:rPr>
              <w:t>Use supported browsers (current Chrome, Edge or Firefox) and keep a working network</w:t>
            </w:r>
          </w:p>
        </w:tc>
      </w:tr>
      <w:tr>
        <w:tc>
          <w:tcPr>
            <w:tcW w:type="dxa" w:w="907"/>
          </w:tcPr>
          <w:p>
            <w:pPr>
              <w:spacing w:after="20"/>
            </w:pPr>
            <w:r>
              <w:rPr>
                <w:rFonts w:ascii="Segoe UI" w:hAnsi="Segoe UI" w:cs="Segoe UI" w:eastAsia="Segoe UI"/>
                <w:color w:val="101820"/>
                <w:sz w:val="18"/>
              </w:rPr>
              <w:t>9</w:t>
            </w:r>
          </w:p>
        </w:tc>
        <w:tc>
          <w:tcPr>
            <w:tcW w:type="dxa" w:w="8107"/>
          </w:tcPr>
          <w:p>
            <w:pPr>
              <w:spacing w:after="20"/>
            </w:pPr>
            <w:r>
              <w:rPr>
                <w:rFonts w:ascii="Segoe UI" w:hAnsi="Segoe UI" w:cs="Segoe UI" w:eastAsia="Segoe UI"/>
                <w:color w:val="101820"/>
                <w:sz w:val="18"/>
              </w:rPr>
              <w:t>Manage Users through its own joiner, mover and leaver process; keep sign-in credentials confidential</w:t>
            </w:r>
          </w:p>
        </w:tc>
      </w:tr>
      <w:tr>
        <w:tc>
          <w:tcPr>
            <w:tcW w:type="dxa" w:w="907"/>
          </w:tcPr>
          <w:p>
            <w:pPr>
              <w:spacing w:after="20"/>
            </w:pPr>
            <w:r>
              <w:rPr>
                <w:rFonts w:ascii="Segoe UI" w:hAnsi="Segoe UI" w:cs="Segoe UI" w:eastAsia="Segoe UI"/>
                <w:color w:val="101820"/>
                <w:sz w:val="18"/>
              </w:rPr>
              <w:t>10</w:t>
            </w:r>
          </w:p>
        </w:tc>
        <w:tc>
          <w:tcPr>
            <w:tcW w:type="dxa" w:w="8107"/>
          </w:tcPr>
          <w:p>
            <w:pPr>
              <w:spacing w:after="20"/>
            </w:pPr>
            <w:r>
              <w:rPr>
                <w:rFonts w:ascii="Segoe UI" w:hAnsi="Segoe UI" w:cs="Segoe UI" w:eastAsia="Segoe UI"/>
                <w:color w:val="101820"/>
                <w:sz w:val="18"/>
              </w:rPr>
              <w:t>Remain responsible for its regulatory filings, tax returns, IC reports, NPC registrations and notifications, and its business decisions</w:t>
            </w:r>
          </w:p>
        </w:tc>
      </w:tr>
      <w:tr>
        <w:tc>
          <w:tcPr>
            <w:tcW w:type="dxa" w:w="907"/>
          </w:tcPr>
          <w:p>
            <w:pPr>
              <w:spacing w:after="20"/>
            </w:pPr>
            <w:r>
              <w:rPr>
                <w:rFonts w:ascii="Segoe UI" w:hAnsi="Segoe UI" w:cs="Segoe UI" w:eastAsia="Segoe UI"/>
                <w:color w:val="101820"/>
                <w:sz w:val="18"/>
              </w:rPr>
              <w:t>11</w:t>
            </w:r>
          </w:p>
        </w:tc>
        <w:tc>
          <w:tcPr>
            <w:tcW w:type="dxa" w:w="8107"/>
          </w:tcPr>
          <w:p>
            <w:pPr>
              <w:spacing w:after="20"/>
            </w:pPr>
            <w:r>
              <w:rPr>
                <w:rFonts w:ascii="Segoe UI" w:hAnsi="Segoe UI" w:cs="Segoe UI" w:eastAsia="Segoe UI"/>
                <w:color w:val="101820"/>
                <w:sz w:val="18"/>
              </w:rPr>
              <w:t>Where the Client hosts: run the infrastructure, operating system, database, backups and monitoring, and deploy releases under iorta TechNXT's guidance</w:t>
            </w:r>
          </w:p>
        </w:tc>
      </w:tr>
    </w:tbl>
    <w:p>
      <w:pPr>
        <w:pStyle w:val="Heading1"/>
        <w:pageBreakBefore/>
      </w:pPr>
      <w:r>
        <w:rPr>
          <w:rFonts w:ascii="Segoe UI" w:hAnsi="Segoe UI" w:cs="Segoe UI" w:eastAsia="Segoe UI"/>
          <w:b/>
          <w:color w:val="0F4761"/>
          <w:sz w:val="32"/>
        </w:rPr>
        <w:t>6.  RACI</w:t>
      </w:r>
    </w:p>
    <w:p>
      <w:pPr>
        <w:pStyle w:val="Heading2"/>
      </w:pPr>
      <w:r>
        <w:rPr>
          <w:rFonts w:ascii="Segoe UI" w:hAnsi="Segoe UI" w:cs="Segoe UI" w:eastAsia="Segoe UI"/>
          <w:b/>
          <w:color w:val="0F4761"/>
          <w:sz w:val="26"/>
        </w:rPr>
        <w:t>6.1  RACI: implementation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34"/>
        <w:gridCol w:w="1145"/>
        <w:gridCol w:w="1288"/>
        <w:gridCol w:w="1502"/>
        <w:gridCol w:w="1645"/>
      </w:tblGrid>
      <w:tr>
        <w:trPr>
          <w:tblHeader w:val="true"/>
        </w:trPr>
        <w:tc>
          <w:tcPr>
            <w:tcW w:type="dxa" w:w="3434"/>
            <w:shd w:val="clear" w:color="auto" w:fill="DCE9F7"/>
          </w:tcPr>
          <w:p>
            <w:pPr>
              <w:spacing w:after="20"/>
            </w:pPr>
            <w:r>
              <w:rPr>
                <w:rFonts w:ascii="Segoe UI" w:hAnsi="Segoe UI" w:cs="Segoe UI" w:eastAsia="Segoe UI"/>
                <w:b/>
                <w:color w:val="0F4761"/>
                <w:sz w:val="16"/>
              </w:rPr>
              <w:t>Activity</w:t>
            </w:r>
          </w:p>
        </w:tc>
        <w:tc>
          <w:tcPr>
            <w:tcW w:type="dxa" w:w="1145"/>
            <w:shd w:val="clear" w:color="auto" w:fill="DCE9F7"/>
          </w:tcPr>
          <w:p>
            <w:pPr>
              <w:spacing w:after="20"/>
            </w:pPr>
            <w:r>
              <w:rPr>
                <w:rFonts w:ascii="Segoe UI" w:hAnsi="Segoe UI" w:cs="Segoe UI" w:eastAsia="Segoe UI"/>
                <w:b/>
                <w:color w:val="0F4761"/>
                <w:sz w:val="16"/>
              </w:rPr>
              <w:t>iorta TechNXT PM</w:t>
            </w:r>
          </w:p>
        </w:tc>
        <w:tc>
          <w:tcPr>
            <w:tcW w:type="dxa" w:w="1288"/>
            <w:shd w:val="clear" w:color="auto" w:fill="DCE9F7"/>
          </w:tcPr>
          <w:p>
            <w:pPr>
              <w:spacing w:after="20"/>
            </w:pPr>
            <w:r>
              <w:rPr>
                <w:rFonts w:ascii="Segoe UI" w:hAnsi="Segoe UI" w:cs="Segoe UI" w:eastAsia="Segoe UI"/>
                <w:b/>
                <w:color w:val="0F4761"/>
                <w:sz w:val="16"/>
              </w:rPr>
              <w:t>iorta TechNXT team</w:t>
            </w:r>
          </w:p>
        </w:tc>
        <w:tc>
          <w:tcPr>
            <w:tcW w:type="dxa" w:w="1502"/>
            <w:shd w:val="clear" w:color="auto" w:fill="DCE9F7"/>
          </w:tcPr>
          <w:p>
            <w:pPr>
              <w:spacing w:after="20"/>
            </w:pPr>
            <w:r>
              <w:rPr>
                <w:rFonts w:ascii="Segoe UI" w:hAnsi="Segoe UI" w:cs="Segoe UI" w:eastAsia="Segoe UI"/>
                <w:b/>
                <w:color w:val="0F4761"/>
                <w:sz w:val="16"/>
              </w:rPr>
              <w:t>Client sponsor and PM</w:t>
            </w:r>
          </w:p>
        </w:tc>
        <w:tc>
          <w:tcPr>
            <w:tcW w:type="dxa" w:w="1645"/>
            <w:shd w:val="clear" w:color="auto" w:fill="DCE9F7"/>
          </w:tcPr>
          <w:p>
            <w:pPr>
              <w:spacing w:after="20"/>
            </w:pPr>
            <w:r>
              <w:rPr>
                <w:rFonts w:ascii="Segoe UI" w:hAnsi="Segoe UI" w:cs="Segoe UI" w:eastAsia="Segoe UI"/>
                <w:b/>
                <w:color w:val="0F4761"/>
                <w:sz w:val="16"/>
              </w:rPr>
              <w:t>Client key users and IT</w:t>
            </w:r>
          </w:p>
        </w:tc>
      </w:tr>
      <w:tr>
        <w:tc>
          <w:tcPr>
            <w:tcW w:type="dxa" w:w="3434"/>
          </w:tcPr>
          <w:p>
            <w:pPr>
              <w:spacing w:after="20"/>
            </w:pPr>
            <w:r>
              <w:rPr>
                <w:rFonts w:ascii="Segoe UI" w:hAnsi="Segoe UI" w:cs="Segoe UI" w:eastAsia="Segoe UI"/>
                <w:color w:val="101820"/>
                <w:sz w:val="16"/>
              </w:rPr>
              <w:t>Project plan and governance</w:t>
            </w:r>
          </w:p>
        </w:tc>
        <w:tc>
          <w:tcPr>
            <w:tcW w:type="dxa" w:w="1145"/>
          </w:tcPr>
          <w:p>
            <w:pPr>
              <w:spacing w:after="20"/>
            </w:pPr>
            <w:r>
              <w:rPr>
                <w:rFonts w:ascii="Segoe UI" w:hAnsi="Segoe UI" w:cs="Segoe UI" w:eastAsia="Segoe UI"/>
                <w:color w:val="101820"/>
                <w:sz w:val="16"/>
              </w:rPr>
              <w:t>R</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I</w:t>
            </w:r>
          </w:p>
        </w:tc>
      </w:tr>
      <w:tr>
        <w:tc>
          <w:tcPr>
            <w:tcW w:type="dxa" w:w="3434"/>
          </w:tcPr>
          <w:p>
            <w:pPr>
              <w:spacing w:after="20"/>
            </w:pPr>
            <w:r>
              <w:rPr>
                <w:rFonts w:ascii="Segoe UI" w:hAnsi="Segoe UI" w:cs="Segoe UI" w:eastAsia="Segoe UI"/>
                <w:color w:val="101820"/>
                <w:sz w:val="16"/>
              </w:rPr>
              <w:t>Data request and extraction</w:t>
            </w:r>
          </w:p>
        </w:tc>
        <w:tc>
          <w:tcPr>
            <w:tcW w:type="dxa" w:w="1145"/>
          </w:tcPr>
          <w:p>
            <w:pPr>
              <w:spacing w:after="20"/>
            </w:pPr>
            <w:r>
              <w:rPr>
                <w:rFonts w:ascii="Segoe UI" w:hAnsi="Segoe UI" w:cs="Segoe UI" w:eastAsia="Segoe UI"/>
                <w:color w:val="101820"/>
                <w:sz w:val="16"/>
              </w:rPr>
              <w:t>C</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PM A</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Discovery workshops</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3434"/>
          </w:tcPr>
          <w:p>
            <w:pPr>
              <w:spacing w:after="20"/>
            </w:pPr>
            <w:r>
              <w:rPr>
                <w:rFonts w:ascii="Segoe UI" w:hAnsi="Segoe UI" w:cs="Segoe UI" w:eastAsia="Segoe UI"/>
                <w:color w:val="101820"/>
                <w:sz w:val="16"/>
              </w:rPr>
              <w:t>Configuration decisions</w:t>
            </w:r>
          </w:p>
        </w:tc>
        <w:tc>
          <w:tcPr>
            <w:tcW w:type="dxa" w:w="1145"/>
          </w:tcPr>
          <w:p>
            <w:pPr>
              <w:spacing w:after="20"/>
            </w:pPr>
            <w:r>
              <w:rPr>
                <w:rFonts w:ascii="Segoe UI" w:hAnsi="Segoe UI" w:cs="Segoe UI" w:eastAsia="Segoe UI"/>
                <w:color w:val="101820"/>
                <w:sz w:val="16"/>
              </w:rPr>
              <w:t>C</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A</w:t>
            </w:r>
          </w:p>
        </w:tc>
        <w:tc>
          <w:tcPr>
            <w:tcW w:type="dxa" w:w="1645"/>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3434"/>
          </w:tcPr>
          <w:p>
            <w:pPr>
              <w:spacing w:after="20"/>
            </w:pPr>
            <w:r>
              <w:rPr>
                <w:rFonts w:ascii="Segoe UI" w:hAnsi="Segoe UI" w:cs="Segoe UI" w:eastAsia="Segoe UI"/>
                <w:color w:val="101820"/>
                <w:sz w:val="16"/>
              </w:rPr>
              <w:t>Configuration in the system</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I</w:t>
            </w:r>
          </w:p>
        </w:tc>
        <w:tc>
          <w:tcPr>
            <w:tcW w:type="dxa" w:w="1645"/>
          </w:tcPr>
          <w:p>
            <w:pPr>
              <w:spacing w:after="20"/>
            </w:pPr>
            <w:r>
              <w:rPr>
                <w:rFonts w:ascii="Segoe UI" w:hAnsi="Segoe UI" w:cs="Segoe UI" w:eastAsia="Segoe UI"/>
                <w:color w:val="101820"/>
                <w:sz w:val="16"/>
              </w:rPr>
              <w:t>C</w:t>
            </w:r>
          </w:p>
        </w:tc>
      </w:tr>
      <w:tr>
        <w:tc>
          <w:tcPr>
            <w:tcW w:type="dxa" w:w="3434"/>
          </w:tcPr>
          <w:p>
            <w:pPr>
              <w:spacing w:after="20"/>
            </w:pPr>
            <w:r>
              <w:rPr>
                <w:rFonts w:ascii="Segoe UI" w:hAnsi="Segoe UI" w:cs="Segoe UI" w:eastAsia="Segoe UI"/>
                <w:color w:val="101820"/>
                <w:sz w:val="16"/>
              </w:rPr>
              <w:t>Environments, backups, monitoring (iorta TechNXT hosts)</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I</w:t>
            </w:r>
          </w:p>
        </w:tc>
        <w:tc>
          <w:tcPr>
            <w:tcW w:type="dxa" w:w="1645"/>
          </w:tcPr>
          <w:p>
            <w:pPr>
              <w:spacing w:after="20"/>
            </w:pPr>
            <w:r>
              <w:rPr>
                <w:rFonts w:ascii="Segoe UI" w:hAnsi="Segoe UI" w:cs="Segoe UI" w:eastAsia="Segoe UI"/>
                <w:color w:val="101820"/>
                <w:sz w:val="16"/>
              </w:rPr>
              <w:t>IT C</w:t>
            </w:r>
          </w:p>
        </w:tc>
      </w:tr>
      <w:tr>
        <w:tc>
          <w:tcPr>
            <w:tcW w:type="dxa" w:w="3434"/>
          </w:tcPr>
          <w:p>
            <w:pPr>
              <w:spacing w:after="20"/>
            </w:pPr>
            <w:r>
              <w:rPr>
                <w:rFonts w:ascii="Segoe UI" w:hAnsi="Segoe UI" w:cs="Segoe UI" w:eastAsia="Segoe UI"/>
                <w:color w:val="101820"/>
                <w:sz w:val="16"/>
              </w:rPr>
              <w:t>Data cleansing</w:t>
            </w:r>
          </w:p>
        </w:tc>
        <w:tc>
          <w:tcPr>
            <w:tcW w:type="dxa" w:w="1145"/>
          </w:tcPr>
          <w:p>
            <w:pPr>
              <w:spacing w:after="20"/>
            </w:pPr>
            <w:r>
              <w:rPr>
                <w:rFonts w:ascii="Segoe UI" w:hAnsi="Segoe UI" w:cs="Segoe UI" w:eastAsia="Segoe UI"/>
                <w:color w:val="101820"/>
                <w:sz w:val="16"/>
              </w:rPr>
              <w:t>I</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PM A</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Mock loads and reconciliation</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C</w:t>
            </w:r>
          </w:p>
        </w:tc>
        <w:tc>
          <w:tcPr>
            <w:tcW w:type="dxa" w:w="1645"/>
          </w:tcPr>
          <w:p>
            <w:pPr>
              <w:spacing w:after="20"/>
            </w:pPr>
            <w:r>
              <w:rPr>
                <w:rFonts w:ascii="Segoe UI" w:hAnsi="Segoe UI" w:cs="Segoe UI" w:eastAsia="Segoe UI"/>
                <w:color w:val="101820"/>
                <w:sz w:val="16"/>
              </w:rPr>
              <w:t>Key users R</w:t>
            </w:r>
          </w:p>
          <w:p>
            <w:r>
              <w:rPr>
                <w:rFonts w:ascii="Segoe UI" w:hAnsi="Segoe UI" w:cs="Segoe UI" w:eastAsia="Segoe UI"/>
                <w:color w:val="101820"/>
                <w:sz w:val="16"/>
              </w:rPr>
              <w:t>IT C</w:t>
            </w:r>
          </w:p>
        </w:tc>
      </w:tr>
      <w:tr>
        <w:tc>
          <w:tcPr>
            <w:tcW w:type="dxa" w:w="3434"/>
          </w:tcPr>
          <w:p>
            <w:pPr>
              <w:spacing w:after="20"/>
            </w:pPr>
            <w:r>
              <w:rPr>
                <w:rFonts w:ascii="Segoe UI" w:hAnsi="Segoe UI" w:cs="Segoe UI" w:eastAsia="Segoe UI"/>
                <w:color w:val="101820"/>
                <w:sz w:val="16"/>
              </w:rPr>
              <w:t>E-mail, bank formats, payment gateway</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C</w:t>
            </w:r>
          </w:p>
        </w:tc>
        <w:tc>
          <w:tcPr>
            <w:tcW w:type="dxa" w:w="1645"/>
          </w:tcPr>
          <w:p>
            <w:pPr>
              <w:spacing w:after="20"/>
            </w:pPr>
            <w:r>
              <w:rPr>
                <w:rFonts w:ascii="Segoe UI" w:hAnsi="Segoe UI" w:cs="Segoe UI" w:eastAsia="Segoe UI"/>
                <w:color w:val="101820"/>
                <w:sz w:val="16"/>
              </w:rPr>
              <w:t>Key users C</w:t>
            </w:r>
          </w:p>
          <w:p>
            <w:r>
              <w:rPr>
                <w:rFonts w:ascii="Segoe UI" w:hAnsi="Segoe UI" w:cs="Segoe UI" w:eastAsia="Segoe UI"/>
                <w:color w:val="101820"/>
                <w:sz w:val="16"/>
              </w:rPr>
              <w:t>IT R</w:t>
            </w:r>
          </w:p>
        </w:tc>
      </w:tr>
      <w:tr>
        <w:tc>
          <w:tcPr>
            <w:tcW w:type="dxa" w:w="3434"/>
          </w:tcPr>
          <w:p>
            <w:pPr>
              <w:spacing w:after="20"/>
            </w:pPr>
            <w:r>
              <w:rPr>
                <w:rFonts w:ascii="Segoe UI" w:hAnsi="Segoe UI" w:cs="Segoe UI" w:eastAsia="Segoe UI"/>
                <w:color w:val="101820"/>
                <w:sz w:val="16"/>
              </w:rPr>
              <w:t>System integration test</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I</w:t>
            </w:r>
          </w:p>
        </w:tc>
        <w:tc>
          <w:tcPr>
            <w:tcW w:type="dxa" w:w="1645"/>
          </w:tcPr>
          <w:p>
            <w:pPr>
              <w:spacing w:after="20"/>
            </w:pPr>
            <w:r>
              <w:rPr>
                <w:rFonts w:ascii="Segoe UI" w:hAnsi="Segoe UI" w:cs="Segoe UI" w:eastAsia="Segoe UI"/>
                <w:color w:val="101820"/>
                <w:sz w:val="16"/>
              </w:rPr>
              <w:t>C</w:t>
            </w:r>
          </w:p>
        </w:tc>
      </w:tr>
      <w:tr>
        <w:tc>
          <w:tcPr>
            <w:tcW w:type="dxa" w:w="3434"/>
          </w:tcPr>
          <w:p>
            <w:pPr>
              <w:spacing w:after="20"/>
            </w:pPr>
            <w:r>
              <w:rPr>
                <w:rFonts w:ascii="Segoe UI" w:hAnsi="Segoe UI" w:cs="Segoe UI" w:eastAsia="Segoe UI"/>
                <w:color w:val="101820"/>
                <w:sz w:val="16"/>
              </w:rPr>
              <w:t>UAT execution and sign-off</w:t>
            </w:r>
          </w:p>
        </w:tc>
        <w:tc>
          <w:tcPr>
            <w:tcW w:type="dxa" w:w="1145"/>
          </w:tcPr>
          <w:p>
            <w:pPr>
              <w:spacing w:after="20"/>
            </w:pPr>
            <w:r>
              <w:rPr>
                <w:rFonts w:ascii="Segoe UI" w:hAnsi="Segoe UI" w:cs="Segoe UI" w:eastAsia="Segoe UI"/>
                <w:color w:val="101820"/>
                <w:sz w:val="16"/>
              </w:rPr>
              <w:t>C</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Train-the-trainer</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C</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End-user training</w:t>
            </w:r>
          </w:p>
        </w:tc>
        <w:tc>
          <w:tcPr>
            <w:tcW w:type="dxa" w:w="1145"/>
          </w:tcPr>
          <w:p>
            <w:pPr>
              <w:spacing w:after="20"/>
            </w:pPr>
            <w:r>
              <w:rPr>
                <w:rFonts w:ascii="Segoe UI" w:hAnsi="Segoe UI" w:cs="Segoe UI" w:eastAsia="Segoe UI"/>
                <w:color w:val="101820"/>
                <w:sz w:val="16"/>
              </w:rPr>
              <w:t>C</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PM A</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Cutover execution</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R</w:t>
            </w:r>
          </w:p>
        </w:tc>
      </w:tr>
      <w:tr>
        <w:tc>
          <w:tcPr>
            <w:tcW w:type="dxa" w:w="3434"/>
          </w:tcPr>
          <w:p>
            <w:pPr>
              <w:spacing w:after="20"/>
            </w:pPr>
            <w:r>
              <w:rPr>
                <w:rFonts w:ascii="Segoe UI" w:hAnsi="Segoe UI" w:cs="Segoe UI" w:eastAsia="Segoe UI"/>
                <w:color w:val="101820"/>
                <w:sz w:val="16"/>
              </w:rPr>
              <w:t>Go/no-go decision</w:t>
            </w:r>
          </w:p>
        </w:tc>
        <w:tc>
          <w:tcPr>
            <w:tcW w:type="dxa" w:w="1145"/>
          </w:tcPr>
          <w:p>
            <w:pPr>
              <w:spacing w:after="20"/>
            </w:pPr>
            <w:r>
              <w:rPr>
                <w:rFonts w:ascii="Segoe UI" w:hAnsi="Segoe UI" w:cs="Segoe UI" w:eastAsia="Segoe UI"/>
                <w:color w:val="101820"/>
                <w:sz w:val="16"/>
              </w:rPr>
              <w:t>C</w:t>
            </w:r>
          </w:p>
        </w:tc>
        <w:tc>
          <w:tcPr>
            <w:tcW w:type="dxa" w:w="1288"/>
          </w:tcPr>
          <w:p>
            <w:pPr>
              <w:spacing w:after="20"/>
            </w:pPr>
            <w:r>
              <w:rPr>
                <w:rFonts w:ascii="Segoe UI" w:hAnsi="Segoe UI" w:cs="Segoe UI" w:eastAsia="Segoe UI"/>
                <w:color w:val="101820"/>
                <w:sz w:val="16"/>
              </w:rPr>
              <w:t>C</w:t>
            </w:r>
          </w:p>
        </w:tc>
        <w:tc>
          <w:tcPr>
            <w:tcW w:type="dxa" w:w="1502"/>
          </w:tcPr>
          <w:p>
            <w:pPr>
              <w:spacing w:after="20"/>
            </w:pPr>
            <w:r>
              <w:rPr>
                <w:rFonts w:ascii="Segoe UI" w:hAnsi="Segoe UI" w:cs="Segoe UI" w:eastAsia="Segoe UI"/>
                <w:color w:val="101820"/>
                <w:sz w:val="16"/>
              </w:rPr>
              <w:t>Sponsor A</w:t>
            </w:r>
          </w:p>
          <w:p>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C</w:t>
            </w:r>
          </w:p>
        </w:tc>
      </w:tr>
      <w:tr>
        <w:tc>
          <w:tcPr>
            <w:tcW w:type="dxa" w:w="3434"/>
          </w:tcPr>
          <w:p>
            <w:pPr>
              <w:spacing w:after="20"/>
            </w:pPr>
            <w:r>
              <w:rPr>
                <w:rFonts w:ascii="Segoe UI" w:hAnsi="Segoe UI" w:cs="Segoe UI" w:eastAsia="Segoe UI"/>
                <w:color w:val="101820"/>
                <w:sz w:val="16"/>
              </w:rPr>
              <w:t>Hypercare</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R</w:t>
            </w:r>
          </w:p>
        </w:tc>
        <w:tc>
          <w:tcPr>
            <w:tcW w:type="dxa" w:w="1645"/>
          </w:tcPr>
          <w:p>
            <w:pPr>
              <w:spacing w:after="20"/>
            </w:pPr>
            <w:r>
              <w:rPr>
                <w:rFonts w:ascii="Segoe UI" w:hAnsi="Segoe UI" w:cs="Segoe UI" w:eastAsia="Segoe UI"/>
                <w:color w:val="101820"/>
                <w:sz w:val="16"/>
              </w:rPr>
              <w:t>C</w:t>
            </w:r>
          </w:p>
        </w:tc>
      </w:tr>
      <w:tr>
        <w:tc>
          <w:tcPr>
            <w:tcW w:type="dxa" w:w="3434"/>
          </w:tcPr>
          <w:p>
            <w:pPr>
              <w:spacing w:after="20"/>
            </w:pPr>
            <w:r>
              <w:rPr>
                <w:rFonts w:ascii="Segoe UI" w:hAnsi="Segoe UI" w:cs="Segoe UI" w:eastAsia="Segoe UI"/>
                <w:color w:val="101820"/>
                <w:sz w:val="16"/>
              </w:rPr>
              <w:t>Handover to production support</w:t>
            </w:r>
          </w:p>
        </w:tc>
        <w:tc>
          <w:tcPr>
            <w:tcW w:type="dxa" w:w="1145"/>
          </w:tcPr>
          <w:p>
            <w:pPr>
              <w:spacing w:after="20"/>
            </w:pPr>
            <w:r>
              <w:rPr>
                <w:rFonts w:ascii="Segoe UI" w:hAnsi="Segoe UI" w:cs="Segoe UI" w:eastAsia="Segoe UI"/>
                <w:color w:val="101820"/>
                <w:sz w:val="16"/>
              </w:rPr>
              <w:t>A</w:t>
            </w:r>
          </w:p>
        </w:tc>
        <w:tc>
          <w:tcPr>
            <w:tcW w:type="dxa" w:w="1288"/>
          </w:tcPr>
          <w:p>
            <w:pPr>
              <w:spacing w:after="20"/>
            </w:pPr>
            <w:r>
              <w:rPr>
                <w:rFonts w:ascii="Segoe UI" w:hAnsi="Segoe UI" w:cs="Segoe UI" w:eastAsia="Segoe UI"/>
                <w:color w:val="101820"/>
                <w:sz w:val="16"/>
              </w:rPr>
              <w:t>R</w:t>
            </w:r>
          </w:p>
        </w:tc>
        <w:tc>
          <w:tcPr>
            <w:tcW w:type="dxa" w:w="1502"/>
          </w:tcPr>
          <w:p>
            <w:pPr>
              <w:spacing w:after="20"/>
            </w:pPr>
            <w:r>
              <w:rPr>
                <w:rFonts w:ascii="Segoe UI" w:hAnsi="Segoe UI" w:cs="Segoe UI" w:eastAsia="Segoe UI"/>
                <w:color w:val="101820"/>
                <w:sz w:val="16"/>
              </w:rPr>
              <w:t>PM C</w:t>
            </w:r>
          </w:p>
        </w:tc>
        <w:tc>
          <w:tcPr>
            <w:tcW w:type="dxa" w:w="1645"/>
          </w:tcPr>
          <w:p>
            <w:pPr>
              <w:spacing w:after="20"/>
            </w:pPr>
            <w:r>
              <w:rPr>
                <w:rFonts w:ascii="Segoe UI" w:hAnsi="Segoe UI" w:cs="Segoe UI" w:eastAsia="Segoe UI"/>
                <w:color w:val="101820"/>
                <w:sz w:val="16"/>
              </w:rPr>
              <w:t>IT R</w:t>
            </w:r>
          </w:p>
        </w:tc>
      </w:tr>
    </w:tbl>
    <w:p>
      <w:pPr>
        <w:spacing w:after="80"/>
      </w:pPr>
    </w:p>
    <w:p>
      <w:pPr>
        <w:pStyle w:val="Heading2"/>
      </w:pPr>
      <w:r>
        <w:rPr>
          <w:rFonts w:ascii="Segoe UI" w:hAnsi="Segoe UI" w:cs="Segoe UI" w:eastAsia="Segoe UI"/>
          <w:b/>
          <w:color w:val="0F4761"/>
          <w:sz w:val="26"/>
        </w:rPr>
        <w:t>6.2  RACI: production support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82"/>
        <w:gridCol w:w="1265"/>
        <w:gridCol w:w="2038"/>
        <w:gridCol w:w="1796"/>
        <w:gridCol w:w="1134"/>
      </w:tblGrid>
      <w:tr>
        <w:trPr>
          <w:tblHeader w:val="true"/>
        </w:trPr>
        <w:tc>
          <w:tcPr>
            <w:tcW w:type="dxa" w:w="2782"/>
            <w:shd w:val="clear" w:color="auto" w:fill="DCE9F7"/>
          </w:tcPr>
          <w:p>
            <w:pPr>
              <w:spacing w:after="20"/>
            </w:pPr>
            <w:r>
              <w:rPr>
                <w:rFonts w:ascii="Segoe UI" w:hAnsi="Segoe UI" w:cs="Segoe UI" w:eastAsia="Segoe UI"/>
                <w:b/>
                <w:color w:val="0F4761"/>
                <w:sz w:val="16"/>
              </w:rPr>
              <w:t>Activity</w:t>
            </w:r>
          </w:p>
        </w:tc>
        <w:tc>
          <w:tcPr>
            <w:tcW w:type="dxa" w:w="1265"/>
            <w:shd w:val="clear" w:color="auto" w:fill="DCE9F7"/>
          </w:tcPr>
          <w:p>
            <w:pPr>
              <w:spacing w:after="20"/>
            </w:pPr>
            <w:r>
              <w:rPr>
                <w:rFonts w:ascii="Segoe UI" w:hAnsi="Segoe UI" w:cs="Segoe UI" w:eastAsia="Segoe UI"/>
                <w:b/>
                <w:color w:val="0F4761"/>
                <w:sz w:val="16"/>
              </w:rPr>
              <w:t>iorta TechNXT support</w:t>
            </w:r>
          </w:p>
        </w:tc>
        <w:tc>
          <w:tcPr>
            <w:tcW w:type="dxa" w:w="2038"/>
            <w:shd w:val="clear" w:color="auto" w:fill="DCE9F7"/>
          </w:tcPr>
          <w:p>
            <w:pPr>
              <w:spacing w:after="20"/>
            </w:pPr>
            <w:r>
              <w:rPr>
                <w:rFonts w:ascii="Segoe UI" w:hAnsi="Segoe UI" w:cs="Segoe UI" w:eastAsia="Segoe UI"/>
                <w:b/>
                <w:color w:val="0F4761"/>
                <w:sz w:val="16"/>
              </w:rPr>
              <w:t>Client System Administrator and L1</w:t>
            </w:r>
          </w:p>
        </w:tc>
        <w:tc>
          <w:tcPr>
            <w:tcW w:type="dxa" w:w="1796"/>
            <w:shd w:val="clear" w:color="auto" w:fill="DCE9F7"/>
          </w:tcPr>
          <w:p>
            <w:pPr>
              <w:spacing w:after="20"/>
            </w:pPr>
            <w:r>
              <w:rPr>
                <w:rFonts w:ascii="Segoe UI" w:hAnsi="Segoe UI" w:cs="Segoe UI" w:eastAsia="Segoe UI"/>
                <w:b/>
                <w:color w:val="0F4761"/>
                <w:sz w:val="16"/>
              </w:rPr>
              <w:t>Client IT head and change owner</w:t>
            </w:r>
          </w:p>
        </w:tc>
        <w:tc>
          <w:tcPr>
            <w:tcW w:type="dxa" w:w="1134"/>
            <w:shd w:val="clear" w:color="auto" w:fill="DCE9F7"/>
          </w:tcPr>
          <w:p>
            <w:pPr>
              <w:spacing w:after="20"/>
            </w:pPr>
            <w:r>
              <w:rPr>
                <w:rFonts w:ascii="Segoe UI" w:hAnsi="Segoe UI" w:cs="Segoe UI" w:eastAsia="Segoe UI"/>
                <w:b/>
                <w:color w:val="0F4761"/>
                <w:sz w:val="16"/>
              </w:rPr>
              <w:t>Client sponsor</w:t>
            </w:r>
          </w:p>
        </w:tc>
      </w:tr>
      <w:tr>
        <w:tc>
          <w:tcPr>
            <w:tcW w:type="dxa" w:w="2782"/>
          </w:tcPr>
          <w:p>
            <w:pPr>
              <w:spacing w:after="20"/>
            </w:pPr>
            <w:r>
              <w:rPr>
                <w:rFonts w:ascii="Segoe UI" w:hAnsi="Segoe UI" w:cs="Segoe UI" w:eastAsia="Segoe UI"/>
                <w:color w:val="101820"/>
                <w:sz w:val="16"/>
              </w:rPr>
              <w:t>How-to questions; user, role and password resets</w:t>
            </w:r>
          </w:p>
        </w:tc>
        <w:tc>
          <w:tcPr>
            <w:tcW w:type="dxa" w:w="1265"/>
          </w:tcPr>
          <w:p>
            <w:pPr>
              <w:spacing w:after="20"/>
            </w:pPr>
            <w:r>
              <w:rPr>
                <w:rFonts w:ascii="Segoe UI" w:hAnsi="Segoe UI" w:cs="Segoe UI" w:eastAsia="Segoe UI"/>
                <w:color w:val="101820"/>
                <w:sz w:val="16"/>
              </w:rPr>
              <w:t>I</w:t>
            </w:r>
          </w:p>
        </w:tc>
        <w:tc>
          <w:tcPr>
            <w:tcW w:type="dxa" w:w="2038"/>
          </w:tcPr>
          <w:p>
            <w:pPr>
              <w:spacing w:after="20"/>
            </w:pPr>
            <w:r>
              <w:rPr>
                <w:rFonts w:ascii="Segoe UI" w:hAnsi="Segoe UI" w:cs="Segoe UI" w:eastAsia="Segoe UI"/>
                <w:color w:val="101820"/>
                <w:sz w:val="16"/>
              </w:rPr>
              <w:t>R, A</w:t>
            </w:r>
          </w:p>
        </w:tc>
        <w:tc>
          <w:tcPr>
            <w:tcW w:type="dxa" w:w="1796"/>
          </w:tcPr>
          <w:p>
            <w:pPr>
              <w:spacing w:after="20"/>
            </w:pPr>
            <w:r>
              <w:rPr>
                <w:rFonts w:ascii="Segoe UI" w:hAnsi="Segoe UI" w:cs="Segoe UI" w:eastAsia="Segoe UI"/>
                <w:color w:val="101820"/>
                <w:sz w:val="16"/>
              </w:rPr>
              <w:t>I</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Logging a ticket with the minimum content</w:t>
            </w:r>
          </w:p>
        </w:tc>
        <w:tc>
          <w:tcPr>
            <w:tcW w:type="dxa" w:w="1265"/>
          </w:tcPr>
          <w:p>
            <w:pPr>
              <w:spacing w:after="20"/>
            </w:pPr>
            <w:r>
              <w:rPr>
                <w:rFonts w:ascii="Segoe UI" w:hAnsi="Segoe UI" w:cs="Segoe UI" w:eastAsia="Segoe UI"/>
                <w:color w:val="101820"/>
                <w:sz w:val="16"/>
              </w:rPr>
              <w:t>C</w:t>
            </w:r>
          </w:p>
        </w:tc>
        <w:tc>
          <w:tcPr>
            <w:tcW w:type="dxa" w:w="2038"/>
          </w:tcPr>
          <w:p>
            <w:pPr>
              <w:spacing w:after="20"/>
            </w:pPr>
            <w:r>
              <w:rPr>
                <w:rFonts w:ascii="Segoe UI" w:hAnsi="Segoe UI" w:cs="Segoe UI" w:eastAsia="Segoe UI"/>
                <w:color w:val="101820"/>
                <w:sz w:val="16"/>
              </w:rPr>
              <w:t>R</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Severity at triage</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Incident diagnosis, workaround and fix</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I</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P1 incident communication to users</w:t>
            </w:r>
          </w:p>
        </w:tc>
        <w:tc>
          <w:tcPr>
            <w:tcW w:type="dxa" w:w="1265"/>
          </w:tcPr>
          <w:p>
            <w:pPr>
              <w:spacing w:after="20"/>
            </w:pPr>
            <w:r>
              <w:rPr>
                <w:rFonts w:ascii="Segoe UI" w:hAnsi="Segoe UI" w:cs="Segoe UI" w:eastAsia="Segoe UI"/>
                <w:color w:val="101820"/>
                <w:sz w:val="16"/>
              </w:rPr>
              <w:t>C</w:t>
            </w:r>
          </w:p>
        </w:tc>
        <w:tc>
          <w:tcPr>
            <w:tcW w:type="dxa" w:w="2038"/>
          </w:tcPr>
          <w:p>
            <w:pPr>
              <w:spacing w:after="20"/>
            </w:pPr>
            <w:r>
              <w:rPr>
                <w:rFonts w:ascii="Segoe UI" w:hAnsi="Segoe UI" w:cs="Segoe UI" w:eastAsia="Segoe UI"/>
                <w:color w:val="101820"/>
                <w:sz w:val="16"/>
              </w:rPr>
              <w:t>R</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I</w:t>
            </w:r>
          </w:p>
        </w:tc>
      </w:tr>
      <w:tr>
        <w:tc>
          <w:tcPr>
            <w:tcW w:type="dxa" w:w="2782"/>
          </w:tcPr>
          <w:p>
            <w:pPr>
              <w:spacing w:after="20"/>
            </w:pPr>
            <w:r>
              <w:rPr>
                <w:rFonts w:ascii="Segoe UI" w:hAnsi="Segoe UI" w:cs="Segoe UI" w:eastAsia="Segoe UI"/>
                <w:color w:val="101820"/>
                <w:sz w:val="16"/>
              </w:rPr>
              <w:t>Standard changes (users, master records, e-mail texts)</w:t>
            </w:r>
          </w:p>
        </w:tc>
        <w:tc>
          <w:tcPr>
            <w:tcW w:type="dxa" w:w="1265"/>
          </w:tcPr>
          <w:p>
            <w:pPr>
              <w:spacing w:after="20"/>
            </w:pPr>
            <w:r>
              <w:rPr>
                <w:rFonts w:ascii="Segoe UI" w:hAnsi="Segoe UI" w:cs="Segoe UI" w:eastAsia="Segoe UI"/>
                <w:color w:val="101820"/>
                <w:sz w:val="16"/>
              </w:rPr>
              <w:t>I</w:t>
            </w:r>
          </w:p>
        </w:tc>
        <w:tc>
          <w:tcPr>
            <w:tcW w:type="dxa" w:w="2038"/>
          </w:tcPr>
          <w:p>
            <w:pPr>
              <w:spacing w:after="20"/>
            </w:pPr>
            <w:r>
              <w:rPr>
                <w:rFonts w:ascii="Segoe UI" w:hAnsi="Segoe UI" w:cs="Segoe UI" w:eastAsia="Segoe UI"/>
                <w:color w:val="101820"/>
                <w:sz w:val="16"/>
              </w:rPr>
              <w:t>R, A</w:t>
            </w:r>
          </w:p>
        </w:tc>
        <w:tc>
          <w:tcPr>
            <w:tcW w:type="dxa" w:w="1796"/>
          </w:tcPr>
          <w:p>
            <w:pPr>
              <w:spacing w:after="20"/>
            </w:pPr>
            <w:r>
              <w:rPr>
                <w:rFonts w:ascii="Segoe UI" w:hAnsi="Segoe UI" w:cs="Segoe UI" w:eastAsia="Segoe UI"/>
                <w:color w:val="101820"/>
                <w:sz w:val="16"/>
              </w:rPr>
              <w:t>I</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Normal changes in production (release, tax rate, posting rule, data correction)</w:t>
            </w:r>
          </w:p>
        </w:tc>
        <w:tc>
          <w:tcPr>
            <w:tcW w:type="dxa" w:w="1265"/>
          </w:tcPr>
          <w:p>
            <w:pPr>
              <w:spacing w:after="20"/>
            </w:pPr>
            <w:r>
              <w:rPr>
                <w:rFonts w:ascii="Segoe UI" w:hAnsi="Segoe UI" w:cs="Segoe UI" w:eastAsia="Segoe UI"/>
                <w:color w:val="101820"/>
                <w:sz w:val="16"/>
              </w:rPr>
              <w:t>R</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Emergency change for a P1 or a security patch</w:t>
            </w:r>
          </w:p>
        </w:tc>
        <w:tc>
          <w:tcPr>
            <w:tcW w:type="dxa" w:w="1265"/>
          </w:tcPr>
          <w:p>
            <w:pPr>
              <w:spacing w:after="20"/>
            </w:pPr>
            <w:r>
              <w:rPr>
                <w:rFonts w:ascii="Segoe UI" w:hAnsi="Segoe UI" w:cs="Segoe UI" w:eastAsia="Segoe UI"/>
                <w:color w:val="101820"/>
                <w:sz w:val="16"/>
              </w:rPr>
              <w:t>R</w:t>
            </w:r>
          </w:p>
        </w:tc>
        <w:tc>
          <w:tcPr>
            <w:tcW w:type="dxa" w:w="2038"/>
          </w:tcPr>
          <w:p>
            <w:pPr>
              <w:spacing w:after="20"/>
            </w:pPr>
            <w:r>
              <w:rPr>
                <w:rFonts w:ascii="Segoe UI" w:hAnsi="Segoe UI" w:cs="Segoe UI" w:eastAsia="Segoe UI"/>
                <w:color w:val="101820"/>
                <w:sz w:val="16"/>
              </w:rPr>
              <w:t>I</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I</w:t>
            </w:r>
          </w:p>
        </w:tc>
      </w:tr>
      <w:tr>
        <w:tc>
          <w:tcPr>
            <w:tcW w:type="dxa" w:w="2782"/>
          </w:tcPr>
          <w:p>
            <w:pPr>
              <w:spacing w:after="20"/>
            </w:pPr>
            <w:r>
              <w:rPr>
                <w:rFonts w:ascii="Segoe UI" w:hAnsi="Segoe UI" w:cs="Segoe UI" w:eastAsia="Segoe UI"/>
                <w:color w:val="101820"/>
                <w:sz w:val="16"/>
              </w:rPr>
              <w:t>Release testing in UAT</w:t>
            </w:r>
          </w:p>
        </w:tc>
        <w:tc>
          <w:tcPr>
            <w:tcW w:type="dxa" w:w="1265"/>
          </w:tcPr>
          <w:p>
            <w:pPr>
              <w:spacing w:after="20"/>
            </w:pPr>
            <w:r>
              <w:rPr>
                <w:rFonts w:ascii="Segoe UI" w:hAnsi="Segoe UI" w:cs="Segoe UI" w:eastAsia="Segoe UI"/>
                <w:color w:val="101820"/>
                <w:sz w:val="16"/>
              </w:rPr>
              <w:t>C</w:t>
            </w:r>
          </w:p>
        </w:tc>
        <w:tc>
          <w:tcPr>
            <w:tcW w:type="dxa" w:w="2038"/>
          </w:tcPr>
          <w:p>
            <w:pPr>
              <w:spacing w:after="20"/>
            </w:pPr>
            <w:r>
              <w:rPr>
                <w:rFonts w:ascii="Segoe UI" w:hAnsi="Segoe UI" w:cs="Segoe UI" w:eastAsia="Segoe UI"/>
                <w:color w:val="101820"/>
                <w:sz w:val="16"/>
              </w:rPr>
              <w:t>R</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Release deployment (iorta TechNXT hosts)</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I</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Release deployment (Client hosts)</w:t>
            </w:r>
          </w:p>
        </w:tc>
        <w:tc>
          <w:tcPr>
            <w:tcW w:type="dxa" w:w="1265"/>
          </w:tcPr>
          <w:p>
            <w:pPr>
              <w:spacing w:after="20"/>
            </w:pPr>
            <w:r>
              <w:rPr>
                <w:rFonts w:ascii="Segoe UI" w:hAnsi="Segoe UI" w:cs="Segoe UI" w:eastAsia="Segoe UI"/>
                <w:color w:val="101820"/>
                <w:sz w:val="16"/>
              </w:rPr>
              <w:t>C</w:t>
            </w:r>
          </w:p>
        </w:tc>
        <w:tc>
          <w:tcPr>
            <w:tcW w:type="dxa" w:w="2038"/>
          </w:tcPr>
          <w:p>
            <w:pPr>
              <w:spacing w:after="20"/>
            </w:pPr>
            <w:r>
              <w:rPr>
                <w:rFonts w:ascii="Segoe UI" w:hAnsi="Segoe UI" w:cs="Segoe UI" w:eastAsia="Segoe UI"/>
                <w:color w:val="101820"/>
                <w:sz w:val="16"/>
              </w:rPr>
              <w:t>R</w:t>
            </w:r>
          </w:p>
        </w:tc>
        <w:tc>
          <w:tcPr>
            <w:tcW w:type="dxa" w:w="1796"/>
          </w:tcPr>
          <w:p>
            <w:pPr>
              <w:spacing w:after="20"/>
            </w:pPr>
            <w:r>
              <w:rPr>
                <w:rFonts w:ascii="Segoe UI" w:hAnsi="Segoe UI" w:cs="Segoe UI" w:eastAsia="Segoe UI"/>
                <w:color w:val="101820"/>
                <w:sz w:val="16"/>
              </w:rPr>
              <w:t>A</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Backups, monitoring and restore tests (iorta TechNXT hosts)</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I</w:t>
            </w:r>
          </w:p>
        </w:tc>
        <w:tc>
          <w:tcPr>
            <w:tcW w:type="dxa" w:w="1796"/>
          </w:tcPr>
          <w:p>
            <w:pPr>
              <w:spacing w:after="20"/>
            </w:pPr>
            <w:r>
              <w:rPr>
                <w:rFonts w:ascii="Segoe UI" w:hAnsi="Segoe UI" w:cs="Segoe UI" w:eastAsia="Segoe UI"/>
                <w:color w:val="101820"/>
                <w:sz w:val="16"/>
              </w:rPr>
              <w:t>I</w:t>
            </w:r>
          </w:p>
        </w:tc>
        <w:tc>
          <w:tcPr>
            <w:tcW w:type="dxa" w:w="1134"/>
          </w:tcPr>
          <w:p>
            <w:pPr>
              <w:spacing w:after="20"/>
            </w:pPr>
            <w:r>
              <w:rPr>
                <w:rFonts w:ascii="Segoe UI" w:hAnsi="Segoe UI" w:cs="Segoe UI" w:eastAsia="Segoe UI"/>
                <w:color w:val="101820"/>
                <w:sz w:val="16"/>
              </w:rPr>
              <w:t>Not applicable</w:t>
            </w:r>
          </w:p>
        </w:tc>
      </w:tr>
      <w:tr>
        <w:tc>
          <w:tcPr>
            <w:tcW w:type="dxa" w:w="2782"/>
          </w:tcPr>
          <w:p>
            <w:pPr>
              <w:spacing w:after="20"/>
            </w:pPr>
            <w:r>
              <w:rPr>
                <w:rFonts w:ascii="Segoe UI" w:hAnsi="Segoe UI" w:cs="Segoe UI" w:eastAsia="Segoe UI"/>
                <w:color w:val="101820"/>
                <w:sz w:val="16"/>
              </w:rPr>
              <w:t>Monthly service report and review</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I</w:t>
            </w:r>
          </w:p>
        </w:tc>
      </w:tr>
      <w:tr>
        <w:tc>
          <w:tcPr>
            <w:tcW w:type="dxa" w:w="2782"/>
          </w:tcPr>
          <w:p>
            <w:pPr>
              <w:spacing w:after="20"/>
            </w:pPr>
            <w:r>
              <w:rPr>
                <w:rFonts w:ascii="Segoe UI" w:hAnsi="Segoe UI" w:cs="Segoe UI" w:eastAsia="Segoe UI"/>
                <w:color w:val="101820"/>
                <w:sz w:val="16"/>
              </w:rPr>
              <w:t>Root-cause analysis of a P1</w:t>
            </w:r>
          </w:p>
        </w:tc>
        <w:tc>
          <w:tcPr>
            <w:tcW w:type="dxa" w:w="1265"/>
          </w:tcPr>
          <w:p>
            <w:pPr>
              <w:spacing w:after="20"/>
            </w:pPr>
            <w:r>
              <w:rPr>
                <w:rFonts w:ascii="Segoe UI" w:hAnsi="Segoe UI" w:cs="Segoe UI" w:eastAsia="Segoe UI"/>
                <w:color w:val="101820"/>
                <w:sz w:val="16"/>
              </w:rPr>
              <w:t>R, A</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I</w:t>
            </w:r>
          </w:p>
        </w:tc>
        <w:tc>
          <w:tcPr>
            <w:tcW w:type="dxa" w:w="1134"/>
          </w:tcPr>
          <w:p>
            <w:pPr>
              <w:spacing w:after="20"/>
            </w:pPr>
            <w:r>
              <w:rPr>
                <w:rFonts w:ascii="Segoe UI" w:hAnsi="Segoe UI" w:cs="Segoe UI" w:eastAsia="Segoe UI"/>
                <w:color w:val="101820"/>
                <w:sz w:val="16"/>
              </w:rPr>
              <w:t>I</w:t>
            </w:r>
          </w:p>
        </w:tc>
      </w:tr>
      <w:tr>
        <w:tc>
          <w:tcPr>
            <w:tcW w:type="dxa" w:w="2782"/>
          </w:tcPr>
          <w:p>
            <w:pPr>
              <w:spacing w:after="20"/>
            </w:pPr>
            <w:r>
              <w:rPr>
                <w:rFonts w:ascii="Segoe UI" w:hAnsi="Segoe UI" w:cs="Segoe UI" w:eastAsia="Segoe UI"/>
                <w:color w:val="101820"/>
                <w:sz w:val="16"/>
              </w:rPr>
              <w:t>Suspected personal data breach: facts and containment</w:t>
            </w:r>
          </w:p>
        </w:tc>
        <w:tc>
          <w:tcPr>
            <w:tcW w:type="dxa" w:w="1265"/>
          </w:tcPr>
          <w:p>
            <w:pPr>
              <w:spacing w:after="20"/>
            </w:pPr>
            <w:r>
              <w:rPr>
                <w:rFonts w:ascii="Segoe UI" w:hAnsi="Segoe UI" w:cs="Segoe UI" w:eastAsia="Segoe UI"/>
                <w:color w:val="101820"/>
                <w:sz w:val="16"/>
              </w:rPr>
              <w:t>R</w:t>
            </w:r>
          </w:p>
        </w:tc>
        <w:tc>
          <w:tcPr>
            <w:tcW w:type="dxa" w:w="2038"/>
          </w:tcPr>
          <w:p>
            <w:pPr>
              <w:spacing w:after="20"/>
            </w:pPr>
            <w:r>
              <w:rPr>
                <w:rFonts w:ascii="Segoe UI" w:hAnsi="Segoe UI" w:cs="Segoe UI" w:eastAsia="Segoe UI"/>
                <w:color w:val="101820"/>
                <w:sz w:val="16"/>
              </w:rPr>
              <w:t>C</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I</w:t>
            </w:r>
          </w:p>
        </w:tc>
      </w:tr>
      <w:tr>
        <w:tc>
          <w:tcPr>
            <w:tcW w:type="dxa" w:w="2782"/>
          </w:tcPr>
          <w:p>
            <w:pPr>
              <w:spacing w:after="20"/>
            </w:pPr>
            <w:r>
              <w:rPr>
                <w:rFonts w:ascii="Segoe UI" w:hAnsi="Segoe UI" w:cs="Segoe UI" w:eastAsia="Segoe UI"/>
                <w:color w:val="101820"/>
                <w:sz w:val="16"/>
              </w:rPr>
              <w:t>Suspected personal data breach: notification to the NPC and data subjects</w:t>
            </w:r>
          </w:p>
        </w:tc>
        <w:tc>
          <w:tcPr>
            <w:tcW w:type="dxa" w:w="1265"/>
          </w:tcPr>
          <w:p>
            <w:pPr>
              <w:spacing w:after="20"/>
            </w:pPr>
            <w:r>
              <w:rPr>
                <w:rFonts w:ascii="Segoe UI" w:hAnsi="Segoe UI" w:cs="Segoe UI" w:eastAsia="Segoe UI"/>
                <w:color w:val="101820"/>
                <w:sz w:val="16"/>
              </w:rPr>
              <w:t>C</w:t>
            </w:r>
          </w:p>
        </w:tc>
        <w:tc>
          <w:tcPr>
            <w:tcW w:type="dxa" w:w="2038"/>
          </w:tcPr>
          <w:p>
            <w:pPr>
              <w:spacing w:after="20"/>
            </w:pPr>
            <w:r>
              <w:rPr>
                <w:rFonts w:ascii="Segoe UI" w:hAnsi="Segoe UI" w:cs="Segoe UI" w:eastAsia="Segoe UI"/>
                <w:color w:val="101820"/>
                <w:sz w:val="16"/>
              </w:rPr>
              <w:t>I</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A</w:t>
            </w:r>
          </w:p>
          <w:p>
            <w:r>
              <w:rPr>
                <w:rFonts w:ascii="Segoe UI" w:hAnsi="Segoe UI" w:cs="Segoe UI" w:eastAsia="Segoe UI"/>
                <w:color w:val="101820"/>
                <w:sz w:val="16"/>
              </w:rPr>
              <w:t>Client DPO R</w:t>
            </w:r>
          </w:p>
        </w:tc>
      </w:tr>
      <w:tr>
        <w:tc>
          <w:tcPr>
            <w:tcW w:type="dxa" w:w="2782"/>
          </w:tcPr>
          <w:p>
            <w:pPr>
              <w:spacing w:after="20"/>
            </w:pPr>
            <w:r>
              <w:rPr>
                <w:rFonts w:ascii="Segoe UI" w:hAnsi="Segoe UI" w:cs="Segoe UI" w:eastAsia="Segoe UI"/>
                <w:color w:val="101820"/>
                <w:sz w:val="16"/>
              </w:rPr>
              <w:t>Regulatory filings and returns (BIR, IC, NPC, AMLC)</w:t>
            </w:r>
          </w:p>
        </w:tc>
        <w:tc>
          <w:tcPr>
            <w:tcW w:type="dxa" w:w="1265"/>
          </w:tcPr>
          <w:p>
            <w:pPr>
              <w:spacing w:after="20"/>
            </w:pPr>
            <w:r>
              <w:rPr>
                <w:rFonts w:ascii="Segoe UI" w:hAnsi="Segoe UI" w:cs="Segoe UI" w:eastAsia="Segoe UI"/>
                <w:color w:val="101820"/>
                <w:sz w:val="16"/>
              </w:rPr>
              <w:t>Not applicable</w:t>
            </w:r>
          </w:p>
        </w:tc>
        <w:tc>
          <w:tcPr>
            <w:tcW w:type="dxa" w:w="2038"/>
          </w:tcPr>
          <w:p>
            <w:pPr>
              <w:spacing w:after="20"/>
            </w:pPr>
            <w:r>
              <w:rPr>
                <w:rFonts w:ascii="Segoe UI" w:hAnsi="Segoe UI" w:cs="Segoe UI" w:eastAsia="Segoe UI"/>
                <w:color w:val="101820"/>
                <w:sz w:val="16"/>
              </w:rPr>
              <w:t>R</w:t>
            </w:r>
          </w:p>
        </w:tc>
        <w:tc>
          <w:tcPr>
            <w:tcW w:type="dxa" w:w="1796"/>
          </w:tcPr>
          <w:p>
            <w:pPr>
              <w:spacing w:after="20"/>
            </w:pPr>
            <w:r>
              <w:rPr>
                <w:rFonts w:ascii="Segoe UI" w:hAnsi="Segoe UI" w:cs="Segoe UI" w:eastAsia="Segoe UI"/>
                <w:color w:val="101820"/>
                <w:sz w:val="16"/>
              </w:rPr>
              <w:t>C</w:t>
            </w:r>
          </w:p>
        </w:tc>
        <w:tc>
          <w:tcPr>
            <w:tcW w:type="dxa" w:w="1134"/>
          </w:tcPr>
          <w:p>
            <w:pPr>
              <w:spacing w:after="20"/>
            </w:pPr>
            <w:r>
              <w:rPr>
                <w:rFonts w:ascii="Segoe UI" w:hAnsi="Segoe UI" w:cs="Segoe UI" w:eastAsia="Segoe UI"/>
                <w:color w:val="101820"/>
                <w:sz w:val="16"/>
              </w:rPr>
              <w:t>A</w:t>
            </w:r>
          </w:p>
        </w:tc>
      </w:tr>
    </w:tbl>
    <w:p>
      <w:pPr>
        <w:pStyle w:val="Heading1"/>
        <w:pageBreakBefore/>
      </w:pPr>
      <w:r>
        <w:rPr>
          <w:rFonts w:ascii="Segoe UI" w:hAnsi="Segoe UI" w:cs="Segoe UI" w:eastAsia="Segoe UI"/>
          <w:b/>
          <w:color w:val="0F4761"/>
          <w:sz w:val="32"/>
        </w:rPr>
        <w:t>7.  Effect of a late or missing Client responsibility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Situation</w:t>
            </w:r>
          </w:p>
        </w:tc>
        <w:tc>
          <w:tcPr>
            <w:tcW w:type="dxa" w:w="3005"/>
            <w:shd w:val="clear" w:color="auto" w:fill="DCE9F7"/>
          </w:tcPr>
          <w:p>
            <w:pPr>
              <w:spacing w:after="20"/>
            </w:pPr>
            <w:r>
              <w:rPr>
                <w:rFonts w:ascii="Segoe UI" w:hAnsi="Segoe UI" w:cs="Segoe UI" w:eastAsia="Segoe UI"/>
                <w:b/>
                <w:color w:val="0F4761"/>
                <w:sz w:val="18"/>
              </w:rPr>
              <w:t>Effect</w:t>
            </w:r>
          </w:p>
        </w:tc>
        <w:tc>
          <w:tcPr>
            <w:tcW w:type="dxa" w:w="3005"/>
            <w:shd w:val="clear" w:color="auto" w:fill="DCE9F7"/>
          </w:tcPr>
          <w:p>
            <w:pPr>
              <w:spacing w:after="20"/>
            </w:pPr>
            <w:r>
              <w:rPr>
                <w:rFonts w:ascii="Segoe UI" w:hAnsi="Segoe UI" w:cs="Segoe UI" w:eastAsia="Segoe UI"/>
                <w:b/>
                <w:color w:val="0F4761"/>
                <w:sz w:val="18"/>
              </w:rPr>
              <w:t>Source</w:t>
            </w:r>
          </w:p>
        </w:tc>
      </w:tr>
      <w:tr>
        <w:tc>
          <w:tcPr>
            <w:tcW w:type="dxa" w:w="3005"/>
          </w:tcPr>
          <w:p>
            <w:pPr>
              <w:spacing w:after="20"/>
            </w:pPr>
            <w:r>
              <w:rPr>
                <w:rFonts w:ascii="Segoe UI" w:hAnsi="Segoe UI" w:cs="Segoe UI" w:eastAsia="Segoe UI"/>
                <w:color w:val="101820"/>
                <w:sz w:val="18"/>
              </w:rPr>
              <w:t>A Client dependency is late or not met</w:t>
            </w:r>
          </w:p>
        </w:tc>
        <w:tc>
          <w:tcPr>
            <w:tcW w:type="dxa" w:w="3005"/>
          </w:tcPr>
          <w:p>
            <w:pPr>
              <w:spacing w:after="20"/>
            </w:pPr>
            <w:r>
              <w:rPr>
                <w:rFonts w:ascii="Segoe UI" w:hAnsi="Segoe UI" w:cs="Segoe UI" w:eastAsia="Segoe UI"/>
                <w:color w:val="101820"/>
                <w:sz w:val="18"/>
              </w:rPr>
              <w:t>The timeline moves by the time lost; iorta TechNXT may charge the extra effort at the day rates of the Order Form, after written notice</w:t>
            </w:r>
          </w:p>
        </w:tc>
        <w:tc>
          <w:tcPr>
            <w:tcW w:type="dxa" w:w="3005"/>
          </w:tcPr>
          <w:p>
            <w:pPr>
              <w:spacing w:after="20"/>
            </w:pPr>
            <w:r>
              <w:rPr>
                <w:rFonts w:ascii="Segoe UI" w:hAnsi="Segoe UI" w:cs="Segoe UI" w:eastAsia="Segoe UI"/>
                <w:color w:val="101820"/>
                <w:sz w:val="18"/>
              </w:rPr>
              <w:t>MSA, Client responsibilities</w:t>
            </w:r>
          </w:p>
        </w:tc>
      </w:tr>
      <w:tr>
        <w:tc>
          <w:tcPr>
            <w:tcW w:type="dxa" w:w="3005"/>
          </w:tcPr>
          <w:p>
            <w:pPr>
              <w:spacing w:after="20"/>
            </w:pPr>
            <w:r>
              <w:rPr>
                <w:rFonts w:ascii="Segoe UI" w:hAnsi="Segoe UI" w:cs="Segoe UI" w:eastAsia="Segoe UI"/>
                <w:color w:val="101820"/>
                <w:sz w:val="18"/>
              </w:rPr>
              <w:t>A delay moves the go-live date</w:t>
            </w:r>
          </w:p>
        </w:tc>
        <w:tc>
          <w:tcPr>
            <w:tcW w:type="dxa" w:w="3005"/>
          </w:tcPr>
          <w:p>
            <w:pPr>
              <w:spacing w:after="20"/>
            </w:pPr>
            <w:r>
              <w:rPr>
                <w:rFonts w:ascii="Segoe UI" w:hAnsi="Segoe UI" w:cs="Segoe UI" w:eastAsia="Segoe UI"/>
                <w:color w:val="101820"/>
                <w:sz w:val="18"/>
              </w:rPr>
              <w:t>Recorded in the RAID log; the steering committee agrees a revised plan; additional effort is a Change Request</w:t>
            </w:r>
          </w:p>
        </w:tc>
        <w:tc>
          <w:tcPr>
            <w:tcW w:type="dxa" w:w="3005"/>
          </w:tcPr>
          <w:p>
            <w:pPr>
              <w:spacing w:after="20"/>
            </w:pPr>
            <w:r>
              <w:rPr>
                <w:rFonts w:ascii="Segoe UI" w:hAnsi="Segoe UI" w:cs="Segoe UI" w:eastAsia="Segoe UI"/>
                <w:color w:val="101820"/>
                <w:sz w:val="18"/>
              </w:rPr>
              <w:t>SOW, Change control</w:t>
            </w:r>
          </w:p>
        </w:tc>
      </w:tr>
      <w:tr>
        <w:tc>
          <w:tcPr>
            <w:tcW w:type="dxa" w:w="3005"/>
          </w:tcPr>
          <w:p>
            <w:pPr>
              <w:spacing w:after="20"/>
            </w:pPr>
            <w:r>
              <w:rPr>
                <w:rFonts w:ascii="Segoe UI" w:hAnsi="Segoe UI" w:cs="Segoe UI" w:eastAsia="Segoe UI"/>
                <w:color w:val="101820"/>
                <w:sz w:val="18"/>
              </w:rPr>
              <w:t>A payment milestone is delayed by more than 30 days for reasons attributable to the Client</w:t>
            </w:r>
          </w:p>
        </w:tc>
        <w:tc>
          <w:tcPr>
            <w:tcW w:type="dxa" w:w="3005"/>
          </w:tcPr>
          <w:p>
            <w:pPr>
              <w:spacing w:after="20"/>
            </w:pPr>
            <w:r>
              <w:rPr>
                <w:rFonts w:ascii="Segoe UI" w:hAnsi="Segoe UI" w:cs="Segoe UI" w:eastAsia="Segoe UI"/>
                <w:color w:val="101820"/>
                <w:sz w:val="18"/>
              </w:rPr>
              <w:t>iorta TechNXT may invoice the milestone on its planned date</w:t>
            </w:r>
          </w:p>
        </w:tc>
        <w:tc>
          <w:tcPr>
            <w:tcW w:type="dxa" w:w="3005"/>
          </w:tcPr>
          <w:p>
            <w:pPr>
              <w:spacing w:after="20"/>
            </w:pPr>
            <w:r>
              <w:rPr>
                <w:rFonts w:ascii="Segoe UI" w:hAnsi="Segoe UI" w:cs="Segoe UI" w:eastAsia="Segoe UI"/>
                <w:color w:val="101820"/>
                <w:sz w:val="18"/>
              </w:rPr>
              <w:t>SOW, Milestone payments</w:t>
            </w:r>
          </w:p>
        </w:tc>
      </w:tr>
      <w:tr>
        <w:tc>
          <w:tcPr>
            <w:tcW w:type="dxa" w:w="3005"/>
          </w:tcPr>
          <w:p>
            <w:pPr>
              <w:spacing w:after="20"/>
            </w:pPr>
            <w:r>
              <w:rPr>
                <w:rFonts w:ascii="Segoe UI" w:hAnsi="Segoe UI" w:cs="Segoe UI" w:eastAsia="Segoe UI"/>
                <w:color w:val="101820"/>
                <w:sz w:val="18"/>
              </w:rPr>
              <w:t>Go-Live is delayed by more than [60] days for reasons attributable to the Client (perpetual)</w:t>
            </w:r>
          </w:p>
        </w:tc>
        <w:tc>
          <w:tcPr>
            <w:tcW w:type="dxa" w:w="3005"/>
          </w:tcPr>
          <w:p>
            <w:pPr>
              <w:spacing w:after="20"/>
            </w:pPr>
            <w:r>
              <w:rPr>
                <w:rFonts w:ascii="Segoe UI" w:hAnsi="Segoe UI" w:cs="Segoe UI" w:eastAsia="Segoe UI"/>
                <w:color w:val="101820"/>
                <w:sz w:val="18"/>
              </w:rPr>
              <w:t>The Licence Fee becomes payable on the planned Go-Live date</w:t>
            </w:r>
          </w:p>
        </w:tc>
        <w:tc>
          <w:tcPr>
            <w:tcW w:type="dxa" w:w="3005"/>
          </w:tcPr>
          <w:p>
            <w:pPr>
              <w:spacing w:after="20"/>
            </w:pPr>
            <w:r>
              <w:rPr>
                <w:rFonts w:ascii="Segoe UI" w:hAnsi="Segoe UI" w:cs="Segoe UI" w:eastAsia="Segoe UI"/>
                <w:color w:val="101820"/>
                <w:sz w:val="18"/>
              </w:rPr>
              <w:t>Perpetual Software Licence Agreement, Licence Fee</w:t>
            </w:r>
          </w:p>
        </w:tc>
      </w:tr>
      <w:tr>
        <w:tc>
          <w:tcPr>
            <w:tcW w:type="dxa" w:w="3005"/>
          </w:tcPr>
          <w:p>
            <w:pPr>
              <w:spacing w:after="20"/>
            </w:pPr>
            <w:r>
              <w:rPr>
                <w:rFonts w:ascii="Segoe UI" w:hAnsi="Segoe UI" w:cs="Segoe UI" w:eastAsia="Segoe UI"/>
                <w:color w:val="101820"/>
                <w:sz w:val="18"/>
              </w:rPr>
              <w:t>No written objection to a Deliverable within 5 Business Days</w:t>
            </w:r>
          </w:p>
        </w:tc>
        <w:tc>
          <w:tcPr>
            <w:tcW w:type="dxa" w:w="3005"/>
          </w:tcPr>
          <w:p>
            <w:pPr>
              <w:spacing w:after="20"/>
            </w:pPr>
            <w:r>
              <w:rPr>
                <w:rFonts w:ascii="Segoe UI" w:hAnsi="Segoe UI" w:cs="Segoe UI" w:eastAsia="Segoe UI"/>
                <w:color w:val="101820"/>
                <w:sz w:val="18"/>
              </w:rPr>
              <w:t>The Deliverable is deemed accepted</w:t>
            </w:r>
          </w:p>
        </w:tc>
        <w:tc>
          <w:tcPr>
            <w:tcW w:type="dxa" w:w="3005"/>
          </w:tcPr>
          <w:p>
            <w:pPr>
              <w:spacing w:after="20"/>
            </w:pPr>
            <w:r>
              <w:rPr>
                <w:rFonts w:ascii="Segoe UI" w:hAnsi="Segoe UI" w:cs="Segoe UI" w:eastAsia="Segoe UI"/>
                <w:color w:val="101820"/>
                <w:sz w:val="18"/>
              </w:rPr>
              <w:t>SOW, Acceptance procedure</w:t>
            </w:r>
          </w:p>
        </w:tc>
      </w:tr>
      <w:tr>
        <w:tc>
          <w:tcPr>
            <w:tcW w:type="dxa" w:w="3005"/>
          </w:tcPr>
          <w:p>
            <w:pPr>
              <w:spacing w:after="20"/>
            </w:pPr>
            <w:r>
              <w:rPr>
                <w:rFonts w:ascii="Segoe UI" w:hAnsi="Segoe UI" w:cs="Segoe UI" w:eastAsia="Segoe UI"/>
                <w:color w:val="101820"/>
                <w:sz w:val="18"/>
              </w:rPr>
              <w:t>A ticket waits for the Client</w:t>
            </w:r>
          </w:p>
        </w:tc>
        <w:tc>
          <w:tcPr>
            <w:tcW w:type="dxa" w:w="3005"/>
          </w:tcPr>
          <w:p>
            <w:pPr>
              <w:spacing w:after="20"/>
            </w:pPr>
            <w:r>
              <w:rPr>
                <w:rFonts w:ascii="Segoe UI" w:hAnsi="Segoe UI" w:cs="Segoe UI" w:eastAsia="Segoe UI"/>
                <w:color w:val="101820"/>
                <w:sz w:val="18"/>
              </w:rPr>
              <w:t>The SLA clock stops (status Awaiting customer); no service credit for the time</w:t>
            </w:r>
          </w:p>
        </w:tc>
        <w:tc>
          <w:tcPr>
            <w:tcW w:type="dxa" w:w="3005"/>
          </w:tcPr>
          <w:p>
            <w:pPr>
              <w:spacing w:after="20"/>
            </w:pPr>
            <w:r>
              <w:rPr>
                <w:rFonts w:ascii="Segoe UI" w:hAnsi="Segoe UI" w:cs="Segoe UI" w:eastAsia="Segoe UI"/>
                <w:color w:val="101820"/>
                <w:sz w:val="18"/>
              </w:rPr>
              <w:t>Support Agreement, Clock rules and Service credits</w:t>
            </w:r>
          </w:p>
        </w:tc>
      </w:tr>
      <w:tr>
        <w:tc>
          <w:tcPr>
            <w:tcW w:type="dxa" w:w="3005"/>
          </w:tcPr>
          <w:p>
            <w:pPr>
              <w:spacing w:after="20"/>
            </w:pPr>
            <w:r>
              <w:rPr>
                <w:rFonts w:ascii="Segoe UI" w:hAnsi="Segoe UI" w:cs="Segoe UI" w:eastAsia="Segoe UI"/>
                <w:color w:val="101820"/>
                <w:sz w:val="18"/>
              </w:rPr>
              <w:t>A ticket lacks the minimum content</w:t>
            </w:r>
          </w:p>
        </w:tc>
        <w:tc>
          <w:tcPr>
            <w:tcW w:type="dxa" w:w="3005"/>
          </w:tcPr>
          <w:p>
            <w:pPr>
              <w:spacing w:after="20"/>
            </w:pPr>
            <w:r>
              <w:rPr>
                <w:rFonts w:ascii="Segoe UI" w:hAnsi="Segoe UI" w:cs="Segoe UI" w:eastAsia="Segoe UI"/>
                <w:color w:val="101820"/>
                <w:sz w:val="18"/>
              </w:rPr>
              <w:t>No service credit for a missed target on that ticket</w:t>
            </w:r>
          </w:p>
        </w:tc>
        <w:tc>
          <w:tcPr>
            <w:tcW w:type="dxa" w:w="3005"/>
          </w:tcPr>
          <w:p>
            <w:pPr>
              <w:spacing w:after="20"/>
            </w:pPr>
            <w:r>
              <w:rPr>
                <w:rFonts w:ascii="Segoe UI" w:hAnsi="Segoe UI" w:cs="Segoe UI" w:eastAsia="Segoe UI"/>
                <w:color w:val="101820"/>
                <w:sz w:val="18"/>
              </w:rPr>
              <w:t>Support Agreement, Service credits</w:t>
            </w:r>
          </w:p>
        </w:tc>
      </w:tr>
      <w:tr>
        <w:tc>
          <w:tcPr>
            <w:tcW w:type="dxa" w:w="3005"/>
          </w:tcPr>
          <w:p>
            <w:pPr>
              <w:spacing w:after="20"/>
            </w:pPr>
            <w:r>
              <w:rPr>
                <w:rFonts w:ascii="Segoe UI" w:hAnsi="Segoe UI" w:cs="Segoe UI" w:eastAsia="Segoe UI"/>
                <w:color w:val="101820"/>
                <w:sz w:val="18"/>
              </w:rPr>
              <w:t>Release not applied by the Client</w:t>
            </w:r>
          </w:p>
        </w:tc>
        <w:tc>
          <w:tcPr>
            <w:tcW w:type="dxa" w:w="3005"/>
          </w:tcPr>
          <w:p>
            <w:pPr>
              <w:spacing w:after="20"/>
            </w:pPr>
            <w:r>
              <w:rPr>
                <w:rFonts w:ascii="Segoe UI" w:hAnsi="Segoe UI" w:cs="Segoe UI" w:eastAsia="Segoe UI"/>
                <w:color w:val="101820"/>
                <w:sz w:val="18"/>
              </w:rPr>
              <w:t>Support only for the current and the two previous planned releases</w:t>
            </w:r>
          </w:p>
        </w:tc>
        <w:tc>
          <w:tcPr>
            <w:tcW w:type="dxa" w:w="3005"/>
          </w:tcPr>
          <w:p>
            <w:pPr>
              <w:spacing w:after="20"/>
            </w:pPr>
            <w:r>
              <w:rPr>
                <w:rFonts w:ascii="Segoe UI" w:hAnsi="Segoe UI" w:cs="Segoe UI" w:eastAsia="Segoe UI"/>
                <w:color w:val="101820"/>
                <w:sz w:val="18"/>
              </w:rPr>
              <w:t>Support Agreement, Maintenance</w:t>
            </w:r>
          </w:p>
        </w:tc>
      </w:tr>
    </w:tbl>
    <w:p>
      <w:pPr>
        <w:pStyle w:val="Heading1"/>
        <w:pageBreakBefore/>
      </w:pPr>
      <w:r>
        <w:rPr>
          <w:rFonts w:ascii="Segoe UI" w:hAnsi="Segoe UI" w:cs="Segoe UI" w:eastAsia="Segoe UI"/>
          <w:b/>
          <w:color w:val="0F4761"/>
          <w:sz w:val="32"/>
        </w:rPr>
        <w:t>8.  Acceptance of this annex</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9.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