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Hosting and infrastructure services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Hosting and infrastructure services</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Hosting Agreement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Hosting Agreement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 Corp.</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Legal counsel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for discussion; subject to review by the parties' legal counsel</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AWS</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Amazon Web Services</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DPA</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Privacy Act of 2012 (RA 10173)</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DR</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Disaster recovery</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MSA</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Master Services Agreement</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NPC</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National Privacy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peso</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time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PITR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Point-in-time recovery</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RPO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Recovery point objective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RTO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Recovery time objective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TLS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Transport Layer Security</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USD</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United States dollar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WAF</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Web application firewall</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template</w:t>
      </w:r>
    </w:p>
    <w:p>
      <w:pPr>
        <w:shd w:val="clear" w:color="auto" w:fill="EAF2FB"/>
        <w:spacing w:after="160"/>
        <w:ind w:left="170"/>
      </w:pPr>
      <w:r>
        <w:rPr>
          <w:rFonts w:ascii="Segoe UI" w:hAnsi="Segoe UI" w:cs="Segoe UI" w:eastAsia="Segoe UI"/>
          <w:color w:val="101820"/>
          <w:sz w:val="20"/>
        </w:rPr>
        <w:t>Template for discussion; subject to review by the parties' legal counsel.</w:t>
      </w:r>
    </w:p>
    <w:p>
      <w:pPr>
        <w:spacing w:after="120" w:line="276" w:lineRule="auto"/>
      </w:pPr>
      <w:r>
        <w:rPr>
          <w:rFonts w:ascii="Segoe UI" w:hAnsi="Segoe UI" w:cs="Segoe UI" w:eastAsia="Segoe UI"/>
          <w:color w:val="101820"/>
          <w:sz w:val="21"/>
        </w:rPr>
        <w:t xml:space="preserve">This Hosting and Infrastructure Services Agreement (the </w:t>
      </w:r>
      <w:r>
        <w:rPr>
          <w:rFonts w:ascii="Segoe UI" w:hAnsi="Segoe UI" w:cs="Segoe UI" w:eastAsia="Segoe UI"/>
          <w:b/>
          <w:color w:val="101820"/>
          <w:sz w:val="21"/>
        </w:rPr>
        <w:t>Hosting Agreement</w:t>
      </w:r>
      <w:r>
        <w:rPr>
          <w:rFonts w:ascii="Segoe UI" w:hAnsi="Segoe UI" w:cs="Segoe UI" w:eastAsia="Segoe UI"/>
          <w:color w:val="101820"/>
          <w:sz w:val="21"/>
        </w:rPr>
        <w:t>) sets the terms on which iorta TechNXT Corp. (</w:t>
      </w:r>
      <w:r>
        <w:rPr>
          <w:rFonts w:ascii="Segoe UI" w:hAnsi="Segoe UI" w:cs="Segoe UI" w:eastAsia="Segoe UI"/>
          <w:b/>
          <w:color w:val="101820"/>
          <w:sz w:val="21"/>
        </w:rPr>
        <w:t>iorta TechNXT</w:t>
      </w:r>
      <w:r>
        <w:rPr>
          <w:rFonts w:ascii="Segoe UI" w:hAnsi="Segoe UI" w:cs="Segoe UI" w:eastAsia="Segoe UI"/>
          <w:color w:val="101820"/>
          <w:sz w:val="21"/>
        </w:rPr>
        <w:t xml:space="preserve">) hosts iNXT BrokerVerse OOTB for [Client legal name] (the </w:t>
      </w:r>
      <w:r>
        <w:rPr>
          <w:rFonts w:ascii="Segoe UI" w:hAnsi="Segoe UI" w:cs="Segoe UI" w:eastAsia="Segoe UI"/>
          <w:b/>
          <w:color w:val="101820"/>
          <w:sz w:val="21"/>
        </w:rPr>
        <w:t>Client</w:t>
      </w:r>
      <w:r>
        <w:rPr>
          <w:rFonts w:ascii="Segoe UI" w:hAnsi="Segoe UI" w:cs="Segoe UI" w:eastAsia="Segoe UI"/>
          <w:color w:val="101820"/>
          <w:sz w:val="21"/>
        </w:rPr>
        <w:t xml:space="preserve">). It forms part of the Master Services Agreement (the </w:t>
      </w:r>
      <w:r>
        <w:rPr>
          <w:rFonts w:ascii="Segoe UI" w:hAnsi="Segoe UI" w:cs="Segoe UI" w:eastAsia="Segoe UI"/>
          <w:b/>
          <w:color w:val="101820"/>
          <w:sz w:val="21"/>
        </w:rPr>
        <w:t>MSA</w:t>
      </w:r>
      <w:r>
        <w:rPr>
          <w:rFonts w:ascii="Segoe UI" w:hAnsi="Segoe UI" w:cs="Segoe UI" w:eastAsia="Segoe UI"/>
          <w:color w:val="101820"/>
          <w:sz w:val="21"/>
        </w:rPr>
        <w:t>) when an Order Form names it. Capitalised terms have the meaning given in the MSA. Text in [square brackets] is a placeholder or an option.</w:t>
      </w:r>
    </w:p>
    <w:p>
      <w:pPr>
        <w:pStyle w:val="Heading1"/>
        <w:pageBreakBefore/>
      </w:pPr>
      <w:r>
        <w:rPr>
          <w:rFonts w:ascii="Segoe UI" w:hAnsi="Segoe UI" w:cs="Segoe UI" w:eastAsia="Segoe UI"/>
          <w:b/>
          <w:color w:val="0F4761"/>
          <w:sz w:val="32"/>
        </w:rPr>
        <w:t>4.  Agreement and options</w:t>
      </w:r>
    </w:p>
    <w:p>
      <w:pPr>
        <w:pStyle w:val="Heading2"/>
      </w:pPr>
      <w:r>
        <w:rPr>
          <w:rFonts w:ascii="Segoe UI" w:hAnsi="Segoe UI" w:cs="Segoe UI" w:eastAsia="Segoe UI"/>
          <w:b/>
          <w:color w:val="0F4761"/>
          <w:sz w:val="26"/>
        </w:rPr>
        <w:t>4.1  Parties and documents</w:t>
      </w:r>
    </w:p>
    <w:p>
      <w:pPr>
        <w:spacing w:after="120" w:line="276" w:lineRule="auto"/>
      </w:pPr>
      <w:r>
        <w:rPr>
          <w:rFonts w:ascii="Segoe UI" w:hAnsi="Segoe UI" w:cs="Segoe UI" w:eastAsia="Segoe UI"/>
          <w:color w:val="101820"/>
          <w:sz w:val="21"/>
        </w:rPr>
        <w:t xml:space="preserve">This Hosting Agreement is made on [date] under the MSA dated [date] and Order Form no. [number]. </w:t>
      </w:r>
      <w:r>
        <w:rPr>
          <w:rFonts w:ascii="Segoe UI" w:hAnsi="Segoe UI" w:cs="Segoe UI" w:eastAsia="Segoe UI"/>
          <w:b/>
          <w:color w:val="101820"/>
          <w:sz w:val="21"/>
        </w:rPr>
        <w:t>Support Agreement</w:t>
      </w:r>
      <w:r>
        <w:rPr>
          <w:rFonts w:ascii="Segoe UI" w:hAnsi="Segoe UI" w:cs="Segoe UI" w:eastAsia="Segoe UI"/>
          <w:color w:val="101820"/>
          <w:sz w:val="21"/>
        </w:rPr>
        <w:t xml:space="preserve"> means the Annual Maintenance and Support Agreement and Service Level Agreement that forms part of the same Order Form. The technical basis is the iorta TechNXT Architecture, Infrastructure, Security and Privacy document for iNXT BrokerVerse.</w:t>
      </w:r>
    </w:p>
    <w:p>
      <w:pPr>
        <w:pStyle w:val="Heading2"/>
      </w:pPr>
      <w:r>
        <w:rPr>
          <w:rFonts w:ascii="Segoe UI" w:hAnsi="Segoe UI" w:cs="Segoe UI" w:eastAsia="Segoe UI"/>
          <w:b/>
          <w:color w:val="0F4761"/>
          <w:sz w:val="26"/>
        </w:rPr>
        <w:t>4.2  Hosting options</w:t>
      </w:r>
    </w:p>
    <w:p>
      <w:pPr>
        <w:spacing w:after="120" w:line="276" w:lineRule="auto"/>
      </w:pPr>
      <w:r>
        <w:rPr>
          <w:rFonts w:ascii="Segoe UI" w:hAnsi="Segoe UI" w:cs="Segoe UI" w:eastAsia="Segoe UI"/>
          <w:color w:val="101820"/>
          <w:sz w:val="21"/>
        </w:rPr>
        <w:t>The Client chooses one option in the Order Form:</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36"/>
        <w:gridCol w:w="3321"/>
        <w:gridCol w:w="1230"/>
        <w:gridCol w:w="3328"/>
      </w:tblGrid>
      <w:tr>
        <w:trPr>
          <w:tblHeader w:val="true"/>
        </w:trPr>
        <w:tc>
          <w:tcPr>
            <w:tcW w:type="dxa" w:w="1136"/>
            <w:shd w:val="clear" w:color="auto" w:fill="DCE9F7"/>
          </w:tcPr>
          <w:p>
            <w:pPr>
              <w:spacing w:after="20"/>
            </w:pPr>
            <w:r>
              <w:rPr>
                <w:rFonts w:ascii="Segoe UI" w:hAnsi="Segoe UI" w:cs="Segoe UI" w:eastAsia="Segoe UI"/>
                <w:b/>
                <w:color w:val="0F4761"/>
                <w:sz w:val="18"/>
              </w:rPr>
              <w:t>Option</w:t>
            </w:r>
          </w:p>
        </w:tc>
        <w:tc>
          <w:tcPr>
            <w:tcW w:type="dxa" w:w="3321"/>
            <w:shd w:val="clear" w:color="auto" w:fill="DCE9F7"/>
          </w:tcPr>
          <w:p>
            <w:pPr>
              <w:spacing w:after="20"/>
            </w:pPr>
            <w:r>
              <w:rPr>
                <w:rFonts w:ascii="Segoe UI" w:hAnsi="Segoe UI" w:cs="Segoe UI" w:eastAsia="Segoe UI"/>
                <w:b/>
                <w:color w:val="0F4761"/>
                <w:sz w:val="18"/>
              </w:rPr>
              <w:t>Provider and region</w:t>
            </w:r>
          </w:p>
        </w:tc>
        <w:tc>
          <w:tcPr>
            <w:tcW w:type="dxa" w:w="1230"/>
            <w:shd w:val="clear" w:color="auto" w:fill="DCE9F7"/>
          </w:tcPr>
          <w:p>
            <w:pPr>
              <w:spacing w:after="20"/>
            </w:pPr>
            <w:r>
              <w:rPr>
                <w:rFonts w:ascii="Segoe UI" w:hAnsi="Segoe UI" w:cs="Segoe UI" w:eastAsia="Segoe UI"/>
                <w:b/>
                <w:color w:val="0F4761"/>
                <w:sz w:val="18"/>
              </w:rPr>
              <w:t>Data location</w:t>
            </w:r>
          </w:p>
        </w:tc>
        <w:tc>
          <w:tcPr>
            <w:tcW w:type="dxa" w:w="3328"/>
            <w:shd w:val="clear" w:color="auto" w:fill="DCE9F7"/>
          </w:tcPr>
          <w:p>
            <w:pPr>
              <w:spacing w:after="20"/>
            </w:pPr>
            <w:r>
              <w:rPr>
                <w:rFonts w:ascii="Segoe UI" w:hAnsi="Segoe UI" w:cs="Segoe UI" w:eastAsia="Segoe UI"/>
                <w:b/>
                <w:color w:val="0F4761"/>
                <w:sz w:val="18"/>
              </w:rPr>
              <w:t>Main services</w:t>
            </w:r>
          </w:p>
        </w:tc>
      </w:tr>
      <w:tr>
        <w:tc>
          <w:tcPr>
            <w:tcW w:type="dxa" w:w="1136"/>
          </w:tcPr>
          <w:p>
            <w:pPr>
              <w:spacing w:after="20"/>
            </w:pPr>
            <w:r>
              <w:rPr>
                <w:rFonts w:ascii="Segoe UI" w:hAnsi="Segoe UI" w:cs="Segoe UI" w:eastAsia="Segoe UI"/>
                <w:color w:val="101820"/>
                <w:sz w:val="18"/>
              </w:rPr>
              <w:t>A: AWS</w:t>
            </w:r>
          </w:p>
        </w:tc>
        <w:tc>
          <w:tcPr>
            <w:tcW w:type="dxa" w:w="3321"/>
          </w:tcPr>
          <w:p>
            <w:pPr>
              <w:spacing w:after="20"/>
            </w:pPr>
            <w:r>
              <w:rPr>
                <w:rFonts w:ascii="Segoe UI" w:hAnsi="Segoe UI" w:cs="Segoe UI" w:eastAsia="Segoe UI"/>
                <w:color w:val="101820"/>
                <w:sz w:val="18"/>
              </w:rPr>
              <w:t>Amazon Web Services, region ap-southeast-1 (Singapore)</w:t>
            </w:r>
          </w:p>
        </w:tc>
        <w:tc>
          <w:tcPr>
            <w:tcW w:type="dxa" w:w="1230"/>
          </w:tcPr>
          <w:p>
            <w:pPr>
              <w:spacing w:after="20"/>
            </w:pPr>
            <w:r>
              <w:rPr>
                <w:rFonts w:ascii="Segoe UI" w:hAnsi="Segoe UI" w:cs="Segoe UI" w:eastAsia="Segoe UI"/>
                <w:color w:val="101820"/>
                <w:sz w:val="18"/>
              </w:rPr>
              <w:t>Singapore</w:t>
            </w:r>
          </w:p>
        </w:tc>
        <w:tc>
          <w:tcPr>
            <w:tcW w:type="dxa" w:w="3328"/>
          </w:tcPr>
          <w:p>
            <w:pPr>
              <w:spacing w:after="20"/>
            </w:pPr>
            <w:r>
              <w:rPr>
                <w:rFonts w:ascii="Segoe UI" w:hAnsi="Segoe UI" w:cs="Segoe UI" w:eastAsia="Segoe UI"/>
                <w:color w:val="101820"/>
                <w:sz w:val="18"/>
              </w:rPr>
              <w:t>CloudFront and S3 for the web front end; ECS Fargate API behind an Application Load Balancer; RDS for PostgreSQL 16 Multi-AZ; EFS file store; AWS Backup; Secrets Manager; CloudWatch; AWS WAF</w:t>
            </w:r>
          </w:p>
        </w:tc>
      </w:tr>
      <w:tr>
        <w:tc>
          <w:tcPr>
            <w:tcW w:type="dxa" w:w="1136"/>
          </w:tcPr>
          <w:p>
            <w:pPr>
              <w:spacing w:after="20"/>
            </w:pPr>
            <w:r>
              <w:rPr>
                <w:rFonts w:ascii="Segoe UI" w:hAnsi="Segoe UI" w:cs="Segoe UI" w:eastAsia="Segoe UI"/>
                <w:color w:val="101820"/>
                <w:sz w:val="18"/>
              </w:rPr>
              <w:t>B: Azure</w:t>
            </w:r>
          </w:p>
        </w:tc>
        <w:tc>
          <w:tcPr>
            <w:tcW w:type="dxa" w:w="3321"/>
          </w:tcPr>
          <w:p>
            <w:pPr>
              <w:spacing w:after="20"/>
            </w:pPr>
            <w:r>
              <w:rPr>
                <w:rFonts w:ascii="Segoe UI" w:hAnsi="Segoe UI" w:cs="Segoe UI" w:eastAsia="Segoe UI"/>
                <w:color w:val="101820"/>
                <w:sz w:val="18"/>
              </w:rPr>
              <w:t>Microsoft Azure, region Southeast Asia (Singapore)</w:t>
            </w:r>
          </w:p>
        </w:tc>
        <w:tc>
          <w:tcPr>
            <w:tcW w:type="dxa" w:w="1230"/>
          </w:tcPr>
          <w:p>
            <w:pPr>
              <w:spacing w:after="20"/>
            </w:pPr>
            <w:r>
              <w:rPr>
                <w:rFonts w:ascii="Segoe UI" w:hAnsi="Segoe UI" w:cs="Segoe UI" w:eastAsia="Segoe UI"/>
                <w:color w:val="101820"/>
                <w:sz w:val="18"/>
              </w:rPr>
              <w:t>Singapore</w:t>
            </w:r>
          </w:p>
        </w:tc>
        <w:tc>
          <w:tcPr>
            <w:tcW w:type="dxa" w:w="3328"/>
          </w:tcPr>
          <w:p>
            <w:pPr>
              <w:spacing w:after="20"/>
            </w:pPr>
            <w:r>
              <w:rPr>
                <w:rFonts w:ascii="Segoe UI" w:hAnsi="Segoe UI" w:cs="Segoe UI" w:eastAsia="Segoe UI"/>
                <w:color w:val="101820"/>
                <w:sz w:val="18"/>
              </w:rPr>
              <w:t>Storage static website with Front Door and WAF; Container Apps; Azure Database for PostgreSQL Flexible Server 16 zone-redundant; Azure Files; Key Vault; Azure Monitor</w:t>
            </w:r>
          </w:p>
        </w:tc>
      </w:tr>
      <w:tr>
        <w:tc>
          <w:tcPr>
            <w:tcW w:type="dxa" w:w="1136"/>
          </w:tcPr>
          <w:p>
            <w:pPr>
              <w:spacing w:after="20"/>
            </w:pPr>
            <w:r>
              <w:rPr>
                <w:rFonts w:ascii="Segoe UI" w:hAnsi="Segoe UI" w:cs="Segoe UI" w:eastAsia="Segoe UI"/>
                <w:color w:val="101820"/>
                <w:sz w:val="18"/>
              </w:rPr>
              <w:t>C: Local partner</w:t>
            </w:r>
          </w:p>
        </w:tc>
        <w:tc>
          <w:tcPr>
            <w:tcW w:type="dxa" w:w="3321"/>
          </w:tcPr>
          <w:p>
            <w:pPr>
              <w:spacing w:after="20"/>
            </w:pPr>
            <w:r>
              <w:rPr>
                <w:rFonts w:ascii="Segoe UI" w:hAnsi="Segoe UI" w:cs="Segoe UI" w:eastAsia="Segoe UI"/>
                <w:color w:val="101820"/>
                <w:sz w:val="18"/>
              </w:rPr>
              <w:t>[Partner name], data centre in [city], Philippines</w:t>
            </w:r>
          </w:p>
        </w:tc>
        <w:tc>
          <w:tcPr>
            <w:tcW w:type="dxa" w:w="1230"/>
          </w:tcPr>
          <w:p>
            <w:pPr>
              <w:spacing w:after="20"/>
            </w:pPr>
            <w:r>
              <w:rPr>
                <w:rFonts w:ascii="Segoe UI" w:hAnsi="Segoe UI" w:cs="Segoe UI" w:eastAsia="Segoe UI"/>
                <w:color w:val="101820"/>
                <w:sz w:val="18"/>
              </w:rPr>
              <w:t>Philippines</w:t>
            </w:r>
          </w:p>
        </w:tc>
        <w:tc>
          <w:tcPr>
            <w:tcW w:type="dxa" w:w="3328"/>
          </w:tcPr>
          <w:p>
            <w:pPr>
              <w:spacing w:after="20"/>
            </w:pPr>
            <w:r>
              <w:rPr>
                <w:rFonts w:ascii="Segoe UI" w:hAnsi="Segoe UI" w:cs="Segoe UI" w:eastAsia="Segoe UI"/>
                <w:color w:val="101820"/>
                <w:sz w:val="18"/>
              </w:rPr>
              <w:t>Virtual machines: two API nodes, PostgreSQL 16 primary and standby, NFS file store, reverse proxy and WAF, backup server, off-site copy in a second Philippine site</w:t>
            </w:r>
          </w:p>
        </w:tc>
      </w:tr>
    </w:tbl>
    <w:p>
      <w:pPr>
        <w:spacing w:after="80"/>
      </w:pPr>
    </w:p>
    <w:p>
      <w:pPr>
        <w:spacing w:after="120" w:line="276" w:lineRule="auto"/>
      </w:pPr>
      <w:r>
        <w:rPr>
          <w:rFonts w:ascii="Segoe UI" w:hAnsi="Segoe UI" w:cs="Segoe UI" w:eastAsia="Segoe UI"/>
          <w:color w:val="101820"/>
          <w:sz w:val="21"/>
        </w:rPr>
        <w:t>The cloud or data centre provider is a sub-processor of iorta TechNXT under the Data Processing Agreement.</w:t>
      </w:r>
    </w:p>
    <w:p>
      <w:pPr>
        <w:pStyle w:val="Heading2"/>
      </w:pPr>
      <w:r>
        <w:rPr>
          <w:rFonts w:ascii="Segoe UI" w:hAnsi="Segoe UI" w:cs="Segoe UI" w:eastAsia="Segoe UI"/>
          <w:b/>
          <w:color w:val="0F4761"/>
          <w:sz w:val="26"/>
        </w:rPr>
        <w:t>4.3  Environments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458"/>
        <w:gridCol w:w="2980"/>
        <w:gridCol w:w="3576"/>
      </w:tblGrid>
      <w:tr>
        <w:trPr>
          <w:tblHeader w:val="true"/>
        </w:trPr>
        <w:tc>
          <w:tcPr>
            <w:tcW w:type="dxa" w:w="2458"/>
            <w:shd w:val="clear" w:color="auto" w:fill="DCE9F7"/>
          </w:tcPr>
          <w:p>
            <w:pPr>
              <w:spacing w:after="20"/>
            </w:pPr>
            <w:r>
              <w:rPr>
                <w:rFonts w:ascii="Segoe UI" w:hAnsi="Segoe UI" w:cs="Segoe UI" w:eastAsia="Segoe UI"/>
                <w:b/>
                <w:color w:val="0F4761"/>
                <w:sz w:val="18"/>
              </w:rPr>
              <w:t>Environment</w:t>
            </w:r>
          </w:p>
        </w:tc>
        <w:tc>
          <w:tcPr>
            <w:tcW w:type="dxa" w:w="2980"/>
            <w:shd w:val="clear" w:color="auto" w:fill="DCE9F7"/>
          </w:tcPr>
          <w:p>
            <w:pPr>
              <w:spacing w:after="20"/>
            </w:pPr>
            <w:r>
              <w:rPr>
                <w:rFonts w:ascii="Segoe UI" w:hAnsi="Segoe UI" w:cs="Segoe UI" w:eastAsia="Segoe UI"/>
                <w:b/>
                <w:color w:val="0F4761"/>
                <w:sz w:val="18"/>
              </w:rPr>
              <w:t>Purpose</w:t>
            </w:r>
          </w:p>
        </w:tc>
        <w:tc>
          <w:tcPr>
            <w:tcW w:type="dxa" w:w="3576"/>
            <w:shd w:val="clear" w:color="auto" w:fill="DCE9F7"/>
          </w:tcPr>
          <w:p>
            <w:pPr>
              <w:spacing w:after="20"/>
            </w:pPr>
            <w:r>
              <w:rPr>
                <w:rFonts w:ascii="Segoe UI" w:hAnsi="Segoe UI" w:cs="Segoe UI" w:eastAsia="Segoe UI"/>
                <w:b/>
                <w:color w:val="0F4761"/>
                <w:sz w:val="18"/>
              </w:rPr>
              <w:t>Form</w:t>
            </w:r>
          </w:p>
        </w:tc>
      </w:tr>
      <w:tr>
        <w:tc>
          <w:tcPr>
            <w:tcW w:type="dxa" w:w="2458"/>
          </w:tcPr>
          <w:p>
            <w:pPr>
              <w:spacing w:after="20"/>
            </w:pPr>
            <w:r>
              <w:rPr>
                <w:rFonts w:ascii="Segoe UI" w:hAnsi="Segoe UI" w:cs="Segoe UI" w:eastAsia="Segoe UI"/>
                <w:color w:val="101820"/>
                <w:sz w:val="18"/>
              </w:rPr>
              <w:t>Production</w:t>
            </w:r>
          </w:p>
        </w:tc>
        <w:tc>
          <w:tcPr>
            <w:tcW w:type="dxa" w:w="2980"/>
          </w:tcPr>
          <w:p>
            <w:pPr>
              <w:spacing w:after="20"/>
            </w:pPr>
            <w:r>
              <w:rPr>
                <w:rFonts w:ascii="Segoe UI" w:hAnsi="Segoe UI" w:cs="Segoe UI" w:eastAsia="Segoe UI"/>
                <w:color w:val="101820"/>
                <w:sz w:val="18"/>
              </w:rPr>
              <w:t>Live operations</w:t>
            </w:r>
          </w:p>
        </w:tc>
        <w:tc>
          <w:tcPr>
            <w:tcW w:type="dxa" w:w="3576"/>
          </w:tcPr>
          <w:p>
            <w:pPr>
              <w:spacing w:after="20"/>
            </w:pPr>
            <w:r>
              <w:rPr>
                <w:rFonts w:ascii="Segoe UI" w:hAnsi="Segoe UI" w:cs="Segoe UI" w:eastAsia="Segoe UI"/>
                <w:color w:val="101820"/>
                <w:sz w:val="18"/>
              </w:rPr>
              <w:t>Highly available: at least two API instances, managed PostgreSQL with standby, shared file store</w:t>
            </w:r>
          </w:p>
        </w:tc>
      </w:tr>
      <w:tr>
        <w:tc>
          <w:tcPr>
            <w:tcW w:type="dxa" w:w="2458"/>
          </w:tcPr>
          <w:p>
            <w:pPr>
              <w:spacing w:after="20"/>
            </w:pPr>
            <w:r>
              <w:rPr>
                <w:rFonts w:ascii="Segoe UI" w:hAnsi="Segoe UI" w:cs="Segoe UI" w:eastAsia="Segoe UI"/>
                <w:color w:val="101820"/>
                <w:sz w:val="18"/>
              </w:rPr>
              <w:t>UAT</w:t>
            </w:r>
          </w:p>
        </w:tc>
        <w:tc>
          <w:tcPr>
            <w:tcW w:type="dxa" w:w="2980"/>
          </w:tcPr>
          <w:p>
            <w:pPr>
              <w:spacing w:after="20"/>
            </w:pPr>
            <w:r>
              <w:rPr>
                <w:rFonts w:ascii="Segoe UI" w:hAnsi="Segoe UI" w:cs="Segoe UI" w:eastAsia="Segoe UI"/>
                <w:color w:val="101820"/>
                <w:sz w:val="18"/>
              </w:rPr>
              <w:t>Testing, acceptance and training</w:t>
            </w:r>
          </w:p>
        </w:tc>
        <w:tc>
          <w:tcPr>
            <w:tcW w:type="dxa" w:w="3576"/>
          </w:tcPr>
          <w:p>
            <w:pPr>
              <w:spacing w:after="20"/>
            </w:pPr>
            <w:r>
              <w:rPr>
                <w:rFonts w:ascii="Segoe UI" w:hAnsi="Segoe UI" w:cs="Segoe UI" w:eastAsia="Segoe UI"/>
                <w:color w:val="101820"/>
                <w:sz w:val="18"/>
              </w:rPr>
              <w:t>Same topology as production at a smaller size</w:t>
            </w:r>
          </w:p>
        </w:tc>
      </w:tr>
      <w:tr>
        <w:tc>
          <w:tcPr>
            <w:tcW w:type="dxa" w:w="2458"/>
          </w:tcPr>
          <w:p>
            <w:pPr>
              <w:spacing w:after="20"/>
            </w:pPr>
            <w:r>
              <w:rPr>
                <w:rFonts w:ascii="Segoe UI" w:hAnsi="Segoe UI" w:cs="Segoe UI" w:eastAsia="Segoe UI"/>
                <w:color w:val="101820"/>
                <w:sz w:val="18"/>
              </w:rPr>
              <w:t>Additional environment (optional)</w:t>
            </w:r>
          </w:p>
        </w:tc>
        <w:tc>
          <w:tcPr>
            <w:tcW w:type="dxa" w:w="2980"/>
          </w:tcPr>
          <w:p>
            <w:pPr>
              <w:spacing w:after="20"/>
            </w:pPr>
            <w:r>
              <w:rPr>
                <w:rFonts w:ascii="Segoe UI" w:hAnsi="Segoe UI" w:cs="Segoe UI" w:eastAsia="Segoe UI"/>
                <w:color w:val="101820"/>
                <w:sz w:val="18"/>
              </w:rPr>
              <w:t>Training or second UAT</w:t>
            </w:r>
          </w:p>
        </w:tc>
        <w:tc>
          <w:tcPr>
            <w:tcW w:type="dxa" w:w="3576"/>
          </w:tcPr>
          <w:p>
            <w:pPr>
              <w:spacing w:after="20"/>
            </w:pPr>
            <w:r>
              <w:rPr>
                <w:rFonts w:ascii="Segoe UI" w:hAnsi="Segoe UI" w:cs="Segoe UI" w:eastAsia="Segoe UI"/>
                <w:color w:val="101820"/>
                <w:sz w:val="18"/>
              </w:rPr>
              <w:t>Small single-zone environment, priced as an optional service</w:t>
            </w:r>
          </w:p>
        </w:tc>
      </w:tr>
      <w:tr>
        <w:tc>
          <w:tcPr>
            <w:tcW w:type="dxa" w:w="2458"/>
          </w:tcPr>
          <w:p>
            <w:pPr>
              <w:spacing w:after="20"/>
            </w:pPr>
            <w:r>
              <w:rPr>
                <w:rFonts w:ascii="Segoe UI" w:hAnsi="Segoe UI" w:cs="Segoe UI" w:eastAsia="Segoe UI"/>
                <w:color w:val="101820"/>
                <w:sz w:val="18"/>
              </w:rPr>
              <w:t>DR (Enterprise size, or optional)</w:t>
            </w:r>
          </w:p>
        </w:tc>
        <w:tc>
          <w:tcPr>
            <w:tcW w:type="dxa" w:w="2980"/>
          </w:tcPr>
          <w:p>
            <w:pPr>
              <w:spacing w:after="20"/>
            </w:pPr>
            <w:r>
              <w:rPr>
                <w:rFonts w:ascii="Segoe UI" w:hAnsi="Segoe UI" w:cs="Segoe UI" w:eastAsia="Segoe UI"/>
                <w:color w:val="101820"/>
                <w:sz w:val="18"/>
              </w:rPr>
              <w:t>Recovery after a regional or site outage</w:t>
            </w:r>
          </w:p>
        </w:tc>
        <w:tc>
          <w:tcPr>
            <w:tcW w:type="dxa" w:w="3576"/>
          </w:tcPr>
          <w:p>
            <w:pPr>
              <w:spacing w:after="20"/>
            </w:pPr>
            <w:r>
              <w:rPr>
                <w:rFonts w:ascii="Segoe UI" w:hAnsi="Segoe UI" w:cs="Segoe UI" w:eastAsia="Segoe UI"/>
                <w:color w:val="101820"/>
                <w:sz w:val="18"/>
              </w:rPr>
              <w:t>Restored from cross-region or off-site backups</w:t>
            </w:r>
          </w:p>
        </w:tc>
      </w:tr>
    </w:tbl>
    <w:p>
      <w:pPr>
        <w:spacing w:after="80"/>
      </w:pPr>
    </w:p>
    <w:p>
      <w:pPr>
        <w:spacing w:after="120" w:line="276" w:lineRule="auto"/>
      </w:pPr>
      <w:r>
        <w:rPr>
          <w:rFonts w:ascii="Segoe UI" w:hAnsi="Segoe UI" w:cs="Segoe UI" w:eastAsia="Segoe UI"/>
          <w:color w:val="101820"/>
          <w:sz w:val="21"/>
        </w:rPr>
        <w:t>Production personal data is not copied into UAT or another non-production environment without masking. Each environment has its own secrets.</w:t>
      </w:r>
    </w:p>
    <w:p>
      <w:pPr>
        <w:pStyle w:val="Heading1"/>
        <w:pageBreakBefore/>
      </w:pPr>
      <w:r>
        <w:rPr>
          <w:rFonts w:ascii="Segoe UI" w:hAnsi="Segoe UI" w:cs="Segoe UI" w:eastAsia="Segoe UI"/>
          <w:b/>
          <w:color w:val="0F4761"/>
          <w:sz w:val="32"/>
        </w:rPr>
        <w:t>5.  Services</w:t>
      </w:r>
    </w:p>
    <w:p>
      <w:pPr>
        <w:pStyle w:val="Heading2"/>
      </w:pPr>
      <w:r>
        <w:rPr>
          <w:rFonts w:ascii="Segoe UI" w:hAnsi="Segoe UI" w:cs="Segoe UI" w:eastAsia="Segoe UI"/>
          <w:b/>
          <w:color w:val="0F4761"/>
          <w:sz w:val="26"/>
        </w:rPr>
        <w:t>5.1  Included services</w:t>
      </w:r>
    </w:p>
    <w:p>
      <w:pPr>
        <w:spacing w:after="120" w:line="276" w:lineRule="auto"/>
      </w:pPr>
      <w:r>
        <w:rPr>
          <w:rFonts w:ascii="Segoe UI" w:hAnsi="Segoe UI" w:cs="Segoe UI" w:eastAsia="Segoe UI"/>
          <w:color w:val="101820"/>
          <w:sz w:val="21"/>
        </w:rPr>
        <w:t>iorta TechNXT provides, for each environment in the Order Form:</w:t>
      </w:r>
    </w:p>
    <w:p>
      <w:pPr>
        <w:spacing w:after="60"/>
        <w:numPr>
          <w:ilvl w:val="0"/>
          <w:numId w:val="4"/>
        </w:numPr>
      </w:pPr>
      <w:r>
        <w:rPr>
          <w:rFonts w:ascii="Segoe UI" w:hAnsi="Segoe UI" w:cs="Segoe UI" w:eastAsia="Segoe UI"/>
          <w:color w:val="101820"/>
          <w:sz w:val="21"/>
        </w:rPr>
        <w:t>provisioning and configuration of the infrastructure, sized for the Client's size and confirmed by the UAT performance test;</w:t>
      </w:r>
    </w:p>
    <w:p>
      <w:pPr>
        <w:spacing w:after="60"/>
        <w:numPr>
          <w:ilvl w:val="0"/>
          <w:numId w:val="4"/>
        </w:numPr>
      </w:pPr>
      <w:r>
        <w:rPr>
          <w:rFonts w:ascii="Segoe UI" w:hAnsi="Segoe UI" w:cs="Segoe UI" w:eastAsia="Segoe UI"/>
          <w:color w:val="101820"/>
          <w:sz w:val="21"/>
        </w:rPr>
        <w:t>deployment of iNXT BrokerVerse releases under the release process of the Support Agreement;</w:t>
      </w:r>
    </w:p>
    <w:p>
      <w:pPr>
        <w:spacing w:after="60"/>
        <w:numPr>
          <w:ilvl w:val="0"/>
          <w:numId w:val="4"/>
        </w:numPr>
      </w:pPr>
      <w:r>
        <w:rPr>
          <w:rFonts w:ascii="Segoe UI" w:hAnsi="Segoe UI" w:cs="Segoe UI" w:eastAsia="Segoe UI"/>
          <w:color w:val="101820"/>
          <w:sz w:val="21"/>
        </w:rPr>
        <w:t>operating system, database and middleware patching (monthly; critical security patches within 14 days and high within 30 days);</w:t>
      </w:r>
    </w:p>
    <w:p>
      <w:pPr>
        <w:spacing w:after="60"/>
        <w:numPr>
          <w:ilvl w:val="0"/>
          <w:numId w:val="4"/>
        </w:numPr>
      </w:pPr>
      <w:r>
        <w:rPr>
          <w:rFonts w:ascii="Segoe UI" w:hAnsi="Segoe UI" w:cs="Segoe UI" w:eastAsia="Segoe UI"/>
          <w:color w:val="101820"/>
          <w:sz w:val="21"/>
        </w:rPr>
        <w:t>TLS certificates for the iorta TechNXT-provided domain [or the Client's domain, with the Client's DNS cooperation];</w:t>
      </w:r>
    </w:p>
    <w:p>
      <w:pPr>
        <w:spacing w:after="60"/>
        <w:numPr>
          <w:ilvl w:val="0"/>
          <w:numId w:val="4"/>
        </w:numPr>
      </w:pPr>
      <w:r>
        <w:rPr>
          <w:rFonts w:ascii="Segoe UI" w:hAnsi="Segoe UI" w:cs="Segoe UI" w:eastAsia="Segoe UI"/>
          <w:color w:val="101820"/>
          <w:sz w:val="21"/>
        </w:rPr>
        <w:t>monitoring and alarms (health checks, errors, response time, capacity, scheduled jobs, failed sign-ins, backups and certificate expiry);</w:t>
      </w:r>
    </w:p>
    <w:p>
      <w:pPr>
        <w:spacing w:after="60"/>
        <w:numPr>
          <w:ilvl w:val="0"/>
          <w:numId w:val="4"/>
        </w:numPr>
      </w:pPr>
      <w:r>
        <w:rPr>
          <w:rFonts w:ascii="Segoe UI" w:hAnsi="Segoe UI" w:cs="Segoe UI" w:eastAsia="Segoe UI"/>
          <w:color w:val="101820"/>
          <w:sz w:val="21"/>
        </w:rPr>
        <w:t>daily backups and restore testing as in the Backup and recovery chapter;</w:t>
      </w:r>
    </w:p>
    <w:p>
      <w:pPr>
        <w:spacing w:after="60"/>
        <w:numPr>
          <w:ilvl w:val="0"/>
          <w:numId w:val="4"/>
        </w:numPr>
      </w:pPr>
      <w:r>
        <w:rPr>
          <w:rFonts w:ascii="Segoe UI" w:hAnsi="Segoe UI" w:cs="Segoe UI" w:eastAsia="Segoe UI"/>
          <w:color w:val="101820"/>
          <w:sz w:val="21"/>
        </w:rPr>
        <w:t>security controls as in the Security chapter;</w:t>
      </w:r>
    </w:p>
    <w:p>
      <w:pPr>
        <w:spacing w:after="60"/>
        <w:numPr>
          <w:ilvl w:val="0"/>
          <w:numId w:val="4"/>
        </w:numPr>
      </w:pPr>
      <w:r>
        <w:rPr>
          <w:rFonts w:ascii="Segoe UI" w:hAnsi="Segoe UI" w:cs="Segoe UI" w:eastAsia="Segoe UI"/>
          <w:color w:val="101820"/>
          <w:sz w:val="21"/>
        </w:rPr>
        <w:t>capacity reviews each quarter.</w:t>
      </w:r>
    </w:p>
    <w:p>
      <w:pPr>
        <w:pStyle w:val="Heading2"/>
      </w:pPr>
      <w:r>
        <w:rPr>
          <w:rFonts w:ascii="Segoe UI" w:hAnsi="Segoe UI" w:cs="Segoe UI" w:eastAsia="Segoe UI"/>
          <w:b/>
          <w:color w:val="0F4761"/>
          <w:sz w:val="26"/>
        </w:rPr>
        <w:t>5.2  Sizing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431"/>
        <w:gridCol w:w="2228"/>
        <w:gridCol w:w="2127"/>
        <w:gridCol w:w="2228"/>
      </w:tblGrid>
      <w:tr>
        <w:trPr>
          <w:tblHeader w:val="true"/>
        </w:trPr>
        <w:tc>
          <w:tcPr>
            <w:tcW w:type="dxa" w:w="2431"/>
            <w:shd w:val="clear" w:color="auto" w:fill="DCE9F7"/>
          </w:tcPr>
          <w:p>
            <w:pPr>
              <w:spacing w:after="20"/>
            </w:pPr>
            <w:r>
              <w:rPr>
                <w:rFonts w:ascii="Segoe UI" w:hAnsi="Segoe UI" w:cs="Segoe UI" w:eastAsia="Segoe UI"/>
                <w:b/>
                <w:color w:val="0F4761"/>
                <w:sz w:val="18"/>
              </w:rPr>
              <w:t>Item</w:t>
            </w:r>
          </w:p>
        </w:tc>
        <w:tc>
          <w:tcPr>
            <w:tcW w:type="dxa" w:w="2228"/>
            <w:shd w:val="clear" w:color="auto" w:fill="DCE9F7"/>
          </w:tcPr>
          <w:p>
            <w:pPr>
              <w:spacing w:after="20"/>
            </w:pPr>
            <w:r>
              <w:rPr>
                <w:rFonts w:ascii="Segoe UI" w:hAnsi="Segoe UI" w:cs="Segoe UI" w:eastAsia="Segoe UI"/>
                <w:b/>
                <w:color w:val="0F4761"/>
                <w:sz w:val="18"/>
              </w:rPr>
              <w:t>Small (up to 25 users)</w:t>
            </w:r>
          </w:p>
        </w:tc>
        <w:tc>
          <w:tcPr>
            <w:tcW w:type="dxa" w:w="2127"/>
            <w:shd w:val="clear" w:color="auto" w:fill="DCE9F7"/>
          </w:tcPr>
          <w:p>
            <w:pPr>
              <w:spacing w:after="20"/>
            </w:pPr>
            <w:r>
              <w:rPr>
                <w:rFonts w:ascii="Segoe UI" w:hAnsi="Segoe UI" w:cs="Segoe UI" w:eastAsia="Segoe UI"/>
                <w:b/>
                <w:color w:val="0F4761"/>
                <w:sz w:val="18"/>
              </w:rPr>
              <w:t>Medium (26 to 100)</w:t>
            </w:r>
          </w:p>
        </w:tc>
        <w:tc>
          <w:tcPr>
            <w:tcW w:type="dxa" w:w="2228"/>
            <w:shd w:val="clear" w:color="auto" w:fill="DCE9F7"/>
          </w:tcPr>
          <w:p>
            <w:pPr>
              <w:spacing w:after="20"/>
            </w:pPr>
            <w:r>
              <w:rPr>
                <w:rFonts w:ascii="Segoe UI" w:hAnsi="Segoe UI" w:cs="Segoe UI" w:eastAsia="Segoe UI"/>
                <w:b/>
                <w:color w:val="0F4761"/>
                <w:sz w:val="18"/>
              </w:rPr>
              <w:t>Large (101 to 300)</w:t>
            </w:r>
          </w:p>
        </w:tc>
      </w:tr>
      <w:tr>
        <w:tc>
          <w:tcPr>
            <w:tcW w:type="dxa" w:w="2431"/>
          </w:tcPr>
          <w:p>
            <w:pPr>
              <w:spacing w:after="20"/>
            </w:pPr>
            <w:r>
              <w:rPr>
                <w:rFonts w:ascii="Segoe UI" w:hAnsi="Segoe UI" w:cs="Segoe UI" w:eastAsia="Segoe UI"/>
                <w:color w:val="101820"/>
                <w:sz w:val="18"/>
              </w:rPr>
              <w:t>API instances</w:t>
            </w:r>
          </w:p>
        </w:tc>
        <w:tc>
          <w:tcPr>
            <w:tcW w:type="dxa" w:w="2228"/>
          </w:tcPr>
          <w:p>
            <w:pPr>
              <w:spacing w:after="20"/>
            </w:pPr>
            <w:r>
              <w:rPr>
                <w:rFonts w:ascii="Segoe UI" w:hAnsi="Segoe UI" w:cs="Segoe UI" w:eastAsia="Segoe UI"/>
                <w:color w:val="101820"/>
                <w:sz w:val="18"/>
              </w:rPr>
              <w:t>2 x 1 vCPU, 2 GB</w:t>
            </w:r>
          </w:p>
        </w:tc>
        <w:tc>
          <w:tcPr>
            <w:tcW w:type="dxa" w:w="2127"/>
          </w:tcPr>
          <w:p>
            <w:pPr>
              <w:spacing w:after="20"/>
            </w:pPr>
            <w:r>
              <w:rPr>
                <w:rFonts w:ascii="Segoe UI" w:hAnsi="Segoe UI" w:cs="Segoe UI" w:eastAsia="Segoe UI"/>
                <w:color w:val="101820"/>
                <w:sz w:val="18"/>
              </w:rPr>
              <w:t>2 x 1 vCPU, 2 GB</w:t>
            </w:r>
          </w:p>
        </w:tc>
        <w:tc>
          <w:tcPr>
            <w:tcW w:type="dxa" w:w="2228"/>
          </w:tcPr>
          <w:p>
            <w:pPr>
              <w:spacing w:after="20"/>
            </w:pPr>
            <w:r>
              <w:rPr>
                <w:rFonts w:ascii="Segoe UI" w:hAnsi="Segoe UI" w:cs="Segoe UI" w:eastAsia="Segoe UI"/>
                <w:color w:val="101820"/>
                <w:sz w:val="18"/>
              </w:rPr>
              <w:t>3 to 4 x 2 vCPU, 4 GB</w:t>
            </w:r>
          </w:p>
        </w:tc>
      </w:tr>
      <w:tr>
        <w:tc>
          <w:tcPr>
            <w:tcW w:type="dxa" w:w="2431"/>
          </w:tcPr>
          <w:p>
            <w:pPr>
              <w:spacing w:after="20"/>
            </w:pPr>
            <w:r>
              <w:rPr>
                <w:rFonts w:ascii="Segoe UI" w:hAnsi="Segoe UI" w:cs="Segoe UI" w:eastAsia="Segoe UI"/>
                <w:color w:val="101820"/>
                <w:sz w:val="18"/>
              </w:rPr>
              <w:t>Database</w:t>
            </w:r>
          </w:p>
        </w:tc>
        <w:tc>
          <w:tcPr>
            <w:tcW w:type="dxa" w:w="2228"/>
          </w:tcPr>
          <w:p>
            <w:pPr>
              <w:spacing w:after="20"/>
            </w:pPr>
            <w:r>
              <w:rPr>
                <w:rFonts w:ascii="Segoe UI" w:hAnsi="Segoe UI" w:cs="Segoe UI" w:eastAsia="Segoe UI"/>
                <w:color w:val="101820"/>
                <w:sz w:val="18"/>
              </w:rPr>
              <w:t>2 vCPU, 4 GB, standby</w:t>
            </w:r>
          </w:p>
        </w:tc>
        <w:tc>
          <w:tcPr>
            <w:tcW w:type="dxa" w:w="2127"/>
          </w:tcPr>
          <w:p>
            <w:pPr>
              <w:spacing w:after="20"/>
            </w:pPr>
            <w:r>
              <w:rPr>
                <w:rFonts w:ascii="Segoe UI" w:hAnsi="Segoe UI" w:cs="Segoe UI" w:eastAsia="Segoe UI"/>
                <w:color w:val="101820"/>
                <w:sz w:val="18"/>
              </w:rPr>
              <w:t>2 vCPU, 8 GB, standby</w:t>
            </w:r>
          </w:p>
        </w:tc>
        <w:tc>
          <w:tcPr>
            <w:tcW w:type="dxa" w:w="2228"/>
          </w:tcPr>
          <w:p>
            <w:pPr>
              <w:spacing w:after="20"/>
            </w:pPr>
            <w:r>
              <w:rPr>
                <w:rFonts w:ascii="Segoe UI" w:hAnsi="Segoe UI" w:cs="Segoe UI" w:eastAsia="Segoe UI"/>
                <w:color w:val="101820"/>
                <w:sz w:val="18"/>
              </w:rPr>
              <w:t>4 vCPU, 16 GB, standby</w:t>
            </w:r>
          </w:p>
        </w:tc>
      </w:tr>
      <w:tr>
        <w:tc>
          <w:tcPr>
            <w:tcW w:type="dxa" w:w="2431"/>
          </w:tcPr>
          <w:p>
            <w:pPr>
              <w:spacing w:after="20"/>
            </w:pPr>
            <w:r>
              <w:rPr>
                <w:rFonts w:ascii="Segoe UI" w:hAnsi="Segoe UI" w:cs="Segoe UI" w:eastAsia="Segoe UI"/>
                <w:color w:val="101820"/>
                <w:sz w:val="18"/>
              </w:rPr>
              <w:t>Database storage</w:t>
            </w:r>
          </w:p>
        </w:tc>
        <w:tc>
          <w:tcPr>
            <w:tcW w:type="dxa" w:w="2228"/>
          </w:tcPr>
          <w:p>
            <w:pPr>
              <w:spacing w:after="20"/>
            </w:pPr>
            <w:r>
              <w:rPr>
                <w:rFonts w:ascii="Segoe UI" w:hAnsi="Segoe UI" w:cs="Segoe UI" w:eastAsia="Segoe UI"/>
                <w:color w:val="101820"/>
                <w:sz w:val="18"/>
              </w:rPr>
              <w:t>50 GB</w:t>
            </w:r>
          </w:p>
        </w:tc>
        <w:tc>
          <w:tcPr>
            <w:tcW w:type="dxa" w:w="2127"/>
          </w:tcPr>
          <w:p>
            <w:pPr>
              <w:spacing w:after="20"/>
            </w:pPr>
            <w:r>
              <w:rPr>
                <w:rFonts w:ascii="Segoe UI" w:hAnsi="Segoe UI" w:cs="Segoe UI" w:eastAsia="Segoe UI"/>
                <w:color w:val="101820"/>
                <w:sz w:val="18"/>
              </w:rPr>
              <w:t>100 GB</w:t>
            </w:r>
          </w:p>
        </w:tc>
        <w:tc>
          <w:tcPr>
            <w:tcW w:type="dxa" w:w="2228"/>
          </w:tcPr>
          <w:p>
            <w:pPr>
              <w:spacing w:after="20"/>
            </w:pPr>
            <w:r>
              <w:rPr>
                <w:rFonts w:ascii="Segoe UI" w:hAnsi="Segoe UI" w:cs="Segoe UI" w:eastAsia="Segoe UI"/>
                <w:color w:val="101820"/>
                <w:sz w:val="18"/>
              </w:rPr>
              <w:t>250 GB</w:t>
            </w:r>
          </w:p>
        </w:tc>
      </w:tr>
      <w:tr>
        <w:tc>
          <w:tcPr>
            <w:tcW w:type="dxa" w:w="2431"/>
          </w:tcPr>
          <w:p>
            <w:pPr>
              <w:spacing w:after="20"/>
            </w:pPr>
            <w:r>
              <w:rPr>
                <w:rFonts w:ascii="Segoe UI" w:hAnsi="Segoe UI" w:cs="Segoe UI" w:eastAsia="Segoe UI"/>
                <w:color w:val="101820"/>
                <w:sz w:val="18"/>
              </w:rPr>
              <w:t>File store (year 1)</w:t>
            </w:r>
          </w:p>
        </w:tc>
        <w:tc>
          <w:tcPr>
            <w:tcW w:type="dxa" w:w="2228"/>
          </w:tcPr>
          <w:p>
            <w:pPr>
              <w:spacing w:after="20"/>
            </w:pPr>
            <w:r>
              <w:rPr>
                <w:rFonts w:ascii="Segoe UI" w:hAnsi="Segoe UI" w:cs="Segoe UI" w:eastAsia="Segoe UI"/>
                <w:color w:val="101820"/>
                <w:sz w:val="18"/>
              </w:rPr>
              <w:t>25 GB</w:t>
            </w:r>
          </w:p>
        </w:tc>
        <w:tc>
          <w:tcPr>
            <w:tcW w:type="dxa" w:w="2127"/>
          </w:tcPr>
          <w:p>
            <w:pPr>
              <w:spacing w:after="20"/>
            </w:pPr>
            <w:r>
              <w:rPr>
                <w:rFonts w:ascii="Segoe UI" w:hAnsi="Segoe UI" w:cs="Segoe UI" w:eastAsia="Segoe UI"/>
                <w:color w:val="101820"/>
                <w:sz w:val="18"/>
              </w:rPr>
              <w:t>60 GB</w:t>
            </w:r>
          </w:p>
        </w:tc>
        <w:tc>
          <w:tcPr>
            <w:tcW w:type="dxa" w:w="2228"/>
          </w:tcPr>
          <w:p>
            <w:pPr>
              <w:spacing w:after="20"/>
            </w:pPr>
            <w:r>
              <w:rPr>
                <w:rFonts w:ascii="Segoe UI" w:hAnsi="Segoe UI" w:cs="Segoe UI" w:eastAsia="Segoe UI"/>
                <w:color w:val="101820"/>
                <w:sz w:val="18"/>
              </w:rPr>
              <w:t>150 GB</w:t>
            </w:r>
          </w:p>
        </w:tc>
      </w:tr>
      <w:tr>
        <w:tc>
          <w:tcPr>
            <w:tcW w:type="dxa" w:w="2431"/>
          </w:tcPr>
          <w:p>
            <w:pPr>
              <w:spacing w:after="20"/>
            </w:pPr>
            <w:r>
              <w:rPr>
                <w:rFonts w:ascii="Segoe UI" w:hAnsi="Segoe UI" w:cs="Segoe UI" w:eastAsia="Segoe UI"/>
                <w:color w:val="101820"/>
                <w:sz w:val="18"/>
              </w:rPr>
              <w:t>Backup storage</w:t>
            </w:r>
          </w:p>
        </w:tc>
        <w:tc>
          <w:tcPr>
            <w:tcW w:type="dxa" w:w="2228"/>
          </w:tcPr>
          <w:p>
            <w:pPr>
              <w:spacing w:after="20"/>
            </w:pPr>
            <w:r>
              <w:rPr>
                <w:rFonts w:ascii="Segoe UI" w:hAnsi="Segoe UI" w:cs="Segoe UI" w:eastAsia="Segoe UI"/>
                <w:color w:val="101820"/>
                <w:sz w:val="18"/>
              </w:rPr>
              <w:t>100 GB</w:t>
            </w:r>
          </w:p>
        </w:tc>
        <w:tc>
          <w:tcPr>
            <w:tcW w:type="dxa" w:w="2127"/>
          </w:tcPr>
          <w:p>
            <w:pPr>
              <w:spacing w:after="20"/>
            </w:pPr>
            <w:r>
              <w:rPr>
                <w:rFonts w:ascii="Segoe UI" w:hAnsi="Segoe UI" w:cs="Segoe UI" w:eastAsia="Segoe UI"/>
                <w:color w:val="101820"/>
                <w:sz w:val="18"/>
              </w:rPr>
              <w:t>250 GB</w:t>
            </w:r>
          </w:p>
        </w:tc>
        <w:tc>
          <w:tcPr>
            <w:tcW w:type="dxa" w:w="2228"/>
          </w:tcPr>
          <w:p>
            <w:pPr>
              <w:spacing w:after="20"/>
            </w:pPr>
            <w:r>
              <w:rPr>
                <w:rFonts w:ascii="Segoe UI" w:hAnsi="Segoe UI" w:cs="Segoe UI" w:eastAsia="Segoe UI"/>
                <w:color w:val="101820"/>
                <w:sz w:val="18"/>
              </w:rPr>
              <w:t>600 GB</w:t>
            </w:r>
          </w:p>
        </w:tc>
      </w:tr>
      <w:tr>
        <w:tc>
          <w:tcPr>
            <w:tcW w:type="dxa" w:w="2431"/>
          </w:tcPr>
          <w:p>
            <w:pPr>
              <w:spacing w:after="20"/>
            </w:pPr>
            <w:r>
              <w:rPr>
                <w:rFonts w:ascii="Segoe UI" w:hAnsi="Segoe UI" w:cs="Segoe UI" w:eastAsia="Segoe UI"/>
                <w:color w:val="101820"/>
                <w:sz w:val="18"/>
              </w:rPr>
              <w:t>Concurrent users at peak</w:t>
            </w:r>
          </w:p>
        </w:tc>
        <w:tc>
          <w:tcPr>
            <w:tcW w:type="dxa" w:w="2228"/>
          </w:tcPr>
          <w:p>
            <w:pPr>
              <w:spacing w:after="20"/>
            </w:pPr>
            <w:r>
              <w:rPr>
                <w:rFonts w:ascii="Segoe UI" w:hAnsi="Segoe UI" w:cs="Segoe UI" w:eastAsia="Segoe UI"/>
                <w:color w:val="101820"/>
                <w:sz w:val="18"/>
              </w:rPr>
              <w:t>10</w:t>
            </w:r>
          </w:p>
        </w:tc>
        <w:tc>
          <w:tcPr>
            <w:tcW w:type="dxa" w:w="2127"/>
          </w:tcPr>
          <w:p>
            <w:pPr>
              <w:spacing w:after="20"/>
            </w:pPr>
            <w:r>
              <w:rPr>
                <w:rFonts w:ascii="Segoe UI" w:hAnsi="Segoe UI" w:cs="Segoe UI" w:eastAsia="Segoe UI"/>
                <w:color w:val="101820"/>
                <w:sz w:val="18"/>
              </w:rPr>
              <w:t>40</w:t>
            </w:r>
          </w:p>
        </w:tc>
        <w:tc>
          <w:tcPr>
            <w:tcW w:type="dxa" w:w="2228"/>
          </w:tcPr>
          <w:p>
            <w:pPr>
              <w:spacing w:after="20"/>
            </w:pPr>
            <w:r>
              <w:rPr>
                <w:rFonts w:ascii="Segoe UI" w:hAnsi="Segoe UI" w:cs="Segoe UI" w:eastAsia="Segoe UI"/>
                <w:color w:val="101820"/>
                <w:sz w:val="18"/>
              </w:rPr>
              <w:t>120</w:t>
            </w:r>
          </w:p>
        </w:tc>
      </w:tr>
    </w:tbl>
    <w:p>
      <w:pPr>
        <w:spacing w:after="80"/>
      </w:pPr>
    </w:p>
    <w:p>
      <w:pPr>
        <w:spacing w:after="120" w:line="276" w:lineRule="auto"/>
      </w:pPr>
      <w:r>
        <w:rPr>
          <w:rFonts w:ascii="Segoe UI" w:hAnsi="Segoe UI" w:cs="Segoe UI" w:eastAsia="Segoe UI"/>
          <w:color w:val="101820"/>
          <w:sz w:val="21"/>
        </w:rPr>
        <w:t>Enterprise sizing is agreed in the Order Form. Sizing is indicative and assumes the volumes in the architecture document; growth beyond them is handled under the Fees chapter.</w:t>
      </w:r>
    </w:p>
    <w:p>
      <w:pPr>
        <w:pStyle w:val="Heading1"/>
        <w:pageBreakBefore/>
      </w:pPr>
      <w:r>
        <w:rPr>
          <w:rFonts w:ascii="Segoe UI" w:hAnsi="Segoe UI" w:cs="Segoe UI" w:eastAsia="Segoe UI"/>
          <w:b/>
          <w:color w:val="0F4761"/>
          <w:sz w:val="32"/>
        </w:rPr>
        <w:t>6.  Backup and recovery</w:t>
      </w:r>
    </w:p>
    <w:p>
      <w:pPr>
        <w:pStyle w:val="Heading2"/>
      </w:pPr>
      <w:r>
        <w:rPr>
          <w:rFonts w:ascii="Segoe UI" w:hAnsi="Segoe UI" w:cs="Segoe UI" w:eastAsia="Segoe UI"/>
          <w:b/>
          <w:color w:val="0F4761"/>
          <w:sz w:val="26"/>
        </w:rPr>
        <w:t>6.1  Backups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Backup</w:t>
            </w:r>
          </w:p>
        </w:tc>
        <w:tc>
          <w:tcPr>
            <w:tcW w:type="dxa" w:w="4507"/>
            <w:shd w:val="clear" w:color="auto" w:fill="DCE9F7"/>
          </w:tcPr>
          <w:p>
            <w:pPr>
              <w:spacing w:after="20"/>
            </w:pPr>
            <w:r>
              <w:rPr>
                <w:rFonts w:ascii="Segoe UI" w:hAnsi="Segoe UI" w:cs="Segoe UI" w:eastAsia="Segoe UI"/>
                <w:b/>
                <w:color w:val="0F4761"/>
                <w:sz w:val="18"/>
              </w:rPr>
              <w:t>Retention</w:t>
            </w:r>
          </w:p>
        </w:tc>
      </w:tr>
      <w:tr>
        <w:tc>
          <w:tcPr>
            <w:tcW w:type="dxa" w:w="4507"/>
          </w:tcPr>
          <w:p>
            <w:pPr>
              <w:spacing w:after="20"/>
            </w:pPr>
            <w:r>
              <w:rPr>
                <w:rFonts w:ascii="Segoe UI" w:hAnsi="Segoe UI" w:cs="Segoe UI" w:eastAsia="Segoe UI"/>
                <w:color w:val="101820"/>
                <w:sz w:val="18"/>
              </w:rPr>
              <w:t>Automated database backups with point-in-time recovery, window 02:00 to 03:00 PHT</w:t>
            </w:r>
          </w:p>
        </w:tc>
        <w:tc>
          <w:tcPr>
            <w:tcW w:type="dxa" w:w="4507"/>
          </w:tcPr>
          <w:p>
            <w:pPr>
              <w:spacing w:after="20"/>
            </w:pPr>
            <w:r>
              <w:rPr>
                <w:rFonts w:ascii="Segoe UI" w:hAnsi="Segoe UI" w:cs="Segoe UI" w:eastAsia="Segoe UI"/>
                <w:color w:val="101820"/>
                <w:sz w:val="18"/>
              </w:rPr>
              <w:t>35 days</w:t>
            </w:r>
          </w:p>
        </w:tc>
      </w:tr>
      <w:tr>
        <w:tc>
          <w:tcPr>
            <w:tcW w:type="dxa" w:w="4507"/>
          </w:tcPr>
          <w:p>
            <w:pPr>
              <w:spacing w:after="20"/>
            </w:pPr>
            <w:r>
              <w:rPr>
                <w:rFonts w:ascii="Segoe UI" w:hAnsi="Segoe UI" w:cs="Segoe UI" w:eastAsia="Segoe UI"/>
                <w:color w:val="101820"/>
                <w:sz w:val="18"/>
              </w:rPr>
              <w:t>Daily snapshots; monthly copy to a second region or site</w:t>
            </w:r>
          </w:p>
        </w:tc>
        <w:tc>
          <w:tcPr>
            <w:tcW w:type="dxa" w:w="4507"/>
          </w:tcPr>
          <w:p>
            <w:pPr>
              <w:spacing w:after="20"/>
            </w:pPr>
            <w:r>
              <w:rPr>
                <w:rFonts w:ascii="Segoe UI" w:hAnsi="Segoe UI" w:cs="Segoe UI" w:eastAsia="Segoe UI"/>
                <w:color w:val="101820"/>
                <w:sz w:val="18"/>
              </w:rPr>
              <w:t>Daily 35 days; monthly 12 months; yearly copies of year-end records [10 years, if the Client instructs]</w:t>
            </w:r>
          </w:p>
        </w:tc>
      </w:tr>
      <w:tr>
        <w:tc>
          <w:tcPr>
            <w:tcW w:type="dxa" w:w="4507"/>
          </w:tcPr>
          <w:p>
            <w:pPr>
              <w:spacing w:after="20"/>
            </w:pPr>
            <w:r>
              <w:rPr>
                <w:rFonts w:ascii="Segoe UI" w:hAnsi="Segoe UI" w:cs="Segoe UI" w:eastAsia="Segoe UI"/>
                <w:color w:val="101820"/>
                <w:sz w:val="18"/>
              </w:rPr>
              <w:t>Snapshot before each release with database changes, before go-live imports and before each year-end close</w:t>
            </w:r>
          </w:p>
        </w:tc>
        <w:tc>
          <w:tcPr>
            <w:tcW w:type="dxa" w:w="4507"/>
          </w:tcPr>
          <w:p>
            <w:pPr>
              <w:spacing w:after="20"/>
            </w:pPr>
            <w:r>
              <w:rPr>
                <w:rFonts w:ascii="Segoe UI" w:hAnsi="Segoe UI" w:cs="Segoe UI" w:eastAsia="Segoe UI"/>
                <w:color w:val="101820"/>
                <w:sz w:val="18"/>
              </w:rPr>
              <w:t>At least 30 days</w:t>
            </w:r>
          </w:p>
        </w:tc>
      </w:tr>
      <w:tr>
        <w:tc>
          <w:tcPr>
            <w:tcW w:type="dxa" w:w="4507"/>
          </w:tcPr>
          <w:p>
            <w:pPr>
              <w:spacing w:after="20"/>
            </w:pPr>
            <w:r>
              <w:rPr>
                <w:rFonts w:ascii="Segoe UI" w:hAnsi="Segoe UI" w:cs="Segoe UI" w:eastAsia="Segoe UI"/>
                <w:color w:val="101820"/>
                <w:sz w:val="18"/>
              </w:rPr>
              <w:t>Monthly logical dump to write-once storage</w:t>
            </w:r>
          </w:p>
        </w:tc>
        <w:tc>
          <w:tcPr>
            <w:tcW w:type="dxa" w:w="4507"/>
          </w:tcPr>
          <w:p>
            <w:pPr>
              <w:spacing w:after="20"/>
            </w:pPr>
            <w:r>
              <w:rPr>
                <w:rFonts w:ascii="Segoe UI" w:hAnsi="Segoe UI" w:cs="Segoe UI" w:eastAsia="Segoe UI"/>
                <w:color w:val="101820"/>
                <w:sz w:val="18"/>
              </w:rPr>
              <w:t>12 months</w:t>
            </w:r>
          </w:p>
        </w:tc>
      </w:tr>
      <w:tr>
        <w:tc>
          <w:tcPr>
            <w:tcW w:type="dxa" w:w="4507"/>
          </w:tcPr>
          <w:p>
            <w:pPr>
              <w:spacing w:after="20"/>
            </w:pPr>
            <w:r>
              <w:rPr>
                <w:rFonts w:ascii="Segoe UI" w:hAnsi="Segoe UI" w:cs="Segoe UI" w:eastAsia="Segoe UI"/>
                <w:color w:val="101820"/>
                <w:sz w:val="18"/>
              </w:rPr>
              <w:t>File store daily; weekly copy to the second region or site</w:t>
            </w:r>
          </w:p>
        </w:tc>
        <w:tc>
          <w:tcPr>
            <w:tcW w:type="dxa" w:w="4507"/>
          </w:tcPr>
          <w:p>
            <w:pPr>
              <w:spacing w:after="20"/>
            </w:pPr>
            <w:r>
              <w:rPr>
                <w:rFonts w:ascii="Segoe UI" w:hAnsi="Segoe UI" w:cs="Segoe UI" w:eastAsia="Segoe UI"/>
                <w:color w:val="101820"/>
                <w:sz w:val="18"/>
              </w:rPr>
              <w:t>Daily 35 days; monthly 12 months</w:t>
            </w:r>
          </w:p>
        </w:tc>
      </w:tr>
      <w:tr>
        <w:tc>
          <w:tcPr>
            <w:tcW w:type="dxa" w:w="4507"/>
          </w:tcPr>
          <w:p>
            <w:pPr>
              <w:spacing w:after="20"/>
            </w:pPr>
            <w:r>
              <w:rPr>
                <w:rFonts w:ascii="Segoe UI" w:hAnsi="Segoe UI" w:cs="Segoe UI" w:eastAsia="Segoe UI"/>
                <w:color w:val="101820"/>
                <w:sz w:val="18"/>
              </w:rPr>
              <w:t>Encryption keys and application secrets</w:t>
            </w:r>
          </w:p>
        </w:tc>
        <w:tc>
          <w:tcPr>
            <w:tcW w:type="dxa" w:w="4507"/>
          </w:tcPr>
          <w:p>
            <w:pPr>
              <w:spacing w:after="20"/>
            </w:pPr>
            <w:r>
              <w:rPr>
                <w:rFonts w:ascii="Segoe UI" w:hAnsi="Segoe UI" w:cs="Segoe UI" w:eastAsia="Segoe UI"/>
                <w:color w:val="101820"/>
                <w:sz w:val="18"/>
              </w:rPr>
              <w:t>Versioned in the secret store, with a sealed escrow copy under dual control</w:t>
            </w:r>
          </w:p>
        </w:tc>
      </w:tr>
    </w:tbl>
    <w:p>
      <w:pPr>
        <w:spacing w:after="80"/>
      </w:pPr>
    </w:p>
    <w:p>
      <w:pPr>
        <w:pStyle w:val="Heading2"/>
      </w:pPr>
      <w:r>
        <w:rPr>
          <w:rFonts w:ascii="Segoe UI" w:hAnsi="Segoe UI" w:cs="Segoe UI" w:eastAsia="Segoe UI"/>
          <w:b/>
          <w:color w:val="0F4761"/>
          <w:sz w:val="26"/>
        </w:rPr>
        <w:t>6.2  Recovery objectives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34"/>
        <w:gridCol w:w="1545"/>
        <w:gridCol w:w="4035"/>
      </w:tblGrid>
      <w:tr>
        <w:trPr>
          <w:tblHeader w:val="true"/>
        </w:trPr>
        <w:tc>
          <w:tcPr>
            <w:tcW w:type="dxa" w:w="3434"/>
            <w:shd w:val="clear" w:color="auto" w:fill="DCE9F7"/>
          </w:tcPr>
          <w:p>
            <w:pPr>
              <w:spacing w:after="20"/>
            </w:pPr>
            <w:r>
              <w:rPr>
                <w:rFonts w:ascii="Segoe UI" w:hAnsi="Segoe UI" w:cs="Segoe UI" w:eastAsia="Segoe UI"/>
                <w:b/>
                <w:color w:val="0F4761"/>
                <w:sz w:val="18"/>
              </w:rPr>
              <w:t>Scenario</w:t>
            </w:r>
          </w:p>
        </w:tc>
        <w:tc>
          <w:tcPr>
            <w:tcW w:type="dxa" w:w="1545"/>
            <w:shd w:val="clear" w:color="auto" w:fill="DCE9F7"/>
          </w:tcPr>
          <w:p>
            <w:pPr>
              <w:spacing w:after="20"/>
            </w:pPr>
            <w:r>
              <w:rPr>
                <w:rFonts w:ascii="Segoe UI" w:hAnsi="Segoe UI" w:cs="Segoe UI" w:eastAsia="Segoe UI"/>
                <w:b/>
                <w:color w:val="0F4761"/>
                <w:sz w:val="18"/>
              </w:rPr>
              <w:t>RPO</w:t>
            </w:r>
          </w:p>
        </w:tc>
        <w:tc>
          <w:tcPr>
            <w:tcW w:type="dxa" w:w="4035"/>
            <w:shd w:val="clear" w:color="auto" w:fill="DCE9F7"/>
          </w:tcPr>
          <w:p>
            <w:pPr>
              <w:spacing w:after="20"/>
            </w:pPr>
            <w:r>
              <w:rPr>
                <w:rFonts w:ascii="Segoe UI" w:hAnsi="Segoe UI" w:cs="Segoe UI" w:eastAsia="Segoe UI"/>
                <w:b/>
                <w:color w:val="0F4761"/>
                <w:sz w:val="18"/>
              </w:rPr>
              <w:t>RTO</w:t>
            </w:r>
          </w:p>
        </w:tc>
      </w:tr>
      <w:tr>
        <w:tc>
          <w:tcPr>
            <w:tcW w:type="dxa" w:w="3434"/>
          </w:tcPr>
          <w:p>
            <w:pPr>
              <w:spacing w:after="20"/>
            </w:pPr>
            <w:r>
              <w:rPr>
                <w:rFonts w:ascii="Segoe UI" w:hAnsi="Segoe UI" w:cs="Segoe UI" w:eastAsia="Segoe UI"/>
                <w:color w:val="101820"/>
                <w:sz w:val="18"/>
              </w:rPr>
              <w:t>API instance failure</w:t>
            </w:r>
          </w:p>
        </w:tc>
        <w:tc>
          <w:tcPr>
            <w:tcW w:type="dxa" w:w="1545"/>
          </w:tcPr>
          <w:p>
            <w:pPr>
              <w:spacing w:after="20"/>
            </w:pPr>
            <w:r>
              <w:rPr>
                <w:rFonts w:ascii="Segoe UI" w:hAnsi="Segoe UI" w:cs="Segoe UI" w:eastAsia="Segoe UI"/>
                <w:color w:val="101820"/>
                <w:sz w:val="18"/>
              </w:rPr>
              <w:t>0</w:t>
            </w:r>
          </w:p>
        </w:tc>
        <w:tc>
          <w:tcPr>
            <w:tcW w:type="dxa" w:w="4035"/>
          </w:tcPr>
          <w:p>
            <w:pPr>
              <w:spacing w:after="20"/>
            </w:pPr>
            <w:r>
              <w:rPr>
                <w:rFonts w:ascii="Segoe UI" w:hAnsi="Segoe UI" w:cs="Segoe UI" w:eastAsia="Segoe UI"/>
                <w:color w:val="101820"/>
                <w:sz w:val="18"/>
              </w:rPr>
              <w:t>Under 5 minutes</w:t>
            </w:r>
          </w:p>
        </w:tc>
      </w:tr>
      <w:tr>
        <w:tc>
          <w:tcPr>
            <w:tcW w:type="dxa" w:w="3434"/>
          </w:tcPr>
          <w:p>
            <w:pPr>
              <w:spacing w:after="20"/>
            </w:pPr>
            <w:r>
              <w:rPr>
                <w:rFonts w:ascii="Segoe UI" w:hAnsi="Segoe UI" w:cs="Segoe UI" w:eastAsia="Segoe UI"/>
                <w:color w:val="101820"/>
                <w:sz w:val="18"/>
              </w:rPr>
              <w:t>Availability zone failure</w:t>
            </w:r>
          </w:p>
        </w:tc>
        <w:tc>
          <w:tcPr>
            <w:tcW w:type="dxa" w:w="1545"/>
          </w:tcPr>
          <w:p>
            <w:pPr>
              <w:spacing w:after="20"/>
            </w:pPr>
            <w:r>
              <w:rPr>
                <w:rFonts w:ascii="Segoe UI" w:hAnsi="Segoe UI" w:cs="Segoe UI" w:eastAsia="Segoe UI"/>
                <w:color w:val="101820"/>
                <w:sz w:val="18"/>
              </w:rPr>
              <w:t>0</w:t>
            </w:r>
          </w:p>
        </w:tc>
        <w:tc>
          <w:tcPr>
            <w:tcW w:type="dxa" w:w="4035"/>
          </w:tcPr>
          <w:p>
            <w:pPr>
              <w:spacing w:after="20"/>
            </w:pPr>
            <w:r>
              <w:rPr>
                <w:rFonts w:ascii="Segoe UI" w:hAnsi="Segoe UI" w:cs="Segoe UI" w:eastAsia="Segoe UI"/>
                <w:color w:val="101820"/>
                <w:sz w:val="18"/>
              </w:rPr>
              <w:t>Under 15 minutes</w:t>
            </w:r>
          </w:p>
        </w:tc>
      </w:tr>
      <w:tr>
        <w:tc>
          <w:tcPr>
            <w:tcW w:type="dxa" w:w="3434"/>
          </w:tcPr>
          <w:p>
            <w:pPr>
              <w:spacing w:after="20"/>
            </w:pPr>
            <w:r>
              <w:rPr>
                <w:rFonts w:ascii="Segoe UI" w:hAnsi="Segoe UI" w:cs="Segoe UI" w:eastAsia="Segoe UI"/>
                <w:color w:val="101820"/>
                <w:sz w:val="18"/>
              </w:rPr>
              <w:t>Database instance failure (with standby)</w:t>
            </w:r>
          </w:p>
        </w:tc>
        <w:tc>
          <w:tcPr>
            <w:tcW w:type="dxa" w:w="1545"/>
          </w:tcPr>
          <w:p>
            <w:pPr>
              <w:spacing w:after="20"/>
            </w:pPr>
            <w:r>
              <w:rPr>
                <w:rFonts w:ascii="Segoe UI" w:hAnsi="Segoe UI" w:cs="Segoe UI" w:eastAsia="Segoe UI"/>
                <w:color w:val="101820"/>
                <w:sz w:val="18"/>
              </w:rPr>
              <w:t>0</w:t>
            </w:r>
          </w:p>
        </w:tc>
        <w:tc>
          <w:tcPr>
            <w:tcW w:type="dxa" w:w="4035"/>
          </w:tcPr>
          <w:p>
            <w:pPr>
              <w:spacing w:after="20"/>
            </w:pPr>
            <w:r>
              <w:rPr>
                <w:rFonts w:ascii="Segoe UI" w:hAnsi="Segoe UI" w:cs="Segoe UI" w:eastAsia="Segoe UI"/>
                <w:color w:val="101820"/>
                <w:sz w:val="18"/>
              </w:rPr>
              <w:t>Under 15 minutes</w:t>
            </w:r>
          </w:p>
        </w:tc>
      </w:tr>
      <w:tr>
        <w:tc>
          <w:tcPr>
            <w:tcW w:type="dxa" w:w="3434"/>
          </w:tcPr>
          <w:p>
            <w:pPr>
              <w:spacing w:after="20"/>
            </w:pPr>
            <w:r>
              <w:rPr>
                <w:rFonts w:ascii="Segoe UI" w:hAnsi="Segoe UI" w:cs="Segoe UI" w:eastAsia="Segoe UI"/>
                <w:color w:val="101820"/>
                <w:sz w:val="18"/>
              </w:rPr>
              <w:t>Logical corruption or wrong mass change</w:t>
            </w:r>
          </w:p>
        </w:tc>
        <w:tc>
          <w:tcPr>
            <w:tcW w:type="dxa" w:w="1545"/>
          </w:tcPr>
          <w:p>
            <w:pPr>
              <w:spacing w:after="20"/>
            </w:pPr>
            <w:r>
              <w:rPr>
                <w:rFonts w:ascii="Segoe UI" w:hAnsi="Segoe UI" w:cs="Segoe UI" w:eastAsia="Segoe UI"/>
                <w:color w:val="101820"/>
                <w:sz w:val="18"/>
              </w:rPr>
              <w:t>15 minutes or less</w:t>
            </w:r>
          </w:p>
        </w:tc>
        <w:tc>
          <w:tcPr>
            <w:tcW w:type="dxa" w:w="4035"/>
          </w:tcPr>
          <w:p>
            <w:pPr>
              <w:spacing w:after="20"/>
            </w:pPr>
            <w:r>
              <w:rPr>
                <w:rFonts w:ascii="Segoe UI" w:hAnsi="Segoe UI" w:cs="Segoe UI" w:eastAsia="Segoe UI"/>
                <w:color w:val="101820"/>
                <w:sz w:val="18"/>
              </w:rPr>
              <w:t>4 hours or less</w:t>
            </w:r>
          </w:p>
        </w:tc>
      </w:tr>
      <w:tr>
        <w:tc>
          <w:tcPr>
            <w:tcW w:type="dxa" w:w="3434"/>
          </w:tcPr>
          <w:p>
            <w:pPr>
              <w:spacing w:after="20"/>
            </w:pPr>
            <w:r>
              <w:rPr>
                <w:rFonts w:ascii="Segoe UI" w:hAnsi="Segoe UI" w:cs="Segoe UI" w:eastAsia="Segoe UI"/>
                <w:color w:val="101820"/>
                <w:sz w:val="18"/>
              </w:rPr>
              <w:t>Loss of uploaded files</w:t>
            </w:r>
          </w:p>
        </w:tc>
        <w:tc>
          <w:tcPr>
            <w:tcW w:type="dxa" w:w="1545"/>
          </w:tcPr>
          <w:p>
            <w:pPr>
              <w:spacing w:after="20"/>
            </w:pPr>
            <w:r>
              <w:rPr>
                <w:rFonts w:ascii="Segoe UI" w:hAnsi="Segoe UI" w:cs="Segoe UI" w:eastAsia="Segoe UI"/>
                <w:color w:val="101820"/>
                <w:sz w:val="18"/>
              </w:rPr>
              <w:t>24 hours or less</w:t>
            </w:r>
          </w:p>
        </w:tc>
        <w:tc>
          <w:tcPr>
            <w:tcW w:type="dxa" w:w="4035"/>
          </w:tcPr>
          <w:p>
            <w:pPr>
              <w:spacing w:after="20"/>
            </w:pPr>
            <w:r>
              <w:rPr>
                <w:rFonts w:ascii="Segoe UI" w:hAnsi="Segoe UI" w:cs="Segoe UI" w:eastAsia="Segoe UI"/>
                <w:color w:val="101820"/>
                <w:sz w:val="18"/>
              </w:rPr>
              <w:t>4 hours or less</w:t>
            </w:r>
          </w:p>
        </w:tc>
      </w:tr>
      <w:tr>
        <w:tc>
          <w:tcPr>
            <w:tcW w:type="dxa" w:w="3434"/>
          </w:tcPr>
          <w:p>
            <w:pPr>
              <w:spacing w:after="20"/>
            </w:pPr>
            <w:r>
              <w:rPr>
                <w:rFonts w:ascii="Segoe UI" w:hAnsi="Segoe UI" w:cs="Segoe UI" w:eastAsia="Segoe UI"/>
                <w:color w:val="101820"/>
                <w:sz w:val="18"/>
              </w:rPr>
              <w:t>Regional or site outage</w:t>
            </w:r>
          </w:p>
        </w:tc>
        <w:tc>
          <w:tcPr>
            <w:tcW w:type="dxa" w:w="1545"/>
          </w:tcPr>
          <w:p>
            <w:pPr>
              <w:spacing w:after="20"/>
            </w:pPr>
            <w:r>
              <w:rPr>
                <w:rFonts w:ascii="Segoe UI" w:hAnsi="Segoe UI" w:cs="Segoe UI" w:eastAsia="Segoe UI"/>
                <w:color w:val="101820"/>
                <w:sz w:val="18"/>
              </w:rPr>
              <w:t>24 hours or less</w:t>
            </w:r>
          </w:p>
        </w:tc>
        <w:tc>
          <w:tcPr>
            <w:tcW w:type="dxa" w:w="4035"/>
          </w:tcPr>
          <w:p>
            <w:pPr>
              <w:spacing w:after="20"/>
            </w:pPr>
            <w:r>
              <w:rPr>
                <w:rFonts w:ascii="Segoe UI" w:hAnsi="Segoe UI" w:cs="Segoe UI" w:eastAsia="Segoe UI"/>
                <w:color w:val="101820"/>
                <w:sz w:val="18"/>
              </w:rPr>
              <w:t>24 hours or less (warm standby option: 8 hours)</w:t>
            </w:r>
          </w:p>
        </w:tc>
      </w:tr>
    </w:tbl>
    <w:p>
      <w:pPr>
        <w:spacing w:after="80"/>
      </w:pPr>
    </w:p>
    <w:p>
      <w:pPr>
        <w:spacing w:after="120" w:line="276" w:lineRule="auto"/>
      </w:pPr>
      <w:r>
        <w:rPr>
          <w:rFonts w:ascii="Segoe UI" w:hAnsi="Segoe UI" w:cs="Segoe UI" w:eastAsia="Segoe UI"/>
          <w:color w:val="101820"/>
          <w:sz w:val="21"/>
        </w:rPr>
        <w:t>The regional objectives apply only when the Order Form includes a DR environment or cross-region backups (included for the Enterprise size). The objectives become binding when the Client accepts them in the Order Form and the environment is provisioned to meet them.</w:t>
      </w:r>
    </w:p>
    <w:p>
      <w:pPr>
        <w:pStyle w:val="Heading2"/>
      </w:pPr>
      <w:r>
        <w:rPr>
          <w:rFonts w:ascii="Segoe UI" w:hAnsi="Segoe UI" w:cs="Segoe UI" w:eastAsia="Segoe UI"/>
          <w:b/>
          <w:color w:val="0F4761"/>
          <w:sz w:val="26"/>
        </w:rPr>
        <w:t>6.3  Restore tests and drills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5693"/>
        <w:gridCol w:w="3321"/>
      </w:tblGrid>
      <w:tr>
        <w:trPr>
          <w:tblHeader w:val="true"/>
        </w:trPr>
        <w:tc>
          <w:tcPr>
            <w:tcW w:type="dxa" w:w="5693"/>
            <w:shd w:val="clear" w:color="auto" w:fill="DCE9F7"/>
          </w:tcPr>
          <w:p>
            <w:pPr>
              <w:spacing w:after="20"/>
            </w:pPr>
            <w:r>
              <w:rPr>
                <w:rFonts w:ascii="Segoe UI" w:hAnsi="Segoe UI" w:cs="Segoe UI" w:eastAsia="Segoe UI"/>
                <w:b/>
                <w:color w:val="0F4761"/>
                <w:sz w:val="18"/>
              </w:rPr>
              <w:t>Test</w:t>
            </w:r>
          </w:p>
        </w:tc>
        <w:tc>
          <w:tcPr>
            <w:tcW w:type="dxa" w:w="3321"/>
            <w:shd w:val="clear" w:color="auto" w:fill="DCE9F7"/>
          </w:tcPr>
          <w:p>
            <w:pPr>
              <w:spacing w:after="20"/>
            </w:pPr>
            <w:r>
              <w:rPr>
                <w:rFonts w:ascii="Segoe UI" w:hAnsi="Segoe UI" w:cs="Segoe UI" w:eastAsia="Segoe UI"/>
                <w:b/>
                <w:color w:val="0F4761"/>
                <w:sz w:val="18"/>
              </w:rPr>
              <w:t>Frequency</w:t>
            </w:r>
          </w:p>
        </w:tc>
      </w:tr>
      <w:tr>
        <w:tc>
          <w:tcPr>
            <w:tcW w:type="dxa" w:w="5693"/>
          </w:tcPr>
          <w:p>
            <w:pPr>
              <w:spacing w:after="20"/>
            </w:pPr>
            <w:r>
              <w:rPr>
                <w:rFonts w:ascii="Segoe UI" w:hAnsi="Segoe UI" w:cs="Segoe UI" w:eastAsia="Segoe UI"/>
                <w:color w:val="101820"/>
                <w:sz w:val="18"/>
              </w:rPr>
              <w:t>Check that backup jobs succeeded and the latest restorable time is within 15 minutes</w:t>
            </w:r>
          </w:p>
        </w:tc>
        <w:tc>
          <w:tcPr>
            <w:tcW w:type="dxa" w:w="3321"/>
          </w:tcPr>
          <w:p>
            <w:pPr>
              <w:spacing w:after="20"/>
            </w:pPr>
            <w:r>
              <w:rPr>
                <w:rFonts w:ascii="Segoe UI" w:hAnsi="Segoe UI" w:cs="Segoe UI" w:eastAsia="Segoe UI"/>
                <w:color w:val="101820"/>
                <w:sz w:val="18"/>
              </w:rPr>
              <w:t>Daily</w:t>
            </w:r>
          </w:p>
        </w:tc>
      </w:tr>
      <w:tr>
        <w:tc>
          <w:tcPr>
            <w:tcW w:type="dxa" w:w="5693"/>
          </w:tcPr>
          <w:p>
            <w:pPr>
              <w:spacing w:after="20"/>
            </w:pPr>
            <w:r>
              <w:rPr>
                <w:rFonts w:ascii="Segoe UI" w:hAnsi="Segoe UI" w:cs="Segoe UI" w:eastAsia="Segoe UI"/>
                <w:color w:val="101820"/>
                <w:sz w:val="18"/>
              </w:rPr>
              <w:t>Point-in-time restore to a new instance, application started against it, smoke test</w:t>
            </w:r>
          </w:p>
        </w:tc>
        <w:tc>
          <w:tcPr>
            <w:tcW w:type="dxa" w:w="3321"/>
          </w:tcPr>
          <w:p>
            <w:pPr>
              <w:spacing w:after="20"/>
            </w:pPr>
            <w:r>
              <w:rPr>
                <w:rFonts w:ascii="Segoe UI" w:hAnsi="Segoe UI" w:cs="Segoe UI" w:eastAsia="Segoe UI"/>
                <w:color w:val="101820"/>
                <w:sz w:val="18"/>
              </w:rPr>
              <w:t>Quarterly and before go-live</w:t>
            </w:r>
          </w:p>
        </w:tc>
      </w:tr>
      <w:tr>
        <w:tc>
          <w:tcPr>
            <w:tcW w:type="dxa" w:w="5693"/>
          </w:tcPr>
          <w:p>
            <w:pPr>
              <w:spacing w:after="20"/>
            </w:pPr>
            <w:r>
              <w:rPr>
                <w:rFonts w:ascii="Segoe UI" w:hAnsi="Segoe UI" w:cs="Segoe UI" w:eastAsia="Segoe UI"/>
                <w:color w:val="101820"/>
                <w:sz w:val="18"/>
              </w:rPr>
              <w:t>Logical dump restore into a clean PostgreSQL 16 with row counts compared</w:t>
            </w:r>
          </w:p>
        </w:tc>
        <w:tc>
          <w:tcPr>
            <w:tcW w:type="dxa" w:w="3321"/>
          </w:tcPr>
          <w:p>
            <w:pPr>
              <w:spacing w:after="20"/>
            </w:pPr>
            <w:r>
              <w:rPr>
                <w:rFonts w:ascii="Segoe UI" w:hAnsi="Segoe UI" w:cs="Segoe UI" w:eastAsia="Segoe UI"/>
                <w:color w:val="101820"/>
                <w:sz w:val="18"/>
              </w:rPr>
              <w:t>Twice a year</w:t>
            </w:r>
          </w:p>
        </w:tc>
      </w:tr>
      <w:tr>
        <w:tc>
          <w:tcPr>
            <w:tcW w:type="dxa" w:w="5693"/>
          </w:tcPr>
          <w:p>
            <w:pPr>
              <w:spacing w:after="20"/>
            </w:pPr>
            <w:r>
              <w:rPr>
                <w:rFonts w:ascii="Segoe UI" w:hAnsi="Segoe UI" w:cs="Segoe UI" w:eastAsia="Segoe UI"/>
                <w:color w:val="101820"/>
                <w:sz w:val="18"/>
              </w:rPr>
              <w:t>Secret escrow check under dual control</w:t>
            </w:r>
          </w:p>
        </w:tc>
        <w:tc>
          <w:tcPr>
            <w:tcW w:type="dxa" w:w="3321"/>
          </w:tcPr>
          <w:p>
            <w:pPr>
              <w:spacing w:after="20"/>
            </w:pPr>
            <w:r>
              <w:rPr>
                <w:rFonts w:ascii="Segoe UI" w:hAnsi="Segoe UI" w:cs="Segoe UI" w:eastAsia="Segoe UI"/>
                <w:color w:val="101820"/>
                <w:sz w:val="18"/>
              </w:rPr>
              <w:t>Yearly</w:t>
            </w:r>
          </w:p>
        </w:tc>
      </w:tr>
      <w:tr>
        <w:tc>
          <w:tcPr>
            <w:tcW w:type="dxa" w:w="5693"/>
          </w:tcPr>
          <w:p>
            <w:pPr>
              <w:spacing w:after="20"/>
            </w:pPr>
            <w:r>
              <w:rPr>
                <w:rFonts w:ascii="Segoe UI" w:hAnsi="Segoe UI" w:cs="Segoe UI" w:eastAsia="Segoe UI"/>
                <w:color w:val="101820"/>
                <w:sz w:val="18"/>
              </w:rPr>
              <w:t>Tabletop DR exercise with the Client</w:t>
            </w:r>
          </w:p>
        </w:tc>
        <w:tc>
          <w:tcPr>
            <w:tcW w:type="dxa" w:w="3321"/>
          </w:tcPr>
          <w:p>
            <w:pPr>
              <w:spacing w:after="20"/>
            </w:pPr>
            <w:r>
              <w:rPr>
                <w:rFonts w:ascii="Segoe UI" w:hAnsi="Segoe UI" w:cs="Segoe UI" w:eastAsia="Segoe UI"/>
                <w:color w:val="101820"/>
                <w:sz w:val="18"/>
              </w:rPr>
              <w:t>Yearly</w:t>
            </w:r>
          </w:p>
        </w:tc>
      </w:tr>
      <w:tr>
        <w:tc>
          <w:tcPr>
            <w:tcW w:type="dxa" w:w="5693"/>
          </w:tcPr>
          <w:p>
            <w:pPr>
              <w:spacing w:after="20"/>
            </w:pPr>
            <w:r>
              <w:rPr>
                <w:rFonts w:ascii="Segoe UI" w:hAnsi="Segoe UI" w:cs="Segoe UI" w:eastAsia="Segoe UI"/>
                <w:color w:val="101820"/>
                <w:sz w:val="18"/>
              </w:rPr>
              <w:t>Full recovery in the recovery region or site</w:t>
            </w:r>
          </w:p>
        </w:tc>
        <w:tc>
          <w:tcPr>
            <w:tcW w:type="dxa" w:w="3321"/>
          </w:tcPr>
          <w:p>
            <w:pPr>
              <w:spacing w:after="20"/>
            </w:pPr>
            <w:r>
              <w:rPr>
                <w:rFonts w:ascii="Segoe UI" w:hAnsi="Segoe UI" w:cs="Segoe UI" w:eastAsia="Segoe UI"/>
                <w:color w:val="101820"/>
                <w:sz w:val="18"/>
              </w:rPr>
              <w:t>Every two years</w:t>
            </w:r>
          </w:p>
        </w:tc>
      </w:tr>
    </w:tbl>
    <w:p>
      <w:pPr>
        <w:spacing w:after="80"/>
      </w:pPr>
    </w:p>
    <w:p>
      <w:pPr>
        <w:spacing w:after="120" w:line="276" w:lineRule="auto"/>
      </w:pPr>
      <w:r>
        <w:rPr>
          <w:rFonts w:ascii="Segoe UI" w:hAnsi="Segoe UI" w:cs="Segoe UI" w:eastAsia="Segoe UI"/>
          <w:color w:val="101820"/>
          <w:sz w:val="21"/>
        </w:rPr>
        <w:t>Results are recorded and reported in the monthly service report.</w:t>
      </w:r>
    </w:p>
    <w:p>
      <w:pPr>
        <w:pStyle w:val="Heading1"/>
        <w:pageBreakBefore/>
      </w:pPr>
      <w:r>
        <w:rPr>
          <w:rFonts w:ascii="Segoe UI" w:hAnsi="Segoe UI" w:cs="Segoe UI" w:eastAsia="Segoe UI"/>
          <w:b/>
          <w:color w:val="0F4761"/>
          <w:sz w:val="32"/>
        </w:rPr>
        <w:t>7.  Availability</w:t>
      </w:r>
    </w:p>
    <w:p>
      <w:pPr>
        <w:spacing w:after="60"/>
        <w:numPr>
          <w:ilvl w:val="0"/>
          <w:numId w:val="5"/>
        </w:numPr>
      </w:pPr>
      <w:r>
        <w:rPr>
          <w:rFonts w:ascii="Segoe UI" w:hAnsi="Segoe UI" w:cs="Segoe UI" w:eastAsia="Segoe UI"/>
          <w:color w:val="101820"/>
          <w:sz w:val="21"/>
        </w:rPr>
        <w:t>Availability target of production: 99.5% in each calendar month, measured in service hours (08:00 to 18:00 PHT, Monday to Friday, except Philippine regular holidays), excluding planned maintenance and the exclusions below. [Option with 24x7 monitoring: measured over all hours.]</w:t>
      </w:r>
    </w:p>
    <w:p>
      <w:pPr>
        <w:spacing w:after="60"/>
        <w:numPr>
          <w:ilvl w:val="0"/>
          <w:numId w:val="5"/>
        </w:numPr>
      </w:pPr>
      <w:r>
        <w:rPr>
          <w:rFonts w:ascii="Segoe UI" w:hAnsi="Segoe UI" w:cs="Segoe UI" w:eastAsia="Segoe UI"/>
          <w:color w:val="101820"/>
          <w:sz w:val="21"/>
        </w:rPr>
        <w:t>Availability is measured by an external synthetic health check every 5 minutes. Production is unavailable when two consecutive checks fail.</w:t>
      </w:r>
    </w:p>
    <w:p>
      <w:pPr>
        <w:spacing w:after="60"/>
        <w:numPr>
          <w:ilvl w:val="0"/>
          <w:numId w:val="5"/>
        </w:numPr>
      </w:pPr>
      <w:r>
        <w:rPr>
          <w:rFonts w:ascii="Segoe UI" w:hAnsi="Segoe UI" w:cs="Segoe UI" w:eastAsia="Segoe UI"/>
          <w:color w:val="101820"/>
          <w:sz w:val="21"/>
        </w:rPr>
        <w:t>Planned maintenance takes place in the window Saturday 20:00 to Sunday 06:00 PHT, or at another time agreed with the Client, with at least 5 Business Days' notice.</w:t>
      </w:r>
    </w:p>
    <w:p>
      <w:pPr>
        <w:spacing w:after="60"/>
        <w:numPr>
          <w:ilvl w:val="0"/>
          <w:numId w:val="5"/>
        </w:numPr>
      </w:pPr>
      <w:r>
        <w:rPr>
          <w:rFonts w:ascii="Segoe UI" w:hAnsi="Segoe UI" w:cs="Segoe UI" w:eastAsia="Segoe UI"/>
          <w:color w:val="101820"/>
          <w:sz w:val="21"/>
        </w:rPr>
        <w:t>Exclusions: force majeure; failures of the public internet or of the Client's network or devices; suspension under the MSA; acts or omissions of the Client; emergency maintenance to fix a critical security vulnerability, notified as soon as possible.</w:t>
      </w:r>
    </w:p>
    <w:p>
      <w:pPr>
        <w:pStyle w:val="Heading2"/>
      </w:pPr>
      <w:r>
        <w:rPr>
          <w:rFonts w:ascii="Segoe UI" w:hAnsi="Segoe UI" w:cs="Segoe UI" w:eastAsia="Segoe UI"/>
          <w:b/>
          <w:color w:val="0F4761"/>
          <w:sz w:val="26"/>
        </w:rPr>
        <w:t>7.1  Availability credits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02"/>
        <w:gridCol w:w="5613"/>
      </w:tblGrid>
      <w:tr>
        <w:trPr>
          <w:tblHeader w:val="true"/>
        </w:trPr>
        <w:tc>
          <w:tcPr>
            <w:tcW w:type="dxa" w:w="3402"/>
            <w:shd w:val="clear" w:color="auto" w:fill="DCE9F7"/>
          </w:tcPr>
          <w:p>
            <w:pPr>
              <w:spacing w:after="20"/>
            </w:pPr>
            <w:r>
              <w:rPr>
                <w:rFonts w:ascii="Segoe UI" w:hAnsi="Segoe UI" w:cs="Segoe UI" w:eastAsia="Segoe UI"/>
                <w:b/>
                <w:color w:val="0F4761"/>
                <w:sz w:val="18"/>
              </w:rPr>
              <w:t>Monthly availability</w:t>
            </w:r>
          </w:p>
        </w:tc>
        <w:tc>
          <w:tcPr>
            <w:tcW w:type="dxa" w:w="5613"/>
            <w:shd w:val="clear" w:color="auto" w:fill="DCE9F7"/>
          </w:tcPr>
          <w:p>
            <w:pPr>
              <w:spacing w:after="20"/>
            </w:pPr>
            <w:r>
              <w:rPr>
                <w:rFonts w:ascii="Segoe UI" w:hAnsi="Segoe UI" w:cs="Segoe UI" w:eastAsia="Segoe UI"/>
                <w:b/>
                <w:color w:val="0F4761"/>
                <w:sz w:val="18"/>
              </w:rPr>
              <w:t>Credit on the monthly hosting fee</w:t>
            </w:r>
          </w:p>
        </w:tc>
      </w:tr>
      <w:tr>
        <w:tc>
          <w:tcPr>
            <w:tcW w:type="dxa" w:w="3402"/>
          </w:tcPr>
          <w:p>
            <w:pPr>
              <w:spacing w:after="20"/>
            </w:pPr>
            <w:r>
              <w:rPr>
                <w:rFonts w:ascii="Segoe UI" w:hAnsi="Segoe UI" w:cs="Segoe UI" w:eastAsia="Segoe UI"/>
                <w:color w:val="101820"/>
                <w:sz w:val="18"/>
              </w:rPr>
              <w:t>99.0% to below 99.5%</w:t>
            </w:r>
          </w:p>
        </w:tc>
        <w:tc>
          <w:tcPr>
            <w:tcW w:type="dxa" w:w="5613"/>
          </w:tcPr>
          <w:p>
            <w:pPr>
              <w:spacing w:after="20"/>
            </w:pPr>
            <w:r>
              <w:rPr>
                <w:rFonts w:ascii="Segoe UI" w:hAnsi="Segoe UI" w:cs="Segoe UI" w:eastAsia="Segoe UI"/>
                <w:color w:val="101820"/>
                <w:sz w:val="18"/>
              </w:rPr>
              <w:t>[5%]</w:t>
            </w:r>
          </w:p>
        </w:tc>
      </w:tr>
      <w:tr>
        <w:tc>
          <w:tcPr>
            <w:tcW w:type="dxa" w:w="3402"/>
          </w:tcPr>
          <w:p>
            <w:pPr>
              <w:spacing w:after="20"/>
            </w:pPr>
            <w:r>
              <w:rPr>
                <w:rFonts w:ascii="Segoe UI" w:hAnsi="Segoe UI" w:cs="Segoe UI" w:eastAsia="Segoe UI"/>
                <w:color w:val="101820"/>
                <w:sz w:val="18"/>
              </w:rPr>
              <w:t>98.0% to below 99.0%</w:t>
            </w:r>
          </w:p>
        </w:tc>
        <w:tc>
          <w:tcPr>
            <w:tcW w:type="dxa" w:w="5613"/>
          </w:tcPr>
          <w:p>
            <w:pPr>
              <w:spacing w:after="20"/>
            </w:pPr>
            <w:r>
              <w:rPr>
                <w:rFonts w:ascii="Segoe UI" w:hAnsi="Segoe UI" w:cs="Segoe UI" w:eastAsia="Segoe UI"/>
                <w:color w:val="101820"/>
                <w:sz w:val="18"/>
              </w:rPr>
              <w:t>[7.5%]</w:t>
            </w:r>
          </w:p>
        </w:tc>
      </w:tr>
      <w:tr>
        <w:tc>
          <w:tcPr>
            <w:tcW w:type="dxa" w:w="3402"/>
          </w:tcPr>
          <w:p>
            <w:pPr>
              <w:spacing w:after="20"/>
            </w:pPr>
            <w:r>
              <w:rPr>
                <w:rFonts w:ascii="Segoe UI" w:hAnsi="Segoe UI" w:cs="Segoe UI" w:eastAsia="Segoe UI"/>
                <w:color w:val="101820"/>
                <w:sz w:val="18"/>
              </w:rPr>
              <w:t>Below 98.0%</w:t>
            </w:r>
          </w:p>
        </w:tc>
        <w:tc>
          <w:tcPr>
            <w:tcW w:type="dxa" w:w="5613"/>
          </w:tcPr>
          <w:p>
            <w:pPr>
              <w:spacing w:after="20"/>
            </w:pPr>
            <w:r>
              <w:rPr>
                <w:rFonts w:ascii="Segoe UI" w:hAnsi="Segoe UI" w:cs="Segoe UI" w:eastAsia="Segoe UI"/>
                <w:color w:val="101820"/>
                <w:sz w:val="18"/>
              </w:rPr>
              <w:t>[10%]</w:t>
            </w:r>
          </w:p>
        </w:tc>
      </w:tr>
    </w:tbl>
    <w:p>
      <w:pPr>
        <w:spacing w:after="80"/>
      </w:pPr>
    </w:p>
    <w:p>
      <w:pPr>
        <w:spacing w:after="120" w:line="276" w:lineRule="auto"/>
      </w:pPr>
      <w:r>
        <w:rPr>
          <w:rFonts w:ascii="Segoe UI" w:hAnsi="Segoe UI" w:cs="Segoe UI" w:eastAsia="Segoe UI"/>
          <w:color w:val="101820"/>
          <w:sz w:val="21"/>
        </w:rPr>
        <w:t>Credits are capped at [10%] of the monthly hosting fee, are claimed and applied as in the Support Agreement, and are the Client's sole financial remedy for missed availability, except that availability below 98.0% in 3 consecutive months gives the Client a right to terminate this Hosting Agreement for cause.</w:t>
      </w:r>
    </w:p>
    <w:p>
      <w:pPr>
        <w:pStyle w:val="Heading1"/>
        <w:pageBreakBefore/>
      </w:pPr>
      <w:r>
        <w:rPr>
          <w:rFonts w:ascii="Segoe UI" w:hAnsi="Segoe UI" w:cs="Segoe UI" w:eastAsia="Segoe UI"/>
          <w:b/>
          <w:color w:val="0F4761"/>
          <w:sz w:val="32"/>
        </w:rPr>
        <w:t>8.  Security</w:t>
      </w:r>
    </w:p>
    <w:p>
      <w:pPr>
        <w:spacing w:after="120" w:line="276" w:lineRule="auto"/>
      </w:pPr>
      <w:r>
        <w:rPr>
          <w:rFonts w:ascii="Segoe UI" w:hAnsi="Segoe UI" w:cs="Segoe UI" w:eastAsia="Segoe UI"/>
          <w:color w:val="101820"/>
          <w:sz w:val="21"/>
        </w:rPr>
        <w:t>iorta TechNXT applies at least the following controls:</w:t>
      </w:r>
    </w:p>
    <w:p>
      <w:pPr>
        <w:spacing w:after="60"/>
        <w:numPr>
          <w:ilvl w:val="0"/>
          <w:numId w:val="6"/>
        </w:numPr>
      </w:pPr>
      <w:r>
        <w:rPr>
          <w:rFonts w:ascii="Segoe UI" w:hAnsi="Segoe UI" w:cs="Segoe UI" w:eastAsia="Segoe UI"/>
          <w:color w:val="101820"/>
          <w:sz w:val="21"/>
        </w:rPr>
        <w:t>network zones: public edge (CDN, WAF, load balancer), private application zone, private data zone and an administration zone with multi-factor sign-in and logged access;</w:t>
      </w:r>
    </w:p>
    <w:p>
      <w:pPr>
        <w:spacing w:after="60"/>
        <w:numPr>
          <w:ilvl w:val="0"/>
          <w:numId w:val="6"/>
        </w:numPr>
      </w:pPr>
      <w:r>
        <w:rPr>
          <w:rFonts w:ascii="Segoe UI" w:hAnsi="Segoe UI" w:cs="Segoe UI" w:eastAsia="Segoe UI"/>
          <w:color w:val="101820"/>
          <w:sz w:val="21"/>
        </w:rPr>
        <w:t>WAF with managed rule sets and rate limits;</w:t>
      </w:r>
    </w:p>
    <w:p>
      <w:pPr>
        <w:spacing w:after="60"/>
        <w:numPr>
          <w:ilvl w:val="0"/>
          <w:numId w:val="6"/>
        </w:numPr>
      </w:pPr>
      <w:r>
        <w:rPr>
          <w:rFonts w:ascii="Segoe UI" w:hAnsi="Segoe UI" w:cs="Segoe UI" w:eastAsia="Segoe UI"/>
          <w:color w:val="101820"/>
          <w:sz w:val="21"/>
        </w:rPr>
        <w:t>encryption in transit (HTTPS; TLS to the database) and at rest (database, file store, backups) with keys held in the provider's key service under the hosting account;</w:t>
      </w:r>
    </w:p>
    <w:p>
      <w:pPr>
        <w:spacing w:after="60"/>
        <w:numPr>
          <w:ilvl w:val="0"/>
          <w:numId w:val="6"/>
        </w:numPr>
      </w:pPr>
      <w:r>
        <w:rPr>
          <w:rFonts w:ascii="Segoe UI" w:hAnsi="Segoe UI" w:cs="Segoe UI" w:eastAsia="Segoe UI"/>
          <w:color w:val="101820"/>
          <w:sz w:val="21"/>
        </w:rPr>
        <w:t>secrets in a secret store; separate secrets per environment; sealed escrow copy of the data encryption key;</w:t>
      </w:r>
    </w:p>
    <w:p>
      <w:pPr>
        <w:spacing w:after="60"/>
        <w:numPr>
          <w:ilvl w:val="0"/>
          <w:numId w:val="6"/>
        </w:numPr>
      </w:pPr>
      <w:r>
        <w:rPr>
          <w:rFonts w:ascii="Segoe UI" w:hAnsi="Segoe UI" w:cs="Segoe UI" w:eastAsia="Segoe UI"/>
          <w:color w:val="101820"/>
          <w:sz w:val="21"/>
        </w:rPr>
        <w:t>least-privilege administrator access, named accounts, multi-factor authentication and quarterly access reviews;</w:t>
      </w:r>
    </w:p>
    <w:p>
      <w:pPr>
        <w:spacing w:after="60"/>
        <w:numPr>
          <w:ilvl w:val="0"/>
          <w:numId w:val="6"/>
        </w:numPr>
      </w:pPr>
      <w:r>
        <w:rPr>
          <w:rFonts w:ascii="Segoe UI" w:hAnsi="Segoe UI" w:cs="Segoe UI" w:eastAsia="Segoe UI"/>
          <w:color w:val="101820"/>
          <w:sz w:val="21"/>
        </w:rPr>
        <w:t>vulnerability scanning of images and dependencies, monthly patching, critical patches within 14 days and high within 30 days;</w:t>
      </w:r>
    </w:p>
    <w:p>
      <w:pPr>
        <w:spacing w:after="60"/>
        <w:numPr>
          <w:ilvl w:val="0"/>
          <w:numId w:val="6"/>
        </w:numPr>
      </w:pPr>
      <w:r>
        <w:rPr>
          <w:rFonts w:ascii="Segoe UI" w:hAnsi="Segoe UI" w:cs="Segoe UI" w:eastAsia="Segoe UI"/>
          <w:color w:val="101820"/>
          <w:sz w:val="21"/>
        </w:rPr>
        <w:t>a yearly penetration test of production by an independent tester, with a summary shared with the Client and findings fixed on a risk basis;</w:t>
      </w:r>
    </w:p>
    <w:p>
      <w:pPr>
        <w:spacing w:after="60"/>
        <w:numPr>
          <w:ilvl w:val="0"/>
          <w:numId w:val="6"/>
        </w:numPr>
      </w:pPr>
      <w:r>
        <w:rPr>
          <w:rFonts w:ascii="Segoe UI" w:hAnsi="Segoe UI" w:cs="Segoe UI" w:eastAsia="Segoe UI"/>
          <w:color w:val="101820"/>
          <w:sz w:val="21"/>
        </w:rPr>
        <w:t>logs of administrator access and security events kept for at least [2] years;</w:t>
      </w:r>
    </w:p>
    <w:p>
      <w:pPr>
        <w:spacing w:after="60"/>
        <w:numPr>
          <w:ilvl w:val="0"/>
          <w:numId w:val="6"/>
        </w:numPr>
      </w:pPr>
      <w:r>
        <w:rPr>
          <w:rFonts w:ascii="Segoe UI" w:hAnsi="Segoe UI" w:cs="Segoe UI" w:eastAsia="Segoe UI"/>
          <w:color w:val="101820"/>
          <w:sz w:val="21"/>
        </w:rPr>
        <w:t>incident response under the Support Agreement and breach notification under the Data Processing Agreement.</w:t>
      </w:r>
    </w:p>
    <w:p>
      <w:pPr>
        <w:spacing w:after="120" w:line="276" w:lineRule="auto"/>
      </w:pPr>
      <w:r>
        <w:rPr>
          <w:rFonts w:ascii="Segoe UI" w:hAnsi="Segoe UI" w:cs="Segoe UI" w:eastAsia="Segoe UI"/>
          <w:color w:val="101820"/>
          <w:sz w:val="21"/>
        </w:rPr>
        <w:t>The Client may ask for the provider's certifications (for example ISO/IEC 27001 and SOC 2 reports for AWS and Azure, or the local partner's equivalent evidence) once a year.</w:t>
      </w:r>
    </w:p>
    <w:p>
      <w:pPr>
        <w:pStyle w:val="Heading1"/>
        <w:pageBreakBefore/>
      </w:pPr>
      <w:r>
        <w:rPr>
          <w:rFonts w:ascii="Segoe UI" w:hAnsi="Segoe UI" w:cs="Segoe UI" w:eastAsia="Segoe UI"/>
          <w:b/>
          <w:color w:val="0F4761"/>
          <w:sz w:val="32"/>
        </w:rPr>
        <w:t>9.  Data residency and cross-border transfer</w:t>
      </w:r>
    </w:p>
    <w:p>
      <w:pPr>
        <w:spacing w:after="60"/>
        <w:numPr>
          <w:ilvl w:val="0"/>
          <w:numId w:val="7"/>
        </w:numPr>
      </w:pPr>
      <w:r>
        <w:rPr>
          <w:rFonts w:ascii="Segoe UI" w:hAnsi="Segoe UI" w:cs="Segoe UI" w:eastAsia="Segoe UI"/>
          <w:color w:val="101820"/>
          <w:sz w:val="21"/>
        </w:rPr>
        <w:t>Under options A and B, the Client Data, including Personal Data, is stored and processed in Singapore. This is a transfer outside the Philippines. The Data Privacy Act of 2012 allows it, but the Client as personal information controller remains responsible for the data transferred (section 21 of the DPA) and must use contractual or other reasonable means to give comparable protection.</w:t>
      </w:r>
    </w:p>
    <w:p>
      <w:pPr>
        <w:spacing w:after="60"/>
        <w:numPr>
          <w:ilvl w:val="0"/>
          <w:numId w:val="7"/>
        </w:numPr>
      </w:pPr>
      <w:r>
        <w:rPr>
          <w:rFonts w:ascii="Segoe UI" w:hAnsi="Segoe UI" w:cs="Segoe UI" w:eastAsia="Segoe UI"/>
          <w:color w:val="101820"/>
          <w:sz w:val="21"/>
        </w:rPr>
        <w:t>The Client decides the hosting option, records the transfer in its privacy notice, records of processing and privacy impact assessment, and confirms the decision in the Order Form.</w:t>
      </w:r>
    </w:p>
    <w:p>
      <w:pPr>
        <w:spacing w:after="60"/>
        <w:numPr>
          <w:ilvl w:val="0"/>
          <w:numId w:val="7"/>
        </w:numPr>
      </w:pPr>
      <w:r>
        <w:rPr>
          <w:rFonts w:ascii="Segoe UI" w:hAnsi="Segoe UI" w:cs="Segoe UI" w:eastAsia="Segoe UI"/>
          <w:color w:val="101820"/>
          <w:sz w:val="21"/>
        </w:rPr>
        <w:t>iorta TechNXT binds the provider by the provider's data processing terms, keeps the data in the region stated in the Order Form, and does not move it to another country without the Client's prior written consent.</w:t>
      </w:r>
    </w:p>
    <w:p>
      <w:pPr>
        <w:spacing w:after="60"/>
        <w:numPr>
          <w:ilvl w:val="0"/>
          <w:numId w:val="7"/>
        </w:numPr>
      </w:pPr>
      <w:r>
        <w:rPr>
          <w:rFonts w:ascii="Segoe UI" w:hAnsi="Segoe UI" w:cs="Segoe UI" w:eastAsia="Segoe UI"/>
          <w:color w:val="101820"/>
          <w:sz w:val="21"/>
        </w:rPr>
        <w:t>Under option C, the Client Data is stored and processed in the Philippines, including backups and the off-site copy.</w:t>
      </w:r>
    </w:p>
    <w:p>
      <w:pPr>
        <w:spacing w:after="60"/>
        <w:numPr>
          <w:ilvl w:val="0"/>
          <w:numId w:val="7"/>
        </w:numPr>
      </w:pPr>
      <w:r>
        <w:rPr>
          <w:rFonts w:ascii="Segoe UI" w:hAnsi="Segoe UI" w:cs="Segoe UI" w:eastAsia="Segoe UI"/>
          <w:color w:val="101820"/>
          <w:sz w:val="21"/>
        </w:rPr>
        <w:t>Support staff of iorta TechNXT may access the Client Data remotely from [the Philippines / list of countries] only to perform the Services, under the Data Processing Agreement.</w:t>
      </w:r>
    </w:p>
    <w:p>
      <w:pPr>
        <w:pStyle w:val="Heading1"/>
        <w:pageBreakBefore/>
      </w:pPr>
      <w:r>
        <w:rPr>
          <w:rFonts w:ascii="Segoe UI" w:hAnsi="Segoe UI" w:cs="Segoe UI" w:eastAsia="Segoe UI"/>
          <w:b/>
          <w:color w:val="0F4761"/>
          <w:sz w:val="32"/>
        </w:rPr>
        <w:t>10.  Fees and pass-through of cloud costs</w:t>
      </w:r>
    </w:p>
    <w:p>
      <w:pPr>
        <w:pStyle w:val="Heading2"/>
      </w:pPr>
      <w:r>
        <w:rPr>
          <w:rFonts w:ascii="Segoe UI" w:hAnsi="Segoe UI" w:cs="Segoe UI" w:eastAsia="Segoe UI"/>
          <w:b/>
          <w:color w:val="0F4761"/>
          <w:sz w:val="26"/>
        </w:rPr>
        <w:t>10.1  Monthly hosting fee</w:t>
      </w:r>
    </w:p>
    <w:p>
      <w:pPr>
        <w:spacing w:after="120" w:line="276" w:lineRule="auto"/>
      </w:pPr>
      <w:r>
        <w:rPr>
          <w:rFonts w:ascii="Segoe UI" w:hAnsi="Segoe UI" w:cs="Segoe UI" w:eastAsia="Segoe UI"/>
          <w:color w:val="101820"/>
          <w:sz w:val="21"/>
        </w:rPr>
        <w:t>The monthly hosting fee (production plus one UAT environment) is stated in the Order Form. List prices of the price book dated 03 October 2026, excluding VAT: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235"/>
        <w:gridCol w:w="2099"/>
        <w:gridCol w:w="2346"/>
        <w:gridCol w:w="3334"/>
      </w:tblGrid>
      <w:tr>
        <w:trPr>
          <w:tblHeader w:val="true"/>
        </w:trPr>
        <w:tc>
          <w:tcPr>
            <w:tcW w:type="dxa" w:w="1235"/>
            <w:shd w:val="clear" w:color="auto" w:fill="DCE9F7"/>
          </w:tcPr>
          <w:p>
            <w:pPr>
              <w:spacing w:after="20"/>
            </w:pPr>
            <w:r>
              <w:rPr>
                <w:rFonts w:ascii="Segoe UI" w:hAnsi="Segoe UI" w:cs="Segoe UI" w:eastAsia="Segoe UI"/>
                <w:b/>
                <w:color w:val="0F4761"/>
                <w:sz w:val="18"/>
              </w:rPr>
              <w:t>Size</w:t>
            </w:r>
          </w:p>
        </w:tc>
        <w:tc>
          <w:tcPr>
            <w:tcW w:type="dxa" w:w="2099"/>
            <w:shd w:val="clear" w:color="auto" w:fill="DCE9F7"/>
          </w:tcPr>
          <w:p>
            <w:pPr>
              <w:spacing w:after="20"/>
            </w:pPr>
            <w:r>
              <w:rPr>
                <w:rFonts w:ascii="Segoe UI" w:hAnsi="Segoe UI" w:cs="Segoe UI" w:eastAsia="Segoe UI"/>
                <w:b/>
                <w:color w:val="0F4761"/>
                <w:sz w:val="18"/>
              </w:rPr>
              <w:t>AWS (PHP a month)</w:t>
            </w:r>
          </w:p>
        </w:tc>
        <w:tc>
          <w:tcPr>
            <w:tcW w:type="dxa" w:w="2346"/>
            <w:shd w:val="clear" w:color="auto" w:fill="DCE9F7"/>
          </w:tcPr>
          <w:p>
            <w:pPr>
              <w:spacing w:after="20"/>
            </w:pPr>
            <w:r>
              <w:rPr>
                <w:rFonts w:ascii="Segoe UI" w:hAnsi="Segoe UI" w:cs="Segoe UI" w:eastAsia="Segoe UI"/>
                <w:b/>
                <w:color w:val="0F4761"/>
                <w:sz w:val="18"/>
              </w:rPr>
              <w:t>Azure (PHP a month)</w:t>
            </w:r>
          </w:p>
        </w:tc>
        <w:tc>
          <w:tcPr>
            <w:tcW w:type="dxa" w:w="3334"/>
            <w:shd w:val="clear" w:color="auto" w:fill="DCE9F7"/>
          </w:tcPr>
          <w:p>
            <w:pPr>
              <w:spacing w:after="20"/>
            </w:pPr>
            <w:r>
              <w:rPr>
                <w:rFonts w:ascii="Segoe UI" w:hAnsi="Segoe UI" w:cs="Segoe UI" w:eastAsia="Segoe UI"/>
                <w:b/>
                <w:color w:val="0F4761"/>
                <w:sz w:val="18"/>
              </w:rPr>
              <w:t>Local partner (PHP a month)</w:t>
            </w:r>
          </w:p>
        </w:tc>
      </w:tr>
      <w:tr>
        <w:tc>
          <w:tcPr>
            <w:tcW w:type="dxa" w:w="1235"/>
          </w:tcPr>
          <w:p>
            <w:pPr>
              <w:spacing w:after="20"/>
            </w:pPr>
            <w:r>
              <w:rPr>
                <w:rFonts w:ascii="Segoe UI" w:hAnsi="Segoe UI" w:cs="Segoe UI" w:eastAsia="Segoe UI"/>
                <w:color w:val="101820"/>
                <w:sz w:val="18"/>
              </w:rPr>
              <w:t>Small</w:t>
            </w:r>
          </w:p>
        </w:tc>
        <w:tc>
          <w:tcPr>
            <w:tcW w:type="dxa" w:w="2099"/>
          </w:tcPr>
          <w:p>
            <w:pPr>
              <w:spacing w:after="20"/>
            </w:pPr>
            <w:r>
              <w:rPr>
                <w:rFonts w:ascii="Segoe UI" w:hAnsi="Segoe UI" w:cs="Segoe UI" w:eastAsia="Segoe UI"/>
                <w:color w:val="101820"/>
                <w:sz w:val="18"/>
              </w:rPr>
              <w:t>30,000.00</w:t>
            </w:r>
          </w:p>
        </w:tc>
        <w:tc>
          <w:tcPr>
            <w:tcW w:type="dxa" w:w="2346"/>
          </w:tcPr>
          <w:p>
            <w:pPr>
              <w:spacing w:after="20"/>
            </w:pPr>
            <w:r>
              <w:rPr>
                <w:rFonts w:ascii="Segoe UI" w:hAnsi="Segoe UI" w:cs="Segoe UI" w:eastAsia="Segoe UI"/>
                <w:color w:val="101820"/>
                <w:sz w:val="18"/>
              </w:rPr>
              <w:t>31,000.00</w:t>
            </w:r>
          </w:p>
        </w:tc>
        <w:tc>
          <w:tcPr>
            <w:tcW w:type="dxa" w:w="3334"/>
          </w:tcPr>
          <w:p>
            <w:pPr>
              <w:spacing w:after="20"/>
            </w:pPr>
            <w:r>
              <w:rPr>
                <w:rFonts w:ascii="Segoe UI" w:hAnsi="Segoe UI" w:cs="Segoe UI" w:eastAsia="Segoe UI"/>
                <w:color w:val="101820"/>
                <w:sz w:val="18"/>
              </w:rPr>
              <w:t>28,000.00</w:t>
            </w:r>
          </w:p>
        </w:tc>
      </w:tr>
      <w:tr>
        <w:tc>
          <w:tcPr>
            <w:tcW w:type="dxa" w:w="1235"/>
          </w:tcPr>
          <w:p>
            <w:pPr>
              <w:spacing w:after="20"/>
            </w:pPr>
            <w:r>
              <w:rPr>
                <w:rFonts w:ascii="Segoe UI" w:hAnsi="Segoe UI" w:cs="Segoe UI" w:eastAsia="Segoe UI"/>
                <w:color w:val="101820"/>
                <w:sz w:val="18"/>
              </w:rPr>
              <w:t>Medium</w:t>
            </w:r>
          </w:p>
        </w:tc>
        <w:tc>
          <w:tcPr>
            <w:tcW w:type="dxa" w:w="2099"/>
          </w:tcPr>
          <w:p>
            <w:pPr>
              <w:spacing w:after="20"/>
            </w:pPr>
            <w:r>
              <w:rPr>
                <w:rFonts w:ascii="Segoe UI" w:hAnsi="Segoe UI" w:cs="Segoe UI" w:eastAsia="Segoe UI"/>
                <w:color w:val="101820"/>
                <w:sz w:val="18"/>
              </w:rPr>
              <w:t>62,000.00</w:t>
            </w:r>
          </w:p>
        </w:tc>
        <w:tc>
          <w:tcPr>
            <w:tcW w:type="dxa" w:w="2346"/>
          </w:tcPr>
          <w:p>
            <w:pPr>
              <w:spacing w:after="20"/>
            </w:pPr>
            <w:r>
              <w:rPr>
                <w:rFonts w:ascii="Segoe UI" w:hAnsi="Segoe UI" w:cs="Segoe UI" w:eastAsia="Segoe UI"/>
                <w:color w:val="101820"/>
                <w:sz w:val="18"/>
              </w:rPr>
              <w:t>65,000.00</w:t>
            </w:r>
          </w:p>
        </w:tc>
        <w:tc>
          <w:tcPr>
            <w:tcW w:type="dxa" w:w="3334"/>
          </w:tcPr>
          <w:p>
            <w:pPr>
              <w:spacing w:after="20"/>
            </w:pPr>
            <w:r>
              <w:rPr>
                <w:rFonts w:ascii="Segoe UI" w:hAnsi="Segoe UI" w:cs="Segoe UI" w:eastAsia="Segoe UI"/>
                <w:color w:val="101820"/>
                <w:sz w:val="18"/>
              </w:rPr>
              <w:t>59,000.00</w:t>
            </w:r>
          </w:p>
        </w:tc>
      </w:tr>
      <w:tr>
        <w:tc>
          <w:tcPr>
            <w:tcW w:type="dxa" w:w="1235"/>
          </w:tcPr>
          <w:p>
            <w:pPr>
              <w:spacing w:after="20"/>
            </w:pPr>
            <w:r>
              <w:rPr>
                <w:rFonts w:ascii="Segoe UI" w:hAnsi="Segoe UI" w:cs="Segoe UI" w:eastAsia="Segoe UI"/>
                <w:color w:val="101820"/>
                <w:sz w:val="18"/>
              </w:rPr>
              <w:t>Large</w:t>
            </w:r>
          </w:p>
        </w:tc>
        <w:tc>
          <w:tcPr>
            <w:tcW w:type="dxa" w:w="2099"/>
          </w:tcPr>
          <w:p>
            <w:pPr>
              <w:spacing w:after="20"/>
            </w:pPr>
            <w:r>
              <w:rPr>
                <w:rFonts w:ascii="Segoe UI" w:hAnsi="Segoe UI" w:cs="Segoe UI" w:eastAsia="Segoe UI"/>
                <w:color w:val="101820"/>
                <w:sz w:val="18"/>
              </w:rPr>
              <w:t>112,000.00</w:t>
            </w:r>
          </w:p>
        </w:tc>
        <w:tc>
          <w:tcPr>
            <w:tcW w:type="dxa" w:w="2346"/>
          </w:tcPr>
          <w:p>
            <w:pPr>
              <w:spacing w:after="20"/>
            </w:pPr>
            <w:r>
              <w:rPr>
                <w:rFonts w:ascii="Segoe UI" w:hAnsi="Segoe UI" w:cs="Segoe UI" w:eastAsia="Segoe UI"/>
                <w:color w:val="101820"/>
                <w:sz w:val="18"/>
              </w:rPr>
              <w:t>118,000.00</w:t>
            </w:r>
          </w:p>
        </w:tc>
        <w:tc>
          <w:tcPr>
            <w:tcW w:type="dxa" w:w="3334"/>
          </w:tcPr>
          <w:p>
            <w:pPr>
              <w:spacing w:after="20"/>
            </w:pPr>
            <w:r>
              <w:rPr>
                <w:rFonts w:ascii="Segoe UI" w:hAnsi="Segoe UI" w:cs="Segoe UI" w:eastAsia="Segoe UI"/>
                <w:color w:val="101820"/>
                <w:sz w:val="18"/>
              </w:rPr>
              <w:t>107,000.00</w:t>
            </w:r>
          </w:p>
        </w:tc>
      </w:tr>
      <w:tr>
        <w:tc>
          <w:tcPr>
            <w:tcW w:type="dxa" w:w="1235"/>
          </w:tcPr>
          <w:p>
            <w:pPr>
              <w:spacing w:after="20"/>
            </w:pPr>
            <w:r>
              <w:rPr>
                <w:rFonts w:ascii="Segoe UI" w:hAnsi="Segoe UI" w:cs="Segoe UI" w:eastAsia="Segoe UI"/>
                <w:color w:val="101820"/>
                <w:sz w:val="18"/>
              </w:rPr>
              <w:t>Enterprise</w:t>
            </w:r>
          </w:p>
        </w:tc>
        <w:tc>
          <w:tcPr>
            <w:tcW w:type="dxa" w:w="2099"/>
          </w:tcPr>
          <w:p>
            <w:pPr>
              <w:spacing w:after="20"/>
            </w:pPr>
            <w:r>
              <w:rPr>
                <w:rFonts w:ascii="Segoe UI" w:hAnsi="Segoe UI" w:cs="Segoe UI" w:eastAsia="Segoe UI"/>
                <w:color w:val="101820"/>
                <w:sz w:val="18"/>
              </w:rPr>
              <w:t>244,000.00</w:t>
            </w:r>
          </w:p>
        </w:tc>
        <w:tc>
          <w:tcPr>
            <w:tcW w:type="dxa" w:w="2346"/>
          </w:tcPr>
          <w:p>
            <w:pPr>
              <w:spacing w:after="20"/>
            </w:pPr>
            <w:r>
              <w:rPr>
                <w:rFonts w:ascii="Segoe UI" w:hAnsi="Segoe UI" w:cs="Segoe UI" w:eastAsia="Segoe UI"/>
                <w:color w:val="101820"/>
                <w:sz w:val="18"/>
              </w:rPr>
              <w:t>256,000.00</w:t>
            </w:r>
          </w:p>
        </w:tc>
        <w:tc>
          <w:tcPr>
            <w:tcW w:type="dxa" w:w="3334"/>
          </w:tcPr>
          <w:p>
            <w:pPr>
              <w:spacing w:after="20"/>
            </w:pPr>
            <w:r>
              <w:rPr>
                <w:rFonts w:ascii="Segoe UI" w:hAnsi="Segoe UI" w:cs="Segoe UI" w:eastAsia="Segoe UI"/>
                <w:color w:val="101820"/>
                <w:sz w:val="18"/>
              </w:rPr>
              <w:t>232,000.00</w:t>
            </w:r>
          </w:p>
        </w:tc>
      </w:tr>
    </w:tbl>
    <w:p>
      <w:pPr>
        <w:spacing w:after="80"/>
      </w:pPr>
    </w:p>
    <w:p>
      <w:pPr>
        <w:spacing w:after="120" w:line="276" w:lineRule="auto"/>
      </w:pPr>
      <w:r>
        <w:rPr>
          <w:rFonts w:ascii="Segoe UI" w:hAnsi="Segoe UI" w:cs="Segoe UI" w:eastAsia="Segoe UI"/>
          <w:color w:val="101820"/>
          <w:sz w:val="21"/>
        </w:rPr>
        <w:t>The fee includes the provider's charges for the sized resources and a margin for exchange rate movement, monitoring, patching and backup checks. Additional environments are PHP 11,000.00 a month each, with a one-time set-up fee of PHP 100,000.00. The hosting fee and the fee for additional environments do not increase at each anniversary; they change only under the Pass-through and adjustments clause.</w:t>
      </w:r>
    </w:p>
    <w:p>
      <w:pPr>
        <w:pStyle w:val="Heading2"/>
      </w:pPr>
      <w:r>
        <w:rPr>
          <w:rFonts w:ascii="Segoe UI" w:hAnsi="Segoe UI" w:cs="Segoe UI" w:eastAsia="Segoe UI"/>
          <w:b/>
          <w:color w:val="0F4761"/>
          <w:sz w:val="26"/>
        </w:rPr>
        <w:t>10.2  Billing</w:t>
      </w:r>
    </w:p>
    <w:p>
      <w:pPr>
        <w:spacing w:after="120" w:line="276" w:lineRule="auto"/>
      </w:pPr>
      <w:r>
        <w:rPr>
          <w:rFonts w:ascii="Segoe UI" w:hAnsi="Segoe UI" w:cs="Segoe UI" w:eastAsia="Segoe UI"/>
          <w:color w:val="101820"/>
          <w:sz w:val="21"/>
        </w:rPr>
        <w:t>The hosting fee is invoiced monthly in advance from the date the environment is handed over to the Client, and is payable within 30 days. VAT is added and withholding tax is handled under the MSA.</w:t>
      </w:r>
    </w:p>
    <w:p>
      <w:pPr>
        <w:pStyle w:val="Heading2"/>
      </w:pPr>
      <w:r>
        <w:rPr>
          <w:rFonts w:ascii="Segoe UI" w:hAnsi="Segoe UI" w:cs="Segoe UI" w:eastAsia="Segoe UI"/>
          <w:b/>
          <w:color w:val="0F4761"/>
          <w:sz w:val="26"/>
        </w:rPr>
        <w:t>10.3  Pass-through and adjustments</w:t>
      </w:r>
    </w:p>
    <w:p>
      <w:pPr>
        <w:spacing w:after="60"/>
        <w:numPr>
          <w:ilvl w:val="0"/>
          <w:numId w:val="8"/>
        </w:numPr>
      </w:pPr>
      <w:r>
        <w:rPr>
          <w:rFonts w:ascii="Segoe UI" w:hAnsi="Segoe UI" w:cs="Segoe UI" w:eastAsia="Segoe UI"/>
          <w:b/>
          <w:color w:val="101820"/>
          <w:sz w:val="21"/>
        </w:rPr>
        <w:t>Provider price or exchange rate change.</w:t>
      </w:r>
      <w:r>
        <w:rPr>
          <w:rFonts w:ascii="Segoe UI" w:hAnsi="Segoe UI" w:cs="Segoe UI" w:eastAsia="Segoe UI"/>
          <w:color w:val="101820"/>
          <w:sz w:val="21"/>
        </w:rPr>
        <w:t xml:space="preserve"> Cloud providers bill in USD. If the provider's list prices for the resources in use, or the PHP per USD reference rate of the Bangko Sentral ng Pilipinas, change by more than [5%] compared with the basis in the Order Form (PHP [62.75] per USD on [25 September 2026]), either Party may ask for the fee to be adjusted in proportion, with 30 days' written notice, not more than once in each 6 months.</w:t>
      </w:r>
    </w:p>
    <w:p>
      <w:pPr>
        <w:spacing w:after="60"/>
        <w:numPr>
          <w:ilvl w:val="0"/>
          <w:numId w:val="8"/>
        </w:numPr>
      </w:pPr>
      <w:r>
        <w:rPr>
          <w:rFonts w:ascii="Segoe UI" w:hAnsi="Segoe UI" w:cs="Segoe UI" w:eastAsia="Segoe UI"/>
          <w:b/>
          <w:color w:val="101820"/>
          <w:sz w:val="21"/>
        </w:rPr>
        <w:t>Usage above the sizing.</w:t>
      </w:r>
      <w:r>
        <w:rPr>
          <w:rFonts w:ascii="Segoe UI" w:hAnsi="Segoe UI" w:cs="Segoe UI" w:eastAsia="Segoe UI"/>
          <w:color w:val="101820"/>
          <w:sz w:val="21"/>
        </w:rPr>
        <w:t xml:space="preserve"> Resources needed beyond the sizing of the Order Form because of the Client's volumes (storage, data transfer, larger database or more instances) are charged at the provider's cost plus the margin in the Order Form, after iorta TechNXT notifies the Client and the Client approves, except where needed urgently to keep the service running, in which case iorta TechNXT notifies the Client within 1 Business Day.</w:t>
      </w:r>
    </w:p>
    <w:p>
      <w:pPr>
        <w:spacing w:after="60"/>
        <w:numPr>
          <w:ilvl w:val="0"/>
          <w:numId w:val="8"/>
        </w:numPr>
      </w:pPr>
      <w:r>
        <w:rPr>
          <w:rFonts w:ascii="Segoe UI" w:hAnsi="Segoe UI" w:cs="Segoe UI" w:eastAsia="Segoe UI"/>
          <w:b/>
          <w:color w:val="101820"/>
          <w:sz w:val="21"/>
        </w:rPr>
        <w:t>Third-party usage charges.</w:t>
      </w:r>
      <w:r>
        <w:rPr>
          <w:rFonts w:ascii="Segoe UI" w:hAnsi="Segoe UI" w:cs="Segoe UI" w:eastAsia="Segoe UI"/>
          <w:color w:val="101820"/>
          <w:sz w:val="21"/>
        </w:rPr>
        <w:t xml:space="preserve"> E-mail sending above normal volumes, SMS, payment gateway fees and domain names are not included and are passed through at cost or paid by the Client directly.</w:t>
      </w:r>
    </w:p>
    <w:p>
      <w:pPr>
        <w:spacing w:after="60"/>
        <w:numPr>
          <w:ilvl w:val="0"/>
          <w:numId w:val="8"/>
        </w:numPr>
      </w:pPr>
      <w:r>
        <w:rPr>
          <w:rFonts w:ascii="Segoe UI" w:hAnsi="Segoe UI" w:cs="Segoe UI" w:eastAsia="Segoe UI"/>
          <w:b/>
          <w:color w:val="101820"/>
          <w:sz w:val="21"/>
        </w:rPr>
        <w:t>Reserved capacity.</w:t>
      </w:r>
      <w:r>
        <w:rPr>
          <w:rFonts w:ascii="Segoe UI" w:hAnsi="Segoe UI" w:cs="Segoe UI" w:eastAsia="Segoe UI"/>
          <w:color w:val="101820"/>
          <w:sz w:val="21"/>
        </w:rPr>
        <w:t xml:space="preserve"> [Option: if the Client commits to a 1-year or 3-year term, iorta TechNXT may buy reserved capacity or a savings plan and pass [50%] of the saving to the Client. The commitment is then non-cancellable for its term.]</w:t>
      </w:r>
    </w:p>
    <w:p>
      <w:pPr>
        <w:pStyle w:val="Heading1"/>
        <w:pageBreakBefore/>
      </w:pPr>
      <w:r>
        <w:rPr>
          <w:rFonts w:ascii="Segoe UI" w:hAnsi="Segoe UI" w:cs="Segoe UI" w:eastAsia="Segoe UI"/>
          <w:b/>
          <w:color w:val="0F4761"/>
          <w:sz w:val="32"/>
        </w:rPr>
        <w:t>11.  Client responsibilities</w:t>
      </w:r>
    </w:p>
    <w:p>
      <w:pPr>
        <w:spacing w:after="60"/>
        <w:numPr>
          <w:ilvl w:val="0"/>
          <w:numId w:val="9"/>
        </w:numPr>
      </w:pPr>
      <w:r>
        <w:rPr>
          <w:rFonts w:ascii="Segoe UI" w:hAnsi="Segoe UI" w:cs="Segoe UI" w:eastAsia="Segoe UI"/>
          <w:color w:val="101820"/>
          <w:sz w:val="21"/>
        </w:rPr>
        <w:t>Choose the hosting option and approve the data location and transfer.</w:t>
      </w:r>
    </w:p>
    <w:p>
      <w:pPr>
        <w:spacing w:after="60"/>
        <w:numPr>
          <w:ilvl w:val="0"/>
          <w:numId w:val="9"/>
        </w:numPr>
      </w:pPr>
      <w:r>
        <w:rPr>
          <w:rFonts w:ascii="Segoe UI" w:hAnsi="Segoe UI" w:cs="Segoe UI" w:eastAsia="Segoe UI"/>
          <w:color w:val="101820"/>
          <w:sz w:val="21"/>
        </w:rPr>
        <w:t>Provide and keep its domain names and DNS records where its own domain is used.</w:t>
      </w:r>
    </w:p>
    <w:p>
      <w:pPr>
        <w:spacing w:after="60"/>
        <w:numPr>
          <w:ilvl w:val="0"/>
          <w:numId w:val="9"/>
        </w:numPr>
      </w:pPr>
      <w:r>
        <w:rPr>
          <w:rFonts w:ascii="Segoe UI" w:hAnsi="Segoe UI" w:cs="Segoe UI" w:eastAsia="Segoe UI"/>
          <w:color w:val="101820"/>
          <w:sz w:val="21"/>
        </w:rPr>
        <w:t>Provide and keep its SMTP mailbox and payment gateway merchant accounts and credentials.</w:t>
      </w:r>
    </w:p>
    <w:p>
      <w:pPr>
        <w:spacing w:after="60"/>
        <w:numPr>
          <w:ilvl w:val="0"/>
          <w:numId w:val="9"/>
        </w:numPr>
      </w:pPr>
      <w:r>
        <w:rPr>
          <w:rFonts w:ascii="Segoe UI" w:hAnsi="Segoe UI" w:cs="Segoe UI" w:eastAsia="Segoe UI"/>
          <w:color w:val="101820"/>
          <w:sz w:val="21"/>
        </w:rPr>
        <w:t>Approve planned maintenance windows and releases in time.</w:t>
      </w:r>
    </w:p>
    <w:p>
      <w:pPr>
        <w:spacing w:after="60"/>
        <w:numPr>
          <w:ilvl w:val="0"/>
          <w:numId w:val="9"/>
        </w:numPr>
      </w:pPr>
      <w:r>
        <w:rPr>
          <w:rFonts w:ascii="Segoe UI" w:hAnsi="Segoe UI" w:cs="Segoe UI" w:eastAsia="Segoe UI"/>
          <w:color w:val="101820"/>
          <w:sz w:val="21"/>
        </w:rPr>
        <w:t>Keep its own network, devices and browsers secure.</w:t>
      </w:r>
    </w:p>
    <w:p>
      <w:pPr>
        <w:spacing w:after="60"/>
        <w:numPr>
          <w:ilvl w:val="0"/>
          <w:numId w:val="9"/>
        </w:numPr>
      </w:pPr>
      <w:r>
        <w:rPr>
          <w:rFonts w:ascii="Segoe UI" w:hAnsi="Segoe UI" w:cs="Segoe UI" w:eastAsia="Segoe UI"/>
          <w:color w:val="101820"/>
          <w:sz w:val="21"/>
        </w:rPr>
        <w:t>Tell iorta TechNXT in advance of large data loads, new branches or volume growth.</w:t>
      </w:r>
    </w:p>
    <w:p>
      <w:pPr>
        <w:pStyle w:val="Heading1"/>
        <w:pageBreakBefore/>
      </w:pPr>
      <w:r>
        <w:rPr>
          <w:rFonts w:ascii="Segoe UI" w:hAnsi="Segoe UI" w:cs="Segoe UI" w:eastAsia="Segoe UI"/>
          <w:b/>
          <w:color w:val="0F4761"/>
          <w:sz w:val="32"/>
        </w:rPr>
        <w:t>12.  Exit and transition</w:t>
      </w:r>
    </w:p>
    <w:p>
      <w:pPr>
        <w:spacing w:after="120" w:line="276" w:lineRule="auto"/>
      </w:pPr>
      <w:r>
        <w:rPr>
          <w:rFonts w:ascii="Segoe UI" w:hAnsi="Segoe UI" w:cs="Segoe UI" w:eastAsia="Segoe UI"/>
          <w:color w:val="101820"/>
          <w:sz w:val="21"/>
        </w:rPr>
        <w:t>The Exit and Transition Plan sets out the steps, formats, timelines and forms of this clause.</w:t>
      </w:r>
    </w:p>
    <w:p>
      <w:pPr>
        <w:spacing w:after="60"/>
        <w:numPr>
          <w:ilvl w:val="0"/>
          <w:numId w:val="10"/>
        </w:numPr>
      </w:pPr>
      <w:r>
        <w:rPr>
          <w:rFonts w:ascii="Segoe UI" w:hAnsi="Segoe UI" w:cs="Segoe UI" w:eastAsia="Segoe UI"/>
          <w:color w:val="101820"/>
          <w:sz w:val="21"/>
        </w:rPr>
        <w:t>On expiry or termination, or earlier at the Client's request for a planned move, iorta TechNXT provides: (a) a full export of the Client Data (PostgreSQL dump, document archive and CSV extracts with the data dictionary) within 30 days of the request; (b) the configuration export of the Platform; (c) reasonable cooperation with the Client's new hosting provider, including a handover meeting and answers to questions for up to [5] man-days at no charge, then at day rates.</w:t>
      </w:r>
    </w:p>
    <w:p>
      <w:pPr>
        <w:spacing w:after="60"/>
        <w:numPr>
          <w:ilvl w:val="0"/>
          <w:numId w:val="10"/>
        </w:numPr>
      </w:pPr>
      <w:r>
        <w:rPr>
          <w:rFonts w:ascii="Segoe UI" w:hAnsi="Segoe UI" w:cs="Segoe UI" w:eastAsia="Segoe UI"/>
          <w:color w:val="101820"/>
          <w:sz w:val="21"/>
        </w:rPr>
        <w:t>Where the Client holds a perpetual licence and will host the Platform itself, iorta TechNXT supplies the deployment guide and the container images or build artefacts of the current release, and supports the move at day rates.</w:t>
      </w:r>
    </w:p>
    <w:p>
      <w:pPr>
        <w:spacing w:after="60"/>
        <w:numPr>
          <w:ilvl w:val="0"/>
          <w:numId w:val="10"/>
        </w:numPr>
      </w:pPr>
      <w:r>
        <w:rPr>
          <w:rFonts w:ascii="Segoe UI" w:hAnsi="Segoe UI" w:cs="Segoe UI" w:eastAsia="Segoe UI"/>
          <w:color w:val="101820"/>
          <w:sz w:val="21"/>
        </w:rPr>
        <w:t>iorta TechNXT keeps the environment running, at the monthly hosting fee prorated, for up to [90] days after termination if the Client asks, to allow parallel running and cutover.</w:t>
      </w:r>
    </w:p>
    <w:p>
      <w:pPr>
        <w:spacing w:after="60"/>
        <w:numPr>
          <w:ilvl w:val="0"/>
          <w:numId w:val="10"/>
        </w:numPr>
      </w:pPr>
      <w:r>
        <w:rPr>
          <w:rFonts w:ascii="Segoe UI" w:hAnsi="Segoe UI" w:cs="Segoe UI" w:eastAsia="Segoe UI"/>
          <w:color w:val="101820"/>
          <w:sz w:val="21"/>
        </w:rPr>
        <w:t>After the Client confirms the export, iorta TechNXT deletes the Client Data and the environments within 30 days, lets backups expire under the retention above, and gives a certificate of deletion, as stated in the Data Processing Agreement.</w:t>
      </w:r>
    </w:p>
    <w:p>
      <w:pPr>
        <w:spacing w:after="60"/>
        <w:numPr>
          <w:ilvl w:val="0"/>
          <w:numId w:val="10"/>
        </w:numPr>
      </w:pPr>
      <w:r>
        <w:rPr>
          <w:rFonts w:ascii="Segoe UI" w:hAnsi="Segoe UI" w:cs="Segoe UI" w:eastAsia="Segoe UI"/>
          <w:color w:val="101820"/>
          <w:sz w:val="21"/>
        </w:rPr>
        <w:t>The Client remains responsible for keeping its own records for the periods required by law (including the Insurance Code and the tax laws) after it receives the export.</w:t>
      </w:r>
    </w:p>
    <w:p>
      <w:pPr>
        <w:pStyle w:val="Heading1"/>
        <w:pageBreakBefore/>
      </w:pPr>
      <w:r>
        <w:rPr>
          <w:rFonts w:ascii="Segoe UI" w:hAnsi="Segoe UI" w:cs="Segoe UI" w:eastAsia="Segoe UI"/>
          <w:b/>
          <w:color w:val="0F4761"/>
          <w:sz w:val="32"/>
        </w:rPr>
        <w:t>13.  Term and termination</w:t>
      </w:r>
    </w:p>
    <w:p>
      <w:pPr>
        <w:spacing w:after="60"/>
        <w:numPr>
          <w:ilvl w:val="0"/>
          <w:numId w:val="11"/>
        </w:numPr>
      </w:pPr>
      <w:r>
        <w:rPr>
          <w:rFonts w:ascii="Segoe UI" w:hAnsi="Segoe UI" w:cs="Segoe UI" w:eastAsia="Segoe UI"/>
          <w:color w:val="101820"/>
          <w:sz w:val="21"/>
        </w:rPr>
        <w:t>This Hosting Agreement starts when the first environment is handed over and lasts for the hosting term in the Order Form (at least 12 months), renewing automatically for 12-month periods unless either Party gives 90 days' written notice.</w:t>
      </w:r>
    </w:p>
    <w:p>
      <w:pPr>
        <w:spacing w:after="60"/>
        <w:numPr>
          <w:ilvl w:val="0"/>
          <w:numId w:val="11"/>
        </w:numPr>
      </w:pPr>
      <w:r>
        <w:rPr>
          <w:rFonts w:ascii="Segoe UI" w:hAnsi="Segoe UI" w:cs="Segoe UI" w:eastAsia="Segoe UI"/>
          <w:color w:val="101820"/>
          <w:sz w:val="21"/>
        </w:rPr>
        <w:t>Either Party may terminate for cause under the MSA.</w:t>
      </w:r>
    </w:p>
    <w:p>
      <w:pPr>
        <w:spacing w:after="60"/>
        <w:numPr>
          <w:ilvl w:val="0"/>
          <w:numId w:val="11"/>
        </w:numPr>
      </w:pPr>
      <w:r>
        <w:rPr>
          <w:rFonts w:ascii="Segoe UI" w:hAnsi="Segoe UI" w:cs="Segoe UI" w:eastAsia="Segoe UI"/>
          <w:color w:val="101820"/>
          <w:sz w:val="21"/>
        </w:rPr>
        <w:t>iorta TechNXT may suspend the hosting services for non-payment under the MSA.</w:t>
      </w:r>
    </w:p>
    <w:p>
      <w:pPr>
        <w:pStyle w:val="Heading1"/>
        <w:pageBreakBefore/>
      </w:pPr>
      <w:r>
        <w:rPr>
          <w:rFonts w:ascii="Segoe UI" w:hAnsi="Segoe UI" w:cs="Segoe UI" w:eastAsia="Segoe UI"/>
          <w:b/>
          <w:color w:val="0F4761"/>
          <w:sz w:val="32"/>
        </w:rPr>
        <w:t>14.  Signatures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For iorta TechNXT Corp.</w:t>
            </w:r>
          </w:p>
        </w:tc>
        <w:tc>
          <w:tcPr>
            <w:tcW w:type="dxa" w:w="4507"/>
            <w:shd w:val="clear" w:color="auto" w:fill="DCE9F7"/>
          </w:tcPr>
          <w:p>
            <w:pPr>
              <w:spacing w:after="20"/>
            </w:pPr>
            <w:r>
              <w:rPr>
                <w:rFonts w:ascii="Segoe UI" w:hAnsi="Segoe UI" w:cs="Segoe UI" w:eastAsia="Segoe UI"/>
                <w:b/>
                <w:color w:val="0F4761"/>
                <w:sz w:val="18"/>
              </w:rPr>
              <w:t>For [Client legal name]</w:t>
            </w:r>
          </w:p>
        </w:tc>
      </w:tr>
      <w:tr>
        <w:tc>
          <w:tcPr>
            <w:tcW w:type="dxa" w:w="4507"/>
          </w:tcPr>
          <w:p>
            <w:pPr>
              <w:spacing w:after="20"/>
            </w:pPr>
            <w:r>
              <w:rPr>
                <w:rFonts w:ascii="Segoe UI" w:hAnsi="Segoe UI" w:cs="Segoe UI" w:eastAsia="Segoe UI"/>
                <w:color w:val="101820"/>
                <w:sz w:val="18"/>
              </w:rPr>
              <w:t>Signature: ____________________</w:t>
            </w:r>
          </w:p>
        </w:tc>
        <w:tc>
          <w:tcPr>
            <w:tcW w:type="dxa" w:w="4507"/>
          </w:tcPr>
          <w:p>
            <w:pPr>
              <w:spacing w:after="20"/>
            </w:pPr>
            <w:r>
              <w:rPr>
                <w:rFonts w:ascii="Segoe UI" w:hAnsi="Segoe UI" w:cs="Segoe UI" w:eastAsia="Segoe UI"/>
                <w:color w:val="101820"/>
                <w:sz w:val="18"/>
              </w:rPr>
              <w:t>Signature: ____________________</w:t>
            </w:r>
          </w:p>
        </w:tc>
      </w:tr>
      <w:tr>
        <w:tc>
          <w:tcPr>
            <w:tcW w:type="dxa" w:w="4507"/>
          </w:tcPr>
          <w:p>
            <w:pPr>
              <w:spacing w:after="20"/>
            </w:pPr>
            <w:r>
              <w:rPr>
                <w:rFonts w:ascii="Segoe UI" w:hAnsi="Segoe UI" w:cs="Segoe UI" w:eastAsia="Segoe UI"/>
                <w:color w:val="101820"/>
                <w:sz w:val="18"/>
              </w:rPr>
              <w:t>Name: [name]</w:t>
            </w:r>
          </w:p>
        </w:tc>
        <w:tc>
          <w:tcPr>
            <w:tcW w:type="dxa" w:w="4507"/>
          </w:tcPr>
          <w:p>
            <w:pPr>
              <w:spacing w:after="20"/>
            </w:pPr>
            <w:r>
              <w:rPr>
                <w:rFonts w:ascii="Segoe UI" w:hAnsi="Segoe UI" w:cs="Segoe UI" w:eastAsia="Segoe UI"/>
                <w:color w:val="101820"/>
                <w:sz w:val="18"/>
              </w:rPr>
              <w:t>Name: [name]</w:t>
            </w:r>
          </w:p>
        </w:tc>
      </w:tr>
      <w:tr>
        <w:tc>
          <w:tcPr>
            <w:tcW w:type="dxa" w:w="4507"/>
          </w:tcPr>
          <w:p>
            <w:pPr>
              <w:spacing w:after="20"/>
            </w:pPr>
            <w:r>
              <w:rPr>
                <w:rFonts w:ascii="Segoe UI" w:hAnsi="Segoe UI" w:cs="Segoe UI" w:eastAsia="Segoe UI"/>
                <w:color w:val="101820"/>
                <w:sz w:val="18"/>
              </w:rPr>
              <w:t>Title: [title]</w:t>
            </w:r>
          </w:p>
        </w:tc>
        <w:tc>
          <w:tcPr>
            <w:tcW w:type="dxa" w:w="4507"/>
          </w:tcPr>
          <w:p>
            <w:pPr>
              <w:spacing w:after="20"/>
            </w:pPr>
            <w:r>
              <w:rPr>
                <w:rFonts w:ascii="Segoe UI" w:hAnsi="Segoe UI" w:cs="Segoe UI" w:eastAsia="Segoe UI"/>
                <w:color w:val="101820"/>
                <w:sz w:val="18"/>
              </w:rPr>
              <w:t>Title: [title]</w:t>
            </w:r>
          </w:p>
        </w:tc>
      </w:tr>
      <w:tr>
        <w:tc>
          <w:tcPr>
            <w:tcW w:type="dxa" w:w="4507"/>
          </w:tcPr>
          <w:p>
            <w:pPr>
              <w:spacing w:after="20"/>
            </w:pPr>
            <w:r>
              <w:rPr>
                <w:rFonts w:ascii="Segoe UI" w:hAnsi="Segoe UI" w:cs="Segoe UI" w:eastAsia="Segoe UI"/>
                <w:color w:val="101820"/>
                <w:sz w:val="18"/>
              </w:rPr>
              <w:t>Date: [date]</w:t>
            </w:r>
          </w:p>
        </w:tc>
        <w:tc>
          <w:tcPr>
            <w:tcW w:type="dxa" w:w="4507"/>
          </w:tcPr>
          <w:p>
            <w:pPr>
              <w:spacing w:after="20"/>
            </w:pPr>
            <w:r>
              <w:rPr>
                <w:rFonts w:ascii="Segoe UI" w:hAnsi="Segoe UI" w:cs="Segoe UI" w:eastAsia="Segoe UI"/>
                <w:color w:val="101820"/>
                <w:sz w:val="18"/>
              </w:rPr>
              <w:t>Date: [date]</w:t>
            </w:r>
          </w:p>
        </w:tc>
      </w:tr>
    </w:tbl>
    <w:p>
      <w:pPr>
        <w:pStyle w:val="Heading1"/>
        <w:pageBreakBefore/>
      </w:pPr>
      <w:r>
        <w:rPr>
          <w:rFonts w:ascii="Segoe UI" w:hAnsi="Segoe UI" w:cs="Segoe UI" w:eastAsia="Segoe UI"/>
          <w:b/>
          <w:color w:val="0F4761"/>
          <w:sz w:val="32"/>
        </w:rPr>
        <w:t>15.  Schedule 1: hosting details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311"/>
        <w:gridCol w:w="4703"/>
      </w:tblGrid>
      <w:tr>
        <w:trPr>
          <w:tblHeader w:val="true"/>
        </w:trPr>
        <w:tc>
          <w:tcPr>
            <w:tcW w:type="dxa" w:w="4311"/>
            <w:shd w:val="clear" w:color="auto" w:fill="DCE9F7"/>
          </w:tcPr>
          <w:p>
            <w:pPr>
              <w:spacing w:after="20"/>
            </w:pPr>
            <w:r>
              <w:rPr>
                <w:rFonts w:ascii="Segoe UI" w:hAnsi="Segoe UI" w:cs="Segoe UI" w:eastAsia="Segoe UI"/>
                <w:b/>
                <w:color w:val="0F4761"/>
                <w:sz w:val="18"/>
              </w:rPr>
              <w:t>Item</w:t>
            </w:r>
          </w:p>
        </w:tc>
        <w:tc>
          <w:tcPr>
            <w:tcW w:type="dxa" w:w="4703"/>
            <w:shd w:val="clear" w:color="auto" w:fill="DCE9F7"/>
          </w:tcPr>
          <w:p>
            <w:pPr>
              <w:spacing w:after="20"/>
            </w:pPr>
            <w:r>
              <w:rPr>
                <w:rFonts w:ascii="Segoe UI" w:hAnsi="Segoe UI" w:cs="Segoe UI" w:eastAsia="Segoe UI"/>
                <w:b/>
                <w:color w:val="0F4761"/>
                <w:sz w:val="18"/>
              </w:rPr>
              <w:t>Value</w:t>
            </w:r>
          </w:p>
        </w:tc>
      </w:tr>
      <w:tr>
        <w:tc>
          <w:tcPr>
            <w:tcW w:type="dxa" w:w="4311"/>
          </w:tcPr>
          <w:p>
            <w:pPr>
              <w:spacing w:after="20"/>
            </w:pPr>
            <w:r>
              <w:rPr>
                <w:rFonts w:ascii="Segoe UI" w:hAnsi="Segoe UI" w:cs="Segoe UI" w:eastAsia="Segoe UI"/>
                <w:color w:val="101820"/>
                <w:sz w:val="18"/>
              </w:rPr>
              <w:t>Option</w:t>
            </w:r>
          </w:p>
        </w:tc>
        <w:tc>
          <w:tcPr>
            <w:tcW w:type="dxa" w:w="4703"/>
          </w:tcPr>
          <w:p>
            <w:pPr>
              <w:spacing w:after="20"/>
            </w:pPr>
            <w:r>
              <w:rPr>
                <w:rFonts w:ascii="Segoe UI" w:hAnsi="Segoe UI" w:cs="Segoe UI" w:eastAsia="Segoe UI"/>
                <w:color w:val="101820"/>
                <w:sz w:val="18"/>
              </w:rPr>
              <w:t>[A: AWS Singapore / B: Azure Southeast Asia / C: local partner, name and city]</w:t>
            </w:r>
          </w:p>
        </w:tc>
      </w:tr>
      <w:tr>
        <w:tc>
          <w:tcPr>
            <w:tcW w:type="dxa" w:w="4311"/>
          </w:tcPr>
          <w:p>
            <w:pPr>
              <w:spacing w:after="20"/>
            </w:pPr>
            <w:r>
              <w:rPr>
                <w:rFonts w:ascii="Segoe UI" w:hAnsi="Segoe UI" w:cs="Segoe UI" w:eastAsia="Segoe UI"/>
                <w:color w:val="101820"/>
                <w:sz w:val="18"/>
              </w:rPr>
              <w:t>Size</w:t>
            </w:r>
          </w:p>
        </w:tc>
        <w:tc>
          <w:tcPr>
            <w:tcW w:type="dxa" w:w="4703"/>
          </w:tcPr>
          <w:p>
            <w:pPr>
              <w:spacing w:after="20"/>
            </w:pPr>
            <w:r>
              <w:rPr>
                <w:rFonts w:ascii="Segoe UI" w:hAnsi="Segoe UI" w:cs="Segoe UI" w:eastAsia="Segoe UI"/>
                <w:color w:val="101820"/>
                <w:sz w:val="18"/>
              </w:rPr>
              <w:t>[Small / Medium / Large / Enterprise]</w:t>
            </w:r>
          </w:p>
        </w:tc>
      </w:tr>
      <w:tr>
        <w:tc>
          <w:tcPr>
            <w:tcW w:type="dxa" w:w="4311"/>
          </w:tcPr>
          <w:p>
            <w:pPr>
              <w:spacing w:after="20"/>
            </w:pPr>
            <w:r>
              <w:rPr>
                <w:rFonts w:ascii="Segoe UI" w:hAnsi="Segoe UI" w:cs="Segoe UI" w:eastAsia="Segoe UI"/>
                <w:color w:val="101820"/>
                <w:sz w:val="18"/>
              </w:rPr>
              <w:t>Environments</w:t>
            </w:r>
          </w:p>
        </w:tc>
        <w:tc>
          <w:tcPr>
            <w:tcW w:type="dxa" w:w="4703"/>
          </w:tcPr>
          <w:p>
            <w:pPr>
              <w:spacing w:after="20"/>
            </w:pPr>
            <w:r>
              <w:rPr>
                <w:rFonts w:ascii="Segoe UI" w:hAnsi="Segoe UI" w:cs="Segoe UI" w:eastAsia="Segoe UI"/>
                <w:color w:val="101820"/>
                <w:sz w:val="18"/>
              </w:rPr>
              <w:t>[Production, UAT, additional environments]</w:t>
            </w:r>
          </w:p>
        </w:tc>
      </w:tr>
      <w:tr>
        <w:tc>
          <w:tcPr>
            <w:tcW w:type="dxa" w:w="4311"/>
          </w:tcPr>
          <w:p>
            <w:pPr>
              <w:spacing w:after="20"/>
            </w:pPr>
            <w:r>
              <w:rPr>
                <w:rFonts w:ascii="Segoe UI" w:hAnsi="Segoe UI" w:cs="Segoe UI" w:eastAsia="Segoe UI"/>
                <w:color w:val="101820"/>
                <w:sz w:val="18"/>
              </w:rPr>
              <w:t>DR</w:t>
            </w:r>
          </w:p>
        </w:tc>
        <w:tc>
          <w:tcPr>
            <w:tcW w:type="dxa" w:w="4703"/>
          </w:tcPr>
          <w:p>
            <w:pPr>
              <w:spacing w:after="20"/>
            </w:pPr>
            <w:r>
              <w:rPr>
                <w:rFonts w:ascii="Segoe UI" w:hAnsi="Segoe UI" w:cs="Segoe UI" w:eastAsia="Segoe UI"/>
                <w:color w:val="101820"/>
                <w:sz w:val="18"/>
              </w:rPr>
              <w:t>[Included (Enterprise) / optional / none]</w:t>
            </w:r>
          </w:p>
        </w:tc>
      </w:tr>
      <w:tr>
        <w:tc>
          <w:tcPr>
            <w:tcW w:type="dxa" w:w="4311"/>
          </w:tcPr>
          <w:p>
            <w:pPr>
              <w:spacing w:after="20"/>
            </w:pPr>
            <w:r>
              <w:rPr>
                <w:rFonts w:ascii="Segoe UI" w:hAnsi="Segoe UI" w:cs="Segoe UI" w:eastAsia="Segoe UI"/>
                <w:color w:val="101820"/>
                <w:sz w:val="18"/>
              </w:rPr>
              <w:t>Monthly hosting fee (excluding VAT)</w:t>
            </w:r>
          </w:p>
        </w:tc>
        <w:tc>
          <w:tcPr>
            <w:tcW w:type="dxa" w:w="4703"/>
          </w:tcPr>
          <w:p>
            <w:pPr>
              <w:spacing w:after="20"/>
            </w:pPr>
            <w:r>
              <w:rPr>
                <w:rFonts w:ascii="Segoe UI" w:hAnsi="Segoe UI" w:cs="Segoe UI" w:eastAsia="Segoe UI"/>
                <w:color w:val="101820"/>
                <w:sz w:val="18"/>
              </w:rPr>
              <w:t>PHP [amount]</w:t>
            </w:r>
          </w:p>
        </w:tc>
      </w:tr>
      <w:tr>
        <w:tc>
          <w:tcPr>
            <w:tcW w:type="dxa" w:w="4311"/>
          </w:tcPr>
          <w:p>
            <w:pPr>
              <w:spacing w:after="20"/>
            </w:pPr>
            <w:r>
              <w:rPr>
                <w:rFonts w:ascii="Segoe UI" w:hAnsi="Segoe UI" w:cs="Segoe UI" w:eastAsia="Segoe UI"/>
                <w:color w:val="101820"/>
                <w:sz w:val="18"/>
              </w:rPr>
              <w:t>Discount, if any ([lever])</w:t>
            </w:r>
          </w:p>
        </w:tc>
        <w:tc>
          <w:tcPr>
            <w:tcW w:type="dxa" w:w="4703"/>
          </w:tcPr>
          <w:p>
            <w:pPr>
              <w:spacing w:after="20"/>
            </w:pPr>
            <w:r>
              <w:rPr>
                <w:rFonts w:ascii="Segoe UI" w:hAnsi="Segoe UI" w:cs="Segoe UI" w:eastAsia="Segoe UI"/>
                <w:color w:val="101820"/>
                <w:sz w:val="18"/>
              </w:rPr>
              <w:t>PHP [amount]</w:t>
            </w:r>
          </w:p>
        </w:tc>
      </w:tr>
      <w:tr>
        <w:tc>
          <w:tcPr>
            <w:tcW w:type="dxa" w:w="4311"/>
          </w:tcPr>
          <w:p>
            <w:pPr>
              <w:spacing w:after="20"/>
            </w:pPr>
            <w:r>
              <w:rPr>
                <w:rFonts w:ascii="Segoe UI" w:hAnsi="Segoe UI" w:cs="Segoe UI" w:eastAsia="Segoe UI"/>
                <w:color w:val="101820"/>
                <w:sz w:val="18"/>
              </w:rPr>
              <w:t>Exchange rate basis</w:t>
            </w:r>
          </w:p>
        </w:tc>
        <w:tc>
          <w:tcPr>
            <w:tcW w:type="dxa" w:w="4703"/>
          </w:tcPr>
          <w:p>
            <w:pPr>
              <w:spacing w:after="20"/>
            </w:pPr>
            <w:r>
              <w:rPr>
                <w:rFonts w:ascii="Segoe UI" w:hAnsi="Segoe UI" w:cs="Segoe UI" w:eastAsia="Segoe UI"/>
                <w:color w:val="101820"/>
                <w:sz w:val="18"/>
              </w:rPr>
              <w:t>PHP [62.75] per USD on [25 September 2026]</w:t>
            </w:r>
          </w:p>
        </w:tc>
      </w:tr>
      <w:tr>
        <w:tc>
          <w:tcPr>
            <w:tcW w:type="dxa" w:w="4311"/>
          </w:tcPr>
          <w:p>
            <w:pPr>
              <w:spacing w:after="20"/>
            </w:pPr>
            <w:r>
              <w:rPr>
                <w:rFonts w:ascii="Segoe UI" w:hAnsi="Segoe UI" w:cs="Segoe UI" w:eastAsia="Segoe UI"/>
                <w:color w:val="101820"/>
                <w:sz w:val="18"/>
              </w:rPr>
              <w:t>Hosting term</w:t>
            </w:r>
          </w:p>
        </w:tc>
        <w:tc>
          <w:tcPr>
            <w:tcW w:type="dxa" w:w="4703"/>
          </w:tcPr>
          <w:p>
            <w:pPr>
              <w:spacing w:after="20"/>
            </w:pPr>
            <w:r>
              <w:rPr>
                <w:rFonts w:ascii="Segoe UI" w:hAnsi="Segoe UI" w:cs="Segoe UI" w:eastAsia="Segoe UI"/>
                <w:color w:val="101820"/>
                <w:sz w:val="18"/>
              </w:rPr>
              <w:t>[12 / 36 / 60] months from handover</w:t>
            </w:r>
          </w:p>
        </w:tc>
      </w:tr>
      <w:tr>
        <w:tc>
          <w:tcPr>
            <w:tcW w:type="dxa" w:w="4311"/>
          </w:tcPr>
          <w:p>
            <w:pPr>
              <w:spacing w:after="20"/>
            </w:pPr>
            <w:r>
              <w:rPr>
                <w:rFonts w:ascii="Segoe UI" w:hAnsi="Segoe UI" w:cs="Segoe UI" w:eastAsia="Segoe UI"/>
                <w:color w:val="101820"/>
                <w:sz w:val="18"/>
              </w:rPr>
              <w:t>Data location approved by the Client</w:t>
            </w:r>
          </w:p>
        </w:tc>
        <w:tc>
          <w:tcPr>
            <w:tcW w:type="dxa" w:w="4703"/>
          </w:tcPr>
          <w:p>
            <w:pPr>
              <w:spacing w:after="20"/>
            </w:pPr>
            <w:r>
              <w:rPr>
                <w:rFonts w:ascii="Segoe UI" w:hAnsi="Segoe UI" w:cs="Segoe UI" w:eastAsia="Segoe UI"/>
                <w:color w:val="101820"/>
                <w:sz w:val="18"/>
              </w:rPr>
              <w:t>[Singapore / Philippines]</w:t>
            </w:r>
          </w:p>
        </w:tc>
      </w:tr>
      <w:tr>
        <w:tc>
          <w:tcPr>
            <w:tcW w:type="dxa" w:w="4311"/>
          </w:tcPr>
          <w:p>
            <w:pPr>
              <w:spacing w:after="20"/>
            </w:pPr>
            <w:r>
              <w:rPr>
                <w:rFonts w:ascii="Segoe UI" w:hAnsi="Segoe UI" w:cs="Segoe UI" w:eastAsia="Segoe UI"/>
                <w:color w:val="101820"/>
                <w:sz w:val="18"/>
              </w:rPr>
              <w:t>Client's privacy impact assessment reference</w:t>
            </w:r>
          </w:p>
        </w:tc>
        <w:tc>
          <w:tcPr>
            <w:tcW w:type="dxa" w:w="4703"/>
          </w:tcPr>
          <w:p>
            <w:pPr>
              <w:spacing w:after="20"/>
            </w:pPr>
            <w:r>
              <w:rPr>
                <w:rFonts w:ascii="Segoe UI" w:hAnsi="Segoe UI" w:cs="Segoe UI" w:eastAsia="Segoe UI"/>
                <w:color w:val="101820"/>
                <w:sz w:val="18"/>
              </w:rPr>
              <w:t>[reference]</w:t>
            </w:r>
          </w:p>
        </w:tc>
      </w:tr>
      <w:tr>
        <w:tc>
          <w:tcPr>
            <w:tcW w:type="dxa" w:w="4311"/>
          </w:tcPr>
          <w:p>
            <w:pPr>
              <w:spacing w:after="20"/>
            </w:pPr>
            <w:r>
              <w:rPr>
                <w:rFonts w:ascii="Segoe UI" w:hAnsi="Segoe UI" w:cs="Segoe UI" w:eastAsia="Segoe UI"/>
                <w:color w:val="101820"/>
                <w:sz w:val="18"/>
              </w:rPr>
              <w:t>Recovery objectives accepted</w:t>
            </w:r>
          </w:p>
        </w:tc>
        <w:tc>
          <w:tcPr>
            <w:tcW w:type="dxa" w:w="4703"/>
          </w:tcPr>
          <w:p>
            <w:pPr>
              <w:spacing w:after="20"/>
            </w:pPr>
            <w:r>
              <w:rPr>
                <w:rFonts w:ascii="Segoe UI" w:hAnsi="Segoe UI" w:cs="Segoe UI" w:eastAsia="Segoe UI"/>
                <w:color w:val="101820"/>
                <w:sz w:val="18"/>
              </w:rPr>
              <w:t>[Yes, as in the Recovery objectives chapter / as amended: details]</w:t>
            </w:r>
          </w:p>
        </w:tc>
      </w:tr>
    </w:tbl>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16.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Review and completion by the parties' legal counsel before signature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