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OOTB 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OOTB implementation</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Statement of Work</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Statement of Work</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 Corp.</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Legal counsel (to be completed)</w:t>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To be completed</w:t>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Template for discussion; subject to review by the parties' legal counsel</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ATP</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Authority to Print</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BIR</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Bureau of Internal Revenue</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CR</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Change request</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IC</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Insurance Commission</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LOB</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Line of business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MSA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Master Services Agreement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OOTB</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PHP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peso</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RAID</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Risks, assumptions, issues and dependencies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SIT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System integration test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SOW</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Statement of work</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User acceptance testing</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VAT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Value-added tax</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About this template</w:t>
      </w:r>
    </w:p>
    <w:p>
      <w:pPr>
        <w:shd w:val="clear" w:color="auto" w:fill="EAF2FB"/>
        <w:spacing w:after="160"/>
        <w:ind w:left="170"/>
      </w:pPr>
      <w:r>
        <w:rPr>
          <w:rFonts w:ascii="Segoe UI" w:hAnsi="Segoe UI" w:cs="Segoe UI" w:eastAsia="Segoe UI"/>
          <w:color w:val="101820"/>
          <w:sz w:val="20"/>
        </w:rPr>
        <w:t>Template for discussion; subject to review by the parties' legal counsel.</w:t>
      </w:r>
    </w:p>
    <w:p>
      <w:pPr>
        <w:spacing w:after="120" w:line="276" w:lineRule="auto"/>
      </w:pPr>
      <w:r>
        <w:rPr>
          <w:rFonts w:ascii="Segoe UI" w:hAnsi="Segoe UI" w:cs="Segoe UI" w:eastAsia="Segoe UI"/>
          <w:color w:val="101820"/>
          <w:sz w:val="21"/>
        </w:rPr>
        <w:t xml:space="preserve">This Implementation Statement of Work (the </w:t>
      </w:r>
      <w:r>
        <w:rPr>
          <w:rFonts w:ascii="Segoe UI" w:hAnsi="Segoe UI" w:cs="Segoe UI" w:eastAsia="Segoe UI"/>
          <w:b/>
          <w:color w:val="101820"/>
          <w:sz w:val="21"/>
        </w:rPr>
        <w:t>SOW</w:t>
      </w:r>
      <w:r>
        <w:rPr>
          <w:rFonts w:ascii="Segoe UI" w:hAnsi="Segoe UI" w:cs="Segoe UI" w:eastAsia="Segoe UI"/>
          <w:color w:val="101820"/>
          <w:sz w:val="21"/>
        </w:rPr>
        <w:t xml:space="preserve">) describes the one-time implementation of iNXT BrokerVerse OOTB for the Client: the scope, phases, Deliverables, acceptance, responsibilities, assumptions, exclusions, timeline, fees and change control. It forms part of the Order Form no. [number] under the Master Services Agreement (the </w:t>
      </w:r>
      <w:r>
        <w:rPr>
          <w:rFonts w:ascii="Segoe UI" w:hAnsi="Segoe UI" w:cs="Segoe UI" w:eastAsia="Segoe UI"/>
          <w:b/>
          <w:color w:val="101820"/>
          <w:sz w:val="21"/>
        </w:rPr>
        <w:t>MSA</w:t>
      </w:r>
      <w:r>
        <w:rPr>
          <w:rFonts w:ascii="Segoe UI" w:hAnsi="Segoe UI" w:cs="Segoe UI" w:eastAsia="Segoe UI"/>
          <w:color w:val="101820"/>
          <w:sz w:val="21"/>
        </w:rPr>
        <w:t>) dated [date] between iorta TechNXT Corp. (</w:t>
      </w:r>
      <w:r>
        <w:rPr>
          <w:rFonts w:ascii="Segoe UI" w:hAnsi="Segoe UI" w:cs="Segoe UI" w:eastAsia="Segoe UI"/>
          <w:b/>
          <w:color w:val="101820"/>
          <w:sz w:val="21"/>
        </w:rPr>
        <w:t>iorta TechNXT</w:t>
      </w:r>
      <w:r>
        <w:rPr>
          <w:rFonts w:ascii="Segoe UI" w:hAnsi="Segoe UI" w:cs="Segoe UI" w:eastAsia="Segoe UI"/>
          <w:color w:val="101820"/>
          <w:sz w:val="21"/>
        </w:rPr>
        <w:t xml:space="preserve">) and [Client legal name] (the </w:t>
      </w:r>
      <w:r>
        <w:rPr>
          <w:rFonts w:ascii="Segoe UI" w:hAnsi="Segoe UI" w:cs="Segoe UI" w:eastAsia="Segoe UI"/>
          <w:b/>
          <w:color w:val="101820"/>
          <w:sz w:val="21"/>
        </w:rPr>
        <w:t>Client</w:t>
      </w:r>
      <w:r>
        <w:rPr>
          <w:rFonts w:ascii="Segoe UI" w:hAnsi="Segoe UI" w:cs="Segoe UI" w:eastAsia="Segoe UI"/>
          <w:color w:val="101820"/>
          <w:sz w:val="21"/>
        </w:rPr>
        <w:t>). Under the subscription model, this SOW describes the onboarding. Capitalised terms have the meaning given in the MSA. Text in [square brackets] is a placeholder or an option.</w:t>
      </w:r>
    </w:p>
    <w:p>
      <w:pPr>
        <w:pStyle w:val="Heading1"/>
        <w:pageBreakBefore/>
      </w:pPr>
      <w:r>
        <w:rPr>
          <w:rFonts w:ascii="Segoe UI" w:hAnsi="Segoe UI" w:cs="Segoe UI" w:eastAsia="Segoe UI"/>
          <w:b/>
          <w:color w:val="0F4761"/>
          <w:sz w:val="32"/>
        </w:rPr>
        <w:t>4.  Scope</w:t>
      </w:r>
    </w:p>
    <w:p>
      <w:pPr>
        <w:pStyle w:val="Heading2"/>
      </w:pPr>
      <w:r>
        <w:rPr>
          <w:rFonts w:ascii="Segoe UI" w:hAnsi="Segoe UI" w:cs="Segoe UI" w:eastAsia="Segoe UI"/>
          <w:b/>
          <w:color w:val="0F4761"/>
          <w:sz w:val="26"/>
        </w:rPr>
        <w:t>4.1  Objective</w:t>
      </w:r>
    </w:p>
    <w:p>
      <w:pPr>
        <w:spacing w:after="120" w:line="276" w:lineRule="auto"/>
      </w:pPr>
      <w:r>
        <w:rPr>
          <w:rFonts w:ascii="Segoe UI" w:hAnsi="Segoe UI" w:cs="Segoe UI" w:eastAsia="Segoe UI"/>
          <w:color w:val="101820"/>
          <w:sz w:val="21"/>
        </w:rPr>
        <w:t>Bring iNXT BrokerVerse OOTB into production use for the Client's non-life broking and accounting operations by configuration and master data, without changes to the code, and hand it over to production support after the first month-end close.</w:t>
      </w:r>
    </w:p>
    <w:p>
      <w:pPr>
        <w:pStyle w:val="Heading2"/>
      </w:pPr>
      <w:r>
        <w:rPr>
          <w:rFonts w:ascii="Segoe UI" w:hAnsi="Segoe UI" w:cs="Segoe UI" w:eastAsia="Segoe UI"/>
          <w:b/>
          <w:color w:val="0F4761"/>
          <w:sz w:val="26"/>
        </w:rPr>
        <w:t>4.2  In scope</w:t>
      </w:r>
    </w:p>
    <w:p>
      <w:pPr>
        <w:spacing w:after="60"/>
        <w:numPr>
          <w:ilvl w:val="0"/>
          <w:numId w:val="4"/>
        </w:numPr>
      </w:pPr>
      <w:r>
        <w:rPr>
          <w:rFonts w:ascii="Segoe UI" w:hAnsi="Segoe UI" w:cs="Segoe UI" w:eastAsia="Segoe UI"/>
          <w:color w:val="101820"/>
          <w:sz w:val="21"/>
        </w:rPr>
        <w:t>Configuration of the delivered system for the Client: company, letterhead, branches and departments; users and the seven delivered roles; insurers with credit and remittance terms; lines of business, products, covers and vehicles; product templates, motor tariff, rating, acceptance rules and approval workflows; commission rules and referrer sharing; premium taxes and LGU rates; tax codes with BIR ATC; chart of accounts, account determination and posting rules; document numbering; business rules, limits, maker-checker switches, security policy and e-mail texts.</w:t>
      </w:r>
    </w:p>
    <w:p>
      <w:pPr>
        <w:spacing w:after="60"/>
        <w:numPr>
          <w:ilvl w:val="0"/>
          <w:numId w:val="4"/>
        </w:numPr>
      </w:pPr>
      <w:r>
        <w:rPr>
          <w:rFonts w:ascii="Segoe UI" w:hAnsi="Segoe UI" w:cs="Segoe UI" w:eastAsia="Segoe UI"/>
          <w:color w:val="101820"/>
          <w:sz w:val="21"/>
        </w:rPr>
        <w:t>Configuration of [number] lines of business: [list, for example motor, fire, marine cargo, engineering, casualty, bonds]. The price includes the number of lines of business of the Client's size (Small 5, Medium 8, Large 12, Enterprise 16); additional lines are priced at 6 man-days each.</w:t>
      </w:r>
    </w:p>
    <w:p>
      <w:pPr>
        <w:spacing w:after="60"/>
        <w:numPr>
          <w:ilvl w:val="0"/>
          <w:numId w:val="4"/>
        </w:numPr>
      </w:pPr>
      <w:r>
        <w:rPr>
          <w:rFonts w:ascii="Segoe UI" w:hAnsi="Segoe UI" w:cs="Segoe UI" w:eastAsia="Segoe UI"/>
          <w:color w:val="101820"/>
          <w:sz w:val="21"/>
        </w:rPr>
        <w:t>Data migration of open items with the delivered upload templates: in-force policies, open receivables, amounts due to insurers, opening trial balance, masters (clients, insurers, products, referrers, users), as at the go-live date, for one legal entity and one fiscal year.</w:t>
      </w:r>
    </w:p>
    <w:p>
      <w:pPr>
        <w:spacing w:after="60"/>
        <w:numPr>
          <w:ilvl w:val="0"/>
          <w:numId w:val="4"/>
        </w:numPr>
      </w:pPr>
      <w:r>
        <w:rPr>
          <w:rFonts w:ascii="Segoe UI" w:hAnsi="Segoe UI" w:cs="Segoe UI" w:eastAsia="Segoe UI"/>
          <w:color w:val="101820"/>
          <w:sz w:val="21"/>
        </w:rPr>
        <w:t>Set-up of the delivered integrations: outgoing e-mail through the Client's SMTP mailbox; bank statement formats for the Client's bank accounts; the delivered payment gateways (PayMongo and Dragonpay) in sandbox and production, where the Client has a merchant account.</w:t>
      </w:r>
    </w:p>
    <w:p>
      <w:pPr>
        <w:spacing w:after="60"/>
        <w:numPr>
          <w:ilvl w:val="0"/>
          <w:numId w:val="4"/>
        </w:numPr>
      </w:pPr>
      <w:r>
        <w:rPr>
          <w:rFonts w:ascii="Segoe UI" w:hAnsi="Segoe UI" w:cs="Segoe UI" w:eastAsia="Segoe UI"/>
          <w:color w:val="101820"/>
          <w:sz w:val="21"/>
        </w:rPr>
        <w:t>Environments: a test (UAT) and a production environment, hosted as stated in the Order Form.</w:t>
      </w:r>
    </w:p>
    <w:p>
      <w:pPr>
        <w:spacing w:after="60"/>
        <w:numPr>
          <w:ilvl w:val="0"/>
          <w:numId w:val="4"/>
        </w:numPr>
      </w:pPr>
      <w:r>
        <w:rPr>
          <w:rFonts w:ascii="Segoe UI" w:hAnsi="Segoe UI" w:cs="Segoe UI" w:eastAsia="Segoe UI"/>
          <w:color w:val="101820"/>
          <w:sz w:val="21"/>
        </w:rPr>
        <w:t>Training: train-the-trainer for key users for the training days of the Client's size (Small 4, Medium 6, Large 10, Enterprise 15), and support of end-user training run by the key users.</w:t>
      </w:r>
    </w:p>
    <w:p>
      <w:pPr>
        <w:spacing w:after="60"/>
        <w:numPr>
          <w:ilvl w:val="0"/>
          <w:numId w:val="4"/>
        </w:numPr>
      </w:pPr>
      <w:r>
        <w:rPr>
          <w:rFonts w:ascii="Segoe UI" w:hAnsi="Segoe UI" w:cs="Segoe UI" w:eastAsia="Segoe UI"/>
          <w:color w:val="101820"/>
          <w:sz w:val="21"/>
        </w:rPr>
        <w:t>System integration test, UAT support, cutover, go-live support and hypercare until the first month-end close.</w:t>
      </w:r>
    </w:p>
    <w:p>
      <w:pPr>
        <w:pStyle w:val="Heading2"/>
      </w:pPr>
      <w:r>
        <w:rPr>
          <w:rFonts w:ascii="Segoe UI" w:hAnsi="Segoe UI" w:cs="Segoe UI" w:eastAsia="Segoe UI"/>
          <w:b/>
          <w:color w:val="0F4761"/>
          <w:sz w:val="26"/>
        </w:rPr>
        <w:t>4.3  Implementation size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626"/>
        <w:gridCol w:w="4388"/>
      </w:tblGrid>
      <w:tr>
        <w:trPr>
          <w:tblHeader w:val="true"/>
        </w:trPr>
        <w:tc>
          <w:tcPr>
            <w:tcW w:type="dxa" w:w="4626"/>
            <w:shd w:val="clear" w:color="auto" w:fill="DCE9F7"/>
          </w:tcPr>
          <w:p>
            <w:pPr>
              <w:spacing w:after="20"/>
            </w:pPr>
            <w:r>
              <w:rPr>
                <w:rFonts w:ascii="Segoe UI" w:hAnsi="Segoe UI" w:cs="Segoe UI" w:eastAsia="Segoe UI"/>
                <w:b/>
                <w:color w:val="0F4761"/>
                <w:sz w:val="18"/>
              </w:rPr>
              <w:t>Item</w:t>
            </w:r>
          </w:p>
        </w:tc>
        <w:tc>
          <w:tcPr>
            <w:tcW w:type="dxa" w:w="4388"/>
            <w:shd w:val="clear" w:color="auto" w:fill="DCE9F7"/>
          </w:tcPr>
          <w:p>
            <w:pPr>
              <w:spacing w:after="20"/>
            </w:pPr>
            <w:r>
              <w:rPr>
                <w:rFonts w:ascii="Segoe UI" w:hAnsi="Segoe UI" w:cs="Segoe UI" w:eastAsia="Segoe UI"/>
                <w:b/>
                <w:color w:val="0F4761"/>
                <w:sz w:val="18"/>
              </w:rPr>
              <w:t>Value</w:t>
            </w:r>
          </w:p>
        </w:tc>
      </w:tr>
      <w:tr>
        <w:tc>
          <w:tcPr>
            <w:tcW w:type="dxa" w:w="4626"/>
          </w:tcPr>
          <w:p>
            <w:pPr>
              <w:spacing w:after="20"/>
            </w:pPr>
            <w:r>
              <w:rPr>
                <w:rFonts w:ascii="Segoe UI" w:hAnsi="Segoe UI" w:cs="Segoe UI" w:eastAsia="Segoe UI"/>
                <w:color w:val="101820"/>
                <w:sz w:val="18"/>
              </w:rPr>
              <w:t>Size</w:t>
            </w:r>
          </w:p>
        </w:tc>
        <w:tc>
          <w:tcPr>
            <w:tcW w:type="dxa" w:w="4388"/>
          </w:tcPr>
          <w:p>
            <w:pPr>
              <w:spacing w:after="20"/>
            </w:pPr>
            <w:r>
              <w:rPr>
                <w:rFonts w:ascii="Segoe UI" w:hAnsi="Segoe UI" w:cs="Segoe UI" w:eastAsia="Segoe UI"/>
                <w:color w:val="101820"/>
                <w:sz w:val="18"/>
              </w:rPr>
              <w:t>[Small / Medium / Large / Enterprise]</w:t>
            </w:r>
          </w:p>
        </w:tc>
      </w:tr>
      <w:tr>
        <w:tc>
          <w:tcPr>
            <w:tcW w:type="dxa" w:w="4626"/>
          </w:tcPr>
          <w:p>
            <w:pPr>
              <w:spacing w:after="20"/>
            </w:pPr>
            <w:r>
              <w:rPr>
                <w:rFonts w:ascii="Segoe UI" w:hAnsi="Segoe UI" w:cs="Segoe UI" w:eastAsia="Segoe UI"/>
                <w:color w:val="101820"/>
                <w:sz w:val="18"/>
              </w:rPr>
              <w:t>Named users</w:t>
            </w:r>
          </w:p>
        </w:tc>
        <w:tc>
          <w:tcPr>
            <w:tcW w:type="dxa" w:w="4388"/>
          </w:tcPr>
          <w:p>
            <w:pPr>
              <w:spacing w:after="20"/>
            </w:pPr>
            <w:r>
              <w:rPr>
                <w:rFonts w:ascii="Segoe UI" w:hAnsi="Segoe UI" w:cs="Segoe UI" w:eastAsia="Segoe UI"/>
                <w:color w:val="101820"/>
                <w:sz w:val="18"/>
              </w:rPr>
              <w:t>[number]</w:t>
            </w:r>
          </w:p>
        </w:tc>
      </w:tr>
      <w:tr>
        <w:tc>
          <w:tcPr>
            <w:tcW w:type="dxa" w:w="4626"/>
          </w:tcPr>
          <w:p>
            <w:pPr>
              <w:spacing w:after="20"/>
            </w:pPr>
            <w:r>
              <w:rPr>
                <w:rFonts w:ascii="Segoe UI" w:hAnsi="Segoe UI" w:cs="Segoe UI" w:eastAsia="Segoe UI"/>
                <w:color w:val="101820"/>
                <w:sz w:val="18"/>
              </w:rPr>
              <w:t>Lines of business configured</w:t>
            </w:r>
          </w:p>
        </w:tc>
        <w:tc>
          <w:tcPr>
            <w:tcW w:type="dxa" w:w="4388"/>
          </w:tcPr>
          <w:p>
            <w:pPr>
              <w:spacing w:after="20"/>
            </w:pPr>
            <w:r>
              <w:rPr>
                <w:rFonts w:ascii="Segoe UI" w:hAnsi="Segoe UI" w:cs="Segoe UI" w:eastAsia="Segoe UI"/>
                <w:color w:val="101820"/>
                <w:sz w:val="18"/>
              </w:rPr>
              <w:t>[number]</w:t>
            </w:r>
          </w:p>
        </w:tc>
      </w:tr>
      <w:tr>
        <w:tc>
          <w:tcPr>
            <w:tcW w:type="dxa" w:w="4626"/>
          </w:tcPr>
          <w:p>
            <w:pPr>
              <w:spacing w:after="20"/>
            </w:pPr>
            <w:r>
              <w:rPr>
                <w:rFonts w:ascii="Segoe UI" w:hAnsi="Segoe UI" w:cs="Segoe UI" w:eastAsia="Segoe UI"/>
                <w:color w:val="101820"/>
                <w:sz w:val="18"/>
              </w:rPr>
              <w:t>Offices and branches</w:t>
            </w:r>
          </w:p>
        </w:tc>
        <w:tc>
          <w:tcPr>
            <w:tcW w:type="dxa" w:w="4388"/>
          </w:tcPr>
          <w:p>
            <w:pPr>
              <w:spacing w:after="20"/>
            </w:pPr>
            <w:r>
              <w:rPr>
                <w:rFonts w:ascii="Segoe UI" w:hAnsi="Segoe UI" w:cs="Segoe UI" w:eastAsia="Segoe UI"/>
                <w:color w:val="101820"/>
                <w:sz w:val="18"/>
              </w:rPr>
              <w:t>[number]</w:t>
            </w:r>
          </w:p>
        </w:tc>
      </w:tr>
      <w:tr>
        <w:tc>
          <w:tcPr>
            <w:tcW w:type="dxa" w:w="4626"/>
          </w:tcPr>
          <w:p>
            <w:pPr>
              <w:spacing w:after="20"/>
            </w:pPr>
            <w:r>
              <w:rPr>
                <w:rFonts w:ascii="Segoe UI" w:hAnsi="Segoe UI" w:cs="Segoe UI" w:eastAsia="Segoe UI"/>
                <w:color w:val="101820"/>
                <w:sz w:val="18"/>
              </w:rPr>
              <w:t>Insurers</w:t>
            </w:r>
          </w:p>
        </w:tc>
        <w:tc>
          <w:tcPr>
            <w:tcW w:type="dxa" w:w="4388"/>
          </w:tcPr>
          <w:p>
            <w:pPr>
              <w:spacing w:after="20"/>
            </w:pPr>
            <w:r>
              <w:rPr>
                <w:rFonts w:ascii="Segoe UI" w:hAnsi="Segoe UI" w:cs="Segoe UI" w:eastAsia="Segoe UI"/>
                <w:color w:val="101820"/>
                <w:sz w:val="18"/>
              </w:rPr>
              <w:t>[number]</w:t>
            </w:r>
          </w:p>
        </w:tc>
      </w:tr>
      <w:tr>
        <w:tc>
          <w:tcPr>
            <w:tcW w:type="dxa" w:w="4626"/>
          </w:tcPr>
          <w:p>
            <w:pPr>
              <w:spacing w:after="20"/>
            </w:pPr>
            <w:r>
              <w:rPr>
                <w:rFonts w:ascii="Segoe UI" w:hAnsi="Segoe UI" w:cs="Segoe UI" w:eastAsia="Segoe UI"/>
                <w:color w:val="101820"/>
                <w:sz w:val="18"/>
              </w:rPr>
              <w:t>In-force policies to migrate (estimate)</w:t>
            </w:r>
          </w:p>
        </w:tc>
        <w:tc>
          <w:tcPr>
            <w:tcW w:type="dxa" w:w="4388"/>
          </w:tcPr>
          <w:p>
            <w:pPr>
              <w:spacing w:after="20"/>
            </w:pPr>
            <w:r>
              <w:rPr>
                <w:rFonts w:ascii="Segoe UI" w:hAnsi="Segoe UI" w:cs="Segoe UI" w:eastAsia="Segoe UI"/>
                <w:color w:val="101820"/>
                <w:sz w:val="18"/>
              </w:rPr>
              <w:t>[number]</w:t>
            </w:r>
          </w:p>
        </w:tc>
      </w:tr>
      <w:tr>
        <w:tc>
          <w:tcPr>
            <w:tcW w:type="dxa" w:w="4626"/>
          </w:tcPr>
          <w:p>
            <w:pPr>
              <w:spacing w:after="20"/>
            </w:pPr>
            <w:r>
              <w:rPr>
                <w:rFonts w:ascii="Segoe UI" w:hAnsi="Segoe UI" w:cs="Segoe UI" w:eastAsia="Segoe UI"/>
                <w:color w:val="101820"/>
                <w:sz w:val="18"/>
              </w:rPr>
              <w:t>Bank accounts</w:t>
            </w:r>
          </w:p>
        </w:tc>
        <w:tc>
          <w:tcPr>
            <w:tcW w:type="dxa" w:w="4388"/>
          </w:tcPr>
          <w:p>
            <w:pPr>
              <w:spacing w:after="20"/>
            </w:pPr>
            <w:r>
              <w:rPr>
                <w:rFonts w:ascii="Segoe UI" w:hAnsi="Segoe UI" w:cs="Segoe UI" w:eastAsia="Segoe UI"/>
                <w:color w:val="101820"/>
                <w:sz w:val="18"/>
              </w:rPr>
              <w:t>[number]</w:t>
            </w:r>
          </w:p>
        </w:tc>
      </w:tr>
    </w:tbl>
    <w:p>
      <w:pPr>
        <w:spacing w:after="80"/>
      </w:pPr>
    </w:p>
    <w:p>
      <w:pPr>
        <w:spacing w:after="120" w:line="276" w:lineRule="auto"/>
      </w:pPr>
      <w:r>
        <w:rPr>
          <w:rFonts w:ascii="Segoe UI" w:hAnsi="Segoe UI" w:cs="Segoe UI" w:eastAsia="Segoe UI"/>
          <w:color w:val="101820"/>
          <w:sz w:val="21"/>
        </w:rPr>
        <w:t>The size is confirmed at mobilisation once data volumes are known. A change of size is handled through the Change Request Procedure.</w:t>
      </w:r>
    </w:p>
    <w:p>
      <w:pPr>
        <w:pStyle w:val="Heading1"/>
        <w:pageBreakBefore/>
      </w:pPr>
      <w:r>
        <w:rPr>
          <w:rFonts w:ascii="Segoe UI" w:hAnsi="Segoe UI" w:cs="Segoe UI" w:eastAsia="Segoe UI"/>
          <w:b/>
          <w:color w:val="0F4761"/>
          <w:sz w:val="32"/>
        </w:rPr>
        <w:t>5.  Approach and phases</w:t>
      </w:r>
    </w:p>
    <w:p>
      <w:pPr>
        <w:spacing w:after="120" w:line="276" w:lineRule="auto"/>
      </w:pPr>
      <w:r>
        <w:rPr>
          <w:rFonts w:ascii="Segoe UI" w:hAnsi="Segoe UI" w:cs="Segoe UI" w:eastAsia="Segoe UI"/>
          <w:color w:val="101820"/>
          <w:sz w:val="21"/>
        </w:rPr>
        <w:t>The implementation follows the iorta TechNXT Implementation Approach and Plan: configure, do not customise; data drives the timeline; key users own the result; every data load uses the delivered templates and is rehearsed at least twice; every acceptance is written.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658"/>
        <w:gridCol w:w="5449"/>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2658"/>
            <w:shd w:val="clear" w:color="auto" w:fill="DCE9F7"/>
          </w:tcPr>
          <w:p>
            <w:pPr>
              <w:spacing w:after="20"/>
            </w:pPr>
            <w:r>
              <w:rPr>
                <w:rFonts w:ascii="Segoe UI" w:hAnsi="Segoe UI" w:cs="Segoe UI" w:eastAsia="Segoe UI"/>
                <w:b/>
                <w:color w:val="0F4761"/>
                <w:sz w:val="18"/>
              </w:rPr>
              <w:t>Phase</w:t>
            </w:r>
          </w:p>
        </w:tc>
        <w:tc>
          <w:tcPr>
            <w:tcW w:type="dxa" w:w="5449"/>
            <w:shd w:val="clear" w:color="auto" w:fill="DCE9F7"/>
          </w:tcPr>
          <w:p>
            <w:pPr>
              <w:spacing w:after="20"/>
            </w:pPr>
            <w:r>
              <w:rPr>
                <w:rFonts w:ascii="Segoe UI" w:hAnsi="Segoe UI" w:cs="Segoe UI" w:eastAsia="Segoe UI"/>
                <w:b/>
                <w:color w:val="0F4761"/>
                <w:sz w:val="18"/>
              </w:rPr>
              <w:t>What happens</w:t>
            </w:r>
          </w:p>
        </w:tc>
      </w:tr>
      <w:tr>
        <w:tc>
          <w:tcPr>
            <w:tcW w:type="dxa" w:w="907"/>
          </w:tcPr>
          <w:p>
            <w:pPr>
              <w:spacing w:after="20"/>
            </w:pPr>
            <w:r>
              <w:rPr>
                <w:rFonts w:ascii="Segoe UI" w:hAnsi="Segoe UI" w:cs="Segoe UI" w:eastAsia="Segoe UI"/>
                <w:color w:val="101820"/>
                <w:sz w:val="18"/>
              </w:rPr>
              <w:t>1</w:t>
            </w:r>
          </w:p>
        </w:tc>
        <w:tc>
          <w:tcPr>
            <w:tcW w:type="dxa" w:w="2658"/>
          </w:tcPr>
          <w:p>
            <w:pPr>
              <w:spacing w:after="20"/>
            </w:pPr>
            <w:r>
              <w:rPr>
                <w:rFonts w:ascii="Segoe UI" w:hAnsi="Segoe UI" w:cs="Segoe UI" w:eastAsia="Segoe UI"/>
                <w:color w:val="101820"/>
                <w:sz w:val="18"/>
              </w:rPr>
              <w:t>Mobilisation</w:t>
            </w:r>
          </w:p>
        </w:tc>
        <w:tc>
          <w:tcPr>
            <w:tcW w:type="dxa" w:w="5449"/>
          </w:tcPr>
          <w:p>
            <w:pPr>
              <w:spacing w:after="20"/>
            </w:pPr>
            <w:r>
              <w:rPr>
                <w:rFonts w:ascii="Segoe UI" w:hAnsi="Segoe UI" w:cs="Segoe UI" w:eastAsia="Segoe UI"/>
                <w:color w:val="101820"/>
                <w:sz w:val="18"/>
              </w:rPr>
              <w:t>Kick-off, team and governance, plan confirmed, data requests issued, environments ordered</w:t>
            </w:r>
          </w:p>
        </w:tc>
      </w:tr>
      <w:tr>
        <w:tc>
          <w:tcPr>
            <w:tcW w:type="dxa" w:w="907"/>
          </w:tcPr>
          <w:p>
            <w:pPr>
              <w:spacing w:after="20"/>
            </w:pPr>
            <w:r>
              <w:rPr>
                <w:rFonts w:ascii="Segoe UI" w:hAnsi="Segoe UI" w:cs="Segoe UI" w:eastAsia="Segoe UI"/>
                <w:color w:val="101820"/>
                <w:sz w:val="18"/>
              </w:rPr>
              <w:t>2</w:t>
            </w:r>
          </w:p>
        </w:tc>
        <w:tc>
          <w:tcPr>
            <w:tcW w:type="dxa" w:w="2658"/>
          </w:tcPr>
          <w:p>
            <w:pPr>
              <w:spacing w:after="20"/>
            </w:pPr>
            <w:r>
              <w:rPr>
                <w:rFonts w:ascii="Segoe UI" w:hAnsi="Segoe UI" w:cs="Segoe UI" w:eastAsia="Segoe UI"/>
                <w:color w:val="101820"/>
                <w:sz w:val="18"/>
              </w:rPr>
              <w:t>Discovery and fit-gap</w:t>
            </w:r>
          </w:p>
        </w:tc>
        <w:tc>
          <w:tcPr>
            <w:tcW w:type="dxa" w:w="5449"/>
          </w:tcPr>
          <w:p>
            <w:pPr>
              <w:spacing w:after="20"/>
            </w:pPr>
            <w:r>
              <w:rPr>
                <w:rFonts w:ascii="Segoe UI" w:hAnsi="Segoe UI" w:cs="Segoe UI" w:eastAsia="Segoe UI"/>
                <w:color w:val="101820"/>
                <w:sz w:val="18"/>
              </w:rPr>
              <w:t>Walk-through of each process on the delivered system; configuration decisions; fit-gap register limited to configuration</w:t>
            </w:r>
          </w:p>
        </w:tc>
      </w:tr>
      <w:tr>
        <w:tc>
          <w:tcPr>
            <w:tcW w:type="dxa" w:w="907"/>
          </w:tcPr>
          <w:p>
            <w:pPr>
              <w:spacing w:after="20"/>
            </w:pPr>
            <w:r>
              <w:rPr>
                <w:rFonts w:ascii="Segoe UI" w:hAnsi="Segoe UI" w:cs="Segoe UI" w:eastAsia="Segoe UI"/>
                <w:color w:val="101820"/>
                <w:sz w:val="18"/>
              </w:rPr>
              <w:t>3</w:t>
            </w:r>
          </w:p>
        </w:tc>
        <w:tc>
          <w:tcPr>
            <w:tcW w:type="dxa" w:w="2658"/>
          </w:tcPr>
          <w:p>
            <w:pPr>
              <w:spacing w:after="20"/>
            </w:pPr>
            <w:r>
              <w:rPr>
                <w:rFonts w:ascii="Segoe UI" w:hAnsi="Segoe UI" w:cs="Segoe UI" w:eastAsia="Segoe UI"/>
                <w:color w:val="101820"/>
                <w:sz w:val="18"/>
              </w:rPr>
              <w:t>Environment set-up</w:t>
            </w:r>
          </w:p>
        </w:tc>
        <w:tc>
          <w:tcPr>
            <w:tcW w:type="dxa" w:w="5449"/>
          </w:tcPr>
          <w:p>
            <w:pPr>
              <w:spacing w:after="20"/>
            </w:pPr>
            <w:r>
              <w:rPr>
                <w:rFonts w:ascii="Segoe UI" w:hAnsi="Segoe UI" w:cs="Segoe UI" w:eastAsia="Segoe UI"/>
                <w:color w:val="101820"/>
                <w:sz w:val="18"/>
              </w:rPr>
              <w:t>Test (UAT) and production environments, e-mail account, backups, monitoring</w:t>
            </w:r>
          </w:p>
        </w:tc>
      </w:tr>
      <w:tr>
        <w:tc>
          <w:tcPr>
            <w:tcW w:type="dxa" w:w="907"/>
          </w:tcPr>
          <w:p>
            <w:pPr>
              <w:spacing w:after="20"/>
            </w:pPr>
            <w:r>
              <w:rPr>
                <w:rFonts w:ascii="Segoe UI" w:hAnsi="Segoe UI" w:cs="Segoe UI" w:eastAsia="Segoe UI"/>
                <w:color w:val="101820"/>
                <w:sz w:val="18"/>
              </w:rPr>
              <w:t>4</w:t>
            </w:r>
          </w:p>
        </w:tc>
        <w:tc>
          <w:tcPr>
            <w:tcW w:type="dxa" w:w="2658"/>
          </w:tcPr>
          <w:p>
            <w:pPr>
              <w:spacing w:after="20"/>
            </w:pPr>
            <w:r>
              <w:rPr>
                <w:rFonts w:ascii="Segoe UI" w:hAnsi="Segoe UI" w:cs="Segoe UI" w:eastAsia="Segoe UI"/>
                <w:color w:val="101820"/>
                <w:sz w:val="18"/>
              </w:rPr>
              <w:t>Configuration</w:t>
            </w:r>
          </w:p>
        </w:tc>
        <w:tc>
          <w:tcPr>
            <w:tcW w:type="dxa" w:w="5449"/>
          </w:tcPr>
          <w:p>
            <w:pPr>
              <w:spacing w:after="20"/>
            </w:pPr>
            <w:r>
              <w:rPr>
                <w:rFonts w:ascii="Segoe UI" w:hAnsi="Segoe UI" w:cs="Segoe UI" w:eastAsia="Segoe UI"/>
                <w:color w:val="101820"/>
                <w:sz w:val="18"/>
              </w:rPr>
              <w:t>Masters, products and rates, numbering, chart of accounts, posting rules, approvals, security</w:t>
            </w:r>
          </w:p>
        </w:tc>
      </w:tr>
      <w:tr>
        <w:tc>
          <w:tcPr>
            <w:tcW w:type="dxa" w:w="907"/>
          </w:tcPr>
          <w:p>
            <w:pPr>
              <w:spacing w:after="20"/>
            </w:pPr>
            <w:r>
              <w:rPr>
                <w:rFonts w:ascii="Segoe UI" w:hAnsi="Segoe UI" w:cs="Segoe UI" w:eastAsia="Segoe UI"/>
                <w:color w:val="101820"/>
                <w:sz w:val="18"/>
              </w:rPr>
              <w:t>5</w:t>
            </w:r>
          </w:p>
        </w:tc>
        <w:tc>
          <w:tcPr>
            <w:tcW w:type="dxa" w:w="2658"/>
          </w:tcPr>
          <w:p>
            <w:pPr>
              <w:spacing w:after="20"/>
            </w:pPr>
            <w:r>
              <w:rPr>
                <w:rFonts w:ascii="Segoe UI" w:hAnsi="Segoe UI" w:cs="Segoe UI" w:eastAsia="Segoe UI"/>
                <w:color w:val="101820"/>
                <w:sz w:val="18"/>
              </w:rPr>
              <w:t>Data migration</w:t>
            </w:r>
          </w:p>
        </w:tc>
        <w:tc>
          <w:tcPr>
            <w:tcW w:type="dxa" w:w="5449"/>
          </w:tcPr>
          <w:p>
            <w:pPr>
              <w:spacing w:after="20"/>
            </w:pPr>
            <w:r>
              <w:rPr>
                <w:rFonts w:ascii="Segoe UI" w:hAnsi="Segoe UI" w:cs="Segoe UI" w:eastAsia="Segoe UI"/>
                <w:color w:val="101820"/>
                <w:sz w:val="18"/>
              </w:rPr>
              <w:t>Extraction by the Client, mapping to the templates, mock loads, reconciliation</w:t>
            </w:r>
          </w:p>
        </w:tc>
      </w:tr>
      <w:tr>
        <w:tc>
          <w:tcPr>
            <w:tcW w:type="dxa" w:w="907"/>
          </w:tcPr>
          <w:p>
            <w:pPr>
              <w:spacing w:after="20"/>
            </w:pPr>
            <w:r>
              <w:rPr>
                <w:rFonts w:ascii="Segoe UI" w:hAnsi="Segoe UI" w:cs="Segoe UI" w:eastAsia="Segoe UI"/>
                <w:color w:val="101820"/>
                <w:sz w:val="18"/>
              </w:rPr>
              <w:t>6</w:t>
            </w:r>
          </w:p>
        </w:tc>
        <w:tc>
          <w:tcPr>
            <w:tcW w:type="dxa" w:w="2658"/>
          </w:tcPr>
          <w:p>
            <w:pPr>
              <w:spacing w:after="20"/>
            </w:pPr>
            <w:r>
              <w:rPr>
                <w:rFonts w:ascii="Segoe UI" w:hAnsi="Segoe UI" w:cs="Segoe UI" w:eastAsia="Segoe UI"/>
                <w:color w:val="101820"/>
                <w:sz w:val="18"/>
              </w:rPr>
              <w:t>Integrations</w:t>
            </w:r>
          </w:p>
        </w:tc>
        <w:tc>
          <w:tcPr>
            <w:tcW w:type="dxa" w:w="5449"/>
          </w:tcPr>
          <w:p>
            <w:pPr>
              <w:spacing w:after="20"/>
            </w:pPr>
            <w:r>
              <w:rPr>
                <w:rFonts w:ascii="Segoe UI" w:hAnsi="Segoe UI" w:cs="Segoe UI" w:eastAsia="Segoe UI"/>
                <w:color w:val="101820"/>
                <w:sz w:val="18"/>
              </w:rPr>
              <w:t>E-mail, bank statement files, payment gateway</w:t>
            </w:r>
          </w:p>
        </w:tc>
      </w:tr>
      <w:tr>
        <w:tc>
          <w:tcPr>
            <w:tcW w:type="dxa" w:w="907"/>
          </w:tcPr>
          <w:p>
            <w:pPr>
              <w:spacing w:after="20"/>
            </w:pPr>
            <w:r>
              <w:rPr>
                <w:rFonts w:ascii="Segoe UI" w:hAnsi="Segoe UI" w:cs="Segoe UI" w:eastAsia="Segoe UI"/>
                <w:color w:val="101820"/>
                <w:sz w:val="18"/>
              </w:rPr>
              <w:t>7</w:t>
            </w:r>
          </w:p>
        </w:tc>
        <w:tc>
          <w:tcPr>
            <w:tcW w:type="dxa" w:w="2658"/>
          </w:tcPr>
          <w:p>
            <w:pPr>
              <w:spacing w:after="20"/>
            </w:pPr>
            <w:r>
              <w:rPr>
                <w:rFonts w:ascii="Segoe UI" w:hAnsi="Segoe UI" w:cs="Segoe UI" w:eastAsia="Segoe UI"/>
                <w:color w:val="101820"/>
                <w:sz w:val="18"/>
              </w:rPr>
              <w:t>Training</w:t>
            </w:r>
          </w:p>
        </w:tc>
        <w:tc>
          <w:tcPr>
            <w:tcW w:type="dxa" w:w="5449"/>
          </w:tcPr>
          <w:p>
            <w:pPr>
              <w:spacing w:after="20"/>
            </w:pPr>
            <w:r>
              <w:rPr>
                <w:rFonts w:ascii="Segoe UI" w:hAnsi="Segoe UI" w:cs="Segoe UI" w:eastAsia="Segoe UI"/>
                <w:color w:val="101820"/>
                <w:sz w:val="18"/>
              </w:rPr>
              <w:t>Train-the-trainer for key users, then end-user training per role</w:t>
            </w:r>
          </w:p>
        </w:tc>
      </w:tr>
      <w:tr>
        <w:tc>
          <w:tcPr>
            <w:tcW w:type="dxa" w:w="907"/>
          </w:tcPr>
          <w:p>
            <w:pPr>
              <w:spacing w:after="20"/>
            </w:pPr>
            <w:r>
              <w:rPr>
                <w:rFonts w:ascii="Segoe UI" w:hAnsi="Segoe UI" w:cs="Segoe UI" w:eastAsia="Segoe UI"/>
                <w:color w:val="101820"/>
                <w:sz w:val="18"/>
              </w:rPr>
              <w:t>8</w:t>
            </w:r>
          </w:p>
        </w:tc>
        <w:tc>
          <w:tcPr>
            <w:tcW w:type="dxa" w:w="2658"/>
          </w:tcPr>
          <w:p>
            <w:pPr>
              <w:spacing w:after="20"/>
            </w:pPr>
            <w:r>
              <w:rPr>
                <w:rFonts w:ascii="Segoe UI" w:hAnsi="Segoe UI" w:cs="Segoe UI" w:eastAsia="Segoe UI"/>
                <w:color w:val="101820"/>
                <w:sz w:val="18"/>
              </w:rPr>
              <w:t>System integration test</w:t>
            </w:r>
          </w:p>
        </w:tc>
        <w:tc>
          <w:tcPr>
            <w:tcW w:type="dxa" w:w="5449"/>
          </w:tcPr>
          <w:p>
            <w:pPr>
              <w:spacing w:after="20"/>
            </w:pPr>
            <w:r>
              <w:rPr>
                <w:rFonts w:ascii="Segoe UI" w:hAnsi="Segoe UI" w:cs="Segoe UI" w:eastAsia="Segoe UI"/>
                <w:color w:val="101820"/>
                <w:sz w:val="18"/>
              </w:rPr>
              <w:t>End-to-end runs across roles with the configured data</w:t>
            </w:r>
          </w:p>
        </w:tc>
      </w:tr>
      <w:tr>
        <w:tc>
          <w:tcPr>
            <w:tcW w:type="dxa" w:w="907"/>
          </w:tcPr>
          <w:p>
            <w:pPr>
              <w:spacing w:after="20"/>
            </w:pPr>
            <w:r>
              <w:rPr>
                <w:rFonts w:ascii="Segoe UI" w:hAnsi="Segoe UI" w:cs="Segoe UI" w:eastAsia="Segoe UI"/>
                <w:color w:val="101820"/>
                <w:sz w:val="18"/>
              </w:rPr>
              <w:t>9</w:t>
            </w:r>
          </w:p>
        </w:tc>
        <w:tc>
          <w:tcPr>
            <w:tcW w:type="dxa" w:w="2658"/>
          </w:tcPr>
          <w:p>
            <w:pPr>
              <w:spacing w:after="20"/>
            </w:pPr>
            <w:r>
              <w:rPr>
                <w:rFonts w:ascii="Segoe UI" w:hAnsi="Segoe UI" w:cs="Segoe UI" w:eastAsia="Segoe UI"/>
                <w:color w:val="101820"/>
                <w:sz w:val="18"/>
              </w:rPr>
              <w:t>User acceptance test</w:t>
            </w:r>
          </w:p>
        </w:tc>
        <w:tc>
          <w:tcPr>
            <w:tcW w:type="dxa" w:w="5449"/>
          </w:tcPr>
          <w:p>
            <w:pPr>
              <w:spacing w:after="20"/>
            </w:pPr>
            <w:r>
              <w:rPr>
                <w:rFonts w:ascii="Segoe UI" w:hAnsi="Segoe UI" w:cs="Segoe UI" w:eastAsia="Segoe UI"/>
                <w:color w:val="101820"/>
                <w:sz w:val="18"/>
              </w:rPr>
              <w:t>Key users run the UAT scripts with the Client's own data</w:t>
            </w:r>
          </w:p>
        </w:tc>
      </w:tr>
      <w:tr>
        <w:tc>
          <w:tcPr>
            <w:tcW w:type="dxa" w:w="907"/>
          </w:tcPr>
          <w:p>
            <w:pPr>
              <w:spacing w:after="20"/>
            </w:pPr>
            <w:r>
              <w:rPr>
                <w:rFonts w:ascii="Segoe UI" w:hAnsi="Segoe UI" w:cs="Segoe UI" w:eastAsia="Segoe UI"/>
                <w:color w:val="101820"/>
                <w:sz w:val="18"/>
              </w:rPr>
              <w:t>10</w:t>
            </w:r>
          </w:p>
        </w:tc>
        <w:tc>
          <w:tcPr>
            <w:tcW w:type="dxa" w:w="2658"/>
          </w:tcPr>
          <w:p>
            <w:pPr>
              <w:spacing w:after="20"/>
            </w:pPr>
            <w:r>
              <w:rPr>
                <w:rFonts w:ascii="Segoe UI" w:hAnsi="Segoe UI" w:cs="Segoe UI" w:eastAsia="Segoe UI"/>
                <w:color w:val="101820"/>
                <w:sz w:val="18"/>
              </w:rPr>
              <w:t>Cutover</w:t>
            </w:r>
          </w:p>
        </w:tc>
        <w:tc>
          <w:tcPr>
            <w:tcW w:type="dxa" w:w="5449"/>
          </w:tcPr>
          <w:p>
            <w:pPr>
              <w:spacing w:after="20"/>
            </w:pPr>
            <w:r>
              <w:rPr>
                <w:rFonts w:ascii="Segoe UI" w:hAnsi="Segoe UI" w:cs="Segoe UI" w:eastAsia="Segoe UI"/>
                <w:color w:val="101820"/>
                <w:sz w:val="18"/>
              </w:rPr>
              <w:t>Final extract, final loads, reconciliation, go/no-go</w:t>
            </w:r>
          </w:p>
        </w:tc>
      </w:tr>
      <w:tr>
        <w:tc>
          <w:tcPr>
            <w:tcW w:type="dxa" w:w="907"/>
          </w:tcPr>
          <w:p>
            <w:pPr>
              <w:spacing w:after="20"/>
            </w:pPr>
            <w:r>
              <w:rPr>
                <w:rFonts w:ascii="Segoe UI" w:hAnsi="Segoe UI" w:cs="Segoe UI" w:eastAsia="Segoe UI"/>
                <w:color w:val="101820"/>
                <w:sz w:val="18"/>
              </w:rPr>
              <w:t>11</w:t>
            </w:r>
          </w:p>
        </w:tc>
        <w:tc>
          <w:tcPr>
            <w:tcW w:type="dxa" w:w="2658"/>
          </w:tcPr>
          <w:p>
            <w:pPr>
              <w:spacing w:after="20"/>
            </w:pPr>
            <w:r>
              <w:rPr>
                <w:rFonts w:ascii="Segoe UI" w:hAnsi="Segoe UI" w:cs="Segoe UI" w:eastAsia="Segoe UI"/>
                <w:color w:val="101820"/>
                <w:sz w:val="18"/>
              </w:rPr>
              <w:t>Go-live</w:t>
            </w:r>
          </w:p>
        </w:tc>
        <w:tc>
          <w:tcPr>
            <w:tcW w:type="dxa" w:w="5449"/>
          </w:tcPr>
          <w:p>
            <w:pPr>
              <w:spacing w:after="20"/>
            </w:pPr>
            <w:r>
              <w:rPr>
                <w:rFonts w:ascii="Segoe UI" w:hAnsi="Segoe UI" w:cs="Segoe UI" w:eastAsia="Segoe UI"/>
                <w:color w:val="101820"/>
                <w:sz w:val="18"/>
              </w:rPr>
              <w:t>First day of transactions in iNXT BrokerVerse</w:t>
            </w:r>
          </w:p>
        </w:tc>
      </w:tr>
      <w:tr>
        <w:tc>
          <w:tcPr>
            <w:tcW w:type="dxa" w:w="907"/>
          </w:tcPr>
          <w:p>
            <w:pPr>
              <w:spacing w:after="20"/>
            </w:pPr>
            <w:r>
              <w:rPr>
                <w:rFonts w:ascii="Segoe UI" w:hAnsi="Segoe UI" w:cs="Segoe UI" w:eastAsia="Segoe UI"/>
                <w:color w:val="101820"/>
                <w:sz w:val="18"/>
              </w:rPr>
              <w:t>12</w:t>
            </w:r>
          </w:p>
        </w:tc>
        <w:tc>
          <w:tcPr>
            <w:tcW w:type="dxa" w:w="2658"/>
          </w:tcPr>
          <w:p>
            <w:pPr>
              <w:spacing w:after="20"/>
            </w:pPr>
            <w:r>
              <w:rPr>
                <w:rFonts w:ascii="Segoe UI" w:hAnsi="Segoe UI" w:cs="Segoe UI" w:eastAsia="Segoe UI"/>
                <w:color w:val="101820"/>
                <w:sz w:val="18"/>
              </w:rPr>
              <w:t>Hypercare</w:t>
            </w:r>
          </w:p>
        </w:tc>
        <w:tc>
          <w:tcPr>
            <w:tcW w:type="dxa" w:w="5449"/>
          </w:tcPr>
          <w:p>
            <w:pPr>
              <w:spacing w:after="20"/>
            </w:pPr>
            <w:r>
              <w:rPr>
                <w:rFonts w:ascii="Segoe UI" w:hAnsi="Segoe UI" w:cs="Segoe UI" w:eastAsia="Segoe UI"/>
                <w:color w:val="101820"/>
                <w:sz w:val="18"/>
              </w:rPr>
              <w:t>Close support by the project team until the first month-end close is done</w:t>
            </w:r>
          </w:p>
        </w:tc>
      </w:tr>
    </w:tbl>
    <w:p>
      <w:pPr>
        <w:pStyle w:val="Heading1"/>
        <w:pageBreakBefore/>
      </w:pPr>
      <w:r>
        <w:rPr>
          <w:rFonts w:ascii="Segoe UI" w:hAnsi="Segoe UI" w:cs="Segoe UI" w:eastAsia="Segoe UI"/>
          <w:b/>
          <w:color w:val="0F4761"/>
          <w:sz w:val="32"/>
        </w:rPr>
        <w:t>6.  Deliverables and acceptance</w:t>
      </w:r>
    </w:p>
    <w:p>
      <w:pPr>
        <w:pStyle w:val="Heading2"/>
      </w:pPr>
      <w:r>
        <w:rPr>
          <w:rFonts w:ascii="Segoe UI" w:hAnsi="Segoe UI" w:cs="Segoe UI" w:eastAsia="Segoe UI"/>
          <w:b/>
          <w:color w:val="0F4761"/>
          <w:sz w:val="26"/>
        </w:rPr>
        <w:t>6.1  Deliverables and acceptance criteria</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618"/>
        <w:gridCol w:w="3698"/>
        <w:gridCol w:w="3698"/>
      </w:tblGrid>
      <w:tr>
        <w:trPr>
          <w:tblHeader w:val="true"/>
        </w:trPr>
        <w:tc>
          <w:tcPr>
            <w:tcW w:type="dxa" w:w="1618"/>
            <w:shd w:val="clear" w:color="auto" w:fill="DCE9F7"/>
          </w:tcPr>
          <w:p>
            <w:pPr>
              <w:spacing w:after="20"/>
            </w:pPr>
            <w:r>
              <w:rPr>
                <w:rFonts w:ascii="Segoe UI" w:hAnsi="Segoe UI" w:cs="Segoe UI" w:eastAsia="Segoe UI"/>
                <w:b/>
                <w:color w:val="0F4761"/>
                <w:sz w:val="18"/>
              </w:rPr>
              <w:t>Phase</w:t>
            </w:r>
          </w:p>
        </w:tc>
        <w:tc>
          <w:tcPr>
            <w:tcW w:type="dxa" w:w="3698"/>
            <w:shd w:val="clear" w:color="auto" w:fill="DCE9F7"/>
          </w:tcPr>
          <w:p>
            <w:pPr>
              <w:spacing w:after="20"/>
            </w:pPr>
            <w:r>
              <w:rPr>
                <w:rFonts w:ascii="Segoe UI" w:hAnsi="Segoe UI" w:cs="Segoe UI" w:eastAsia="Segoe UI"/>
                <w:b/>
                <w:color w:val="0F4761"/>
                <w:sz w:val="18"/>
              </w:rPr>
              <w:t>Deliverables</w:t>
            </w:r>
          </w:p>
        </w:tc>
        <w:tc>
          <w:tcPr>
            <w:tcW w:type="dxa" w:w="3698"/>
            <w:shd w:val="clear" w:color="auto" w:fill="DCE9F7"/>
          </w:tcPr>
          <w:p>
            <w:pPr>
              <w:spacing w:after="20"/>
            </w:pPr>
            <w:r>
              <w:rPr>
                <w:rFonts w:ascii="Segoe UI" w:hAnsi="Segoe UI" w:cs="Segoe UI" w:eastAsia="Segoe UI"/>
                <w:b/>
                <w:color w:val="0F4761"/>
                <w:sz w:val="18"/>
              </w:rPr>
              <w:t>Acceptance criteria</w:t>
            </w:r>
          </w:p>
        </w:tc>
      </w:tr>
      <w:tr>
        <w:tc>
          <w:tcPr>
            <w:tcW w:type="dxa" w:w="1618"/>
          </w:tcPr>
          <w:p>
            <w:pPr>
              <w:spacing w:after="20"/>
            </w:pPr>
            <w:r>
              <w:rPr>
                <w:rFonts w:ascii="Segoe UI" w:hAnsi="Segoe UI" w:cs="Segoe UI" w:eastAsia="Segoe UI"/>
                <w:color w:val="101820"/>
                <w:sz w:val="18"/>
              </w:rPr>
              <w:t>Mobilisation</w:t>
            </w:r>
          </w:p>
        </w:tc>
        <w:tc>
          <w:tcPr>
            <w:tcW w:type="dxa" w:w="3698"/>
          </w:tcPr>
          <w:p>
            <w:pPr>
              <w:spacing w:after="20"/>
            </w:pPr>
            <w:r>
              <w:rPr>
                <w:rFonts w:ascii="Segoe UI" w:hAnsi="Segoe UI" w:cs="Segoe UI" w:eastAsia="Segoe UI"/>
                <w:color w:val="101820"/>
                <w:sz w:val="18"/>
              </w:rPr>
              <w:t>Project charter, baselined plan, RAID log, data request list, governance calendar</w:t>
            </w:r>
          </w:p>
        </w:tc>
        <w:tc>
          <w:tcPr>
            <w:tcW w:type="dxa" w:w="3698"/>
          </w:tcPr>
          <w:p>
            <w:pPr>
              <w:spacing w:after="20"/>
            </w:pPr>
            <w:r>
              <w:rPr>
                <w:rFonts w:ascii="Segoe UI" w:hAnsi="Segoe UI" w:cs="Segoe UI" w:eastAsia="Segoe UI"/>
                <w:color w:val="101820"/>
                <w:sz w:val="18"/>
              </w:rPr>
              <w:t>Charter and plan signed by both project managers and the sponsor</w:t>
            </w:r>
          </w:p>
        </w:tc>
      </w:tr>
      <w:tr>
        <w:tc>
          <w:tcPr>
            <w:tcW w:type="dxa" w:w="1618"/>
          </w:tcPr>
          <w:p>
            <w:pPr>
              <w:spacing w:after="20"/>
            </w:pPr>
            <w:r>
              <w:rPr>
                <w:rFonts w:ascii="Segoe UI" w:hAnsi="Segoe UI" w:cs="Segoe UI" w:eastAsia="Segoe UI"/>
                <w:color w:val="101820"/>
                <w:sz w:val="18"/>
              </w:rPr>
              <w:t>Discovery and fit-gap</w:t>
            </w:r>
          </w:p>
        </w:tc>
        <w:tc>
          <w:tcPr>
            <w:tcW w:type="dxa" w:w="3698"/>
          </w:tcPr>
          <w:p>
            <w:pPr>
              <w:spacing w:after="20"/>
            </w:pPr>
            <w:r>
              <w:rPr>
                <w:rFonts w:ascii="Segoe UI" w:hAnsi="Segoe UI" w:cs="Segoe UI" w:eastAsia="Segoe UI"/>
                <w:color w:val="101820"/>
                <w:sz w:val="18"/>
              </w:rPr>
              <w:t>Configuration workbook, fit-gap register</w:t>
            </w:r>
          </w:p>
        </w:tc>
        <w:tc>
          <w:tcPr>
            <w:tcW w:type="dxa" w:w="3698"/>
          </w:tcPr>
          <w:p>
            <w:pPr>
              <w:spacing w:after="20"/>
            </w:pPr>
            <w:r>
              <w:rPr>
                <w:rFonts w:ascii="Segoe UI" w:hAnsi="Segoe UI" w:cs="Segoe UI" w:eastAsia="Segoe UI"/>
                <w:color w:val="101820"/>
                <w:sz w:val="18"/>
              </w:rPr>
              <w:t>Every process walked through; every register line classed and owned; signed by the process owners</w:t>
            </w:r>
          </w:p>
        </w:tc>
      </w:tr>
      <w:tr>
        <w:tc>
          <w:tcPr>
            <w:tcW w:type="dxa" w:w="1618"/>
          </w:tcPr>
          <w:p>
            <w:pPr>
              <w:spacing w:after="20"/>
            </w:pPr>
            <w:r>
              <w:rPr>
                <w:rFonts w:ascii="Segoe UI" w:hAnsi="Segoe UI" w:cs="Segoe UI" w:eastAsia="Segoe UI"/>
                <w:color w:val="101820"/>
                <w:sz w:val="18"/>
              </w:rPr>
              <w:t>Environment set-up</w:t>
            </w:r>
          </w:p>
        </w:tc>
        <w:tc>
          <w:tcPr>
            <w:tcW w:type="dxa" w:w="3698"/>
          </w:tcPr>
          <w:p>
            <w:pPr>
              <w:spacing w:after="20"/>
            </w:pPr>
            <w:r>
              <w:rPr>
                <w:rFonts w:ascii="Segoe UI" w:hAnsi="Segoe UI" w:cs="Segoe UI" w:eastAsia="Segoe UI"/>
                <w:color w:val="101820"/>
                <w:sz w:val="18"/>
              </w:rPr>
              <w:t>Test and production environments, environment sheet</w:t>
            </w:r>
          </w:p>
        </w:tc>
        <w:tc>
          <w:tcPr>
            <w:tcW w:type="dxa" w:w="3698"/>
          </w:tcPr>
          <w:p>
            <w:pPr>
              <w:spacing w:after="20"/>
            </w:pPr>
            <w:r>
              <w:rPr>
                <w:rFonts w:ascii="Segoe UI" w:hAnsi="Segoe UI" w:cs="Segoe UI" w:eastAsia="Segoe UI"/>
                <w:color w:val="101820"/>
                <w:sz w:val="18"/>
              </w:rPr>
              <w:t>Smoke test passed on each; one restore test done</w:t>
            </w:r>
          </w:p>
        </w:tc>
      </w:tr>
      <w:tr>
        <w:tc>
          <w:tcPr>
            <w:tcW w:type="dxa" w:w="1618"/>
          </w:tcPr>
          <w:p>
            <w:pPr>
              <w:spacing w:after="20"/>
            </w:pPr>
            <w:r>
              <w:rPr>
                <w:rFonts w:ascii="Segoe UI" w:hAnsi="Segoe UI" w:cs="Segoe UI" w:eastAsia="Segoe UI"/>
                <w:color w:val="101820"/>
                <w:sz w:val="18"/>
              </w:rPr>
              <w:t>Configuration</w:t>
            </w:r>
          </w:p>
        </w:tc>
        <w:tc>
          <w:tcPr>
            <w:tcW w:type="dxa" w:w="3698"/>
          </w:tcPr>
          <w:p>
            <w:pPr>
              <w:spacing w:after="20"/>
            </w:pPr>
            <w:r>
              <w:rPr>
                <w:rFonts w:ascii="Segoe UI" w:hAnsi="Segoe UI" w:cs="Segoe UI" w:eastAsia="Segoe UI"/>
                <w:color w:val="101820"/>
                <w:sz w:val="18"/>
              </w:rPr>
              <w:t>Configured test environment; configuration workbook updated</w:t>
            </w:r>
          </w:p>
        </w:tc>
        <w:tc>
          <w:tcPr>
            <w:tcW w:type="dxa" w:w="3698"/>
          </w:tcPr>
          <w:p>
            <w:pPr>
              <w:spacing w:after="20"/>
            </w:pPr>
            <w:r>
              <w:rPr>
                <w:rFonts w:ascii="Segoe UI" w:hAnsi="Segoe UI" w:cs="Segoe UI" w:eastAsia="Segoe UI"/>
                <w:color w:val="101820"/>
                <w:sz w:val="18"/>
              </w:rPr>
              <w:t>Each workbook item set and checked; test quotation premiums and taxes agree with manual calculations</w:t>
            </w:r>
          </w:p>
        </w:tc>
      </w:tr>
      <w:tr>
        <w:tc>
          <w:tcPr>
            <w:tcW w:type="dxa" w:w="1618"/>
          </w:tcPr>
          <w:p>
            <w:pPr>
              <w:spacing w:after="20"/>
            </w:pPr>
            <w:r>
              <w:rPr>
                <w:rFonts w:ascii="Segoe UI" w:hAnsi="Segoe UI" w:cs="Segoe UI" w:eastAsia="Segoe UI"/>
                <w:color w:val="101820"/>
                <w:sz w:val="18"/>
              </w:rPr>
              <w:t>Data migration</w:t>
            </w:r>
          </w:p>
        </w:tc>
        <w:tc>
          <w:tcPr>
            <w:tcW w:type="dxa" w:w="3698"/>
          </w:tcPr>
          <w:p>
            <w:pPr>
              <w:spacing w:after="20"/>
            </w:pPr>
            <w:r>
              <w:rPr>
                <w:rFonts w:ascii="Segoe UI" w:hAnsi="Segoe UI" w:cs="Segoe UI" w:eastAsia="Segoe UI"/>
                <w:color w:val="101820"/>
                <w:sz w:val="18"/>
              </w:rPr>
              <w:t>Mapping sheets, filled templates, load logs, reconciliation reports for each mock load</w:t>
            </w:r>
          </w:p>
        </w:tc>
        <w:tc>
          <w:tcPr>
            <w:tcW w:type="dxa" w:w="3698"/>
          </w:tcPr>
          <w:p>
            <w:pPr>
              <w:spacing w:after="20"/>
            </w:pPr>
            <w:r>
              <w:rPr>
                <w:rFonts w:ascii="Segoe UI" w:hAnsi="Segoe UI" w:cs="Segoe UI" w:eastAsia="Segoe UI"/>
                <w:color w:val="101820"/>
                <w:sz w:val="18"/>
              </w:rPr>
              <w:t>Counts and totals agree within the agreed tolerance (default: exact); trial balance as at go-live agrees with the old system</w:t>
            </w:r>
          </w:p>
        </w:tc>
      </w:tr>
      <w:tr>
        <w:tc>
          <w:tcPr>
            <w:tcW w:type="dxa" w:w="1618"/>
          </w:tcPr>
          <w:p>
            <w:pPr>
              <w:spacing w:after="20"/>
            </w:pPr>
            <w:r>
              <w:rPr>
                <w:rFonts w:ascii="Segoe UI" w:hAnsi="Segoe UI" w:cs="Segoe UI" w:eastAsia="Segoe UI"/>
                <w:color w:val="101820"/>
                <w:sz w:val="18"/>
              </w:rPr>
              <w:t>Integrations</w:t>
            </w:r>
          </w:p>
        </w:tc>
        <w:tc>
          <w:tcPr>
            <w:tcW w:type="dxa" w:w="3698"/>
          </w:tcPr>
          <w:p>
            <w:pPr>
              <w:spacing w:after="20"/>
            </w:pPr>
            <w:r>
              <w:rPr>
                <w:rFonts w:ascii="Segoe UI" w:hAnsi="Segoe UI" w:cs="Segoe UI" w:eastAsia="Segoe UI"/>
                <w:color w:val="101820"/>
                <w:sz w:val="18"/>
              </w:rPr>
              <w:t>E-mail, bank statement formats, payment gateway set up</w:t>
            </w:r>
          </w:p>
        </w:tc>
        <w:tc>
          <w:tcPr>
            <w:tcW w:type="dxa" w:w="3698"/>
          </w:tcPr>
          <w:p>
            <w:pPr>
              <w:spacing w:after="20"/>
            </w:pPr>
            <w:r>
              <w:rPr>
                <w:rFonts w:ascii="Segoe UI" w:hAnsi="Segoe UI" w:cs="Segoe UI" w:eastAsia="Segoe UI"/>
                <w:color w:val="101820"/>
                <w:sz w:val="18"/>
              </w:rPr>
              <w:t>Password reset e-mail and quotation approval link received; one statement per bank account imported; one sandbox payment receipted</w:t>
            </w:r>
          </w:p>
        </w:tc>
      </w:tr>
      <w:tr>
        <w:tc>
          <w:tcPr>
            <w:tcW w:type="dxa" w:w="1618"/>
          </w:tcPr>
          <w:p>
            <w:pPr>
              <w:spacing w:after="20"/>
            </w:pPr>
            <w:r>
              <w:rPr>
                <w:rFonts w:ascii="Segoe UI" w:hAnsi="Segoe UI" w:cs="Segoe UI" w:eastAsia="Segoe UI"/>
                <w:color w:val="101820"/>
                <w:sz w:val="18"/>
              </w:rPr>
              <w:t>Training</w:t>
            </w:r>
          </w:p>
        </w:tc>
        <w:tc>
          <w:tcPr>
            <w:tcW w:type="dxa" w:w="3698"/>
          </w:tcPr>
          <w:p>
            <w:pPr>
              <w:spacing w:after="20"/>
            </w:pPr>
            <w:r>
              <w:rPr>
                <w:rFonts w:ascii="Segoe UI" w:hAnsi="Segoe UI" w:cs="Segoe UI" w:eastAsia="Segoe UI"/>
                <w:color w:val="101820"/>
                <w:sz w:val="18"/>
              </w:rPr>
              <w:t>Training schedule, attendance lists, assessment results</w:t>
            </w:r>
          </w:p>
        </w:tc>
        <w:tc>
          <w:tcPr>
            <w:tcW w:type="dxa" w:w="3698"/>
          </w:tcPr>
          <w:p>
            <w:pPr>
              <w:spacing w:after="20"/>
            </w:pPr>
            <w:r>
              <w:rPr>
                <w:rFonts w:ascii="Segoe UI" w:hAnsi="Segoe UI" w:cs="Segoe UI" w:eastAsia="Segoe UI"/>
                <w:color w:val="101820"/>
                <w:sz w:val="18"/>
              </w:rPr>
              <w:t>Every user trained in the role before go-live; key users pass the assessment</w:t>
            </w:r>
          </w:p>
        </w:tc>
      </w:tr>
      <w:tr>
        <w:tc>
          <w:tcPr>
            <w:tcW w:type="dxa" w:w="1618"/>
          </w:tcPr>
          <w:p>
            <w:pPr>
              <w:spacing w:after="20"/>
            </w:pPr>
            <w:r>
              <w:rPr>
                <w:rFonts w:ascii="Segoe UI" w:hAnsi="Segoe UI" w:cs="Segoe UI" w:eastAsia="Segoe UI"/>
                <w:color w:val="101820"/>
                <w:sz w:val="18"/>
              </w:rPr>
              <w:t>SIT</w:t>
            </w:r>
          </w:p>
        </w:tc>
        <w:tc>
          <w:tcPr>
            <w:tcW w:type="dxa" w:w="3698"/>
          </w:tcPr>
          <w:p>
            <w:pPr>
              <w:spacing w:after="20"/>
            </w:pPr>
            <w:r>
              <w:rPr>
                <w:rFonts w:ascii="Segoe UI" w:hAnsi="Segoe UI" w:cs="Segoe UI" w:eastAsia="Segoe UI"/>
                <w:color w:val="101820"/>
                <w:sz w:val="18"/>
              </w:rPr>
              <w:t>SIT plan, results, defect log, SIT exit report</w:t>
            </w:r>
          </w:p>
        </w:tc>
        <w:tc>
          <w:tcPr>
            <w:tcW w:type="dxa" w:w="3698"/>
          </w:tcPr>
          <w:p>
            <w:pPr>
              <w:spacing w:after="20"/>
            </w:pPr>
            <w:r>
              <w:rPr>
                <w:rFonts w:ascii="Segoe UI" w:hAnsi="Segoe UI" w:cs="Segoe UI" w:eastAsia="Segoe UI"/>
                <w:color w:val="101820"/>
                <w:sz w:val="18"/>
              </w:rPr>
              <w:t>All end-to-end flows passed; no open severity 1 or 2 defect</w:t>
            </w:r>
          </w:p>
        </w:tc>
      </w:tr>
      <w:tr>
        <w:tc>
          <w:tcPr>
            <w:tcW w:type="dxa" w:w="1618"/>
          </w:tcPr>
          <w:p>
            <w:pPr>
              <w:spacing w:after="20"/>
            </w:pPr>
            <w:r>
              <w:rPr>
                <w:rFonts w:ascii="Segoe UI" w:hAnsi="Segoe UI" w:cs="Segoe UI" w:eastAsia="Segoe UI"/>
                <w:color w:val="101820"/>
                <w:sz w:val="18"/>
              </w:rPr>
              <w:t>UAT</w:t>
            </w:r>
          </w:p>
        </w:tc>
        <w:tc>
          <w:tcPr>
            <w:tcW w:type="dxa" w:w="3698"/>
          </w:tcPr>
          <w:p>
            <w:pPr>
              <w:spacing w:after="20"/>
            </w:pPr>
            <w:r>
              <w:rPr>
                <w:rFonts w:ascii="Segoe UI" w:hAnsi="Segoe UI" w:cs="Segoe UI" w:eastAsia="Segoe UI"/>
                <w:color w:val="101820"/>
                <w:sz w:val="18"/>
              </w:rPr>
              <w:t>UAT results per script, defect log, UAT sign-off</w:t>
            </w:r>
          </w:p>
        </w:tc>
        <w:tc>
          <w:tcPr>
            <w:tcW w:type="dxa" w:w="3698"/>
          </w:tcPr>
          <w:p>
            <w:pPr>
              <w:spacing w:after="20"/>
            </w:pPr>
            <w:r>
              <w:rPr>
                <w:rFonts w:ascii="Segoe UI" w:hAnsi="Segoe UI" w:cs="Segoe UI" w:eastAsia="Segoe UI"/>
                <w:color w:val="101820"/>
                <w:sz w:val="18"/>
              </w:rPr>
              <w:t>All UAT scripts passed or accepted with a workaround; sign-off by each process owner and the sponsor</w:t>
            </w:r>
          </w:p>
        </w:tc>
      </w:tr>
      <w:tr>
        <w:tc>
          <w:tcPr>
            <w:tcW w:type="dxa" w:w="1618"/>
          </w:tcPr>
          <w:p>
            <w:pPr>
              <w:spacing w:after="20"/>
            </w:pPr>
            <w:r>
              <w:rPr>
                <w:rFonts w:ascii="Segoe UI" w:hAnsi="Segoe UI" w:cs="Segoe UI" w:eastAsia="Segoe UI"/>
                <w:color w:val="101820"/>
                <w:sz w:val="18"/>
              </w:rPr>
              <w:t>Cutover</w:t>
            </w:r>
          </w:p>
        </w:tc>
        <w:tc>
          <w:tcPr>
            <w:tcW w:type="dxa" w:w="3698"/>
          </w:tcPr>
          <w:p>
            <w:pPr>
              <w:spacing w:after="20"/>
            </w:pPr>
            <w:r>
              <w:rPr>
                <w:rFonts w:ascii="Segoe UI" w:hAnsi="Segoe UI" w:cs="Segoe UI" w:eastAsia="Segoe UI"/>
                <w:color w:val="101820"/>
                <w:sz w:val="18"/>
              </w:rPr>
              <w:t>Cutover checklist, final reconciliation, go/no-go minutes</w:t>
            </w:r>
          </w:p>
        </w:tc>
        <w:tc>
          <w:tcPr>
            <w:tcW w:type="dxa" w:w="3698"/>
          </w:tcPr>
          <w:p>
            <w:pPr>
              <w:spacing w:after="20"/>
            </w:pPr>
            <w:r>
              <w:rPr>
                <w:rFonts w:ascii="Segoe UI" w:hAnsi="Segoe UI" w:cs="Segoe UI" w:eastAsia="Segoe UI"/>
                <w:color w:val="101820"/>
                <w:sz w:val="18"/>
              </w:rPr>
              <w:t>Go/no-go criteria of the Data Migration and Cutover Plan met</w:t>
            </w:r>
          </w:p>
        </w:tc>
      </w:tr>
      <w:tr>
        <w:tc>
          <w:tcPr>
            <w:tcW w:type="dxa" w:w="1618"/>
          </w:tcPr>
          <w:p>
            <w:pPr>
              <w:spacing w:after="20"/>
            </w:pPr>
            <w:r>
              <w:rPr>
                <w:rFonts w:ascii="Segoe UI" w:hAnsi="Segoe UI" w:cs="Segoe UI" w:eastAsia="Segoe UI"/>
                <w:color w:val="101820"/>
                <w:sz w:val="18"/>
              </w:rPr>
              <w:t>Go-live</w:t>
            </w:r>
          </w:p>
        </w:tc>
        <w:tc>
          <w:tcPr>
            <w:tcW w:type="dxa" w:w="3698"/>
          </w:tcPr>
          <w:p>
            <w:pPr>
              <w:spacing w:after="20"/>
            </w:pPr>
            <w:r>
              <w:rPr>
                <w:rFonts w:ascii="Segoe UI" w:hAnsi="Segoe UI" w:cs="Segoe UI" w:eastAsia="Segoe UI"/>
                <w:color w:val="101820"/>
                <w:sz w:val="18"/>
              </w:rPr>
              <w:t>Production in use; go-live communication</w:t>
            </w:r>
          </w:p>
        </w:tc>
        <w:tc>
          <w:tcPr>
            <w:tcW w:type="dxa" w:w="3698"/>
          </w:tcPr>
          <w:p>
            <w:pPr>
              <w:spacing w:after="20"/>
            </w:pPr>
            <w:r>
              <w:rPr>
                <w:rFonts w:ascii="Segoe UI" w:hAnsi="Segoe UI" w:cs="Segoe UI" w:eastAsia="Segoe UI"/>
                <w:color w:val="101820"/>
                <w:sz w:val="18"/>
              </w:rPr>
              <w:t>Users signed in and transacting; first receipts, remittances and bank imports processed</w:t>
            </w:r>
          </w:p>
        </w:tc>
      </w:tr>
      <w:tr>
        <w:tc>
          <w:tcPr>
            <w:tcW w:type="dxa" w:w="1618"/>
          </w:tcPr>
          <w:p>
            <w:pPr>
              <w:spacing w:after="20"/>
            </w:pPr>
            <w:r>
              <w:rPr>
                <w:rFonts w:ascii="Segoe UI" w:hAnsi="Segoe UI" w:cs="Segoe UI" w:eastAsia="Segoe UI"/>
                <w:color w:val="101820"/>
                <w:sz w:val="18"/>
              </w:rPr>
              <w:t>Hypercare</w:t>
            </w:r>
          </w:p>
        </w:tc>
        <w:tc>
          <w:tcPr>
            <w:tcW w:type="dxa" w:w="3698"/>
          </w:tcPr>
          <w:p>
            <w:pPr>
              <w:spacing w:after="20"/>
            </w:pPr>
            <w:r>
              <w:rPr>
                <w:rFonts w:ascii="Segoe UI" w:hAnsi="Segoe UI" w:cs="Segoe UI" w:eastAsia="Segoe UI"/>
                <w:color w:val="101820"/>
                <w:sz w:val="18"/>
              </w:rPr>
              <w:t>Hypercare log, first month-end close support, handover pack</w:t>
            </w:r>
          </w:p>
        </w:tc>
        <w:tc>
          <w:tcPr>
            <w:tcW w:type="dxa" w:w="3698"/>
          </w:tcPr>
          <w:p>
            <w:pPr>
              <w:spacing w:after="20"/>
            </w:pPr>
            <w:r>
              <w:rPr>
                <w:rFonts w:ascii="Segoe UI" w:hAnsi="Segoe UI" w:cs="Segoe UI" w:eastAsia="Segoe UI"/>
                <w:color w:val="101820"/>
                <w:sz w:val="18"/>
              </w:rPr>
              <w:t>No open severity 1 or 2 issue; first close completed; handover accepted by production support and the System Administrator</w:t>
            </w:r>
          </w:p>
        </w:tc>
      </w:tr>
    </w:tbl>
    <w:p>
      <w:pPr>
        <w:spacing w:after="80"/>
      </w:pPr>
    </w:p>
    <w:p>
      <w:pPr>
        <w:pStyle w:val="Heading2"/>
      </w:pPr>
      <w:r>
        <w:rPr>
          <w:rFonts w:ascii="Segoe UI" w:hAnsi="Segoe UI" w:cs="Segoe UI" w:eastAsia="Segoe UI"/>
          <w:b/>
          <w:color w:val="0F4761"/>
          <w:sz w:val="26"/>
        </w:rPr>
        <w:t>6.2  Acceptance procedure</w:t>
      </w:r>
    </w:p>
    <w:p>
      <w:pPr>
        <w:spacing w:after="60"/>
        <w:numPr>
          <w:ilvl w:val="0"/>
          <w:numId w:val="5"/>
        </w:numPr>
      </w:pPr>
      <w:r>
        <w:rPr>
          <w:rFonts w:ascii="Segoe UI" w:hAnsi="Segoe UI" w:cs="Segoe UI" w:eastAsia="Segoe UI"/>
          <w:color w:val="101820"/>
          <w:sz w:val="21"/>
        </w:rPr>
        <w:t>iorta TechNXT submits each Deliverable with a sign-off request that lists the acceptance criteria and the evidence.</w:t>
      </w:r>
    </w:p>
    <w:p>
      <w:pPr>
        <w:spacing w:after="60"/>
        <w:numPr>
          <w:ilvl w:val="0"/>
          <w:numId w:val="5"/>
        </w:numPr>
      </w:pPr>
      <w:r>
        <w:rPr>
          <w:rFonts w:ascii="Segoe UI" w:hAnsi="Segoe UI" w:cs="Segoe UI" w:eastAsia="Segoe UI"/>
          <w:color w:val="101820"/>
          <w:sz w:val="21"/>
        </w:rPr>
        <w:t>The Client reviews the Deliverable within 5 Business Days of submission and either signs the acceptance certificate (Annex A; for UAT, go-live and hypercare exit, the forms of the UAT Sign-off and Go-live Acceptance Certificates and of the Hypercare Exit and Handover to Support Certificate) or gives a written list of the criteria not met, with reasons.</w:t>
      </w:r>
    </w:p>
    <w:p>
      <w:pPr>
        <w:spacing w:after="60"/>
        <w:numPr>
          <w:ilvl w:val="0"/>
          <w:numId w:val="5"/>
        </w:numPr>
      </w:pPr>
      <w:r>
        <w:rPr>
          <w:rFonts w:ascii="Segoe UI" w:hAnsi="Segoe UI" w:cs="Segoe UI" w:eastAsia="Segoe UI"/>
          <w:color w:val="101820"/>
          <w:sz w:val="21"/>
        </w:rPr>
        <w:t>iorta TechNXT corrects the items listed and resubmits. The Client then reviews only the corrected items, within 3 Business Days.</w:t>
      </w:r>
    </w:p>
    <w:p>
      <w:pPr>
        <w:spacing w:after="60"/>
        <w:numPr>
          <w:ilvl w:val="0"/>
          <w:numId w:val="5"/>
        </w:numPr>
      </w:pPr>
      <w:r>
        <w:rPr>
          <w:rFonts w:ascii="Segoe UI" w:hAnsi="Segoe UI" w:cs="Segoe UI" w:eastAsia="Segoe UI"/>
          <w:color w:val="101820"/>
          <w:sz w:val="21"/>
        </w:rPr>
        <w:t>A Deliverable is deemed accepted if the Client does not give a written objection within the review period, or if the Client uses it in production for its business.</w:t>
      </w:r>
    </w:p>
    <w:p>
      <w:pPr>
        <w:spacing w:after="60"/>
        <w:numPr>
          <w:ilvl w:val="0"/>
          <w:numId w:val="5"/>
        </w:numPr>
      </w:pPr>
      <w:r>
        <w:rPr>
          <w:rFonts w:ascii="Segoe UI" w:hAnsi="Segoe UI" w:cs="Segoe UI" w:eastAsia="Segoe UI"/>
          <w:color w:val="101820"/>
          <w:sz w:val="21"/>
        </w:rPr>
        <w:t>A Deliverable is not rejected for defects of severity 3 or 4 alone. Those are logged and corrected under an agreed plan.</w:t>
      </w:r>
    </w:p>
    <w:p>
      <w:pPr>
        <w:spacing w:after="60"/>
        <w:numPr>
          <w:ilvl w:val="0"/>
          <w:numId w:val="5"/>
        </w:numPr>
      </w:pPr>
      <w:r>
        <w:rPr>
          <w:rFonts w:ascii="Segoe UI" w:hAnsi="Segoe UI" w:cs="Segoe UI" w:eastAsia="Segoe UI"/>
          <w:color w:val="101820"/>
          <w:sz w:val="21"/>
        </w:rPr>
        <w:t>UAT sign-off is the written acceptance of the UAT phase by the Client's sponsor. Go-live is the first day of transactions in production after a go decision.</w:t>
      </w:r>
    </w:p>
    <w:p>
      <w:pPr>
        <w:pStyle w:val="Heading2"/>
      </w:pPr>
      <w:r>
        <w:rPr>
          <w:rFonts w:ascii="Segoe UI" w:hAnsi="Segoe UI" w:cs="Segoe UI" w:eastAsia="Segoe UI"/>
          <w:b/>
          <w:color w:val="0F4761"/>
          <w:sz w:val="26"/>
        </w:rPr>
        <w:t>6.3  Defect severity during the project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288"/>
        <w:gridCol w:w="7726"/>
      </w:tblGrid>
      <w:tr>
        <w:trPr>
          <w:tblHeader w:val="true"/>
        </w:trPr>
        <w:tc>
          <w:tcPr>
            <w:tcW w:type="dxa" w:w="1288"/>
            <w:shd w:val="clear" w:color="auto" w:fill="DCE9F7"/>
          </w:tcPr>
          <w:p>
            <w:pPr>
              <w:spacing w:after="20"/>
            </w:pPr>
            <w:r>
              <w:rPr>
                <w:rFonts w:ascii="Segoe UI" w:hAnsi="Segoe UI" w:cs="Segoe UI" w:eastAsia="Segoe UI"/>
                <w:b/>
                <w:color w:val="0F4761"/>
                <w:sz w:val="18"/>
              </w:rPr>
              <w:t>Severity</w:t>
            </w:r>
          </w:p>
        </w:tc>
        <w:tc>
          <w:tcPr>
            <w:tcW w:type="dxa" w:w="7726"/>
            <w:shd w:val="clear" w:color="auto" w:fill="DCE9F7"/>
          </w:tcPr>
          <w:p>
            <w:pPr>
              <w:spacing w:after="20"/>
            </w:pPr>
            <w:r>
              <w:rPr>
                <w:rFonts w:ascii="Segoe UI" w:hAnsi="Segoe UI" w:cs="Segoe UI" w:eastAsia="Segoe UI"/>
                <w:b/>
                <w:color w:val="0F4761"/>
                <w:sz w:val="18"/>
              </w:rPr>
              <w:t>Meaning</w:t>
            </w:r>
          </w:p>
        </w:tc>
      </w:tr>
      <w:tr>
        <w:tc>
          <w:tcPr>
            <w:tcW w:type="dxa" w:w="1288"/>
          </w:tcPr>
          <w:p>
            <w:pPr>
              <w:spacing w:after="20"/>
            </w:pPr>
            <w:r>
              <w:rPr>
                <w:rFonts w:ascii="Segoe UI" w:hAnsi="Segoe UI" w:cs="Segoe UI" w:eastAsia="Segoe UI"/>
                <w:color w:val="101820"/>
                <w:sz w:val="18"/>
              </w:rPr>
              <w:t>1</w:t>
            </w:r>
          </w:p>
        </w:tc>
        <w:tc>
          <w:tcPr>
            <w:tcW w:type="dxa" w:w="7726"/>
          </w:tcPr>
          <w:p>
            <w:pPr>
              <w:spacing w:after="20"/>
            </w:pPr>
            <w:r>
              <w:rPr>
                <w:rFonts w:ascii="Segoe UI" w:hAnsi="Segoe UI" w:cs="Segoe UI" w:eastAsia="Segoe UI"/>
                <w:color w:val="101820"/>
                <w:sz w:val="18"/>
              </w:rPr>
              <w:t>A core process cannot be completed, or financial postings are wrong, with no workaround</w:t>
            </w:r>
          </w:p>
        </w:tc>
      </w:tr>
      <w:tr>
        <w:tc>
          <w:tcPr>
            <w:tcW w:type="dxa" w:w="1288"/>
          </w:tcPr>
          <w:p>
            <w:pPr>
              <w:spacing w:after="20"/>
            </w:pPr>
            <w:r>
              <w:rPr>
                <w:rFonts w:ascii="Segoe UI" w:hAnsi="Segoe UI" w:cs="Segoe UI" w:eastAsia="Segoe UI"/>
                <w:color w:val="101820"/>
                <w:sz w:val="18"/>
              </w:rPr>
              <w:t>2</w:t>
            </w:r>
          </w:p>
        </w:tc>
        <w:tc>
          <w:tcPr>
            <w:tcW w:type="dxa" w:w="7726"/>
          </w:tcPr>
          <w:p>
            <w:pPr>
              <w:spacing w:after="20"/>
            </w:pPr>
            <w:r>
              <w:rPr>
                <w:rFonts w:ascii="Segoe UI" w:hAnsi="Segoe UI" w:cs="Segoe UI" w:eastAsia="Segoe UI"/>
                <w:color w:val="101820"/>
                <w:sz w:val="18"/>
              </w:rPr>
              <w:t>A core process is seriously degraded, with no acceptable workaround</w:t>
            </w:r>
          </w:p>
        </w:tc>
      </w:tr>
      <w:tr>
        <w:tc>
          <w:tcPr>
            <w:tcW w:type="dxa" w:w="1288"/>
          </w:tcPr>
          <w:p>
            <w:pPr>
              <w:spacing w:after="20"/>
            </w:pPr>
            <w:r>
              <w:rPr>
                <w:rFonts w:ascii="Segoe UI" w:hAnsi="Segoe UI" w:cs="Segoe UI" w:eastAsia="Segoe UI"/>
                <w:color w:val="101820"/>
                <w:sz w:val="18"/>
              </w:rPr>
              <w:t>3</w:t>
            </w:r>
          </w:p>
        </w:tc>
        <w:tc>
          <w:tcPr>
            <w:tcW w:type="dxa" w:w="7726"/>
          </w:tcPr>
          <w:p>
            <w:pPr>
              <w:spacing w:after="20"/>
            </w:pPr>
            <w:r>
              <w:rPr>
                <w:rFonts w:ascii="Segoe UI" w:hAnsi="Segoe UI" w:cs="Segoe UI" w:eastAsia="Segoe UI"/>
                <w:color w:val="101820"/>
                <w:sz w:val="18"/>
              </w:rPr>
              <w:t>A function fails and a workaround exists</w:t>
            </w:r>
          </w:p>
        </w:tc>
      </w:tr>
      <w:tr>
        <w:tc>
          <w:tcPr>
            <w:tcW w:type="dxa" w:w="1288"/>
          </w:tcPr>
          <w:p>
            <w:pPr>
              <w:spacing w:after="20"/>
            </w:pPr>
            <w:r>
              <w:rPr>
                <w:rFonts w:ascii="Segoe UI" w:hAnsi="Segoe UI" w:cs="Segoe UI" w:eastAsia="Segoe UI"/>
                <w:color w:val="101820"/>
                <w:sz w:val="18"/>
              </w:rPr>
              <w:t>4</w:t>
            </w:r>
          </w:p>
        </w:tc>
        <w:tc>
          <w:tcPr>
            <w:tcW w:type="dxa" w:w="7726"/>
          </w:tcPr>
          <w:p>
            <w:pPr>
              <w:spacing w:after="20"/>
            </w:pPr>
            <w:r>
              <w:rPr>
                <w:rFonts w:ascii="Segoe UI" w:hAnsi="Segoe UI" w:cs="Segoe UI" w:eastAsia="Segoe UI"/>
                <w:color w:val="101820"/>
                <w:sz w:val="18"/>
              </w:rPr>
              <w:t>Cosmetic issue, wording or documentation</w:t>
            </w:r>
          </w:p>
        </w:tc>
      </w:tr>
    </w:tbl>
    <w:p>
      <w:pPr>
        <w:pStyle w:val="Heading1"/>
        <w:pageBreakBefore/>
      </w:pPr>
      <w:r>
        <w:rPr>
          <w:rFonts w:ascii="Segoe UI" w:hAnsi="Segoe UI" w:cs="Segoe UI" w:eastAsia="Segoe UI"/>
          <w:b/>
          <w:color w:val="0F4761"/>
          <w:sz w:val="32"/>
        </w:rPr>
        <w:t>7.  Client responsibilities</w:t>
      </w:r>
    </w:p>
    <w:p>
      <w:pPr>
        <w:spacing w:after="120" w:line="276" w:lineRule="auto"/>
      </w:pPr>
      <w:r>
        <w:rPr>
          <w:rFonts w:ascii="Segoe UI" w:hAnsi="Segoe UI" w:cs="Segoe UI" w:eastAsia="Segoe UI"/>
          <w:color w:val="101820"/>
          <w:sz w:val="21"/>
        </w:rPr>
        <w:t>The Customer Responsibilities and RACI Annex gives the full list of Client responsibilities, the RACI by activity and the effect of a late dependency. The Client shall provide: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5213"/>
        <w:gridCol w:w="3801"/>
      </w:tblGrid>
      <w:tr>
        <w:trPr>
          <w:tblHeader w:val="true"/>
        </w:trPr>
        <w:tc>
          <w:tcPr>
            <w:tcW w:type="dxa" w:w="5213"/>
            <w:shd w:val="clear" w:color="auto" w:fill="DCE9F7"/>
          </w:tcPr>
          <w:p>
            <w:pPr>
              <w:spacing w:after="20"/>
            </w:pPr>
            <w:r>
              <w:rPr>
                <w:rFonts w:ascii="Segoe UI" w:hAnsi="Segoe UI" w:cs="Segoe UI" w:eastAsia="Segoe UI"/>
                <w:b/>
                <w:color w:val="0F4761"/>
                <w:sz w:val="18"/>
              </w:rPr>
              <w:t>Dependency</w:t>
            </w:r>
          </w:p>
        </w:tc>
        <w:tc>
          <w:tcPr>
            <w:tcW w:type="dxa" w:w="3801"/>
            <w:shd w:val="clear" w:color="auto" w:fill="DCE9F7"/>
          </w:tcPr>
          <w:p>
            <w:pPr>
              <w:spacing w:after="20"/>
            </w:pPr>
            <w:r>
              <w:rPr>
                <w:rFonts w:ascii="Segoe UI" w:hAnsi="Segoe UI" w:cs="Segoe UI" w:eastAsia="Segoe UI"/>
                <w:b/>
                <w:color w:val="0F4761"/>
                <w:sz w:val="18"/>
              </w:rPr>
              <w:t>Needed by</w:t>
            </w:r>
          </w:p>
        </w:tc>
      </w:tr>
      <w:tr>
        <w:tc>
          <w:tcPr>
            <w:tcW w:type="dxa" w:w="5213"/>
          </w:tcPr>
          <w:p>
            <w:pPr>
              <w:spacing w:after="20"/>
            </w:pPr>
            <w:r>
              <w:rPr>
                <w:rFonts w:ascii="Segoe UI" w:hAnsi="Segoe UI" w:cs="Segoe UI" w:eastAsia="Segoe UI"/>
                <w:color w:val="101820"/>
                <w:sz w:val="18"/>
              </w:rPr>
              <w:t>Named project manager, key users (one per team) and Accounting Manager, available at least 50% during discovery, UAT and cutover</w:t>
            </w:r>
          </w:p>
        </w:tc>
        <w:tc>
          <w:tcPr>
            <w:tcW w:type="dxa" w:w="3801"/>
          </w:tcPr>
          <w:p>
            <w:pPr>
              <w:spacing w:after="20"/>
            </w:pPr>
            <w:r>
              <w:rPr>
                <w:rFonts w:ascii="Segoe UI" w:hAnsi="Segoe UI" w:cs="Segoe UI" w:eastAsia="Segoe UI"/>
                <w:color w:val="101820"/>
                <w:sz w:val="18"/>
              </w:rPr>
              <w:t>Week 1</w:t>
            </w:r>
          </w:p>
        </w:tc>
      </w:tr>
      <w:tr>
        <w:tc>
          <w:tcPr>
            <w:tcW w:type="dxa" w:w="5213"/>
          </w:tcPr>
          <w:p>
            <w:pPr>
              <w:spacing w:after="20"/>
            </w:pPr>
            <w:r>
              <w:rPr>
                <w:rFonts w:ascii="Segoe UI" w:hAnsi="Segoe UI" w:cs="Segoe UI" w:eastAsia="Segoe UI"/>
                <w:color w:val="101820"/>
                <w:sz w:val="18"/>
              </w:rPr>
              <w:t>Sponsor with authority to approve scope, changes and sign-offs</w:t>
            </w:r>
          </w:p>
        </w:tc>
        <w:tc>
          <w:tcPr>
            <w:tcW w:type="dxa" w:w="3801"/>
          </w:tcPr>
          <w:p>
            <w:pPr>
              <w:spacing w:after="20"/>
            </w:pPr>
            <w:r>
              <w:rPr>
                <w:rFonts w:ascii="Segoe UI" w:hAnsi="Segoe UI" w:cs="Segoe UI" w:eastAsia="Segoe UI"/>
                <w:color w:val="101820"/>
                <w:sz w:val="18"/>
              </w:rPr>
              <w:t>Week 1</w:t>
            </w:r>
          </w:p>
        </w:tc>
      </w:tr>
      <w:tr>
        <w:tc>
          <w:tcPr>
            <w:tcW w:type="dxa" w:w="5213"/>
          </w:tcPr>
          <w:p>
            <w:pPr>
              <w:spacing w:after="20"/>
            </w:pPr>
            <w:r>
              <w:rPr>
                <w:rFonts w:ascii="Segoe UI" w:hAnsi="Segoe UI" w:cs="Segoe UI" w:eastAsia="Segoe UI"/>
                <w:color w:val="101820"/>
                <w:sz w:val="18"/>
              </w:rPr>
              <w:t>Insurer list and agreements, commission and referrer rates, product list</w:t>
            </w:r>
          </w:p>
        </w:tc>
        <w:tc>
          <w:tcPr>
            <w:tcW w:type="dxa" w:w="3801"/>
          </w:tcPr>
          <w:p>
            <w:pPr>
              <w:spacing w:after="20"/>
            </w:pPr>
            <w:r>
              <w:rPr>
                <w:rFonts w:ascii="Segoe UI" w:hAnsi="Segoe UI" w:cs="Segoe UI" w:eastAsia="Segoe UI"/>
                <w:color w:val="101820"/>
                <w:sz w:val="18"/>
              </w:rPr>
              <w:t>End of discovery</w:t>
            </w:r>
          </w:p>
        </w:tc>
      </w:tr>
      <w:tr>
        <w:tc>
          <w:tcPr>
            <w:tcW w:type="dxa" w:w="5213"/>
          </w:tcPr>
          <w:p>
            <w:pPr>
              <w:spacing w:after="20"/>
            </w:pPr>
            <w:r>
              <w:rPr>
                <w:rFonts w:ascii="Segoe UI" w:hAnsi="Segoe UI" w:cs="Segoe UI" w:eastAsia="Segoe UI"/>
                <w:color w:val="101820"/>
                <w:sz w:val="18"/>
              </w:rPr>
              <w:t>Chart of accounts and the accountant's mapping decisions</w:t>
            </w:r>
          </w:p>
        </w:tc>
        <w:tc>
          <w:tcPr>
            <w:tcW w:type="dxa" w:w="3801"/>
          </w:tcPr>
          <w:p>
            <w:pPr>
              <w:spacing w:after="20"/>
            </w:pPr>
            <w:r>
              <w:rPr>
                <w:rFonts w:ascii="Segoe UI" w:hAnsi="Segoe UI" w:cs="Segoe UI" w:eastAsia="Segoe UI"/>
                <w:color w:val="101820"/>
                <w:sz w:val="18"/>
              </w:rPr>
              <w:t>Start of ledger configuration</w:t>
            </w:r>
          </w:p>
        </w:tc>
      </w:tr>
      <w:tr>
        <w:tc>
          <w:tcPr>
            <w:tcW w:type="dxa" w:w="5213"/>
          </w:tcPr>
          <w:p>
            <w:pPr>
              <w:spacing w:after="20"/>
            </w:pPr>
            <w:r>
              <w:rPr>
                <w:rFonts w:ascii="Segoe UI" w:hAnsi="Segoe UI" w:cs="Segoe UI" w:eastAsia="Segoe UI"/>
                <w:color w:val="101820"/>
                <w:sz w:val="18"/>
              </w:rPr>
              <w:t>BIR Authority to Print or registered series for official receipts and invoices; last numbers used</w:t>
            </w:r>
          </w:p>
        </w:tc>
        <w:tc>
          <w:tcPr>
            <w:tcW w:type="dxa" w:w="3801"/>
          </w:tcPr>
          <w:p>
            <w:pPr>
              <w:spacing w:after="20"/>
            </w:pPr>
            <w:r>
              <w:rPr>
                <w:rFonts w:ascii="Segoe UI" w:hAnsi="Segoe UI" w:cs="Segoe UI" w:eastAsia="Segoe UI"/>
                <w:color w:val="101820"/>
                <w:sz w:val="18"/>
              </w:rPr>
              <w:t>Configuration of document numbering</w:t>
            </w:r>
          </w:p>
        </w:tc>
      </w:tr>
      <w:tr>
        <w:tc>
          <w:tcPr>
            <w:tcW w:type="dxa" w:w="5213"/>
          </w:tcPr>
          <w:p>
            <w:pPr>
              <w:spacing w:after="20"/>
            </w:pPr>
            <w:r>
              <w:rPr>
                <w:rFonts w:ascii="Segoe UI" w:hAnsi="Segoe UI" w:cs="Segoe UI" w:eastAsia="Segoe UI"/>
                <w:color w:val="101820"/>
                <w:sz w:val="18"/>
              </w:rPr>
              <w:t>SMTP mailbox and credentials; payment gateway merchant account and credentials</w:t>
            </w:r>
          </w:p>
        </w:tc>
        <w:tc>
          <w:tcPr>
            <w:tcW w:type="dxa" w:w="3801"/>
          </w:tcPr>
          <w:p>
            <w:pPr>
              <w:spacing w:after="20"/>
            </w:pPr>
            <w:r>
              <w:rPr>
                <w:rFonts w:ascii="Segoe UI" w:hAnsi="Segoe UI" w:cs="Segoe UI" w:eastAsia="Segoe UI"/>
                <w:color w:val="101820"/>
                <w:sz w:val="18"/>
              </w:rPr>
              <w:t>Integrations phase</w:t>
            </w:r>
          </w:p>
        </w:tc>
      </w:tr>
      <w:tr>
        <w:tc>
          <w:tcPr>
            <w:tcW w:type="dxa" w:w="5213"/>
          </w:tcPr>
          <w:p>
            <w:pPr>
              <w:spacing w:after="20"/>
            </w:pPr>
            <w:r>
              <w:rPr>
                <w:rFonts w:ascii="Segoe UI" w:hAnsi="Segoe UI" w:cs="Segoe UI" w:eastAsia="Segoe UI"/>
                <w:color w:val="101820"/>
                <w:sz w:val="18"/>
              </w:rPr>
              <w:t>One recent statement export per bank account</w:t>
            </w:r>
          </w:p>
        </w:tc>
        <w:tc>
          <w:tcPr>
            <w:tcW w:type="dxa" w:w="3801"/>
          </w:tcPr>
          <w:p>
            <w:pPr>
              <w:spacing w:after="20"/>
            </w:pPr>
            <w:r>
              <w:rPr>
                <w:rFonts w:ascii="Segoe UI" w:hAnsi="Segoe UI" w:cs="Segoe UI" w:eastAsia="Segoe UI"/>
                <w:color w:val="101820"/>
                <w:sz w:val="18"/>
              </w:rPr>
              <w:t>Integrations phase</w:t>
            </w:r>
          </w:p>
        </w:tc>
      </w:tr>
      <w:tr>
        <w:tc>
          <w:tcPr>
            <w:tcW w:type="dxa" w:w="5213"/>
          </w:tcPr>
          <w:p>
            <w:pPr>
              <w:spacing w:after="20"/>
            </w:pPr>
            <w:r>
              <w:rPr>
                <w:rFonts w:ascii="Segoe UI" w:hAnsi="Segoe UI" w:cs="Segoe UI" w:eastAsia="Segoe UI"/>
                <w:color w:val="101820"/>
                <w:sz w:val="18"/>
              </w:rPr>
              <w:t>In-force policy, open receivable and trial balance extracts in the templates</w:t>
            </w:r>
          </w:p>
        </w:tc>
        <w:tc>
          <w:tcPr>
            <w:tcW w:type="dxa" w:w="3801"/>
          </w:tcPr>
          <w:p>
            <w:pPr>
              <w:spacing w:after="20"/>
            </w:pPr>
            <w:r>
              <w:rPr>
                <w:rFonts w:ascii="Segoe UI" w:hAnsi="Segoe UI" w:cs="Segoe UI" w:eastAsia="Segoe UI"/>
                <w:color w:val="101820"/>
                <w:sz w:val="18"/>
              </w:rPr>
              <w:t>Each mock load and cutover</w:t>
            </w:r>
          </w:p>
        </w:tc>
      </w:tr>
      <w:tr>
        <w:tc>
          <w:tcPr>
            <w:tcW w:type="dxa" w:w="5213"/>
          </w:tcPr>
          <w:p>
            <w:pPr>
              <w:spacing w:after="20"/>
            </w:pPr>
            <w:r>
              <w:rPr>
                <w:rFonts w:ascii="Segoe UI" w:hAnsi="Segoe UI" w:cs="Segoe UI" w:eastAsia="Segoe UI"/>
                <w:color w:val="101820"/>
                <w:sz w:val="18"/>
              </w:rPr>
              <w:t>User list with roles and e-mail addresses</w:t>
            </w:r>
          </w:p>
        </w:tc>
        <w:tc>
          <w:tcPr>
            <w:tcW w:type="dxa" w:w="3801"/>
          </w:tcPr>
          <w:p>
            <w:pPr>
              <w:spacing w:after="20"/>
            </w:pPr>
            <w:r>
              <w:rPr>
                <w:rFonts w:ascii="Segoe UI" w:hAnsi="Segoe UI" w:cs="Segoe UI" w:eastAsia="Segoe UI"/>
                <w:color w:val="101820"/>
                <w:sz w:val="18"/>
              </w:rPr>
              <w:t>Two weeks before training</w:t>
            </w:r>
          </w:p>
        </w:tc>
      </w:tr>
      <w:tr>
        <w:tc>
          <w:tcPr>
            <w:tcW w:type="dxa" w:w="5213"/>
          </w:tcPr>
          <w:p>
            <w:pPr>
              <w:spacing w:after="20"/>
            </w:pPr>
            <w:r>
              <w:rPr>
                <w:rFonts w:ascii="Segoe UI" w:hAnsi="Segoe UI" w:cs="Segoe UI" w:eastAsia="Segoe UI"/>
                <w:color w:val="101820"/>
                <w:sz w:val="18"/>
              </w:rPr>
              <w:t>Training rooms, devices and attendance</w:t>
            </w:r>
          </w:p>
        </w:tc>
        <w:tc>
          <w:tcPr>
            <w:tcW w:type="dxa" w:w="3801"/>
          </w:tcPr>
          <w:p>
            <w:pPr>
              <w:spacing w:after="20"/>
            </w:pPr>
            <w:r>
              <w:rPr>
                <w:rFonts w:ascii="Segoe UI" w:hAnsi="Segoe UI" w:cs="Segoe UI" w:eastAsia="Segoe UI"/>
                <w:color w:val="101820"/>
                <w:sz w:val="18"/>
              </w:rPr>
              <w:t>Training phase</w:t>
            </w:r>
          </w:p>
        </w:tc>
      </w:tr>
      <w:tr>
        <w:tc>
          <w:tcPr>
            <w:tcW w:type="dxa" w:w="5213"/>
          </w:tcPr>
          <w:p>
            <w:pPr>
              <w:spacing w:after="20"/>
            </w:pPr>
            <w:r>
              <w:rPr>
                <w:rFonts w:ascii="Segoe UI" w:hAnsi="Segoe UI" w:cs="Segoe UI" w:eastAsia="Segoe UI"/>
                <w:color w:val="101820"/>
                <w:sz w:val="18"/>
              </w:rPr>
              <w:t>UAT testers and sign-off authority</w:t>
            </w:r>
          </w:p>
        </w:tc>
        <w:tc>
          <w:tcPr>
            <w:tcW w:type="dxa" w:w="3801"/>
          </w:tcPr>
          <w:p>
            <w:pPr>
              <w:spacing w:after="20"/>
            </w:pPr>
            <w:r>
              <w:rPr>
                <w:rFonts w:ascii="Segoe UI" w:hAnsi="Segoe UI" w:cs="Segoe UI" w:eastAsia="Segoe UI"/>
                <w:color w:val="101820"/>
                <w:sz w:val="18"/>
              </w:rPr>
              <w:t>UAT phase</w:t>
            </w:r>
          </w:p>
        </w:tc>
      </w:tr>
      <w:tr>
        <w:tc>
          <w:tcPr>
            <w:tcW w:type="dxa" w:w="5213"/>
          </w:tcPr>
          <w:p>
            <w:pPr>
              <w:spacing w:after="20"/>
            </w:pPr>
            <w:r>
              <w:rPr>
                <w:rFonts w:ascii="Segoe UI" w:hAnsi="Segoe UI" w:cs="Segoe UI" w:eastAsia="Segoe UI"/>
                <w:color w:val="101820"/>
                <w:sz w:val="18"/>
              </w:rPr>
              <w:t>Freeze of the old system and final extract at cutover</w:t>
            </w:r>
          </w:p>
        </w:tc>
        <w:tc>
          <w:tcPr>
            <w:tcW w:type="dxa" w:w="3801"/>
          </w:tcPr>
          <w:p>
            <w:pPr>
              <w:spacing w:after="20"/>
            </w:pPr>
            <w:r>
              <w:rPr>
                <w:rFonts w:ascii="Segoe UI" w:hAnsi="Segoe UI" w:cs="Segoe UI" w:eastAsia="Segoe UI"/>
                <w:color w:val="101820"/>
                <w:sz w:val="18"/>
              </w:rPr>
              <w:t>Cutover</w:t>
            </w:r>
          </w:p>
        </w:tc>
      </w:tr>
      <w:tr>
        <w:tc>
          <w:tcPr>
            <w:tcW w:type="dxa" w:w="5213"/>
          </w:tcPr>
          <w:p>
            <w:pPr>
              <w:spacing w:after="20"/>
            </w:pPr>
            <w:r>
              <w:rPr>
                <w:rFonts w:ascii="Segoe UI" w:hAnsi="Segoe UI" w:cs="Segoe UI" w:eastAsia="Segoe UI"/>
                <w:color w:val="101820"/>
                <w:sz w:val="18"/>
              </w:rPr>
              <w:t>Decisions on the fit-gap register and change requests within 3 Business Days</w:t>
            </w:r>
          </w:p>
        </w:tc>
        <w:tc>
          <w:tcPr>
            <w:tcW w:type="dxa" w:w="3801"/>
          </w:tcPr>
          <w:p>
            <w:pPr>
              <w:spacing w:after="20"/>
            </w:pPr>
            <w:r>
              <w:rPr>
                <w:rFonts w:ascii="Segoe UI" w:hAnsi="Segoe UI" w:cs="Segoe UI" w:eastAsia="Segoe UI"/>
                <w:color w:val="101820"/>
                <w:sz w:val="18"/>
              </w:rPr>
              <w:t>Throughout</w:t>
            </w:r>
          </w:p>
        </w:tc>
      </w:tr>
      <w:tr>
        <w:tc>
          <w:tcPr>
            <w:tcW w:type="dxa" w:w="5213"/>
          </w:tcPr>
          <w:p>
            <w:pPr>
              <w:spacing w:after="20"/>
            </w:pPr>
            <w:r>
              <w:rPr>
                <w:rFonts w:ascii="Segoe UI" w:hAnsi="Segoe UI" w:cs="Segoe UI" w:eastAsia="Segoe UI"/>
                <w:color w:val="101820"/>
                <w:sz w:val="18"/>
              </w:rPr>
              <w:t>Review of tax codes, rates and BIR working papers by the Client's tax adviser</w:t>
            </w:r>
          </w:p>
        </w:tc>
        <w:tc>
          <w:tcPr>
            <w:tcW w:type="dxa" w:w="3801"/>
          </w:tcPr>
          <w:p>
            <w:pPr>
              <w:spacing w:after="20"/>
            </w:pPr>
            <w:r>
              <w:rPr>
                <w:rFonts w:ascii="Segoe UI" w:hAnsi="Segoe UI" w:cs="Segoe UI" w:eastAsia="Segoe UI"/>
                <w:color w:val="101820"/>
                <w:sz w:val="18"/>
              </w:rPr>
              <w:t>Configuration phase</w:t>
            </w:r>
          </w:p>
        </w:tc>
      </w:tr>
    </w:tbl>
    <w:p>
      <w:pPr>
        <w:pStyle w:val="Heading1"/>
        <w:pageBreakBefore/>
      </w:pPr>
      <w:r>
        <w:rPr>
          <w:rFonts w:ascii="Segoe UI" w:hAnsi="Segoe UI" w:cs="Segoe UI" w:eastAsia="Segoe UI"/>
          <w:b/>
          <w:color w:val="0F4761"/>
          <w:sz w:val="32"/>
        </w:rPr>
        <w:t>8.  Assumptions</w:t>
      </w:r>
    </w:p>
    <w:p>
      <w:pPr>
        <w:spacing w:after="60"/>
        <w:numPr>
          <w:ilvl w:val="0"/>
          <w:numId w:val="6"/>
        </w:numPr>
      </w:pPr>
      <w:r>
        <w:rPr>
          <w:rFonts w:ascii="Segoe UI" w:hAnsi="Segoe UI" w:cs="Segoe UI" w:eastAsia="Segoe UI"/>
          <w:color w:val="101820"/>
          <w:sz w:val="21"/>
        </w:rPr>
        <w:t>The implementation is OOTB: the Client uses the delivered screens, workflows, reports and printed documents.</w:t>
      </w:r>
    </w:p>
    <w:p>
      <w:pPr>
        <w:spacing w:after="60"/>
        <w:numPr>
          <w:ilvl w:val="0"/>
          <w:numId w:val="6"/>
        </w:numPr>
      </w:pPr>
      <w:r>
        <w:rPr>
          <w:rFonts w:ascii="Segoe UI" w:hAnsi="Segoe UI" w:cs="Segoe UI" w:eastAsia="Segoe UI"/>
          <w:color w:val="101820"/>
          <w:sz w:val="21"/>
        </w:rPr>
        <w:t>The Client provides complete and cleansed data in the delivered templates by the dates in the plan.</w:t>
      </w:r>
    </w:p>
    <w:p>
      <w:pPr>
        <w:spacing w:after="60"/>
        <w:numPr>
          <w:ilvl w:val="0"/>
          <w:numId w:val="6"/>
        </w:numPr>
      </w:pPr>
      <w:r>
        <w:rPr>
          <w:rFonts w:ascii="Segoe UI" w:hAnsi="Segoe UI" w:cs="Segoe UI" w:eastAsia="Segoe UI"/>
          <w:color w:val="101820"/>
          <w:sz w:val="21"/>
        </w:rPr>
        <w:t>Decisions in discovery are made within 3 Business Days of each workshop.</w:t>
      </w:r>
    </w:p>
    <w:p>
      <w:pPr>
        <w:spacing w:after="60"/>
        <w:numPr>
          <w:ilvl w:val="0"/>
          <w:numId w:val="6"/>
        </w:numPr>
      </w:pPr>
      <w:r>
        <w:rPr>
          <w:rFonts w:ascii="Segoe UI" w:hAnsi="Segoe UI" w:cs="Segoe UI" w:eastAsia="Segoe UI"/>
          <w:color w:val="101820"/>
          <w:sz w:val="21"/>
        </w:rPr>
        <w:t>Workshops and training are delivered on site in Metro Manila or online, in English, during Philippine business hours. On-site work outside Metro Manila is billed with travel at cost.</w:t>
      </w:r>
    </w:p>
    <w:p>
      <w:pPr>
        <w:spacing w:after="60"/>
        <w:numPr>
          <w:ilvl w:val="0"/>
          <w:numId w:val="6"/>
        </w:numPr>
      </w:pPr>
      <w:r>
        <w:rPr>
          <w:rFonts w:ascii="Segoe UI" w:hAnsi="Segoe UI" w:cs="Segoe UI" w:eastAsia="Segoe UI"/>
          <w:color w:val="101820"/>
          <w:sz w:val="21"/>
        </w:rPr>
        <w:t>One legal entity and one fiscal year are migrated; opening balances are taken at a single go-live date.</w:t>
      </w:r>
    </w:p>
    <w:p>
      <w:pPr>
        <w:spacing w:after="60"/>
        <w:numPr>
          <w:ilvl w:val="0"/>
          <w:numId w:val="6"/>
        </w:numPr>
      </w:pPr>
      <w:r>
        <w:rPr>
          <w:rFonts w:ascii="Segoe UI" w:hAnsi="Segoe UI" w:cs="Segoe UI" w:eastAsia="Segoe UI"/>
          <w:color w:val="101820"/>
          <w:sz w:val="21"/>
        </w:rPr>
        <w:t>The Client uses the delivered roles: System Administrator, Sales &amp; Marketing, Processing Team, Operations, Claims, Accounting and Accounting Manager.</w:t>
      </w:r>
    </w:p>
    <w:p>
      <w:pPr>
        <w:spacing w:after="60"/>
        <w:numPr>
          <w:ilvl w:val="0"/>
          <w:numId w:val="6"/>
        </w:numPr>
      </w:pPr>
      <w:r>
        <w:rPr>
          <w:rFonts w:ascii="Segoe UI" w:hAnsi="Segoe UI" w:cs="Segoe UI" w:eastAsia="Segoe UI"/>
          <w:color w:val="101820"/>
          <w:sz w:val="21"/>
        </w:rPr>
        <w:t>Testing uses the test environment; production is used only after the go decision.</w:t>
      </w:r>
    </w:p>
    <w:p>
      <w:pPr>
        <w:spacing w:after="60"/>
        <w:numPr>
          <w:ilvl w:val="0"/>
          <w:numId w:val="6"/>
        </w:numPr>
      </w:pPr>
      <w:r>
        <w:rPr>
          <w:rFonts w:ascii="Segoe UI" w:hAnsi="Segoe UI" w:cs="Segoe UI" w:eastAsia="Segoe UI"/>
          <w:color w:val="101820"/>
          <w:sz w:val="21"/>
        </w:rPr>
        <w:t>An import file holds at most 20,000 data rows; larger books are loaded in several files.</w:t>
      </w:r>
    </w:p>
    <w:p>
      <w:pPr>
        <w:spacing w:after="60"/>
        <w:numPr>
          <w:ilvl w:val="0"/>
          <w:numId w:val="6"/>
        </w:numPr>
      </w:pPr>
      <w:r>
        <w:rPr>
          <w:rFonts w:ascii="Segoe UI" w:hAnsi="Segoe UI" w:cs="Segoe UI" w:eastAsia="Segoe UI"/>
          <w:color w:val="101820"/>
          <w:sz w:val="21"/>
        </w:rPr>
        <w:t>The man-days in the fee are estimates for the OOTB scope of this SOW. Effort caused by a change of scope or by late Client dependencies is a Change Request.</w:t>
      </w:r>
    </w:p>
    <w:p>
      <w:pPr>
        <w:pStyle w:val="Heading1"/>
        <w:pageBreakBefore/>
      </w:pPr>
      <w:r>
        <w:rPr>
          <w:rFonts w:ascii="Segoe UI" w:hAnsi="Segoe UI" w:cs="Segoe UI" w:eastAsia="Segoe UI"/>
          <w:b/>
          <w:color w:val="0F4761"/>
          <w:sz w:val="32"/>
        </w:rPr>
        <w:t>9.  Exclusions</w:t>
      </w:r>
    </w:p>
    <w:p>
      <w:pPr>
        <w:spacing w:after="120" w:line="276" w:lineRule="auto"/>
      </w:pPr>
      <w:r>
        <w:rPr>
          <w:rFonts w:ascii="Segoe UI" w:hAnsi="Segoe UI" w:cs="Segoe UI" w:eastAsia="Segoe UI"/>
          <w:color w:val="101820"/>
          <w:sz w:val="21"/>
        </w:rPr>
        <w:t>The following are outside this SOW and can be quoted through a Change Request:</w:t>
      </w:r>
    </w:p>
    <w:p>
      <w:pPr>
        <w:spacing w:after="60"/>
        <w:numPr>
          <w:ilvl w:val="0"/>
          <w:numId w:val="7"/>
        </w:numPr>
      </w:pPr>
      <w:r>
        <w:rPr>
          <w:rFonts w:ascii="Segoe UI" w:hAnsi="Segoe UI" w:cs="Segoe UI" w:eastAsia="Segoe UI"/>
          <w:color w:val="101820"/>
          <w:sz w:val="21"/>
        </w:rPr>
        <w:t>Customisation of screens, workflows, reports, printed documents or the database, and new reports.</w:t>
      </w:r>
    </w:p>
    <w:p>
      <w:pPr>
        <w:spacing w:after="60"/>
        <w:numPr>
          <w:ilvl w:val="0"/>
          <w:numId w:val="7"/>
        </w:numPr>
      </w:pPr>
      <w:r>
        <w:rPr>
          <w:rFonts w:ascii="Segoe UI" w:hAnsi="Segoe UI" w:cs="Segoe UI" w:eastAsia="Segoe UI"/>
          <w:color w:val="101820"/>
          <w:sz w:val="21"/>
        </w:rPr>
        <w:t>New integrations, for example with insurer systems, core banking, bank payment file generation, SMS gateways, accounting packages, BIR eFPS or eBIRForms, LTO or IC systems, and payment gateways other than PayMongo and Dragonpay.</w:t>
      </w:r>
    </w:p>
    <w:p>
      <w:pPr>
        <w:spacing w:after="60"/>
        <w:numPr>
          <w:ilvl w:val="0"/>
          <w:numId w:val="7"/>
        </w:numPr>
      </w:pPr>
      <w:r>
        <w:rPr>
          <w:rFonts w:ascii="Segoe UI" w:hAnsi="Segoe UI" w:cs="Segoe UI" w:eastAsia="Segoe UI"/>
          <w:color w:val="101820"/>
          <w:sz w:val="21"/>
        </w:rPr>
        <w:t>Data cleansing, de-duplication and enrichment of the Client's data, and extraction from the old system (data migration beyond the standard templates is an optional service).</w:t>
      </w:r>
    </w:p>
    <w:p>
      <w:pPr>
        <w:spacing w:after="60"/>
        <w:numPr>
          <w:ilvl w:val="0"/>
          <w:numId w:val="7"/>
        </w:numPr>
      </w:pPr>
      <w:r>
        <w:rPr>
          <w:rFonts w:ascii="Segoe UI" w:hAnsi="Segoe UI" w:cs="Segoe UI" w:eastAsia="Segoe UI"/>
          <w:color w:val="101820"/>
          <w:sz w:val="21"/>
        </w:rPr>
        <w:t>Migration of closed or expired policies, settled claims, paid receivables, transaction history and documents, and more than one fiscal year of balances.</w:t>
      </w:r>
    </w:p>
    <w:p>
      <w:pPr>
        <w:spacing w:after="60"/>
        <w:numPr>
          <w:ilvl w:val="0"/>
          <w:numId w:val="7"/>
        </w:numPr>
      </w:pPr>
      <w:r>
        <w:rPr>
          <w:rFonts w:ascii="Segoe UI" w:hAnsi="Segoe UI" w:cs="Segoe UI" w:eastAsia="Segoe UI"/>
          <w:color w:val="101820"/>
          <w:sz w:val="21"/>
        </w:rPr>
        <w:t>Hardware, end-user devices, networks, browsers and office software.</w:t>
      </w:r>
    </w:p>
    <w:p>
      <w:pPr>
        <w:spacing w:after="60"/>
        <w:numPr>
          <w:ilvl w:val="0"/>
          <w:numId w:val="7"/>
        </w:numPr>
      </w:pPr>
      <w:r>
        <w:rPr>
          <w:rFonts w:ascii="Segoe UI" w:hAnsi="Segoe UI" w:cs="Segoe UI" w:eastAsia="Segoe UI"/>
          <w:color w:val="101820"/>
          <w:sz w:val="21"/>
        </w:rPr>
        <w:t>Third-party licences and fees: cloud subscriptions beyond the agreed hosting, mailboxes, payment gateway merchant fees, certificates for Client-owned domains.</w:t>
      </w:r>
    </w:p>
    <w:p>
      <w:pPr>
        <w:spacing w:after="60"/>
        <w:numPr>
          <w:ilvl w:val="0"/>
          <w:numId w:val="7"/>
        </w:numPr>
      </w:pPr>
      <w:r>
        <w:rPr>
          <w:rFonts w:ascii="Segoe UI" w:hAnsi="Segoe UI" w:cs="Segoe UI" w:eastAsia="Segoe UI"/>
          <w:color w:val="101820"/>
          <w:sz w:val="21"/>
        </w:rPr>
        <w:t>Regulatory filings and registrations: BIR returns and alphalists, Computerized Accounting System registration, Authority to Print, IC reports, NPC registration, AMLC reports.</w:t>
      </w:r>
    </w:p>
    <w:p>
      <w:pPr>
        <w:spacing w:after="60"/>
        <w:numPr>
          <w:ilvl w:val="0"/>
          <w:numId w:val="7"/>
        </w:numPr>
      </w:pPr>
      <w:r>
        <w:rPr>
          <w:rFonts w:ascii="Segoe UI" w:hAnsi="Segoe UI" w:cs="Segoe UI" w:eastAsia="Segoe UI"/>
          <w:color w:val="101820"/>
          <w:sz w:val="21"/>
        </w:rPr>
        <w:t>Tax, legal, actuarial or audit advice.</w:t>
      </w:r>
    </w:p>
    <w:p>
      <w:pPr>
        <w:spacing w:after="60"/>
        <w:numPr>
          <w:ilvl w:val="0"/>
          <w:numId w:val="7"/>
        </w:numPr>
      </w:pPr>
      <w:r>
        <w:rPr>
          <w:rFonts w:ascii="Segoe UI" w:hAnsi="Segoe UI" w:cs="Segoe UI" w:eastAsia="Segoe UI"/>
          <w:color w:val="101820"/>
          <w:sz w:val="21"/>
        </w:rPr>
        <w:t>Translation of the screens.</w:t>
      </w:r>
    </w:p>
    <w:p>
      <w:pPr>
        <w:spacing w:after="60"/>
        <w:numPr>
          <w:ilvl w:val="0"/>
          <w:numId w:val="7"/>
        </w:numPr>
      </w:pPr>
      <w:r>
        <w:rPr>
          <w:rFonts w:ascii="Segoe UI" w:hAnsi="Segoe UI" w:cs="Segoe UI" w:eastAsia="Segoe UI"/>
          <w:color w:val="101820"/>
          <w:sz w:val="21"/>
        </w:rPr>
        <w:t>Training beyond the included days and training of users added after go-live.</w:t>
      </w:r>
    </w:p>
    <w:p>
      <w:pPr>
        <w:spacing w:after="60"/>
        <w:numPr>
          <w:ilvl w:val="0"/>
          <w:numId w:val="7"/>
        </w:numPr>
      </w:pPr>
      <w:r>
        <w:rPr>
          <w:rFonts w:ascii="Segoe UI" w:hAnsi="Segoe UI" w:cs="Segoe UI" w:eastAsia="Segoe UI"/>
          <w:color w:val="101820"/>
          <w:sz w:val="21"/>
        </w:rPr>
        <w:t>Support after hypercare, which is covered by the Annual Maintenance and Support Agreement or the Subscription.</w:t>
      </w:r>
    </w:p>
    <w:p>
      <w:pPr>
        <w:pStyle w:val="Heading1"/>
        <w:pageBreakBefore/>
      </w:pPr>
      <w:r>
        <w:rPr>
          <w:rFonts w:ascii="Segoe UI" w:hAnsi="Segoe UI" w:cs="Segoe UI" w:eastAsia="Segoe UI"/>
          <w:b/>
          <w:color w:val="0F4761"/>
          <w:sz w:val="32"/>
        </w:rPr>
        <w:t>10.  Timeline by size</w:t>
      </w:r>
    </w:p>
    <w:p>
      <w:pPr>
        <w:pStyle w:val="Heading2"/>
      </w:pPr>
      <w:r>
        <w:rPr>
          <w:rFonts w:ascii="Segoe UI" w:hAnsi="Segoe UI" w:cs="Segoe UI" w:eastAsia="Segoe UI"/>
          <w:b/>
          <w:color w:val="0F4761"/>
          <w:sz w:val="26"/>
        </w:rPr>
        <w:t>10.1  Durations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134"/>
        <w:gridCol w:w="1787"/>
        <w:gridCol w:w="3207"/>
        <w:gridCol w:w="2886"/>
      </w:tblGrid>
      <w:tr>
        <w:trPr>
          <w:tblHeader w:val="true"/>
        </w:trPr>
        <w:tc>
          <w:tcPr>
            <w:tcW w:type="dxa" w:w="1134"/>
            <w:shd w:val="clear" w:color="auto" w:fill="DCE9F7"/>
          </w:tcPr>
          <w:p>
            <w:pPr>
              <w:spacing w:after="20"/>
            </w:pPr>
            <w:r>
              <w:rPr>
                <w:rFonts w:ascii="Segoe UI" w:hAnsi="Segoe UI" w:cs="Segoe UI" w:eastAsia="Segoe UI"/>
                <w:b/>
                <w:color w:val="0F4761"/>
                <w:sz w:val="18"/>
              </w:rPr>
              <w:t>Size</w:t>
            </w:r>
          </w:p>
        </w:tc>
        <w:tc>
          <w:tcPr>
            <w:tcW w:type="dxa" w:w="1787"/>
            <w:shd w:val="clear" w:color="auto" w:fill="DCE9F7"/>
          </w:tcPr>
          <w:p>
            <w:pPr>
              <w:spacing w:after="20"/>
            </w:pPr>
            <w:r>
              <w:rPr>
                <w:rFonts w:ascii="Segoe UI" w:hAnsi="Segoe UI" w:cs="Segoe UI" w:eastAsia="Segoe UI"/>
                <w:b/>
                <w:color w:val="0F4761"/>
                <w:sz w:val="18"/>
              </w:rPr>
              <w:t>Duration to hypercare exit</w:t>
            </w:r>
          </w:p>
        </w:tc>
        <w:tc>
          <w:tcPr>
            <w:tcW w:type="dxa" w:w="3207"/>
            <w:shd w:val="clear" w:color="auto" w:fill="DCE9F7"/>
          </w:tcPr>
          <w:p>
            <w:pPr>
              <w:spacing w:after="20"/>
            </w:pPr>
            <w:r>
              <w:rPr>
                <w:rFonts w:ascii="Segoe UI" w:hAnsi="Segoe UI" w:cs="Segoe UI" w:eastAsia="Segoe UI"/>
                <w:b/>
                <w:color w:val="0F4761"/>
                <w:sz w:val="18"/>
              </w:rPr>
              <w:t>Go-live</w:t>
            </w:r>
          </w:p>
        </w:tc>
        <w:tc>
          <w:tcPr>
            <w:tcW w:type="dxa" w:w="2886"/>
            <w:shd w:val="clear" w:color="auto" w:fill="DCE9F7"/>
          </w:tcPr>
          <w:p>
            <w:pPr>
              <w:spacing w:after="20"/>
            </w:pPr>
            <w:r>
              <w:rPr>
                <w:rFonts w:ascii="Segoe UI" w:hAnsi="Segoe UI" w:cs="Segoe UI" w:eastAsia="Segoe UI"/>
                <w:b/>
                <w:color w:val="0F4761"/>
                <w:sz w:val="18"/>
              </w:rPr>
              <w:t>Hypercare</w:t>
            </w:r>
          </w:p>
        </w:tc>
      </w:tr>
      <w:tr>
        <w:tc>
          <w:tcPr>
            <w:tcW w:type="dxa" w:w="1134"/>
          </w:tcPr>
          <w:p>
            <w:pPr>
              <w:spacing w:after="20"/>
            </w:pPr>
            <w:r>
              <w:rPr>
                <w:rFonts w:ascii="Segoe UI" w:hAnsi="Segoe UI" w:cs="Segoe UI" w:eastAsia="Segoe UI"/>
                <w:color w:val="101820"/>
                <w:sz w:val="18"/>
              </w:rPr>
              <w:t>Small</w:t>
            </w:r>
          </w:p>
        </w:tc>
        <w:tc>
          <w:tcPr>
            <w:tcW w:type="dxa" w:w="1787"/>
          </w:tcPr>
          <w:p>
            <w:pPr>
              <w:spacing w:after="20"/>
            </w:pPr>
            <w:r>
              <w:rPr>
                <w:rFonts w:ascii="Segoe UI" w:hAnsi="Segoe UI" w:cs="Segoe UI" w:eastAsia="Segoe UI"/>
                <w:color w:val="101820"/>
                <w:sz w:val="18"/>
              </w:rPr>
              <w:t>8 weeks</w:t>
            </w:r>
          </w:p>
        </w:tc>
        <w:tc>
          <w:tcPr>
            <w:tcW w:type="dxa" w:w="3207"/>
          </w:tcPr>
          <w:p>
            <w:pPr>
              <w:spacing w:after="20"/>
            </w:pPr>
            <w:r>
              <w:rPr>
                <w:rFonts w:ascii="Segoe UI" w:hAnsi="Segoe UI" w:cs="Segoe UI" w:eastAsia="Segoe UI"/>
                <w:color w:val="101820"/>
                <w:sz w:val="18"/>
              </w:rPr>
              <w:t>Start of week 7</w:t>
            </w:r>
          </w:p>
        </w:tc>
        <w:tc>
          <w:tcPr>
            <w:tcW w:type="dxa" w:w="2886"/>
          </w:tcPr>
          <w:p>
            <w:pPr>
              <w:spacing w:after="20"/>
            </w:pPr>
            <w:r>
              <w:rPr>
                <w:rFonts w:ascii="Segoe UI" w:hAnsi="Segoe UI" w:cs="Segoe UI" w:eastAsia="Segoe UI"/>
                <w:color w:val="101820"/>
                <w:sz w:val="18"/>
              </w:rPr>
              <w:t>Weeks 7 and 8</w:t>
            </w:r>
          </w:p>
        </w:tc>
      </w:tr>
      <w:tr>
        <w:tc>
          <w:tcPr>
            <w:tcW w:type="dxa" w:w="1134"/>
          </w:tcPr>
          <w:p>
            <w:pPr>
              <w:spacing w:after="20"/>
            </w:pPr>
            <w:r>
              <w:rPr>
                <w:rFonts w:ascii="Segoe UI" w:hAnsi="Segoe UI" w:cs="Segoe UI" w:eastAsia="Segoe UI"/>
                <w:color w:val="101820"/>
                <w:sz w:val="18"/>
              </w:rPr>
              <w:t>Medium</w:t>
            </w:r>
          </w:p>
        </w:tc>
        <w:tc>
          <w:tcPr>
            <w:tcW w:type="dxa" w:w="1787"/>
          </w:tcPr>
          <w:p>
            <w:pPr>
              <w:spacing w:after="20"/>
            </w:pPr>
            <w:r>
              <w:rPr>
                <w:rFonts w:ascii="Segoe UI" w:hAnsi="Segoe UI" w:cs="Segoe UI" w:eastAsia="Segoe UI"/>
                <w:color w:val="101820"/>
                <w:sz w:val="18"/>
              </w:rPr>
              <w:t>12 weeks</w:t>
            </w:r>
          </w:p>
        </w:tc>
        <w:tc>
          <w:tcPr>
            <w:tcW w:type="dxa" w:w="3207"/>
          </w:tcPr>
          <w:p>
            <w:pPr>
              <w:spacing w:after="20"/>
            </w:pPr>
            <w:r>
              <w:rPr>
                <w:rFonts w:ascii="Segoe UI" w:hAnsi="Segoe UI" w:cs="Segoe UI" w:eastAsia="Segoe UI"/>
                <w:color w:val="101820"/>
                <w:sz w:val="18"/>
              </w:rPr>
              <w:t>Start of week 10</w:t>
            </w:r>
          </w:p>
        </w:tc>
        <w:tc>
          <w:tcPr>
            <w:tcW w:type="dxa" w:w="2886"/>
          </w:tcPr>
          <w:p>
            <w:pPr>
              <w:spacing w:after="20"/>
            </w:pPr>
            <w:r>
              <w:rPr>
                <w:rFonts w:ascii="Segoe UI" w:hAnsi="Segoe UI" w:cs="Segoe UI" w:eastAsia="Segoe UI"/>
                <w:color w:val="101820"/>
                <w:sz w:val="18"/>
              </w:rPr>
              <w:t>Weeks 10 to 12</w:t>
            </w:r>
          </w:p>
        </w:tc>
      </w:tr>
      <w:tr>
        <w:tc>
          <w:tcPr>
            <w:tcW w:type="dxa" w:w="1134"/>
          </w:tcPr>
          <w:p>
            <w:pPr>
              <w:spacing w:after="20"/>
            </w:pPr>
            <w:r>
              <w:rPr>
                <w:rFonts w:ascii="Segoe UI" w:hAnsi="Segoe UI" w:cs="Segoe UI" w:eastAsia="Segoe UI"/>
                <w:color w:val="101820"/>
                <w:sz w:val="18"/>
              </w:rPr>
              <w:t>Large</w:t>
            </w:r>
          </w:p>
        </w:tc>
        <w:tc>
          <w:tcPr>
            <w:tcW w:type="dxa" w:w="1787"/>
          </w:tcPr>
          <w:p>
            <w:pPr>
              <w:spacing w:after="20"/>
            </w:pPr>
            <w:r>
              <w:rPr>
                <w:rFonts w:ascii="Segoe UI" w:hAnsi="Segoe UI" w:cs="Segoe UI" w:eastAsia="Segoe UI"/>
                <w:color w:val="101820"/>
                <w:sz w:val="18"/>
              </w:rPr>
              <w:t>16 to 20 weeks</w:t>
            </w:r>
          </w:p>
        </w:tc>
        <w:tc>
          <w:tcPr>
            <w:tcW w:type="dxa" w:w="3207"/>
          </w:tcPr>
          <w:p>
            <w:pPr>
              <w:spacing w:after="20"/>
            </w:pPr>
            <w:r>
              <w:rPr>
                <w:rFonts w:ascii="Segoe UI" w:hAnsi="Segoe UI" w:cs="Segoe UI" w:eastAsia="Segoe UI"/>
                <w:color w:val="101820"/>
                <w:sz w:val="18"/>
              </w:rPr>
              <w:t>Start of week 13 (16-week plan) or week 15 (20-week plan)</w:t>
            </w:r>
          </w:p>
        </w:tc>
        <w:tc>
          <w:tcPr>
            <w:tcW w:type="dxa" w:w="2886"/>
          </w:tcPr>
          <w:p>
            <w:pPr>
              <w:spacing w:after="20"/>
            </w:pPr>
            <w:r>
              <w:rPr>
                <w:rFonts w:ascii="Segoe UI" w:hAnsi="Segoe UI" w:cs="Segoe UI" w:eastAsia="Segoe UI"/>
                <w:color w:val="101820"/>
                <w:sz w:val="18"/>
              </w:rPr>
              <w:t>To week 16 or week 20</w:t>
            </w:r>
          </w:p>
        </w:tc>
      </w:tr>
      <w:tr>
        <w:tc>
          <w:tcPr>
            <w:tcW w:type="dxa" w:w="1134"/>
          </w:tcPr>
          <w:p>
            <w:pPr>
              <w:spacing w:after="20"/>
            </w:pPr>
            <w:r>
              <w:rPr>
                <w:rFonts w:ascii="Segoe UI" w:hAnsi="Segoe UI" w:cs="Segoe UI" w:eastAsia="Segoe UI"/>
                <w:color w:val="101820"/>
                <w:sz w:val="18"/>
              </w:rPr>
              <w:t>Enterprise</w:t>
            </w:r>
          </w:p>
        </w:tc>
        <w:tc>
          <w:tcPr>
            <w:tcW w:type="dxa" w:w="1787"/>
          </w:tcPr>
          <w:p>
            <w:pPr>
              <w:spacing w:after="20"/>
            </w:pPr>
            <w:r>
              <w:rPr>
                <w:rFonts w:ascii="Segoe UI" w:hAnsi="Segoe UI" w:cs="Segoe UI" w:eastAsia="Segoe UI"/>
                <w:color w:val="101820"/>
                <w:sz w:val="18"/>
              </w:rPr>
              <w:t>20 weeks or more</w:t>
            </w:r>
          </w:p>
        </w:tc>
        <w:tc>
          <w:tcPr>
            <w:tcW w:type="dxa" w:w="3207"/>
          </w:tcPr>
          <w:p>
            <w:pPr>
              <w:spacing w:after="20"/>
            </w:pPr>
            <w:r>
              <w:rPr>
                <w:rFonts w:ascii="Segoe UI" w:hAnsi="Segoe UI" w:cs="Segoe UI" w:eastAsia="Segoe UI"/>
                <w:color w:val="101820"/>
                <w:sz w:val="18"/>
              </w:rPr>
              <w:t>Agreed at mobilisation</w:t>
            </w:r>
          </w:p>
        </w:tc>
        <w:tc>
          <w:tcPr>
            <w:tcW w:type="dxa" w:w="2886"/>
          </w:tcPr>
          <w:p>
            <w:pPr>
              <w:spacing w:after="20"/>
            </w:pPr>
            <w:r>
              <w:rPr>
                <w:rFonts w:ascii="Segoe UI" w:hAnsi="Segoe UI" w:cs="Segoe UI" w:eastAsia="Segoe UI"/>
                <w:color w:val="101820"/>
                <w:sz w:val="18"/>
              </w:rPr>
              <w:t>4 to 6 weeks, or as planned at mobilisation</w:t>
            </w:r>
          </w:p>
        </w:tc>
      </w:tr>
    </w:tbl>
    <w:p>
      <w:pPr>
        <w:spacing w:after="80"/>
      </w:pPr>
    </w:p>
    <w:p>
      <w:pPr>
        <w:spacing w:after="120" w:line="276" w:lineRule="auto"/>
      </w:pPr>
      <w:r>
        <w:rPr>
          <w:rFonts w:ascii="Segoe UI" w:hAnsi="Segoe UI" w:cs="Segoe UI" w:eastAsia="Segoe UI"/>
          <w:color w:val="101820"/>
          <w:sz w:val="21"/>
        </w:rPr>
        <w:t>If the first month-end close falls after the hypercare window, hypercare extends to cover it at no extra charge.</w:t>
      </w:r>
    </w:p>
    <w:p>
      <w:pPr>
        <w:pStyle w:val="Heading2"/>
      </w:pPr>
      <w:r>
        <w:rPr>
          <w:rFonts w:ascii="Segoe UI" w:hAnsi="Segoe UI" w:cs="Segoe UI" w:eastAsia="Segoe UI"/>
          <w:b/>
          <w:color w:val="0F4761"/>
          <w:sz w:val="26"/>
        </w:rPr>
        <w:t>10.2  Key milestones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5382"/>
        <w:gridCol w:w="907"/>
        <w:gridCol w:w="907"/>
        <w:gridCol w:w="1818"/>
      </w:tblGrid>
      <w:tr>
        <w:trPr>
          <w:tblHeader w:val="true"/>
        </w:trPr>
        <w:tc>
          <w:tcPr>
            <w:tcW w:type="dxa" w:w="5382"/>
            <w:shd w:val="clear" w:color="auto" w:fill="DCE9F7"/>
          </w:tcPr>
          <w:p>
            <w:pPr>
              <w:spacing w:after="20"/>
            </w:pPr>
            <w:r>
              <w:rPr>
                <w:rFonts w:ascii="Segoe UI" w:hAnsi="Segoe UI" w:cs="Segoe UI" w:eastAsia="Segoe UI"/>
                <w:b/>
                <w:color w:val="0F4761"/>
                <w:sz w:val="18"/>
              </w:rPr>
              <w:t>Milestone</w:t>
            </w:r>
          </w:p>
        </w:tc>
        <w:tc>
          <w:tcPr>
            <w:tcW w:type="dxa" w:w="907"/>
            <w:shd w:val="clear" w:color="auto" w:fill="DCE9F7"/>
          </w:tcPr>
          <w:p>
            <w:pPr>
              <w:spacing w:after="20"/>
            </w:pPr>
            <w:r>
              <w:rPr>
                <w:rFonts w:ascii="Segoe UI" w:hAnsi="Segoe UI" w:cs="Segoe UI" w:eastAsia="Segoe UI"/>
                <w:b/>
                <w:color w:val="0F4761"/>
                <w:sz w:val="18"/>
              </w:rPr>
              <w:t>Small</w:t>
            </w:r>
          </w:p>
        </w:tc>
        <w:tc>
          <w:tcPr>
            <w:tcW w:type="dxa" w:w="907"/>
            <w:shd w:val="clear" w:color="auto" w:fill="DCE9F7"/>
          </w:tcPr>
          <w:p>
            <w:pPr>
              <w:spacing w:after="20"/>
            </w:pPr>
            <w:r>
              <w:rPr>
                <w:rFonts w:ascii="Segoe UI" w:hAnsi="Segoe UI" w:cs="Segoe UI" w:eastAsia="Segoe UI"/>
                <w:b/>
                <w:color w:val="0F4761"/>
                <w:sz w:val="18"/>
              </w:rPr>
              <w:t>Medium</w:t>
            </w:r>
          </w:p>
        </w:tc>
        <w:tc>
          <w:tcPr>
            <w:tcW w:type="dxa" w:w="1818"/>
            <w:shd w:val="clear" w:color="auto" w:fill="DCE9F7"/>
          </w:tcPr>
          <w:p>
            <w:pPr>
              <w:spacing w:after="20"/>
            </w:pPr>
            <w:r>
              <w:rPr>
                <w:rFonts w:ascii="Segoe UI" w:hAnsi="Segoe UI" w:cs="Segoe UI" w:eastAsia="Segoe UI"/>
                <w:b/>
                <w:color w:val="0F4761"/>
                <w:sz w:val="18"/>
              </w:rPr>
              <w:t>Large (20 weeks)</w:t>
            </w:r>
          </w:p>
        </w:tc>
      </w:tr>
      <w:tr>
        <w:tc>
          <w:tcPr>
            <w:tcW w:type="dxa" w:w="5382"/>
          </w:tcPr>
          <w:p>
            <w:pPr>
              <w:spacing w:after="20"/>
            </w:pPr>
            <w:r>
              <w:rPr>
                <w:rFonts w:ascii="Segoe UI" w:hAnsi="Segoe UI" w:cs="Segoe UI" w:eastAsia="Segoe UI"/>
                <w:color w:val="101820"/>
                <w:sz w:val="18"/>
              </w:rPr>
              <w:t>Kick-off held</w:t>
            </w:r>
          </w:p>
        </w:tc>
        <w:tc>
          <w:tcPr>
            <w:tcW w:type="dxa" w:w="907"/>
          </w:tcPr>
          <w:p>
            <w:pPr>
              <w:spacing w:after="20"/>
            </w:pPr>
            <w:r>
              <w:rPr>
                <w:rFonts w:ascii="Segoe UI" w:hAnsi="Segoe UI" w:cs="Segoe UI" w:eastAsia="Segoe UI"/>
                <w:color w:val="101820"/>
                <w:sz w:val="18"/>
              </w:rPr>
              <w:t>Week 1</w:t>
            </w:r>
          </w:p>
        </w:tc>
        <w:tc>
          <w:tcPr>
            <w:tcW w:type="dxa" w:w="907"/>
          </w:tcPr>
          <w:p>
            <w:pPr>
              <w:spacing w:after="20"/>
            </w:pPr>
            <w:r>
              <w:rPr>
                <w:rFonts w:ascii="Segoe UI" w:hAnsi="Segoe UI" w:cs="Segoe UI" w:eastAsia="Segoe UI"/>
                <w:color w:val="101820"/>
                <w:sz w:val="18"/>
              </w:rPr>
              <w:t>Week 1</w:t>
            </w:r>
          </w:p>
        </w:tc>
        <w:tc>
          <w:tcPr>
            <w:tcW w:type="dxa" w:w="1818"/>
          </w:tcPr>
          <w:p>
            <w:pPr>
              <w:spacing w:after="20"/>
            </w:pPr>
            <w:r>
              <w:rPr>
                <w:rFonts w:ascii="Segoe UI" w:hAnsi="Segoe UI" w:cs="Segoe UI" w:eastAsia="Segoe UI"/>
                <w:color w:val="101820"/>
                <w:sz w:val="18"/>
              </w:rPr>
              <w:t>Week 1</w:t>
            </w:r>
          </w:p>
        </w:tc>
      </w:tr>
      <w:tr>
        <w:tc>
          <w:tcPr>
            <w:tcW w:type="dxa" w:w="5382"/>
          </w:tcPr>
          <w:p>
            <w:pPr>
              <w:spacing w:after="20"/>
            </w:pPr>
            <w:r>
              <w:rPr>
                <w:rFonts w:ascii="Segoe UI" w:hAnsi="Segoe UI" w:cs="Segoe UI" w:eastAsia="Segoe UI"/>
                <w:color w:val="101820"/>
                <w:sz w:val="18"/>
              </w:rPr>
              <w:t>Configuration workbook and fit-gap register signed</w:t>
            </w:r>
          </w:p>
        </w:tc>
        <w:tc>
          <w:tcPr>
            <w:tcW w:type="dxa" w:w="907"/>
          </w:tcPr>
          <w:p>
            <w:pPr>
              <w:spacing w:after="20"/>
            </w:pPr>
            <w:r>
              <w:rPr>
                <w:rFonts w:ascii="Segoe UI" w:hAnsi="Segoe UI" w:cs="Segoe UI" w:eastAsia="Segoe UI"/>
                <w:color w:val="101820"/>
                <w:sz w:val="18"/>
              </w:rPr>
              <w:t>Week 2</w:t>
            </w:r>
          </w:p>
        </w:tc>
        <w:tc>
          <w:tcPr>
            <w:tcW w:type="dxa" w:w="907"/>
          </w:tcPr>
          <w:p>
            <w:pPr>
              <w:spacing w:after="20"/>
            </w:pPr>
            <w:r>
              <w:rPr>
                <w:rFonts w:ascii="Segoe UI" w:hAnsi="Segoe UI" w:cs="Segoe UI" w:eastAsia="Segoe UI"/>
                <w:color w:val="101820"/>
                <w:sz w:val="18"/>
              </w:rPr>
              <w:t>Week 3</w:t>
            </w:r>
          </w:p>
        </w:tc>
        <w:tc>
          <w:tcPr>
            <w:tcW w:type="dxa" w:w="1818"/>
          </w:tcPr>
          <w:p>
            <w:pPr>
              <w:spacing w:after="20"/>
            </w:pPr>
            <w:r>
              <w:rPr>
                <w:rFonts w:ascii="Segoe UI" w:hAnsi="Segoe UI" w:cs="Segoe UI" w:eastAsia="Segoe UI"/>
                <w:color w:val="101820"/>
                <w:sz w:val="18"/>
              </w:rPr>
              <w:t>Week 5</w:t>
            </w:r>
          </w:p>
        </w:tc>
      </w:tr>
      <w:tr>
        <w:tc>
          <w:tcPr>
            <w:tcW w:type="dxa" w:w="5382"/>
          </w:tcPr>
          <w:p>
            <w:pPr>
              <w:spacing w:after="20"/>
            </w:pPr>
            <w:r>
              <w:rPr>
                <w:rFonts w:ascii="Segoe UI" w:hAnsi="Segoe UI" w:cs="Segoe UI" w:eastAsia="Segoe UI"/>
                <w:color w:val="101820"/>
                <w:sz w:val="18"/>
              </w:rPr>
              <w:t>Mock load 1 reconciled</w:t>
            </w:r>
          </w:p>
        </w:tc>
        <w:tc>
          <w:tcPr>
            <w:tcW w:type="dxa" w:w="907"/>
          </w:tcPr>
          <w:p>
            <w:pPr>
              <w:spacing w:after="20"/>
            </w:pPr>
            <w:r>
              <w:rPr>
                <w:rFonts w:ascii="Segoe UI" w:hAnsi="Segoe UI" w:cs="Segoe UI" w:eastAsia="Segoe UI"/>
                <w:color w:val="101820"/>
                <w:sz w:val="18"/>
              </w:rPr>
              <w:t>Week 3</w:t>
            </w:r>
          </w:p>
        </w:tc>
        <w:tc>
          <w:tcPr>
            <w:tcW w:type="dxa" w:w="907"/>
          </w:tcPr>
          <w:p>
            <w:pPr>
              <w:spacing w:after="20"/>
            </w:pPr>
            <w:r>
              <w:rPr>
                <w:rFonts w:ascii="Segoe UI" w:hAnsi="Segoe UI" w:cs="Segoe UI" w:eastAsia="Segoe UI"/>
                <w:color w:val="101820"/>
                <w:sz w:val="18"/>
              </w:rPr>
              <w:t>Week 5</w:t>
            </w:r>
          </w:p>
        </w:tc>
        <w:tc>
          <w:tcPr>
            <w:tcW w:type="dxa" w:w="1818"/>
          </w:tcPr>
          <w:p>
            <w:pPr>
              <w:spacing w:after="20"/>
            </w:pPr>
            <w:r>
              <w:rPr>
                <w:rFonts w:ascii="Segoe UI" w:hAnsi="Segoe UI" w:cs="Segoe UI" w:eastAsia="Segoe UI"/>
                <w:color w:val="101820"/>
                <w:sz w:val="18"/>
              </w:rPr>
              <w:t>Week 7</w:t>
            </w:r>
          </w:p>
        </w:tc>
      </w:tr>
      <w:tr>
        <w:tc>
          <w:tcPr>
            <w:tcW w:type="dxa" w:w="5382"/>
          </w:tcPr>
          <w:p>
            <w:pPr>
              <w:spacing w:after="20"/>
            </w:pPr>
            <w:r>
              <w:rPr>
                <w:rFonts w:ascii="Segoe UI" w:hAnsi="Segoe UI" w:cs="Segoe UI" w:eastAsia="Segoe UI"/>
                <w:color w:val="101820"/>
                <w:sz w:val="18"/>
              </w:rPr>
              <w:t>SIT exit report</w:t>
            </w:r>
          </w:p>
        </w:tc>
        <w:tc>
          <w:tcPr>
            <w:tcW w:type="dxa" w:w="907"/>
          </w:tcPr>
          <w:p>
            <w:pPr>
              <w:spacing w:after="20"/>
            </w:pPr>
            <w:r>
              <w:rPr>
                <w:rFonts w:ascii="Segoe UI" w:hAnsi="Segoe UI" w:cs="Segoe UI" w:eastAsia="Segoe UI"/>
                <w:color w:val="101820"/>
                <w:sz w:val="18"/>
              </w:rPr>
              <w:t>Week 4</w:t>
            </w:r>
          </w:p>
        </w:tc>
        <w:tc>
          <w:tcPr>
            <w:tcW w:type="dxa" w:w="907"/>
          </w:tcPr>
          <w:p>
            <w:pPr>
              <w:spacing w:after="20"/>
            </w:pPr>
            <w:r>
              <w:rPr>
                <w:rFonts w:ascii="Segoe UI" w:hAnsi="Segoe UI" w:cs="Segoe UI" w:eastAsia="Segoe UI"/>
                <w:color w:val="101820"/>
                <w:sz w:val="18"/>
              </w:rPr>
              <w:t>Week 7</w:t>
            </w:r>
          </w:p>
        </w:tc>
        <w:tc>
          <w:tcPr>
            <w:tcW w:type="dxa" w:w="1818"/>
          </w:tcPr>
          <w:p>
            <w:pPr>
              <w:spacing w:after="20"/>
            </w:pPr>
            <w:r>
              <w:rPr>
                <w:rFonts w:ascii="Segoe UI" w:hAnsi="Segoe UI" w:cs="Segoe UI" w:eastAsia="Segoe UI"/>
                <w:color w:val="101820"/>
                <w:sz w:val="18"/>
              </w:rPr>
              <w:t>Week 11</w:t>
            </w:r>
          </w:p>
        </w:tc>
      </w:tr>
      <w:tr>
        <w:tc>
          <w:tcPr>
            <w:tcW w:type="dxa" w:w="5382"/>
          </w:tcPr>
          <w:p>
            <w:pPr>
              <w:spacing w:after="20"/>
            </w:pPr>
            <w:r>
              <w:rPr>
                <w:rFonts w:ascii="Segoe UI" w:hAnsi="Segoe UI" w:cs="Segoe UI" w:eastAsia="Segoe UI"/>
                <w:color w:val="101820"/>
                <w:sz w:val="18"/>
              </w:rPr>
              <w:t>UAT sign-off and go decision</w:t>
            </w:r>
          </w:p>
        </w:tc>
        <w:tc>
          <w:tcPr>
            <w:tcW w:type="dxa" w:w="907"/>
          </w:tcPr>
          <w:p>
            <w:pPr>
              <w:spacing w:after="20"/>
            </w:pPr>
            <w:r>
              <w:rPr>
                <w:rFonts w:ascii="Segoe UI" w:hAnsi="Segoe UI" w:cs="Segoe UI" w:eastAsia="Segoe UI"/>
                <w:color w:val="101820"/>
                <w:sz w:val="18"/>
              </w:rPr>
              <w:t>Week 6</w:t>
            </w:r>
          </w:p>
        </w:tc>
        <w:tc>
          <w:tcPr>
            <w:tcW w:type="dxa" w:w="907"/>
          </w:tcPr>
          <w:p>
            <w:pPr>
              <w:spacing w:after="20"/>
            </w:pPr>
            <w:r>
              <w:rPr>
                <w:rFonts w:ascii="Segoe UI" w:hAnsi="Segoe UI" w:cs="Segoe UI" w:eastAsia="Segoe UI"/>
                <w:color w:val="101820"/>
                <w:sz w:val="18"/>
              </w:rPr>
              <w:t>Week 9</w:t>
            </w:r>
          </w:p>
        </w:tc>
        <w:tc>
          <w:tcPr>
            <w:tcW w:type="dxa" w:w="1818"/>
          </w:tcPr>
          <w:p>
            <w:pPr>
              <w:spacing w:after="20"/>
            </w:pPr>
            <w:r>
              <w:rPr>
                <w:rFonts w:ascii="Segoe UI" w:hAnsi="Segoe UI" w:cs="Segoe UI" w:eastAsia="Segoe UI"/>
                <w:color w:val="101820"/>
                <w:sz w:val="18"/>
              </w:rPr>
              <w:t>Weeks 13 to 14</w:t>
            </w:r>
          </w:p>
        </w:tc>
      </w:tr>
      <w:tr>
        <w:tc>
          <w:tcPr>
            <w:tcW w:type="dxa" w:w="5382"/>
          </w:tcPr>
          <w:p>
            <w:pPr>
              <w:spacing w:after="20"/>
            </w:pPr>
            <w:r>
              <w:rPr>
                <w:rFonts w:ascii="Segoe UI" w:hAnsi="Segoe UI" w:cs="Segoe UI" w:eastAsia="Segoe UI"/>
                <w:color w:val="101820"/>
                <w:sz w:val="18"/>
              </w:rPr>
              <w:t>Go-live</w:t>
            </w:r>
          </w:p>
        </w:tc>
        <w:tc>
          <w:tcPr>
            <w:tcW w:type="dxa" w:w="907"/>
          </w:tcPr>
          <w:p>
            <w:pPr>
              <w:spacing w:after="20"/>
            </w:pPr>
            <w:r>
              <w:rPr>
                <w:rFonts w:ascii="Segoe UI" w:hAnsi="Segoe UI" w:cs="Segoe UI" w:eastAsia="Segoe UI"/>
                <w:color w:val="101820"/>
                <w:sz w:val="18"/>
              </w:rPr>
              <w:t>Week 7</w:t>
            </w:r>
          </w:p>
        </w:tc>
        <w:tc>
          <w:tcPr>
            <w:tcW w:type="dxa" w:w="907"/>
          </w:tcPr>
          <w:p>
            <w:pPr>
              <w:spacing w:after="20"/>
            </w:pPr>
            <w:r>
              <w:rPr>
                <w:rFonts w:ascii="Segoe UI" w:hAnsi="Segoe UI" w:cs="Segoe UI" w:eastAsia="Segoe UI"/>
                <w:color w:val="101820"/>
                <w:sz w:val="18"/>
              </w:rPr>
              <w:t>Week 10</w:t>
            </w:r>
          </w:p>
        </w:tc>
        <w:tc>
          <w:tcPr>
            <w:tcW w:type="dxa" w:w="1818"/>
          </w:tcPr>
          <w:p>
            <w:pPr>
              <w:spacing w:after="20"/>
            </w:pPr>
            <w:r>
              <w:rPr>
                <w:rFonts w:ascii="Segoe UI" w:hAnsi="Segoe UI" w:cs="Segoe UI" w:eastAsia="Segoe UI"/>
                <w:color w:val="101820"/>
                <w:sz w:val="18"/>
              </w:rPr>
              <w:t>Week 15</w:t>
            </w:r>
          </w:p>
        </w:tc>
      </w:tr>
      <w:tr>
        <w:tc>
          <w:tcPr>
            <w:tcW w:type="dxa" w:w="5382"/>
          </w:tcPr>
          <w:p>
            <w:pPr>
              <w:spacing w:after="20"/>
            </w:pPr>
            <w:r>
              <w:rPr>
                <w:rFonts w:ascii="Segoe UI" w:hAnsi="Segoe UI" w:cs="Segoe UI" w:eastAsia="Segoe UI"/>
                <w:color w:val="101820"/>
                <w:sz w:val="18"/>
              </w:rPr>
              <w:t>Hypercare exit and handover</w:t>
            </w:r>
          </w:p>
        </w:tc>
        <w:tc>
          <w:tcPr>
            <w:tcW w:type="dxa" w:w="907"/>
          </w:tcPr>
          <w:p>
            <w:pPr>
              <w:spacing w:after="20"/>
            </w:pPr>
            <w:r>
              <w:rPr>
                <w:rFonts w:ascii="Segoe UI" w:hAnsi="Segoe UI" w:cs="Segoe UI" w:eastAsia="Segoe UI"/>
                <w:color w:val="101820"/>
                <w:sz w:val="18"/>
              </w:rPr>
              <w:t>Week 8</w:t>
            </w:r>
          </w:p>
        </w:tc>
        <w:tc>
          <w:tcPr>
            <w:tcW w:type="dxa" w:w="907"/>
          </w:tcPr>
          <w:p>
            <w:pPr>
              <w:spacing w:after="20"/>
            </w:pPr>
            <w:r>
              <w:rPr>
                <w:rFonts w:ascii="Segoe UI" w:hAnsi="Segoe UI" w:cs="Segoe UI" w:eastAsia="Segoe UI"/>
                <w:color w:val="101820"/>
                <w:sz w:val="18"/>
              </w:rPr>
              <w:t>Week 12</w:t>
            </w:r>
          </w:p>
        </w:tc>
        <w:tc>
          <w:tcPr>
            <w:tcW w:type="dxa" w:w="1818"/>
          </w:tcPr>
          <w:p>
            <w:pPr>
              <w:spacing w:after="20"/>
            </w:pPr>
            <w:r>
              <w:rPr>
                <w:rFonts w:ascii="Segoe UI" w:hAnsi="Segoe UI" w:cs="Segoe UI" w:eastAsia="Segoe UI"/>
                <w:color w:val="101820"/>
                <w:sz w:val="18"/>
              </w:rPr>
              <w:t>Week 20</w:t>
            </w:r>
          </w:p>
        </w:tc>
      </w:tr>
    </w:tbl>
    <w:p>
      <w:pPr>
        <w:spacing w:after="80"/>
      </w:pPr>
    </w:p>
    <w:p>
      <w:pPr>
        <w:spacing w:after="120" w:line="276" w:lineRule="auto"/>
      </w:pPr>
      <w:r>
        <w:rPr>
          <w:rFonts w:ascii="Segoe UI" w:hAnsi="Segoe UI" w:cs="Segoe UI" w:eastAsia="Segoe UI"/>
          <w:color w:val="101820"/>
          <w:sz w:val="21"/>
        </w:rPr>
        <w:t>The detailed weekly plan is the plan of the Implementation Approach and Plan for the size, baselined at mobilisation. Planned start date: [date]. Target go-live date: [date].</w:t>
      </w:r>
    </w:p>
    <w:p>
      <w:pPr>
        <w:pStyle w:val="Heading1"/>
        <w:pageBreakBefore/>
      </w:pPr>
      <w:r>
        <w:rPr>
          <w:rFonts w:ascii="Segoe UI" w:hAnsi="Segoe UI" w:cs="Segoe UI" w:eastAsia="Segoe UI"/>
          <w:b/>
          <w:color w:val="0F4761"/>
          <w:sz w:val="32"/>
        </w:rPr>
        <w:t>11.  Governance</w:t>
      </w:r>
    </w:p>
    <w:p>
      <w:pPr>
        <w:spacing w:after="60"/>
        <w:numPr>
          <w:ilvl w:val="0"/>
          <w:numId w:val="8"/>
        </w:numPr>
      </w:pPr>
      <w:r>
        <w:rPr>
          <w:rFonts w:ascii="Segoe UI" w:hAnsi="Segoe UI" w:cs="Segoe UI" w:eastAsia="Segoe UI"/>
          <w:b/>
          <w:color w:val="101820"/>
          <w:sz w:val="21"/>
        </w:rPr>
        <w:t>Steering committee:</w:t>
      </w:r>
      <w:r>
        <w:rPr>
          <w:rFonts w:ascii="Segoe UI" w:hAnsi="Segoe UI" w:cs="Segoe UI" w:eastAsia="Segoe UI"/>
          <w:color w:val="101820"/>
          <w:sz w:val="21"/>
        </w:rPr>
        <w:t xml:space="preserve"> the Client's sponsor (chair), the Client's project manager, the Accounting Manager and a business head; the iorta TechNXT account manager and project manager, with the head of delivery when a decision on cost or the go-live date is due. Meets every two weeks and at each go/no-go, as in the Implementation Approach and Plan. Approves changes that affect cost or the go-live date.</w:t>
      </w:r>
    </w:p>
    <w:p>
      <w:pPr>
        <w:spacing w:after="60"/>
        <w:numPr>
          <w:ilvl w:val="0"/>
          <w:numId w:val="8"/>
        </w:numPr>
      </w:pPr>
      <w:r>
        <w:rPr>
          <w:rFonts w:ascii="Segoe UI" w:hAnsi="Segoe UI" w:cs="Segoe UI" w:eastAsia="Segoe UI"/>
          <w:b/>
          <w:color w:val="101820"/>
          <w:sz w:val="21"/>
        </w:rPr>
        <w:t>Weekly status meeting:</w:t>
      </w:r>
      <w:r>
        <w:rPr>
          <w:rFonts w:ascii="Segoe UI" w:hAnsi="Segoe UI" w:cs="Segoe UI" w:eastAsia="Segoe UI"/>
          <w:color w:val="101820"/>
          <w:sz w:val="21"/>
        </w:rPr>
        <w:t xml:space="preserve"> both project managers and the key users concerned. Reviews progress, the RAID log and the next week's plan.</w:t>
      </w:r>
    </w:p>
    <w:p>
      <w:pPr>
        <w:spacing w:after="60"/>
        <w:numPr>
          <w:ilvl w:val="0"/>
          <w:numId w:val="8"/>
        </w:numPr>
      </w:pPr>
      <w:r>
        <w:rPr>
          <w:rFonts w:ascii="Segoe UI" w:hAnsi="Segoe UI" w:cs="Segoe UI" w:eastAsia="Segoe UI"/>
          <w:b/>
          <w:color w:val="101820"/>
          <w:sz w:val="21"/>
        </w:rPr>
        <w:t>RAID log:</w:t>
      </w:r>
      <w:r>
        <w:rPr>
          <w:rFonts w:ascii="Segoe UI" w:hAnsi="Segoe UI" w:cs="Segoe UI" w:eastAsia="Segoe UI"/>
          <w:color w:val="101820"/>
          <w:sz w:val="21"/>
        </w:rPr>
        <w:t xml:space="preserve"> kept by the iorta TechNXT project manager and shared with the Client.</w:t>
      </w:r>
    </w:p>
    <w:p>
      <w:pPr>
        <w:spacing w:after="60"/>
        <w:numPr>
          <w:ilvl w:val="0"/>
          <w:numId w:val="8"/>
        </w:numPr>
      </w:pPr>
      <w:r>
        <w:rPr>
          <w:rFonts w:ascii="Segoe UI" w:hAnsi="Segoe UI" w:cs="Segoe UI" w:eastAsia="Segoe UI"/>
          <w:b/>
          <w:color w:val="101820"/>
          <w:sz w:val="21"/>
        </w:rPr>
        <w:t>Escalation:</w:t>
      </w:r>
      <w:r>
        <w:rPr>
          <w:rFonts w:ascii="Segoe UI" w:hAnsi="Segoe UI" w:cs="Segoe UI" w:eastAsia="Segoe UI"/>
          <w:color w:val="101820"/>
          <w:sz w:val="21"/>
        </w:rPr>
        <w:t xml:space="preserve"> project managers, then the steering committee, then the dispute steps of the MSA.</w:t>
      </w:r>
    </w:p>
    <w:p>
      <w:pPr>
        <w:pStyle w:val="Heading1"/>
        <w:pageBreakBefore/>
      </w:pPr>
      <w:r>
        <w:rPr>
          <w:rFonts w:ascii="Segoe UI" w:hAnsi="Segoe UI" w:cs="Segoe UI" w:eastAsia="Segoe UI"/>
          <w:b/>
          <w:color w:val="0F4761"/>
          <w:sz w:val="32"/>
        </w:rPr>
        <w:t>12.  Fees and milestone payments</w:t>
      </w:r>
    </w:p>
    <w:p>
      <w:pPr>
        <w:pStyle w:val="Heading2"/>
      </w:pPr>
      <w:r>
        <w:rPr>
          <w:rFonts w:ascii="Segoe UI" w:hAnsi="Segoe UI" w:cs="Segoe UI" w:eastAsia="Segoe UI"/>
          <w:b/>
          <w:color w:val="0F4761"/>
          <w:sz w:val="26"/>
        </w:rPr>
        <w:t>12.1  Fee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Item</w:t>
            </w:r>
          </w:p>
        </w:tc>
        <w:tc>
          <w:tcPr>
            <w:tcW w:type="dxa" w:w="4507"/>
            <w:shd w:val="clear" w:color="auto" w:fill="DCE9F7"/>
          </w:tcPr>
          <w:p>
            <w:pPr>
              <w:spacing w:after="20"/>
            </w:pPr>
            <w:r>
              <w:rPr>
                <w:rFonts w:ascii="Segoe UI" w:hAnsi="Segoe UI" w:cs="Segoe UI" w:eastAsia="Segoe UI"/>
                <w:b/>
                <w:color w:val="0F4761"/>
                <w:sz w:val="18"/>
              </w:rPr>
              <w:t>Value</w:t>
            </w:r>
          </w:p>
        </w:tc>
      </w:tr>
      <w:tr>
        <w:tc>
          <w:tcPr>
            <w:tcW w:type="dxa" w:w="4507"/>
          </w:tcPr>
          <w:p>
            <w:pPr>
              <w:spacing w:after="20"/>
            </w:pPr>
            <w:r>
              <w:rPr>
                <w:rFonts w:ascii="Segoe UI" w:hAnsi="Segoe UI" w:cs="Segoe UI" w:eastAsia="Segoe UI"/>
                <w:color w:val="101820"/>
                <w:sz w:val="18"/>
              </w:rPr>
              <w:t>Base man-days of the size</w:t>
            </w:r>
          </w:p>
        </w:tc>
        <w:tc>
          <w:tcPr>
            <w:tcW w:type="dxa" w:w="4507"/>
          </w:tcPr>
          <w:p>
            <w:pPr>
              <w:spacing w:after="20"/>
            </w:pPr>
            <w:r>
              <w:rPr>
                <w:rFonts w:ascii="Segoe UI" w:hAnsi="Segoe UI" w:cs="Segoe UI" w:eastAsia="Segoe UI"/>
                <w:color w:val="101820"/>
                <w:sz w:val="18"/>
              </w:rPr>
              <w:t>[Small 70 / Medium 130 / Large 230 / Enterprise 360]</w:t>
            </w:r>
          </w:p>
        </w:tc>
      </w:tr>
      <w:tr>
        <w:tc>
          <w:tcPr>
            <w:tcW w:type="dxa" w:w="4507"/>
          </w:tcPr>
          <w:p>
            <w:pPr>
              <w:spacing w:after="20"/>
            </w:pPr>
            <w:r>
              <w:rPr>
                <w:rFonts w:ascii="Segoe UI" w:hAnsi="Segoe UI" w:cs="Segoe UI" w:eastAsia="Segoe UI"/>
                <w:color w:val="101820"/>
                <w:sz w:val="18"/>
              </w:rPr>
              <w:t>Additional lines of business above the included number</w:t>
            </w:r>
          </w:p>
        </w:tc>
        <w:tc>
          <w:tcPr>
            <w:tcW w:type="dxa" w:w="4507"/>
          </w:tcPr>
          <w:p>
            <w:pPr>
              <w:spacing w:after="20"/>
            </w:pPr>
            <w:r>
              <w:rPr>
                <w:rFonts w:ascii="Segoe UI" w:hAnsi="Segoe UI" w:cs="Segoe UI" w:eastAsia="Segoe UI"/>
                <w:color w:val="101820"/>
                <w:sz w:val="18"/>
              </w:rPr>
              <w:t>[number] x 6 man-days</w:t>
            </w:r>
          </w:p>
        </w:tc>
      </w:tr>
      <w:tr>
        <w:tc>
          <w:tcPr>
            <w:tcW w:type="dxa" w:w="4507"/>
          </w:tcPr>
          <w:p>
            <w:pPr>
              <w:spacing w:after="20"/>
            </w:pPr>
            <w:r>
              <w:rPr>
                <w:rFonts w:ascii="Segoe UI" w:hAnsi="Segoe UI" w:cs="Segoe UI" w:eastAsia="Segoe UI"/>
                <w:color w:val="101820"/>
                <w:sz w:val="18"/>
              </w:rPr>
              <w:t>Total man-days</w:t>
            </w:r>
          </w:p>
        </w:tc>
        <w:tc>
          <w:tcPr>
            <w:tcW w:type="dxa" w:w="4507"/>
          </w:tcPr>
          <w:p>
            <w:pPr>
              <w:spacing w:after="20"/>
            </w:pPr>
            <w:r>
              <w:rPr>
                <w:rFonts w:ascii="Segoe UI" w:hAnsi="Segoe UI" w:cs="Segoe UI" w:eastAsia="Segoe UI"/>
                <w:color w:val="101820"/>
                <w:sz w:val="18"/>
              </w:rPr>
              <w:t>[number]</w:t>
            </w:r>
          </w:p>
        </w:tc>
      </w:tr>
      <w:tr>
        <w:tc>
          <w:tcPr>
            <w:tcW w:type="dxa" w:w="4507"/>
          </w:tcPr>
          <w:p>
            <w:pPr>
              <w:spacing w:after="20"/>
            </w:pPr>
            <w:r>
              <w:rPr>
                <w:rFonts w:ascii="Segoe UI" w:hAnsi="Segoe UI" w:cs="Segoe UI" w:eastAsia="Segoe UI"/>
                <w:color w:val="101820"/>
                <w:sz w:val="18"/>
              </w:rPr>
              <w:t>Blended day rate</w:t>
            </w:r>
          </w:p>
        </w:tc>
        <w:tc>
          <w:tcPr>
            <w:tcW w:type="dxa" w:w="4507"/>
          </w:tcPr>
          <w:p>
            <w:pPr>
              <w:spacing w:after="20"/>
            </w:pPr>
            <w:r>
              <w:rPr>
                <w:rFonts w:ascii="Segoe UI" w:hAnsi="Segoe UI" w:cs="Segoe UI" w:eastAsia="Segoe UI"/>
                <w:color w:val="101820"/>
                <w:sz w:val="18"/>
              </w:rPr>
              <w:t>PHP 16,100.00</w:t>
            </w:r>
          </w:p>
        </w:tc>
      </w:tr>
      <w:tr>
        <w:tc>
          <w:tcPr>
            <w:tcW w:type="dxa" w:w="4507"/>
          </w:tcPr>
          <w:p>
            <w:pPr>
              <w:spacing w:after="20"/>
            </w:pPr>
            <w:r>
              <w:rPr>
                <w:rFonts w:ascii="Segoe UI" w:hAnsi="Segoe UI" w:cs="Segoe UI" w:eastAsia="Segoe UI"/>
                <w:color w:val="101820"/>
                <w:sz w:val="18"/>
              </w:rPr>
              <w:t>Implementation fee (rounded to PHP 10,000.00), excluding VAT</w:t>
            </w:r>
          </w:p>
        </w:tc>
        <w:tc>
          <w:tcPr>
            <w:tcW w:type="dxa" w:w="4507"/>
          </w:tcPr>
          <w:p>
            <w:pPr>
              <w:spacing w:after="20"/>
            </w:pPr>
            <w:r>
              <w:rPr>
                <w:rFonts w:ascii="Segoe UI" w:hAnsi="Segoe UI" w:cs="Segoe UI" w:eastAsia="Segoe UI"/>
                <w:color w:val="101820"/>
                <w:sz w:val="18"/>
              </w:rPr>
              <w:t>PHP [amount]</w:t>
            </w:r>
          </w:p>
        </w:tc>
      </w:tr>
      <w:tr>
        <w:tc>
          <w:tcPr>
            <w:tcW w:type="dxa" w:w="4507"/>
          </w:tcPr>
          <w:p>
            <w:pPr>
              <w:spacing w:after="20"/>
            </w:pPr>
            <w:r>
              <w:rPr>
                <w:rFonts w:ascii="Segoe UI" w:hAnsi="Segoe UI" w:cs="Segoe UI" w:eastAsia="Segoe UI"/>
                <w:color w:val="101820"/>
                <w:sz w:val="18"/>
              </w:rPr>
              <w:t>Discount, if any ([lever])</w:t>
            </w:r>
          </w:p>
        </w:tc>
        <w:tc>
          <w:tcPr>
            <w:tcW w:type="dxa" w:w="4507"/>
          </w:tcPr>
          <w:p>
            <w:pPr>
              <w:spacing w:after="20"/>
            </w:pPr>
            <w:r>
              <w:rPr>
                <w:rFonts w:ascii="Segoe UI" w:hAnsi="Segoe UI" w:cs="Segoe UI" w:eastAsia="Segoe UI"/>
                <w:color w:val="101820"/>
                <w:sz w:val="18"/>
              </w:rPr>
              <w:t>PHP [amount]</w:t>
            </w:r>
          </w:p>
        </w:tc>
      </w:tr>
      <w:tr>
        <w:tc>
          <w:tcPr>
            <w:tcW w:type="dxa" w:w="4507"/>
          </w:tcPr>
          <w:p>
            <w:pPr>
              <w:spacing w:after="20"/>
            </w:pPr>
            <w:r>
              <w:rPr>
                <w:rFonts w:ascii="Segoe UI" w:hAnsi="Segoe UI" w:cs="Segoe UI" w:eastAsia="Segoe UI"/>
                <w:color w:val="101820"/>
                <w:sz w:val="18"/>
              </w:rPr>
              <w:t>Fee payable, excluding VAT</w:t>
            </w:r>
          </w:p>
        </w:tc>
        <w:tc>
          <w:tcPr>
            <w:tcW w:type="dxa" w:w="4507"/>
          </w:tcPr>
          <w:p>
            <w:pPr>
              <w:spacing w:after="20"/>
            </w:pPr>
            <w:r>
              <w:rPr>
                <w:rFonts w:ascii="Segoe UI" w:hAnsi="Segoe UI" w:cs="Segoe UI" w:eastAsia="Segoe UI"/>
                <w:color w:val="101820"/>
                <w:sz w:val="18"/>
              </w:rPr>
              <w:t>PHP [amount]</w:t>
            </w:r>
          </w:p>
        </w:tc>
      </w:tr>
    </w:tbl>
    <w:p>
      <w:pPr>
        <w:spacing w:after="80"/>
      </w:pPr>
    </w:p>
    <w:p>
      <w:pPr>
        <w:spacing w:after="120" w:line="276" w:lineRule="auto"/>
      </w:pPr>
      <w:r>
        <w:rPr>
          <w:rFonts w:ascii="Segoe UI" w:hAnsi="Segoe UI" w:cs="Segoe UI" w:eastAsia="Segoe UI"/>
          <w:color w:val="101820"/>
          <w:sz w:val="21"/>
        </w:rPr>
        <w:t>The fee is fixed for the scope, size and assumptions of this SOW. Under the subscription model, the onboarding fee equals the implementation fee times the onboarding percentage in the Order Form.</w:t>
      </w:r>
    </w:p>
    <w:p>
      <w:pPr>
        <w:pStyle w:val="Heading2"/>
      </w:pPr>
      <w:r>
        <w:rPr>
          <w:rFonts w:ascii="Segoe UI" w:hAnsi="Segoe UI" w:cs="Segoe UI" w:eastAsia="Segoe UI"/>
          <w:b/>
          <w:color w:val="0F4761"/>
          <w:sz w:val="26"/>
        </w:rPr>
        <w:t>12.2  Milestone payments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899"/>
        <w:gridCol w:w="907"/>
        <w:gridCol w:w="4208"/>
      </w:tblGrid>
      <w:tr>
        <w:trPr>
          <w:tblHeader w:val="true"/>
        </w:trPr>
        <w:tc>
          <w:tcPr>
            <w:tcW w:type="dxa" w:w="3899"/>
            <w:shd w:val="clear" w:color="auto" w:fill="DCE9F7"/>
          </w:tcPr>
          <w:p>
            <w:pPr>
              <w:spacing w:after="20"/>
            </w:pPr>
            <w:r>
              <w:rPr>
                <w:rFonts w:ascii="Segoe UI" w:hAnsi="Segoe UI" w:cs="Segoe UI" w:eastAsia="Segoe UI"/>
                <w:b/>
                <w:color w:val="0F4761"/>
                <w:sz w:val="18"/>
              </w:rPr>
              <w:t>Milestone</w:t>
            </w:r>
          </w:p>
        </w:tc>
        <w:tc>
          <w:tcPr>
            <w:tcW w:type="dxa" w:w="907"/>
            <w:shd w:val="clear" w:color="auto" w:fill="DCE9F7"/>
          </w:tcPr>
          <w:p>
            <w:pPr>
              <w:spacing w:after="20"/>
            </w:pPr>
            <w:r>
              <w:rPr>
                <w:rFonts w:ascii="Segoe UI" w:hAnsi="Segoe UI" w:cs="Segoe UI" w:eastAsia="Segoe UI"/>
                <w:b/>
                <w:color w:val="0F4761"/>
                <w:sz w:val="18"/>
              </w:rPr>
              <w:t>Share</w:t>
            </w:r>
          </w:p>
        </w:tc>
        <w:tc>
          <w:tcPr>
            <w:tcW w:type="dxa" w:w="4208"/>
            <w:shd w:val="clear" w:color="auto" w:fill="DCE9F7"/>
          </w:tcPr>
          <w:p>
            <w:pPr>
              <w:spacing w:after="20"/>
            </w:pPr>
            <w:r>
              <w:rPr>
                <w:rFonts w:ascii="Segoe UI" w:hAnsi="Segoe UI" w:cs="Segoe UI" w:eastAsia="Segoe UI"/>
                <w:b/>
                <w:color w:val="0F4761"/>
                <w:sz w:val="18"/>
              </w:rPr>
              <w:t>Amount (PHP, excluding VAT)</w:t>
            </w:r>
          </w:p>
        </w:tc>
      </w:tr>
      <w:tr>
        <w:tc>
          <w:tcPr>
            <w:tcW w:type="dxa" w:w="3899"/>
          </w:tcPr>
          <w:p>
            <w:pPr>
              <w:spacing w:after="20"/>
            </w:pPr>
            <w:r>
              <w:rPr>
                <w:rFonts w:ascii="Segoe UI" w:hAnsi="Segoe UI" w:cs="Segoe UI" w:eastAsia="Segoe UI"/>
                <w:color w:val="101820"/>
                <w:sz w:val="18"/>
              </w:rPr>
              <w:t>Signing of the Order Form</w:t>
            </w:r>
          </w:p>
        </w:tc>
        <w:tc>
          <w:tcPr>
            <w:tcW w:type="dxa" w:w="907"/>
          </w:tcPr>
          <w:p>
            <w:pPr>
              <w:spacing w:after="20"/>
            </w:pPr>
            <w:r>
              <w:rPr>
                <w:rFonts w:ascii="Segoe UI" w:hAnsi="Segoe UI" w:cs="Segoe UI" w:eastAsia="Segoe UI"/>
                <w:color w:val="101820"/>
                <w:sz w:val="18"/>
              </w:rPr>
              <w:t>40%</w:t>
            </w:r>
          </w:p>
        </w:tc>
        <w:tc>
          <w:tcPr>
            <w:tcW w:type="dxa" w:w="4208"/>
          </w:tcPr>
          <w:p>
            <w:pPr>
              <w:spacing w:after="20"/>
            </w:pPr>
            <w:r>
              <w:rPr>
                <w:rFonts w:ascii="Segoe UI" w:hAnsi="Segoe UI" w:cs="Segoe UI" w:eastAsia="Segoe UI"/>
                <w:color w:val="101820"/>
                <w:sz w:val="18"/>
              </w:rPr>
              <w:t>[amount]</w:t>
            </w:r>
          </w:p>
        </w:tc>
      </w:tr>
      <w:tr>
        <w:tc>
          <w:tcPr>
            <w:tcW w:type="dxa" w:w="3899"/>
          </w:tcPr>
          <w:p>
            <w:pPr>
              <w:spacing w:after="20"/>
            </w:pPr>
            <w:r>
              <w:rPr>
                <w:rFonts w:ascii="Segoe UI" w:hAnsi="Segoe UI" w:cs="Segoe UI" w:eastAsia="Segoe UI"/>
                <w:color w:val="101820"/>
                <w:sz w:val="18"/>
              </w:rPr>
              <w:t>UAT sign-off</w:t>
            </w:r>
          </w:p>
        </w:tc>
        <w:tc>
          <w:tcPr>
            <w:tcW w:type="dxa" w:w="907"/>
          </w:tcPr>
          <w:p>
            <w:pPr>
              <w:spacing w:after="20"/>
            </w:pPr>
            <w:r>
              <w:rPr>
                <w:rFonts w:ascii="Segoe UI" w:hAnsi="Segoe UI" w:cs="Segoe UI" w:eastAsia="Segoe UI"/>
                <w:color w:val="101820"/>
                <w:sz w:val="18"/>
              </w:rPr>
              <w:t>40%</w:t>
            </w:r>
          </w:p>
        </w:tc>
        <w:tc>
          <w:tcPr>
            <w:tcW w:type="dxa" w:w="4208"/>
          </w:tcPr>
          <w:p>
            <w:pPr>
              <w:spacing w:after="20"/>
            </w:pPr>
            <w:r>
              <w:rPr>
                <w:rFonts w:ascii="Segoe UI" w:hAnsi="Segoe UI" w:cs="Segoe UI" w:eastAsia="Segoe UI"/>
                <w:color w:val="101820"/>
                <w:sz w:val="18"/>
              </w:rPr>
              <w:t>[amount]</w:t>
            </w:r>
          </w:p>
        </w:tc>
      </w:tr>
      <w:tr>
        <w:tc>
          <w:tcPr>
            <w:tcW w:type="dxa" w:w="3899"/>
          </w:tcPr>
          <w:p>
            <w:pPr>
              <w:spacing w:after="20"/>
            </w:pPr>
            <w:r>
              <w:rPr>
                <w:rFonts w:ascii="Segoe UI" w:hAnsi="Segoe UI" w:cs="Segoe UI" w:eastAsia="Segoe UI"/>
                <w:color w:val="101820"/>
                <w:sz w:val="18"/>
              </w:rPr>
              <w:t>Go-live</w:t>
            </w:r>
          </w:p>
        </w:tc>
        <w:tc>
          <w:tcPr>
            <w:tcW w:type="dxa" w:w="907"/>
          </w:tcPr>
          <w:p>
            <w:pPr>
              <w:spacing w:after="20"/>
            </w:pPr>
            <w:r>
              <w:rPr>
                <w:rFonts w:ascii="Segoe UI" w:hAnsi="Segoe UI" w:cs="Segoe UI" w:eastAsia="Segoe UI"/>
                <w:color w:val="101820"/>
                <w:sz w:val="18"/>
              </w:rPr>
              <w:t>20%</w:t>
            </w:r>
          </w:p>
        </w:tc>
        <w:tc>
          <w:tcPr>
            <w:tcW w:type="dxa" w:w="4208"/>
          </w:tcPr>
          <w:p>
            <w:pPr>
              <w:spacing w:after="20"/>
            </w:pPr>
            <w:r>
              <w:rPr>
                <w:rFonts w:ascii="Segoe UI" w:hAnsi="Segoe UI" w:cs="Segoe UI" w:eastAsia="Segoe UI"/>
                <w:color w:val="101820"/>
                <w:sz w:val="18"/>
              </w:rPr>
              <w:t>[amount]</w:t>
            </w:r>
          </w:p>
        </w:tc>
      </w:tr>
    </w:tbl>
    <w:p>
      <w:pPr>
        <w:spacing w:after="80"/>
      </w:pPr>
    </w:p>
    <w:p>
      <w:pPr>
        <w:spacing w:after="60"/>
        <w:numPr>
          <w:ilvl w:val="0"/>
          <w:numId w:val="9"/>
        </w:numPr>
      </w:pPr>
      <w:r>
        <w:rPr>
          <w:rFonts w:ascii="Segoe UI" w:hAnsi="Segoe UI" w:cs="Segoe UI" w:eastAsia="Segoe UI"/>
          <w:color w:val="101820"/>
          <w:sz w:val="21"/>
        </w:rPr>
        <w:t>iorta TechNXT invoices on each milestone. Invoices are payable within 30 days, with VAT added and withholding tax handled under the MSA.</w:t>
      </w:r>
    </w:p>
    <w:p>
      <w:pPr>
        <w:spacing w:after="60"/>
        <w:numPr>
          <w:ilvl w:val="0"/>
          <w:numId w:val="9"/>
        </w:numPr>
      </w:pPr>
      <w:r>
        <w:rPr>
          <w:rFonts w:ascii="Segoe UI" w:hAnsi="Segoe UI" w:cs="Segoe UI" w:eastAsia="Segoe UI"/>
          <w:color w:val="101820"/>
          <w:sz w:val="21"/>
        </w:rPr>
        <w:t>If a milestone is delayed by more than 30 days for reasons attributable to the Client, iorta TechNXT may invoice the milestone payment on the planned date of the milestone.</w:t>
      </w:r>
    </w:p>
    <w:p>
      <w:pPr>
        <w:spacing w:after="60"/>
        <w:numPr>
          <w:ilvl w:val="0"/>
          <w:numId w:val="9"/>
        </w:numPr>
      </w:pPr>
      <w:r>
        <w:rPr>
          <w:rFonts w:ascii="Segoe UI" w:hAnsi="Segoe UI" w:cs="Segoe UI" w:eastAsia="Segoe UI"/>
          <w:color w:val="101820"/>
          <w:sz w:val="21"/>
        </w:rPr>
        <w:t>Optional services in the Order Form (extra training days, legacy data sources, integrations, environments, on-site days) are invoiced on delivery or as quoted.</w:t>
      </w:r>
    </w:p>
    <w:p>
      <w:pPr>
        <w:spacing w:after="60"/>
        <w:numPr>
          <w:ilvl w:val="0"/>
          <w:numId w:val="9"/>
        </w:numPr>
      </w:pPr>
      <w:r>
        <w:rPr>
          <w:rFonts w:ascii="Segoe UI" w:hAnsi="Segoe UI" w:cs="Segoe UI" w:eastAsia="Segoe UI"/>
          <w:color w:val="101820"/>
          <w:sz w:val="21"/>
        </w:rPr>
        <w:t>Travel, lodging and meals outside Metro Manila are billed at cost with receipts, if approved in advance by the Client.</w:t>
      </w:r>
    </w:p>
    <w:p>
      <w:pPr>
        <w:pStyle w:val="Heading1"/>
        <w:pageBreakBefore/>
      </w:pPr>
      <w:r>
        <w:rPr>
          <w:rFonts w:ascii="Segoe UI" w:hAnsi="Segoe UI" w:cs="Segoe UI" w:eastAsia="Segoe UI"/>
          <w:b/>
          <w:color w:val="0F4761"/>
          <w:sz w:val="32"/>
        </w:rPr>
        <w:t>13.  Change control</w:t>
      </w:r>
    </w:p>
    <w:p>
      <w:pPr>
        <w:spacing w:after="60"/>
        <w:numPr>
          <w:ilvl w:val="0"/>
          <w:numId w:val="10"/>
        </w:numPr>
      </w:pPr>
      <w:r>
        <w:rPr>
          <w:rFonts w:ascii="Segoe UI" w:hAnsi="Segoe UI" w:cs="Segoe UI" w:eastAsia="Segoe UI"/>
          <w:color w:val="101820"/>
          <w:sz w:val="21"/>
        </w:rPr>
        <w:t>Any change to the scope, plan, size or Deliverables of this SOW, including any gap in the fit-gap register that the Client wants closed by a change rather than by configuration, is handled under the Change Request Procedure.</w:t>
      </w:r>
    </w:p>
    <w:p>
      <w:pPr>
        <w:spacing w:after="60"/>
        <w:numPr>
          <w:ilvl w:val="0"/>
          <w:numId w:val="10"/>
        </w:numPr>
      </w:pPr>
      <w:r>
        <w:rPr>
          <w:rFonts w:ascii="Segoe UI" w:hAnsi="Segoe UI" w:cs="Segoe UI" w:eastAsia="Segoe UI"/>
          <w:color w:val="101820"/>
          <w:sz w:val="21"/>
        </w:rPr>
        <w:t>Customisation approved through a Change Request may be scheduled after go-live so that the OOTB go-live date holds.</w:t>
      </w:r>
    </w:p>
    <w:p>
      <w:pPr>
        <w:spacing w:after="60"/>
        <w:numPr>
          <w:ilvl w:val="0"/>
          <w:numId w:val="10"/>
        </w:numPr>
      </w:pPr>
      <w:r>
        <w:rPr>
          <w:rFonts w:ascii="Segoe UI" w:hAnsi="Segoe UI" w:cs="Segoe UI" w:eastAsia="Segoe UI"/>
          <w:color w:val="101820"/>
          <w:sz w:val="21"/>
        </w:rPr>
        <w:t>Changes that affect cost or the go-live date need the written approval of the Client's sponsor.</w:t>
      </w:r>
    </w:p>
    <w:p>
      <w:pPr>
        <w:spacing w:after="60"/>
        <w:numPr>
          <w:ilvl w:val="0"/>
          <w:numId w:val="10"/>
        </w:numPr>
      </w:pPr>
      <w:r>
        <w:rPr>
          <w:rFonts w:ascii="Segoe UI" w:hAnsi="Segoe UI" w:cs="Segoe UI" w:eastAsia="Segoe UI"/>
          <w:color w:val="101820"/>
          <w:sz w:val="21"/>
        </w:rPr>
        <w:t>Delays caused by late Client dependencies are recorded in the RAID log. If they move the go-live date, the steering committee agrees a revised plan; additional effort is a Change Request.</w:t>
      </w:r>
    </w:p>
    <w:p>
      <w:pPr>
        <w:pStyle w:val="Heading1"/>
        <w:pageBreakBefore/>
      </w:pPr>
      <w:r>
        <w:rPr>
          <w:rFonts w:ascii="Segoe UI" w:hAnsi="Segoe UI" w:cs="Segoe UI" w:eastAsia="Segoe UI"/>
          <w:b/>
          <w:color w:val="0F4761"/>
          <w:sz w:val="32"/>
        </w:rPr>
        <w:t>14.  Signatures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For iorta TechNXT Corp.</w:t>
            </w:r>
          </w:p>
        </w:tc>
        <w:tc>
          <w:tcPr>
            <w:tcW w:type="dxa" w:w="4507"/>
            <w:shd w:val="clear" w:color="auto" w:fill="DCE9F7"/>
          </w:tcPr>
          <w:p>
            <w:pPr>
              <w:spacing w:after="20"/>
            </w:pPr>
            <w:r>
              <w:rPr>
                <w:rFonts w:ascii="Segoe UI" w:hAnsi="Segoe UI" w:cs="Segoe UI" w:eastAsia="Segoe UI"/>
                <w:b/>
                <w:color w:val="0F4761"/>
                <w:sz w:val="18"/>
              </w:rPr>
              <w:t>For [Client legal name]</w:t>
            </w:r>
          </w:p>
        </w:tc>
      </w:tr>
      <w:tr>
        <w:tc>
          <w:tcPr>
            <w:tcW w:type="dxa" w:w="4507"/>
          </w:tcPr>
          <w:p>
            <w:pPr>
              <w:spacing w:after="20"/>
            </w:pPr>
            <w:r>
              <w:rPr>
                <w:rFonts w:ascii="Segoe UI" w:hAnsi="Segoe UI" w:cs="Segoe UI" w:eastAsia="Segoe UI"/>
                <w:color w:val="101820"/>
                <w:sz w:val="18"/>
              </w:rPr>
              <w:t>Signature: ____________________</w:t>
            </w:r>
          </w:p>
        </w:tc>
        <w:tc>
          <w:tcPr>
            <w:tcW w:type="dxa" w:w="4507"/>
          </w:tcPr>
          <w:p>
            <w:pPr>
              <w:spacing w:after="20"/>
            </w:pPr>
            <w:r>
              <w:rPr>
                <w:rFonts w:ascii="Segoe UI" w:hAnsi="Segoe UI" w:cs="Segoe UI" w:eastAsia="Segoe UI"/>
                <w:color w:val="101820"/>
                <w:sz w:val="18"/>
              </w:rPr>
              <w:t>Signature: ____________________</w:t>
            </w:r>
          </w:p>
        </w:tc>
      </w:tr>
      <w:tr>
        <w:tc>
          <w:tcPr>
            <w:tcW w:type="dxa" w:w="4507"/>
          </w:tcPr>
          <w:p>
            <w:pPr>
              <w:spacing w:after="20"/>
            </w:pPr>
            <w:r>
              <w:rPr>
                <w:rFonts w:ascii="Segoe UI" w:hAnsi="Segoe UI" w:cs="Segoe UI" w:eastAsia="Segoe UI"/>
                <w:color w:val="101820"/>
                <w:sz w:val="18"/>
              </w:rPr>
              <w:t>Name: [name]</w:t>
            </w:r>
          </w:p>
        </w:tc>
        <w:tc>
          <w:tcPr>
            <w:tcW w:type="dxa" w:w="4507"/>
          </w:tcPr>
          <w:p>
            <w:pPr>
              <w:spacing w:after="20"/>
            </w:pPr>
            <w:r>
              <w:rPr>
                <w:rFonts w:ascii="Segoe UI" w:hAnsi="Segoe UI" w:cs="Segoe UI" w:eastAsia="Segoe UI"/>
                <w:color w:val="101820"/>
                <w:sz w:val="18"/>
              </w:rPr>
              <w:t>Name: [name]</w:t>
            </w:r>
          </w:p>
        </w:tc>
      </w:tr>
      <w:tr>
        <w:tc>
          <w:tcPr>
            <w:tcW w:type="dxa" w:w="4507"/>
          </w:tcPr>
          <w:p>
            <w:pPr>
              <w:spacing w:after="20"/>
            </w:pPr>
            <w:r>
              <w:rPr>
                <w:rFonts w:ascii="Segoe UI" w:hAnsi="Segoe UI" w:cs="Segoe UI" w:eastAsia="Segoe UI"/>
                <w:color w:val="101820"/>
                <w:sz w:val="18"/>
              </w:rPr>
              <w:t>Title: [title]</w:t>
            </w:r>
          </w:p>
        </w:tc>
        <w:tc>
          <w:tcPr>
            <w:tcW w:type="dxa" w:w="4507"/>
          </w:tcPr>
          <w:p>
            <w:pPr>
              <w:spacing w:after="20"/>
            </w:pPr>
            <w:r>
              <w:rPr>
                <w:rFonts w:ascii="Segoe UI" w:hAnsi="Segoe UI" w:cs="Segoe UI" w:eastAsia="Segoe UI"/>
                <w:color w:val="101820"/>
                <w:sz w:val="18"/>
              </w:rPr>
              <w:t>Title: [title]</w:t>
            </w:r>
          </w:p>
        </w:tc>
      </w:tr>
      <w:tr>
        <w:tc>
          <w:tcPr>
            <w:tcW w:type="dxa" w:w="4507"/>
          </w:tcPr>
          <w:p>
            <w:pPr>
              <w:spacing w:after="20"/>
            </w:pPr>
            <w:r>
              <w:rPr>
                <w:rFonts w:ascii="Segoe UI" w:hAnsi="Segoe UI" w:cs="Segoe UI" w:eastAsia="Segoe UI"/>
                <w:color w:val="101820"/>
                <w:sz w:val="18"/>
              </w:rPr>
              <w:t>Date: [date]</w:t>
            </w:r>
          </w:p>
        </w:tc>
        <w:tc>
          <w:tcPr>
            <w:tcW w:type="dxa" w:w="4507"/>
          </w:tcPr>
          <w:p>
            <w:pPr>
              <w:spacing w:after="20"/>
            </w:pPr>
            <w:r>
              <w:rPr>
                <w:rFonts w:ascii="Segoe UI" w:hAnsi="Segoe UI" w:cs="Segoe UI" w:eastAsia="Segoe UI"/>
                <w:color w:val="101820"/>
                <w:sz w:val="18"/>
              </w:rPr>
              <w:t>Date: [date]</w:t>
            </w:r>
          </w:p>
        </w:tc>
      </w:tr>
    </w:tbl>
    <w:p>
      <w:pPr>
        <w:pStyle w:val="Heading1"/>
        <w:pageBreakBefore/>
      </w:pPr>
      <w:r>
        <w:rPr>
          <w:rFonts w:ascii="Segoe UI" w:hAnsi="Segoe UI" w:cs="Segoe UI" w:eastAsia="Segoe UI"/>
          <w:b/>
          <w:color w:val="0F4761"/>
          <w:sz w:val="32"/>
        </w:rPr>
        <w:t>15.  Annex A: acceptance certificate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362"/>
        <w:gridCol w:w="4652"/>
      </w:tblGrid>
      <w:tr>
        <w:trPr>
          <w:tblHeader w:val="true"/>
        </w:trPr>
        <w:tc>
          <w:tcPr>
            <w:tcW w:type="dxa" w:w="4362"/>
            <w:shd w:val="clear" w:color="auto" w:fill="DCE9F7"/>
          </w:tcPr>
          <w:p>
            <w:pPr>
              <w:spacing w:after="20"/>
            </w:pPr>
            <w:r>
              <w:rPr>
                <w:rFonts w:ascii="Segoe UI" w:hAnsi="Segoe UI" w:cs="Segoe UI" w:eastAsia="Segoe UI"/>
                <w:b/>
                <w:color w:val="0F4761"/>
                <w:sz w:val="18"/>
              </w:rPr>
              <w:t>Field</w:t>
            </w:r>
          </w:p>
        </w:tc>
        <w:tc>
          <w:tcPr>
            <w:tcW w:type="dxa" w:w="4652"/>
            <w:shd w:val="clear" w:color="auto" w:fill="DCE9F7"/>
          </w:tcPr>
          <w:p>
            <w:pPr>
              <w:spacing w:after="20"/>
            </w:pPr>
            <w:r>
              <w:rPr>
                <w:rFonts w:ascii="Segoe UI" w:hAnsi="Segoe UI" w:cs="Segoe UI" w:eastAsia="Segoe UI"/>
                <w:b/>
                <w:color w:val="0F4761"/>
                <w:sz w:val="18"/>
              </w:rPr>
              <w:t>Entry</w:t>
            </w:r>
          </w:p>
        </w:tc>
      </w:tr>
      <w:tr>
        <w:tc>
          <w:tcPr>
            <w:tcW w:type="dxa" w:w="4362"/>
          </w:tcPr>
          <w:p>
            <w:pPr>
              <w:spacing w:after="20"/>
            </w:pPr>
            <w:r>
              <w:rPr>
                <w:rFonts w:ascii="Segoe UI" w:hAnsi="Segoe UI" w:cs="Segoe UI" w:eastAsia="Segoe UI"/>
                <w:color w:val="101820"/>
                <w:sz w:val="18"/>
              </w:rPr>
              <w:t>Project</w:t>
            </w:r>
          </w:p>
        </w:tc>
        <w:tc>
          <w:tcPr>
            <w:tcW w:type="dxa" w:w="4652"/>
          </w:tcPr>
          <w:p>
            <w:pPr>
              <w:spacing w:after="20"/>
            </w:pPr>
            <w:r>
              <w:rPr>
                <w:rFonts w:ascii="Segoe UI" w:hAnsi="Segoe UI" w:cs="Segoe UI" w:eastAsia="Segoe UI"/>
                <w:color w:val="101820"/>
                <w:sz w:val="18"/>
              </w:rPr>
              <w:t>iNXT BrokerVerse OOTB implementation for [Client legal name]</w:t>
            </w:r>
          </w:p>
        </w:tc>
      </w:tr>
      <w:tr>
        <w:tc>
          <w:tcPr>
            <w:tcW w:type="dxa" w:w="4362"/>
          </w:tcPr>
          <w:p>
            <w:pPr>
              <w:spacing w:after="20"/>
            </w:pPr>
            <w:r>
              <w:rPr>
                <w:rFonts w:ascii="Segoe UI" w:hAnsi="Segoe UI" w:cs="Segoe UI" w:eastAsia="Segoe UI"/>
                <w:color w:val="101820"/>
                <w:sz w:val="18"/>
              </w:rPr>
              <w:t>Order Form and SOW</w:t>
            </w:r>
          </w:p>
        </w:tc>
        <w:tc>
          <w:tcPr>
            <w:tcW w:type="dxa" w:w="4652"/>
          </w:tcPr>
          <w:p>
            <w:pPr>
              <w:spacing w:after="20"/>
            </w:pPr>
            <w:r>
              <w:rPr>
                <w:rFonts w:ascii="Segoe UI" w:hAnsi="Segoe UI" w:cs="Segoe UI" w:eastAsia="Segoe UI"/>
                <w:color w:val="101820"/>
                <w:sz w:val="18"/>
              </w:rPr>
              <w:t>[number]</w:t>
            </w:r>
          </w:p>
        </w:tc>
      </w:tr>
      <w:tr>
        <w:tc>
          <w:tcPr>
            <w:tcW w:type="dxa" w:w="4362"/>
          </w:tcPr>
          <w:p>
            <w:pPr>
              <w:spacing w:after="20"/>
            </w:pPr>
            <w:r>
              <w:rPr>
                <w:rFonts w:ascii="Segoe UI" w:hAnsi="Segoe UI" w:cs="Segoe UI" w:eastAsia="Segoe UI"/>
                <w:color w:val="101820"/>
                <w:sz w:val="18"/>
              </w:rPr>
              <w:t>Deliverable or phase</w:t>
            </w:r>
          </w:p>
        </w:tc>
        <w:tc>
          <w:tcPr>
            <w:tcW w:type="dxa" w:w="4652"/>
          </w:tcPr>
          <w:p>
            <w:pPr>
              <w:spacing w:after="20"/>
            </w:pPr>
            <w:r>
              <w:rPr>
                <w:rFonts w:ascii="Segoe UI" w:hAnsi="Segoe UI" w:cs="Segoe UI" w:eastAsia="Segoe UI"/>
                <w:color w:val="101820"/>
                <w:sz w:val="18"/>
              </w:rPr>
              <w:t>[name]</w:t>
            </w:r>
          </w:p>
        </w:tc>
      </w:tr>
      <w:tr>
        <w:tc>
          <w:tcPr>
            <w:tcW w:type="dxa" w:w="4362"/>
          </w:tcPr>
          <w:p>
            <w:pPr>
              <w:spacing w:after="20"/>
            </w:pPr>
            <w:r>
              <w:rPr>
                <w:rFonts w:ascii="Segoe UI" w:hAnsi="Segoe UI" w:cs="Segoe UI" w:eastAsia="Segoe UI"/>
                <w:color w:val="101820"/>
                <w:sz w:val="18"/>
              </w:rPr>
              <w:t>Submitted on</w:t>
            </w:r>
          </w:p>
        </w:tc>
        <w:tc>
          <w:tcPr>
            <w:tcW w:type="dxa" w:w="4652"/>
          </w:tcPr>
          <w:p>
            <w:pPr>
              <w:spacing w:after="20"/>
            </w:pPr>
            <w:r>
              <w:rPr>
                <w:rFonts w:ascii="Segoe UI" w:hAnsi="Segoe UI" w:cs="Segoe UI" w:eastAsia="Segoe UI"/>
                <w:color w:val="101820"/>
                <w:sz w:val="18"/>
              </w:rPr>
              <w:t>[date]</w:t>
            </w:r>
          </w:p>
        </w:tc>
      </w:tr>
      <w:tr>
        <w:tc>
          <w:tcPr>
            <w:tcW w:type="dxa" w:w="4362"/>
          </w:tcPr>
          <w:p>
            <w:pPr>
              <w:spacing w:after="20"/>
            </w:pPr>
            <w:r>
              <w:rPr>
                <w:rFonts w:ascii="Segoe UI" w:hAnsi="Segoe UI" w:cs="Segoe UI" w:eastAsia="Segoe UI"/>
                <w:color w:val="101820"/>
                <w:sz w:val="18"/>
              </w:rPr>
              <w:t>Acceptance criteria</w:t>
            </w:r>
          </w:p>
        </w:tc>
        <w:tc>
          <w:tcPr>
            <w:tcW w:type="dxa" w:w="4652"/>
          </w:tcPr>
          <w:p>
            <w:pPr>
              <w:spacing w:after="20"/>
            </w:pPr>
            <w:r>
              <w:rPr>
                <w:rFonts w:ascii="Segoe UI" w:hAnsi="Segoe UI" w:cs="Segoe UI" w:eastAsia="Segoe UI"/>
                <w:color w:val="101820"/>
                <w:sz w:val="18"/>
              </w:rPr>
              <w:t>[list from the SOW]</w:t>
            </w:r>
          </w:p>
        </w:tc>
      </w:tr>
      <w:tr>
        <w:tc>
          <w:tcPr>
            <w:tcW w:type="dxa" w:w="4362"/>
          </w:tcPr>
          <w:p>
            <w:pPr>
              <w:spacing w:after="20"/>
            </w:pPr>
            <w:r>
              <w:rPr>
                <w:rFonts w:ascii="Segoe UI" w:hAnsi="Segoe UI" w:cs="Segoe UI" w:eastAsia="Segoe UI"/>
                <w:color w:val="101820"/>
                <w:sz w:val="18"/>
              </w:rPr>
              <w:t>Evidence reviewed</w:t>
            </w:r>
          </w:p>
        </w:tc>
        <w:tc>
          <w:tcPr>
            <w:tcW w:type="dxa" w:w="4652"/>
          </w:tcPr>
          <w:p>
            <w:pPr>
              <w:spacing w:after="20"/>
            </w:pPr>
            <w:r>
              <w:rPr>
                <w:rFonts w:ascii="Segoe UI" w:hAnsi="Segoe UI" w:cs="Segoe UI" w:eastAsia="Segoe UI"/>
                <w:color w:val="101820"/>
                <w:sz w:val="18"/>
              </w:rPr>
              <w:t>[documents, test results, reconciliation reports]</w:t>
            </w:r>
          </w:p>
        </w:tc>
      </w:tr>
      <w:tr>
        <w:tc>
          <w:tcPr>
            <w:tcW w:type="dxa" w:w="4362"/>
          </w:tcPr>
          <w:p>
            <w:pPr>
              <w:spacing w:after="20"/>
            </w:pPr>
            <w:r>
              <w:rPr>
                <w:rFonts w:ascii="Segoe UI" w:hAnsi="Segoe UI" w:cs="Segoe UI" w:eastAsia="Segoe UI"/>
                <w:color w:val="101820"/>
                <w:sz w:val="18"/>
              </w:rPr>
              <w:t>Open items (severity 3 or 4) and agreed dates</w:t>
            </w:r>
          </w:p>
        </w:tc>
        <w:tc>
          <w:tcPr>
            <w:tcW w:type="dxa" w:w="4652"/>
          </w:tcPr>
          <w:p>
            <w:pPr>
              <w:spacing w:after="20"/>
            </w:pPr>
            <w:r>
              <w:rPr>
                <w:rFonts w:ascii="Segoe UI" w:hAnsi="Segoe UI" w:cs="Segoe UI" w:eastAsia="Segoe UI"/>
                <w:color w:val="101820"/>
                <w:sz w:val="18"/>
              </w:rPr>
              <w:t>[items]</w:t>
            </w:r>
          </w:p>
        </w:tc>
      </w:tr>
      <w:tr>
        <w:tc>
          <w:tcPr>
            <w:tcW w:type="dxa" w:w="4362"/>
          </w:tcPr>
          <w:p>
            <w:pPr>
              <w:spacing w:after="20"/>
            </w:pPr>
            <w:r>
              <w:rPr>
                <w:rFonts w:ascii="Segoe UI" w:hAnsi="Segoe UI" w:cs="Segoe UI" w:eastAsia="Segoe UI"/>
                <w:color w:val="101820"/>
                <w:sz w:val="18"/>
              </w:rPr>
              <w:t>Decision</w:t>
            </w:r>
          </w:p>
        </w:tc>
        <w:tc>
          <w:tcPr>
            <w:tcW w:type="dxa" w:w="4652"/>
          </w:tcPr>
          <w:p>
            <w:pPr>
              <w:spacing w:after="20"/>
            </w:pPr>
            <w:r>
              <w:rPr>
                <w:rFonts w:ascii="Segoe UI" w:hAnsi="Segoe UI" w:cs="Segoe UI" w:eastAsia="Segoe UI"/>
                <w:color w:val="101820"/>
                <w:sz w:val="18"/>
              </w:rPr>
              <w:t>[Accepted / Accepted with open items / Not accepted: reasons attached]</w:t>
            </w:r>
          </w:p>
        </w:tc>
      </w:tr>
      <w:tr>
        <w:tc>
          <w:tcPr>
            <w:tcW w:type="dxa" w:w="4362"/>
          </w:tcPr>
          <w:p>
            <w:pPr>
              <w:spacing w:after="20"/>
            </w:pPr>
            <w:r>
              <w:rPr>
                <w:rFonts w:ascii="Segoe UI" w:hAnsi="Segoe UI" w:cs="Segoe UI" w:eastAsia="Segoe UI"/>
                <w:color w:val="101820"/>
                <w:sz w:val="18"/>
              </w:rPr>
              <w:t>Accepted by (Client)</w:t>
            </w:r>
          </w:p>
        </w:tc>
        <w:tc>
          <w:tcPr>
            <w:tcW w:type="dxa" w:w="4652"/>
          </w:tcPr>
          <w:p>
            <w:pPr>
              <w:spacing w:after="20"/>
            </w:pPr>
            <w:r>
              <w:rPr>
                <w:rFonts w:ascii="Segoe UI" w:hAnsi="Segoe UI" w:cs="Segoe UI" w:eastAsia="Segoe UI"/>
                <w:color w:val="101820"/>
                <w:sz w:val="18"/>
              </w:rPr>
              <w:t>[name, title, signature, date]</w:t>
            </w:r>
          </w:p>
        </w:tc>
      </w:tr>
      <w:tr>
        <w:tc>
          <w:tcPr>
            <w:tcW w:type="dxa" w:w="4362"/>
          </w:tcPr>
          <w:p>
            <w:pPr>
              <w:spacing w:after="20"/>
            </w:pPr>
            <w:r>
              <w:rPr>
                <w:rFonts w:ascii="Segoe UI" w:hAnsi="Segoe UI" w:cs="Segoe UI" w:eastAsia="Segoe UI"/>
                <w:color w:val="101820"/>
                <w:sz w:val="18"/>
              </w:rPr>
              <w:t>Received by (iorta TechNXT)</w:t>
            </w:r>
          </w:p>
        </w:tc>
        <w:tc>
          <w:tcPr>
            <w:tcW w:type="dxa" w:w="4652"/>
          </w:tcPr>
          <w:p>
            <w:pPr>
              <w:spacing w:after="20"/>
            </w:pPr>
            <w:r>
              <w:rPr>
                <w:rFonts w:ascii="Segoe UI" w:hAnsi="Segoe UI" w:cs="Segoe UI" w:eastAsia="Segoe UI"/>
                <w:color w:val="101820"/>
                <w:sz w:val="18"/>
              </w:rPr>
              <w:t>[name, title, signature, date]</w:t>
            </w:r>
          </w:p>
        </w:tc>
      </w:tr>
    </w:tbl>
    <w:p>
      <w:pPr>
        <w:pStyle w:val="Heading1"/>
        <w:pageBreakBefore/>
      </w:pPr>
      <w:r>
        <w:rPr>
          <w:rFonts w:ascii="Segoe UI" w:hAnsi="Segoe UI" w:cs="Segoe UI" w:eastAsia="Segoe UI"/>
          <w:b/>
          <w:color w:val="0F4761"/>
          <w:sz w:val="32"/>
        </w:rPr>
        <w:t>16.  Annex B: lines of business in scope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1771"/>
        <w:gridCol w:w="4264"/>
        <w:gridCol w:w="1166"/>
        <w:gridCol w:w="907"/>
      </w:tblGrid>
      <w:tr>
        <w:trPr>
          <w:tblHeader w:val="true"/>
        </w:trPr>
        <w:tc>
          <w:tcPr>
            <w:tcW w:type="dxa" w:w="907"/>
            <w:shd w:val="clear" w:color="auto" w:fill="DCE9F7"/>
          </w:tcPr>
          <w:p>
            <w:pPr>
              <w:spacing w:after="20"/>
            </w:pPr>
            <w:r>
              <w:rPr>
                <w:rFonts w:ascii="Segoe UI" w:hAnsi="Segoe UI" w:cs="Segoe UI" w:eastAsia="Segoe UI"/>
                <w:b/>
                <w:color w:val="0F4761"/>
                <w:sz w:val="16"/>
              </w:rPr>
              <w:t>#</w:t>
            </w:r>
          </w:p>
        </w:tc>
        <w:tc>
          <w:tcPr>
            <w:tcW w:type="dxa" w:w="1771"/>
            <w:shd w:val="clear" w:color="auto" w:fill="DCE9F7"/>
          </w:tcPr>
          <w:p>
            <w:pPr>
              <w:spacing w:after="20"/>
            </w:pPr>
            <w:r>
              <w:rPr>
                <w:rFonts w:ascii="Segoe UI" w:hAnsi="Segoe UI" w:cs="Segoe UI" w:eastAsia="Segoe UI"/>
                <w:b/>
                <w:color w:val="0F4761"/>
                <w:sz w:val="16"/>
              </w:rPr>
              <w:t>Line of business</w:t>
            </w:r>
          </w:p>
        </w:tc>
        <w:tc>
          <w:tcPr>
            <w:tcW w:type="dxa" w:w="4264"/>
            <w:shd w:val="clear" w:color="auto" w:fill="DCE9F7"/>
          </w:tcPr>
          <w:p>
            <w:pPr>
              <w:spacing w:after="20"/>
            </w:pPr>
            <w:r>
              <w:rPr>
                <w:rFonts w:ascii="Segoe UI" w:hAnsi="Segoe UI" w:cs="Segoe UI" w:eastAsia="Segoe UI"/>
                <w:b/>
                <w:color w:val="0F4761"/>
                <w:sz w:val="16"/>
              </w:rPr>
              <w:t>Products and covers</w:t>
            </w:r>
          </w:p>
        </w:tc>
        <w:tc>
          <w:tcPr>
            <w:tcW w:type="dxa" w:w="1166"/>
            <w:shd w:val="clear" w:color="auto" w:fill="DCE9F7"/>
          </w:tcPr>
          <w:p>
            <w:pPr>
              <w:spacing w:after="20"/>
            </w:pPr>
            <w:r>
              <w:rPr>
                <w:rFonts w:ascii="Segoe UI" w:hAnsi="Segoe UI" w:cs="Segoe UI" w:eastAsia="Segoe UI"/>
                <w:b/>
                <w:color w:val="0F4761"/>
                <w:sz w:val="16"/>
              </w:rPr>
              <w:t>Insurers</w:t>
            </w:r>
          </w:p>
        </w:tc>
        <w:tc>
          <w:tcPr>
            <w:tcW w:type="dxa" w:w="907"/>
            <w:shd w:val="clear" w:color="auto" w:fill="DCE9F7"/>
          </w:tcPr>
          <w:p>
            <w:pPr>
              <w:spacing w:after="20"/>
            </w:pPr>
            <w:r>
              <w:rPr>
                <w:rFonts w:ascii="Segoe UI" w:hAnsi="Segoe UI" w:cs="Segoe UI" w:eastAsia="Segoe UI"/>
                <w:b/>
                <w:color w:val="0F4761"/>
                <w:sz w:val="16"/>
              </w:rPr>
              <w:t>Notes</w:t>
            </w:r>
          </w:p>
        </w:tc>
      </w:tr>
      <w:tr>
        <w:tc>
          <w:tcPr>
            <w:tcW w:type="dxa" w:w="907"/>
          </w:tcPr>
          <w:p>
            <w:pPr>
              <w:spacing w:after="20"/>
            </w:pPr>
            <w:r>
              <w:rPr>
                <w:rFonts w:ascii="Segoe UI" w:hAnsi="Segoe UI" w:cs="Segoe UI" w:eastAsia="Segoe UI"/>
                <w:color w:val="101820"/>
                <w:sz w:val="16"/>
              </w:rPr>
              <w:t>1</w:t>
            </w:r>
          </w:p>
        </w:tc>
        <w:tc>
          <w:tcPr>
            <w:tcW w:type="dxa" w:w="1771"/>
          </w:tcPr>
          <w:p>
            <w:pPr>
              <w:spacing w:after="20"/>
            </w:pPr>
            <w:r>
              <w:rPr>
                <w:rFonts w:ascii="Segoe UI" w:hAnsi="Segoe UI" w:cs="Segoe UI" w:eastAsia="Segoe UI"/>
                <w:color w:val="101820"/>
                <w:sz w:val="16"/>
              </w:rPr>
              <w:t>[Motor]</w:t>
            </w:r>
          </w:p>
        </w:tc>
        <w:tc>
          <w:tcPr>
            <w:tcW w:type="dxa" w:w="4264"/>
          </w:tcPr>
          <w:p>
            <w:pPr>
              <w:spacing w:after="20"/>
            </w:pPr>
            <w:r>
              <w:rPr>
                <w:rFonts w:ascii="Segoe UI" w:hAnsi="Segoe UI" w:cs="Segoe UI" w:eastAsia="Segoe UI"/>
                <w:color w:val="101820"/>
                <w:sz w:val="16"/>
              </w:rPr>
              <w:t>[comprehensive, CTPL, Auto Passenger PA]</w:t>
            </w:r>
          </w:p>
        </w:tc>
        <w:tc>
          <w:tcPr>
            <w:tcW w:type="dxa" w:w="1166"/>
          </w:tcPr>
          <w:p>
            <w:pPr>
              <w:spacing w:after="20"/>
            </w:pPr>
            <w:r>
              <w:rPr>
                <w:rFonts w:ascii="Segoe UI" w:hAnsi="Segoe UI" w:cs="Segoe UI" w:eastAsia="Segoe UI"/>
                <w:color w:val="101820"/>
                <w:sz w:val="16"/>
              </w:rPr>
              <w:t>[insurers]</w:t>
            </w:r>
          </w:p>
        </w:tc>
        <w:tc>
          <w:tcPr>
            <w:tcW w:type="dxa" w:w="907"/>
          </w:tcPr>
          <w:p>
            <w:pPr>
              <w:spacing w:after="20"/>
            </w:pPr>
            <w:r>
              <w:rPr>
                <w:rFonts w:ascii="Segoe UI" w:hAnsi="Segoe UI" w:cs="Segoe UI" w:eastAsia="Segoe UI"/>
                <w:color w:val="101820"/>
                <w:sz w:val="16"/>
              </w:rPr>
              <w:t>[notes]</w:t>
            </w:r>
          </w:p>
        </w:tc>
      </w:tr>
      <w:tr>
        <w:tc>
          <w:tcPr>
            <w:tcW w:type="dxa" w:w="907"/>
          </w:tcPr>
          <w:p>
            <w:pPr>
              <w:spacing w:after="20"/>
            </w:pPr>
            <w:r>
              <w:rPr>
                <w:rFonts w:ascii="Segoe UI" w:hAnsi="Segoe UI" w:cs="Segoe UI" w:eastAsia="Segoe UI"/>
                <w:color w:val="101820"/>
                <w:sz w:val="16"/>
              </w:rPr>
              <w:t>2</w:t>
            </w:r>
          </w:p>
        </w:tc>
        <w:tc>
          <w:tcPr>
            <w:tcW w:type="dxa" w:w="1771"/>
          </w:tcPr>
          <w:p>
            <w:pPr>
              <w:spacing w:after="20"/>
            </w:pPr>
            <w:r>
              <w:rPr>
                <w:rFonts w:ascii="Segoe UI" w:hAnsi="Segoe UI" w:cs="Segoe UI" w:eastAsia="Segoe UI"/>
                <w:color w:val="101820"/>
                <w:sz w:val="16"/>
              </w:rPr>
              <w:t>[Fire]</w:t>
            </w:r>
          </w:p>
        </w:tc>
        <w:tc>
          <w:tcPr>
            <w:tcW w:type="dxa" w:w="4264"/>
          </w:tcPr>
          <w:p>
            <w:pPr>
              <w:spacing w:after="20"/>
            </w:pPr>
            <w:r>
              <w:rPr>
                <w:rFonts w:ascii="Segoe UI" w:hAnsi="Segoe UI" w:cs="Segoe UI" w:eastAsia="Segoe UI"/>
                <w:color w:val="101820"/>
                <w:sz w:val="16"/>
              </w:rPr>
              <w:t>[products]</w:t>
            </w:r>
          </w:p>
        </w:tc>
        <w:tc>
          <w:tcPr>
            <w:tcW w:type="dxa" w:w="1166"/>
          </w:tcPr>
          <w:p>
            <w:pPr>
              <w:spacing w:after="20"/>
            </w:pPr>
            <w:r>
              <w:rPr>
                <w:rFonts w:ascii="Segoe UI" w:hAnsi="Segoe UI" w:cs="Segoe UI" w:eastAsia="Segoe UI"/>
                <w:color w:val="101820"/>
                <w:sz w:val="16"/>
              </w:rPr>
              <w:t>[insurers]</w:t>
            </w:r>
          </w:p>
        </w:tc>
        <w:tc>
          <w:tcPr>
            <w:tcW w:type="dxa" w:w="907"/>
          </w:tcPr>
          <w:p>
            <w:pPr>
              <w:spacing w:after="20"/>
            </w:pPr>
            <w:r>
              <w:rPr>
                <w:rFonts w:ascii="Segoe UI" w:hAnsi="Segoe UI" w:cs="Segoe UI" w:eastAsia="Segoe UI"/>
                <w:color w:val="101820"/>
                <w:sz w:val="16"/>
              </w:rPr>
              <w:t>[notes]</w:t>
            </w:r>
          </w:p>
        </w:tc>
      </w:tr>
      <w:tr>
        <w:tc>
          <w:tcPr>
            <w:tcW w:type="dxa" w:w="907"/>
          </w:tcPr>
          <w:p>
            <w:pPr>
              <w:spacing w:after="20"/>
            </w:pPr>
            <w:r>
              <w:rPr>
                <w:rFonts w:ascii="Segoe UI" w:hAnsi="Segoe UI" w:cs="Segoe UI" w:eastAsia="Segoe UI"/>
                <w:color w:val="101820"/>
                <w:sz w:val="16"/>
              </w:rPr>
              <w:t>3</w:t>
            </w:r>
          </w:p>
        </w:tc>
        <w:tc>
          <w:tcPr>
            <w:tcW w:type="dxa" w:w="1771"/>
          </w:tcPr>
          <w:p>
            <w:pPr>
              <w:spacing w:after="20"/>
            </w:pPr>
            <w:r>
              <w:rPr>
                <w:rFonts w:ascii="Segoe UI" w:hAnsi="Segoe UI" w:cs="Segoe UI" w:eastAsia="Segoe UI"/>
                <w:color w:val="101820"/>
                <w:sz w:val="16"/>
              </w:rPr>
              <w:t>[line]</w:t>
            </w:r>
          </w:p>
        </w:tc>
        <w:tc>
          <w:tcPr>
            <w:tcW w:type="dxa" w:w="4264"/>
          </w:tcPr>
          <w:p>
            <w:pPr>
              <w:spacing w:after="20"/>
            </w:pPr>
            <w:r>
              <w:rPr>
                <w:rFonts w:ascii="Segoe UI" w:hAnsi="Segoe UI" w:cs="Segoe UI" w:eastAsia="Segoe UI"/>
                <w:color w:val="101820"/>
                <w:sz w:val="16"/>
              </w:rPr>
              <w:t>[products]</w:t>
            </w:r>
          </w:p>
        </w:tc>
        <w:tc>
          <w:tcPr>
            <w:tcW w:type="dxa" w:w="1166"/>
          </w:tcPr>
          <w:p>
            <w:pPr>
              <w:spacing w:after="20"/>
            </w:pPr>
            <w:r>
              <w:rPr>
                <w:rFonts w:ascii="Segoe UI" w:hAnsi="Segoe UI" w:cs="Segoe UI" w:eastAsia="Segoe UI"/>
                <w:color w:val="101820"/>
                <w:sz w:val="16"/>
              </w:rPr>
              <w:t>[insurers]</w:t>
            </w:r>
          </w:p>
        </w:tc>
        <w:tc>
          <w:tcPr>
            <w:tcW w:type="dxa" w:w="907"/>
          </w:tcPr>
          <w:p>
            <w:pPr>
              <w:spacing w:after="20"/>
            </w:pPr>
            <w:r>
              <w:rPr>
                <w:rFonts w:ascii="Segoe UI" w:hAnsi="Segoe UI" w:cs="Segoe UI" w:eastAsia="Segoe UI"/>
                <w:color w:val="101820"/>
                <w:sz w:val="16"/>
              </w:rPr>
              <w:t>[notes]</w:t>
            </w:r>
          </w:p>
        </w:tc>
      </w:tr>
    </w:tbl>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17.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Review and completion by the parties' legal counsel before signature</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Open</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