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Regulatory Compliance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Regulatory Compliance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Matrix for Philippine brokers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Matrix for Philippine brokers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242_3960898926">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2244_3960898926">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2246_3960898926">
            <w:r>
              <w:rPr>
                <w:webHidden/>
                <w:rStyle w:val="IndexLink"/>
              </w:rPr>
              <w:t>3. Introduction</w:t>
              <w:tab/>
              <w:t>4</w:t>
            </w:r>
          </w:hyperlink>
        </w:p>
        <w:p>
          <w:pPr>
            <w:pStyle w:val="TOC2"/>
            <w:tabs>
              <w:tab w:val="clear" w:pos="900"/>
              <w:tab w:val="clear" w:pos="9350"/>
              <w:tab w:val="right" w:pos="9025" w:leader="dot"/>
            </w:tabs>
            <w:rPr/>
          </w:pPr>
          <w:hyperlink w:anchor="__RefHeading___Toc12248_3960898926">
            <w:r>
              <w:rPr>
                <w:webHidden/>
                <w:rStyle w:val="IndexLink"/>
              </w:rPr>
              <w:t>3.1 Purpose</w:t>
              <w:tab/>
              <w:t>4</w:t>
            </w:r>
          </w:hyperlink>
        </w:p>
        <w:p>
          <w:pPr>
            <w:pStyle w:val="TOC2"/>
            <w:tabs>
              <w:tab w:val="clear" w:pos="900"/>
              <w:tab w:val="clear" w:pos="9350"/>
              <w:tab w:val="right" w:pos="9025" w:leader="dot"/>
            </w:tabs>
            <w:rPr/>
          </w:pPr>
          <w:hyperlink w:anchor="__RefHeading___Toc12250_3960898926">
            <w:r>
              <w:rPr>
                <w:webHidden/>
                <w:rStyle w:val="IndexLink"/>
              </w:rPr>
              <w:t>3.2 How to read this matrix</w:t>
              <w:tab/>
              <w:t>5</w:t>
            </w:r>
          </w:hyperlink>
        </w:p>
        <w:p>
          <w:pPr>
            <w:pStyle w:val="TOC2"/>
            <w:tabs>
              <w:tab w:val="clear" w:pos="900"/>
              <w:tab w:val="clear" w:pos="9350"/>
              <w:tab w:val="right" w:pos="9025" w:leader="dot"/>
            </w:tabs>
            <w:rPr/>
          </w:pPr>
          <w:hyperlink w:anchor="__RefHeading___Toc12252_3960898926">
            <w:r>
              <w:rPr>
                <w:webHidden/>
                <w:rStyle w:val="IndexLink"/>
              </w:rPr>
              <w:t>3.3 Version history</w:t>
              <w:tab/>
              <w:t>5</w:t>
            </w:r>
          </w:hyperlink>
        </w:p>
        <w:p>
          <w:pPr>
            <w:pStyle w:val="TOC1"/>
            <w:tabs>
              <w:tab w:val="clear" w:pos="900"/>
              <w:tab w:val="clear" w:pos="9350"/>
              <w:tab w:val="right" w:pos="9025" w:leader="dot"/>
            </w:tabs>
            <w:rPr/>
          </w:pPr>
          <w:hyperlink w:anchor="__RefHeading___Toc12254_3960898926">
            <w:r>
              <w:rPr>
                <w:webHidden/>
                <w:rStyle w:val="IndexLink"/>
              </w:rPr>
              <w:t>4. General controls used throughout</w:t>
              <w:tab/>
              <w:t>6</w:t>
            </w:r>
          </w:hyperlink>
        </w:p>
        <w:p>
          <w:pPr>
            <w:pStyle w:val="TOC1"/>
            <w:tabs>
              <w:tab w:val="clear" w:pos="900"/>
              <w:tab w:val="clear" w:pos="9350"/>
              <w:tab w:val="right" w:pos="9025" w:leader="dot"/>
            </w:tabs>
            <w:rPr/>
          </w:pPr>
          <w:hyperlink w:anchor="__RefHeading___Toc12256_3960898926">
            <w:r>
              <w:rPr>
                <w:webHidden/>
                <w:rStyle w:val="IndexLink"/>
              </w:rPr>
              <w:t>5. Insurance Code (RA 10607): broker obligations</w:t>
              <w:tab/>
              <w:t>7</w:t>
            </w:r>
          </w:hyperlink>
        </w:p>
        <w:p>
          <w:pPr>
            <w:pStyle w:val="TOC1"/>
            <w:tabs>
              <w:tab w:val="clear" w:pos="900"/>
              <w:tab w:val="clear" w:pos="9350"/>
              <w:tab w:val="right" w:pos="9025" w:leader="dot"/>
            </w:tabs>
            <w:rPr/>
          </w:pPr>
          <w:hyperlink w:anchor="__RefHeading___Toc12258_3960898926">
            <w:r>
              <w:rPr>
                <w:webHidden/>
                <w:rStyle w:val="IndexLink"/>
              </w:rPr>
              <w:t>6. BIR: taxes, receipts and books</w:t>
              <w:tab/>
              <w:t>11</w:t>
            </w:r>
          </w:hyperlink>
        </w:p>
        <w:p>
          <w:pPr>
            <w:pStyle w:val="TOC2"/>
            <w:tabs>
              <w:tab w:val="clear" w:pos="900"/>
              <w:tab w:val="clear" w:pos="9350"/>
              <w:tab w:val="right" w:pos="9025" w:leader="dot"/>
            </w:tabs>
            <w:rPr/>
          </w:pPr>
          <w:hyperlink w:anchor="__RefHeading___Toc12260_3960898926">
            <w:r>
              <w:rPr>
                <w:webHidden/>
                <w:rStyle w:val="IndexLink"/>
              </w:rPr>
              <w:t>6.1 Books of accounts and Computerized Accounting System</w:t>
              <w:tab/>
              <w:t>11</w:t>
            </w:r>
          </w:hyperlink>
        </w:p>
        <w:p>
          <w:pPr>
            <w:pStyle w:val="TOC2"/>
            <w:tabs>
              <w:tab w:val="clear" w:pos="900"/>
              <w:tab w:val="clear" w:pos="9350"/>
              <w:tab w:val="right" w:pos="9025" w:leader="dot"/>
            </w:tabs>
            <w:rPr/>
          </w:pPr>
          <w:hyperlink w:anchor="__RefHeading___Toc12262_3960898926">
            <w:r>
              <w:rPr>
                <w:webHidden/>
                <w:rStyle w:val="IndexLink"/>
              </w:rPr>
              <w:t>6.2 Invoices and receipts</w:t>
              <w:tab/>
              <w:t>12</w:t>
            </w:r>
          </w:hyperlink>
        </w:p>
        <w:p>
          <w:pPr>
            <w:pStyle w:val="TOC2"/>
            <w:tabs>
              <w:tab w:val="clear" w:pos="900"/>
              <w:tab w:val="clear" w:pos="9350"/>
              <w:tab w:val="right" w:pos="9025" w:leader="dot"/>
            </w:tabs>
            <w:rPr/>
          </w:pPr>
          <w:hyperlink w:anchor="__RefHeading___Toc12264_3960898926">
            <w:r>
              <w:rPr>
                <w:webHidden/>
                <w:rStyle w:val="IndexLink"/>
              </w:rPr>
              <w:t>6.3 VAT or percentage tax on commission</w:t>
              <w:tab/>
              <w:t>12</w:t>
            </w:r>
          </w:hyperlink>
        </w:p>
        <w:p>
          <w:pPr>
            <w:pStyle w:val="TOC2"/>
            <w:tabs>
              <w:tab w:val="clear" w:pos="900"/>
              <w:tab w:val="clear" w:pos="9350"/>
              <w:tab w:val="right" w:pos="9025" w:leader="dot"/>
            </w:tabs>
            <w:rPr/>
          </w:pPr>
          <w:hyperlink w:anchor="__RefHeading___Toc12266_3960898926">
            <w:r>
              <w:rPr>
                <w:webHidden/>
                <w:rStyle w:val="IndexLink"/>
              </w:rPr>
              <w:t>6.4 Withholding taxes</w:t>
              <w:tab/>
              <w:t>13</w:t>
            </w:r>
          </w:hyperlink>
        </w:p>
        <w:p>
          <w:pPr>
            <w:pStyle w:val="TOC2"/>
            <w:tabs>
              <w:tab w:val="clear" w:pos="900"/>
              <w:tab w:val="clear" w:pos="9350"/>
              <w:tab w:val="right" w:pos="9025" w:leader="dot"/>
            </w:tabs>
            <w:rPr/>
          </w:pPr>
          <w:hyperlink w:anchor="__RefHeading___Toc12268_3960898926">
            <w:r>
              <w:rPr>
                <w:webHidden/>
                <w:rStyle w:val="IndexLink"/>
              </w:rPr>
              <w:t>6.5 Summary lists and alphalists</w:t>
              <w:tab/>
              <w:t>14</w:t>
            </w:r>
          </w:hyperlink>
        </w:p>
        <w:p>
          <w:pPr>
            <w:pStyle w:val="TOC1"/>
            <w:tabs>
              <w:tab w:val="clear" w:pos="900"/>
              <w:tab w:val="clear" w:pos="9350"/>
              <w:tab w:val="right" w:pos="9025" w:leader="dot"/>
            </w:tabs>
            <w:rPr/>
          </w:pPr>
          <w:hyperlink w:anchor="__RefHeading___Toc12270_3960898926">
            <w:r>
              <w:rPr>
                <w:webHidden/>
                <w:rStyle w:val="IndexLink"/>
              </w:rPr>
              <w:t>7. Taxes and charges on premium</w:t>
              <w:tab/>
              <w:t>15</w:t>
            </w:r>
          </w:hyperlink>
        </w:p>
        <w:p>
          <w:pPr>
            <w:pStyle w:val="TOC1"/>
            <w:tabs>
              <w:tab w:val="clear" w:pos="900"/>
              <w:tab w:val="clear" w:pos="9350"/>
              <w:tab w:val="right" w:pos="9025" w:leader="dot"/>
            </w:tabs>
            <w:rPr/>
          </w:pPr>
          <w:hyperlink w:anchor="__RefHeading___Toc12272_3960898926">
            <w:r>
              <w:rPr>
                <w:webHidden/>
                <w:rStyle w:val="IndexLink"/>
              </w:rPr>
              <w:t>8. CTPL and motor rules</w:t>
              <w:tab/>
              <w:t>16</w:t>
            </w:r>
          </w:hyperlink>
        </w:p>
        <w:p>
          <w:pPr>
            <w:pStyle w:val="TOC1"/>
            <w:tabs>
              <w:tab w:val="clear" w:pos="900"/>
              <w:tab w:val="clear" w:pos="9350"/>
              <w:tab w:val="right" w:pos="9025" w:leader="dot"/>
            </w:tabs>
            <w:rPr/>
          </w:pPr>
          <w:hyperlink w:anchor="__RefHeading___Toc12274_3960898926">
            <w:r>
              <w:rPr>
                <w:webHidden/>
                <w:rStyle w:val="IndexLink"/>
              </w:rPr>
              <w:t>9. Data Privacy Act (RA 10173)</w:t>
              <w:tab/>
              <w:t>17</w:t>
            </w:r>
          </w:hyperlink>
        </w:p>
        <w:p>
          <w:pPr>
            <w:pStyle w:val="TOC1"/>
            <w:tabs>
              <w:tab w:val="clear" w:pos="900"/>
              <w:tab w:val="clear" w:pos="9350"/>
              <w:tab w:val="right" w:pos="9025" w:leader="dot"/>
            </w:tabs>
            <w:rPr/>
          </w:pPr>
          <w:hyperlink w:anchor="__RefHeading___Toc12276_3960898926">
            <w:r>
              <w:rPr>
                <w:webHidden/>
                <w:rStyle w:val="IndexLink"/>
              </w:rPr>
              <w:t>10. Anti-Money Laundering Act (where applicable)</w:t>
              <w:tab/>
              <w:t>20</w:t>
            </w:r>
          </w:hyperlink>
        </w:p>
        <w:p>
          <w:pPr>
            <w:pStyle w:val="TOC1"/>
            <w:tabs>
              <w:tab w:val="clear" w:pos="900"/>
              <w:tab w:val="clear" w:pos="9350"/>
              <w:tab w:val="right" w:pos="9025" w:leader="dot"/>
            </w:tabs>
            <w:rPr/>
          </w:pPr>
          <w:hyperlink w:anchor="__RefHeading___Toc12278_3960898926">
            <w:r>
              <w:rPr>
                <w:webHidden/>
                <w:rStyle w:val="IndexLink"/>
              </w:rPr>
              <w:t>11. Summary of what remains with the broker</w:t>
              <w:tab/>
              <w:t>23</w:t>
            </w:r>
          </w:hyperlink>
        </w:p>
        <w:p>
          <w:pPr>
            <w:pStyle w:val="TOC1"/>
            <w:tabs>
              <w:tab w:val="clear" w:pos="900"/>
              <w:tab w:val="clear" w:pos="9350"/>
              <w:tab w:val="right" w:pos="9025" w:leader="dot"/>
            </w:tabs>
            <w:rPr/>
          </w:pPr>
          <w:hyperlink w:anchor="__RefHeading___Toc12280_3960898926">
            <w:r>
              <w:rPr>
                <w:webHidden/>
                <w:rStyle w:val="IndexLink"/>
                <w:i w:val="false"/>
                <w:iCs w:val="false"/>
              </w:rPr>
              <w:t>12. Document Sign-Off</w:t>
            </w:r>
            <w:r>
              <w:rPr>
                <w:rStyle w:val="IndexLink"/>
              </w:rPr>
              <w:tab/>
              <w:t>24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2242_396089892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 IC licences, fit and proper, insurer authority, complaints and IC reports; NPC breach register, masking and encryption; masking of test copies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2244_396089892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NIRC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Internal Revenue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 (RA 9160, as amended)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Customer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identifiable information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2246_3960898926"/>
      <w:bookmarkEnd w:id="6"/>
      <w:r>
        <w:rPr>
          <w:rFonts w:eastAsia="Segoe UI" w:cs="Segoe UI" w:ascii="Segoe UI" w:hAnsi="Segoe UI"/>
          <w:b/>
          <w:color w:val="0F4761"/>
          <w:sz w:val="32"/>
        </w:rPr>
        <w:t>3.  Introduction</w:t>
      </w:r>
    </w:p>
    <w:p>
      <w:pPr>
        <w:pStyle w:val="Heading2"/>
        <w:rPr/>
      </w:pPr>
      <w:bookmarkStart w:id="7" w:name="__RefHeading___Toc12248_3960898926"/>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matrix shows how BrokerVerse OOTB supports the main regulatory obligations of a Philippine non-life insurance broker. For each obligation it gives the requirement in general terms, the screens, settings and reports of BrokerVerse that support it, and what remains the broker's responsibility.</w:t>
      </w:r>
    </w:p>
    <w:p>
      <w:pPr>
        <w:pStyle w:val="Heading2"/>
        <w:rPr/>
      </w:pPr>
      <w:bookmarkStart w:id="8" w:name="__RefHeading___Toc12250_3960898926"/>
      <w:bookmarkEnd w:id="8"/>
      <w:r>
        <w:rPr>
          <w:rFonts w:eastAsia="Segoe UI" w:cs="Segoe UI"/>
          <w:b/>
          <w:color w:val="0F4761"/>
          <w:sz w:val="26"/>
        </w:rPr>
        <w:t>3.2  How to read this matrix</w:t>
      </w:r>
    </w:p>
    <w:p>
      <w:pPr>
        <w:pStyle w:val="Normal"/>
        <w:numPr>
          <w:ilvl w:val="0"/>
          <w:numId w:val="1"/>
        </w:numPr>
        <w:spacing w:before="0" w:after="60"/>
        <w:rPr/>
      </w:pPr>
      <w:r>
        <w:rPr>
          <w:rFonts w:eastAsia="Segoe UI" w:cs="Segoe UI" w:ascii="Segoe UI" w:hAnsi="Segoe UI"/>
          <w:b/>
          <w:color w:val="101820"/>
          <w:sz w:val="21"/>
        </w:rPr>
        <w:t>Requirement</w:t>
      </w:r>
      <w:r>
        <w:rPr>
          <w:rFonts w:eastAsia="Segoe UI" w:cs="Segoe UI" w:ascii="Segoe UI" w:hAnsi="Segoe UI"/>
          <w:color w:val="101820"/>
          <w:sz w:val="21"/>
        </w:rPr>
        <w:t xml:space="preserve"> describes the obligation in general terms. It is not a legal text and does not quote circulars, regulations or rulings. The broker's compliance officer, tax adviser and DPO confirm the requirements that apply to the broker, at the current state of the law, and the exact forms, deadlines and formats.</w:t>
      </w:r>
    </w:p>
    <w:p>
      <w:pPr>
        <w:pStyle w:val="Normal"/>
        <w:numPr>
          <w:ilvl w:val="0"/>
          <w:numId w:val="1"/>
        </w:numPr>
        <w:spacing w:before="0" w:after="60"/>
        <w:rPr/>
      </w:pPr>
      <w:r>
        <w:rPr>
          <w:rFonts w:eastAsia="Segoe UI" w:cs="Segoe UI" w:ascii="Segoe UI" w:hAnsi="Segoe UI"/>
          <w:b/>
          <w:color w:val="101820"/>
          <w:sz w:val="21"/>
        </w:rPr>
        <w:t>How BrokerVerse supports it</w:t>
      </w:r>
      <w:r>
        <w:rPr>
          <w:rFonts w:eastAsia="Segoe UI" w:cs="Segoe UI" w:ascii="Segoe UI" w:hAnsi="Segoe UI"/>
          <w:color w:val="101820"/>
          <w:sz w:val="21"/>
        </w:rPr>
        <w:t xml:space="preserve"> names the screens (by menu path), settings (Master &gt; Configuration keys) and reports as they are in BrokerVerse OOTB version 1.0. Delivered values (rates, days) are the values the system ships with and can be changed in configuration.</w:t>
      </w:r>
    </w:p>
    <w:p>
      <w:pPr>
        <w:pStyle w:val="Normal"/>
        <w:numPr>
          <w:ilvl w:val="0"/>
          <w:numId w:val="1"/>
        </w:numPr>
        <w:spacing w:before="0" w:after="60"/>
        <w:rPr/>
      </w:pPr>
      <w:r>
        <w:rPr>
          <w:rFonts w:eastAsia="Segoe UI" w:cs="Segoe UI" w:ascii="Segoe UI" w:hAnsi="Segoe UI"/>
          <w:b/>
          <w:color w:val="101820"/>
          <w:sz w:val="21"/>
        </w:rPr>
        <w:t>Broker's responsibility</w:t>
      </w:r>
      <w:r>
        <w:rPr>
          <w:rFonts w:eastAsia="Segoe UI" w:cs="Segoe UI" w:ascii="Segoe UI" w:hAnsi="Segoe UI"/>
          <w:color w:val="101820"/>
          <w:sz w:val="21"/>
        </w:rPr>
        <w:t xml:space="preserve"> lists what the system does not do, and what the broker must decide, verify, file or keep.</w:t>
      </w:r>
    </w:p>
    <w:p>
      <w:pPr>
        <w:pStyle w:val="Normal"/>
        <w:shd w:val="clear" w:color="auto" w:fill="EAF2FB"/>
        <w:spacing w:before="0" w:after="160"/>
        <w:ind w:left="170"/>
        <w:rPr/>
      </w:pPr>
      <w:r>
        <w:rPr>
          <w:rFonts w:eastAsia="Segoe UI" w:cs="Segoe UI" w:ascii="Segoe UI" w:hAnsi="Segoe UI"/>
          <w:color w:val="101820"/>
          <w:sz w:val="20"/>
        </w:rPr>
        <w:t>This document is not legal or tax advice. The system produces records, working papers and controls. Registrations, filings, payments to government, notifications and the interpretation of the law remain with the broker.</w:t>
      </w:r>
    </w:p>
    <w:p>
      <w:pPr>
        <w:pStyle w:val="Heading2"/>
        <w:rPr/>
      </w:pPr>
      <w:bookmarkStart w:id="9" w:name="__RefHeading___Toc12252_3960898926"/>
      <w:bookmarkEnd w:id="9"/>
      <w:r>
        <w:rPr>
          <w:rFonts w:eastAsia="Segoe UI" w:cs="Segoe UI"/>
          <w:b/>
          <w:color w:val="0F4761"/>
          <w:sz w:val="26"/>
        </w:rPr>
        <w:t>3.3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issue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Code chapter: licence register and commission block, fit and proper records, insurer certificate of authority check, complaints register (RA 11765), IC annual statement and production report. Data Privacy Act chapter: masking by role, field encryption, breach register with the 72-hour clock, masking of production copies used outside production. Menu paths updated to the new menu; eight roles</w:t>
            </w:r>
          </w:p>
        </w:tc>
      </w:tr>
    </w:tbl>
    <w:p>
      <w:pPr>
        <w:pStyle w:val="Heading1"/>
        <w:rPr/>
      </w:pPr>
      <w:r>
        <w:br w:type="page"/>
      </w:r>
      <w:bookmarkStart w:id="10" w:name="__RefHeading___Toc12254_3960898926"/>
      <w:bookmarkEnd w:id="10"/>
      <w:r>
        <w:rPr>
          <w:rFonts w:eastAsia="Segoe UI" w:cs="Segoe UI" w:ascii="Segoe UI" w:hAnsi="Segoe UI"/>
          <w:b/>
          <w:color w:val="0F4761"/>
          <w:sz w:val="32"/>
        </w:rPr>
        <w:t>4.  General controls used throughout</w:t>
      </w:r>
    </w:p>
    <w:p>
      <w:pPr>
        <w:pStyle w:val="Normal"/>
        <w:spacing w:lineRule="auto" w:line="276" w:before="0" w:after="120"/>
        <w:rPr/>
      </w:pPr>
      <w:r>
        <w:rPr>
          <w:rFonts w:eastAsia="Segoe UI" w:cs="Segoe UI" w:ascii="Segoe UI" w:hAnsi="Segoe UI"/>
          <w:color w:val="101820"/>
          <w:sz w:val="21"/>
        </w:rPr>
        <w:t>Several controls support every obligation in this matrix. They are referred to below without repeating them.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provides it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 IDs and role-based access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Eight roles (including the Compliance Officer (AML/CFT)); deny by default; menus and every API action checked against the role's permissions (Master &gt; Users and Access)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journal vouchers, payment vouchers, commission payouts, remittances, debit notes, claim settlements, month-end and year-end close, bank reconciliations (user manual, chapter 3)</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&gt; Audit Trail: every create, update, approval, report run and sign-in, with before and after values; entries are kept (</w:t>
            </w:r>
            <w:r>
              <w:rPr>
                <w:rFonts w:eastAsia="Consolas" w:cs="Consolas" w:ascii="Consolas" w:hAnsi="Consolas"/>
                <w:color w:val="101820"/>
                <w:kern w:val="0"/>
                <w:sz w:val="16"/>
                <w:szCs w:val="24"/>
                <w:lang w:val="en-US" w:eastAsia="ja-JP" w:bidi="ar-SA"/>
              </w:rPr>
              <w:t>housekeeping.audit_log_days</w:t>
            </w:r>
            <w:r>
              <w:rPr>
                <w:rFonts w:eastAsia="Segoe UI" w:cs="Segoe UI" w:ascii="Segoe UI" w:hAnsi="Segoe UI"/>
                <w:color w:val="101820"/>
                <w:kern w:val="0"/>
                <w:sz w:val="18"/>
                <w:szCs w:val="24"/>
                <w:lang w:val="en-US" w:eastAsia="ja-JP" w:bidi="ar-SA"/>
              </w:rPr>
              <w:t xml:space="preserve"> is 0)</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Numbered documents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number series in Master &gt; Document Numbering; counters only move forward</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open, soft-closed, closed and locked periods; reopening needs a remark and is recorded</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Printed documents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document and report PDF carries the letterhead of the primary company (name, address, TIN, IC licence, contact details) from the Company master, with the footer line of Theme and Branding</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signatures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Signatures of company signatories and users captured with a consent statement, versioned, revocable, mapped per document type; capture and revocation in the audit trail with a hash of the image (Master &gt; System Settings &gt; Theme and Branding &gt; Document signatures)</w:t>
            </w:r>
          </w:p>
        </w:tc>
      </w:tr>
    </w:tbl>
    <w:p>
      <w:pPr>
        <w:pStyle w:val="Heading1"/>
        <w:rPr/>
      </w:pPr>
      <w:r>
        <w:br w:type="page"/>
      </w:r>
      <w:bookmarkStart w:id="11" w:name="__RefHeading___Toc12256_3960898926"/>
      <w:bookmarkEnd w:id="11"/>
      <w:r>
        <w:rPr>
          <w:rFonts w:eastAsia="Segoe UI" w:cs="Segoe UI" w:ascii="Segoe UI" w:hAnsi="Segoe UI"/>
          <w:b/>
          <w:color w:val="0F4761"/>
          <w:sz w:val="32"/>
        </w:rPr>
        <w:t>5.  Insurance Code (RA 10607): broker obligations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of business. A licensed broker keeps complete records of the insurance it places (clients, insurers, policies, premiums, commissions) and makes them available to the IC on examination.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records: Request for Quotation (broker slips, offers), Quotations, Placement Slips with each insurer's confirmation, policies with participants, endorsements, claims, renewals, each with its number series and audit trail. Reports: Production Register, Premium by Product / Month / Insurer, Co-insurance Register, Broker Commission Statement, Claims Position, Renewal Retention (Reports &gt; All Reports; XLSX, CSV or PDF)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records for the period the IC requires, including records of the old system; provide them on examination; keep the IC licence current (licence number on the Company master and the Licence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collected are held for the insurer. Premium a broker collects from clients belongs to the insurer and must be accounted for separately from the broker's own funds.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ledger keeps premium due to each insurer apart from commission income: the policy journal credits Premiums Payable to Insurers per insurer and Brokerage Commission Income separately; VAT, DST and LGT on premium go to their own accounts (</w:t>
            </w:r>
            <w:r>
              <w:rPr>
                <w:rFonts w:eastAsia="Consolas" w:cs="Consolas" w:ascii="Consolas" w:hAnsi="Consolas"/>
                <w:color w:val="101820"/>
                <w:kern w:val="0"/>
                <w:sz w:val="16"/>
                <w:szCs w:val="24"/>
                <w:lang w:val="en-US" w:eastAsia="ja-JP" w:bidi="ar-SA"/>
              </w:rPr>
              <w:t>accounting.split_premium_taxes</w:t>
            </w:r>
            <w:r>
              <w:rPr>
                <w:rFonts w:eastAsia="Segoe UI" w:cs="Segoe UI" w:ascii="Segoe UI" w:hAnsi="Segoe UI"/>
                <w:color w:val="101820"/>
                <w:kern w:val="0"/>
                <w:sz w:val="18"/>
                <w:szCs w:val="24"/>
                <w:lang w:val="en-US" w:eastAsia="ja-JP" w:bidi="ar-SA"/>
              </w:rPr>
              <w:t>). The delivered chart of accounts has Cash in Bank - Premium Trust Account (Clients' Money); bank accounts can be set up as Trust Account and linked to it. Reports: Due to Insurers by Co-insurer, Aged Payables to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whether to keep premiums in a separate trust bank account and receive collections there; reconcile it monthly (Accounts &gt; Bank Reconciliation)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insurers within the agreed terms. The broker remits premium collected, net of its commission where the agreement allows, within the terms agreed with each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Insurance Company master: Remittance Terms (days after collection), else </w:t>
            </w:r>
            <w:r>
              <w:rPr>
                <w:rFonts w:eastAsia="Consolas" w:cs="Consolas" w:ascii="Consolas" w:hAnsi="Consolas"/>
                <w:color w:val="101820"/>
                <w:kern w:val="0"/>
                <w:sz w:val="16"/>
                <w:szCs w:val="24"/>
                <w:lang w:val="en-US" w:eastAsia="ja-JP" w:bidi="ar-SA"/>
              </w:rPr>
              <w:t>remittance.default_due_days</w:t>
            </w:r>
            <w:r>
              <w:rPr>
                <w:rFonts w:eastAsia="Segoe UI" w:cs="Segoe UI" w:ascii="Segoe UI" w:hAnsi="Segoe UI"/>
                <w:color w:val="101820"/>
                <w:kern w:val="0"/>
                <w:sz w:val="18"/>
                <w:szCs w:val="24"/>
                <w:lang w:val="en-US" w:eastAsia="ja-JP" w:bidi="ar-SA"/>
              </w:rPr>
              <w:t xml:space="preserve"> (delivered 30). Accounts &gt; Remittance: Automated Processing builds the remittance per insurer net of commission, approved within the approver's limit in Master &gt; Users and Access &gt; Authority Matrix (Remittance approval and Remittance settlement; delivered limits: Accounting up to PHP 1,000,000.00, Accounting Manager without limit), settlement by payment voucher, Electronic Transfer records, Tracking, Statements and Reconciliation. Accounts &gt; Credit Control &gt; Remittance Ageing; Aged Payables to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terms with each insurer and enter them; run the remittance and make the payments in time; settle the amounts due at go-live by payment voucher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and credit terms. Under the Insurance Code a non-life policy is not binding until the premium is paid, except where a credit term is allowed, for example under broker agreements with the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Insurance Company master: Premium Payment Warranty (days), else </w:t>
            </w:r>
            <w:r>
              <w:rPr>
                <w:rFonts w:eastAsia="Consolas" w:cs="Consolas" w:ascii="Consolas" w:hAnsi="Consolas"/>
                <w:color w:val="101820"/>
                <w:kern w:val="0"/>
                <w:sz w:val="16"/>
                <w:szCs w:val="24"/>
                <w:lang w:val="en-US" w:eastAsia="ja-JP" w:bidi="ar-SA"/>
              </w:rPr>
              <w:t>collections.default_credit_days</w:t>
            </w:r>
            <w:r>
              <w:rPr>
                <w:rFonts w:eastAsia="Segoe UI" w:cs="Segoe UI" w:ascii="Segoe UI" w:hAnsi="Segoe UI"/>
                <w:color w:val="101820"/>
                <w:kern w:val="0"/>
                <w:sz w:val="18"/>
                <w:szCs w:val="24"/>
                <w:lang w:val="en-US" w:eastAsia="ja-JP" w:bidi="ar-SA"/>
              </w:rPr>
              <w:t xml:space="preserve"> (delivered 30), sets the due date of each premium bill. Accounts &gt; Collections with ageing (30, 60, 90, 120 days); Collection reminders job (daily 08:00); Accounts &gt; Credit Control &gt; Premium Warranty Monitor and Instalment Plans; claims on a policy with unpaid premium are refused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credit terms with each insurer; follow up unpaid premium; notify the insurer and handle cancellation for non-payment as the insurer agreement and the law require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for premium collected. Every collection is acknowledged with a receipt and accounted for.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official receipts against open bills from the Official Receipt series, printed on the letterhead; only Accounting posts receipts; other roles record the payment for verification; returned cheques cancel the receipt and reopen the bill. Receipts Register; Collection Report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receipt series with the BIR (see chapter 6) and set the next number to match; keep cancelled receipts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The broker accounts for the commission it earns from each insurer and for commission it shares with sub-agents or 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per insurer, product and cover (Master &gt; Finance &gt; Commission Rate Matrix); commission income per insurer on each policy; direct bill commission debit notes; referrer commission 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with withholding tax. Broker Commission Statement; Commission Dashboard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Ensure commission rates match the agreements and the limits that apply; ensure sharing with referrers is allowed under the IC rules for the persons concerned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with authorised insurers. A broker places business with insurers authorised to do business in the Philippines.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IC certificate of authority number and validity are fields of the insurer (Master &gt; Insurance &gt; Insurance Company). They are checked when a request for quotation is sent, when the firm order of a placement slip is sent and when a policy is issued: </w:t>
            </w:r>
            <w:r>
              <w:rPr>
                <w:rFonts w:eastAsia="Consolas" w:cs="Consolas" w:ascii="Consolas" w:hAnsi="Consolas"/>
                <w:color w:val="101820"/>
                <w:kern w:val="0"/>
                <w:sz w:val="16"/>
                <w:szCs w:val="24"/>
                <w:lang w:val="en-US" w:eastAsia="ja-JP" w:bidi="ar-SA"/>
              </w:rPr>
              <w:t>compliance.insurer_authority_check</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warn</w:t>
            </w:r>
            <w:r>
              <w:rPr>
                <w:rFonts w:eastAsia="Segoe UI" w:cs="Segoe UI" w:ascii="Segoe UI" w:hAnsi="Segoe UI"/>
                <w:color w:val="101820"/>
                <w:kern w:val="0"/>
                <w:sz w:val="18"/>
                <w:szCs w:val="24"/>
                <w:lang w:val="en-US" w:eastAsia="ja-JP" w:bidi="ar-SA"/>
              </w:rPr>
              <w:t xml:space="preserve"> (delivered: allowed, warning shown and recorded in the audit trail) or </w:t>
            </w:r>
            <w:r>
              <w:rPr>
                <w:rFonts w:eastAsia="Segoe UI" w:cs="Segoe UI" w:ascii="Segoe UI" w:hAnsi="Segoe UI"/>
                <w:b/>
                <w:color w:val="101820"/>
                <w:kern w:val="0"/>
                <w:sz w:val="18"/>
                <w:szCs w:val="24"/>
                <w:lang w:val="en-US" w:eastAsia="ja-JP" w:bidi="ar-SA"/>
              </w:rPr>
              <w:t>block</w:t>
            </w:r>
            <w:r>
              <w:rPr>
                <w:rFonts w:eastAsia="Segoe UI" w:cs="Segoe UI" w:ascii="Segoe UI" w:hAnsi="Segoe UI"/>
                <w:color w:val="101820"/>
                <w:kern w:val="0"/>
                <w:sz w:val="18"/>
                <w:szCs w:val="24"/>
                <w:lang w:val="en-US" w:eastAsia="ja-JP" w:bidi="ar-SA"/>
              </w:rPr>
              <w:t xml:space="preserve"> (refused). Compliance &gt; Insurance Commission &gt; Insurer Authority reports every insurer's certificate (valid, expiring within </w:t>
            </w:r>
            <w:r>
              <w:rPr>
                <w:rFonts w:eastAsia="Consolas" w:cs="Consolas" w:ascii="Consolas" w:hAnsi="Consolas"/>
                <w:color w:val="101820"/>
                <w:kern w:val="0"/>
                <w:sz w:val="16"/>
                <w:szCs w:val="24"/>
                <w:lang w:val="en-US" w:eastAsia="ja-JP" w:bidi="ar-SA"/>
              </w:rPr>
              <w:t>compliance.insurer_authority_expiring_days</w:t>
            </w:r>
            <w:r>
              <w:rPr>
                <w:rFonts w:eastAsia="Segoe UI" w:cs="Segoe UI" w:ascii="Segoe UI" w:hAnsi="Segoe UI"/>
                <w:color w:val="101820"/>
                <w:kern w:val="0"/>
                <w:sz w:val="18"/>
                <w:szCs w:val="24"/>
                <w:lang w:val="en-US" w:eastAsia="ja-JP" w:bidi="ar-SA"/>
              </w:rPr>
              <w:t xml:space="preserve">, expired, missing; Excel); the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job reminds the compliance team of expiring certificates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Enter and keep current the certificate number and validity of each insurer from the IC list; switch the check to </w:t>
            </w:r>
            <w:r>
              <w:rPr>
                <w:rFonts w:eastAsia="Segoe UI" w:cs="Segoe UI" w:ascii="Segoe UI" w:hAnsi="Segoe UI"/>
                <w:b/>
                <w:color w:val="101820"/>
                <w:kern w:val="0"/>
                <w:sz w:val="18"/>
                <w:szCs w:val="24"/>
                <w:lang w:val="en-US" w:eastAsia="ja-JP" w:bidi="ar-SA"/>
              </w:rPr>
              <w:t>block</w:t>
            </w:r>
            <w:r>
              <w:rPr>
                <w:rFonts w:eastAsia="Segoe UI" w:cs="Segoe UI" w:ascii="Segoe UI" w:hAnsi="Segoe UI"/>
                <w:color w:val="101820"/>
                <w:kern w:val="0"/>
                <w:sz w:val="18"/>
                <w:szCs w:val="24"/>
                <w:lang w:val="en-US" w:eastAsia="ja-JP" w:bidi="ar-SA"/>
              </w:rPr>
              <w:t xml:space="preserve"> once they are entered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of the broker, its officers and its agents. The broker and the persons who solicit or negotiate insurance for it hold a licence from the IC in force, renewed before it expires; commission is shared only with licensed persons.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&gt; Insurance Commission &gt; Licence Register: licences of the firm, officers, licensed individuals, agents, sub-agents and referrers (type, number, issue and expiry, renewal status, documents), renewal recorded as a new licence term, expiry calendar for twelve months, reminders at </w:t>
            </w:r>
            <w:r>
              <w:rPr>
                <w:rFonts w:eastAsia="Consolas" w:cs="Consolas" w:ascii="Consolas" w:hAnsi="Consolas"/>
                <w:color w:val="101820"/>
                <w:kern w:val="0"/>
                <w:sz w:val="16"/>
                <w:szCs w:val="24"/>
                <w:lang w:val="en-US" w:eastAsia="ja-JP" w:bidi="ar-SA"/>
              </w:rPr>
              <w:t>compliance.licence_reminder_days</w:t>
            </w:r>
            <w:r>
              <w:rPr>
                <w:rFonts w:eastAsia="Segoe UI" w:cs="Segoe UI" w:ascii="Segoe UI" w:hAnsi="Segoe UI"/>
                <w:color w:val="101820"/>
                <w:kern w:val="0"/>
                <w:sz w:val="18"/>
                <w:szCs w:val="24"/>
                <w:lang w:val="en-US" w:eastAsia="ja-JP" w:bidi="ar-SA"/>
              </w:rPr>
              <w:t xml:space="preserve"> (90, 60, 30, 15, 7 days). Commission to a referrer whose type is in </w:t>
            </w:r>
            <w:r>
              <w:rPr>
                <w:rFonts w:eastAsia="Consolas" w:cs="Consolas" w:ascii="Consolas" w:hAnsi="Consolas"/>
                <w:color w:val="101820"/>
                <w:kern w:val="0"/>
                <w:sz w:val="16"/>
                <w:szCs w:val="24"/>
                <w:lang w:val="en-US" w:eastAsia="ja-JP" w:bidi="ar-SA"/>
              </w:rPr>
              <w:t>compliance.licence_required_referrer_types</w:t>
            </w:r>
            <w:r>
              <w:rPr>
                <w:rFonts w:eastAsia="Segoe UI" w:cs="Segoe UI" w:ascii="Segoe UI" w:hAnsi="Segoe UI"/>
                <w:color w:val="101820"/>
                <w:kern w:val="0"/>
                <w:sz w:val="18"/>
                <w:szCs w:val="24"/>
                <w:lang w:val="en-US" w:eastAsia="ja-JP" w:bidi="ar-SA"/>
              </w:rPr>
              <w:t xml:space="preserve"> is not approved or paid without a licence in force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 block, warn or off)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the renewals with the IC on time; record each licence and renewal; decide which referrer types need a licence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 and proper directors and officers. Directors and officers of an IC-regulated entity meet the IC's fit and proper requirements.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&gt; Insurance Commission &gt; Fit and Proper: declarations answered (list in </w:t>
            </w:r>
            <w:r>
              <w:rPr>
                <w:rFonts w:eastAsia="Consolas" w:cs="Consolas" w:ascii="Consolas" w:hAnsi="Consolas"/>
                <w:color w:val="101820"/>
                <w:kern w:val="0"/>
                <w:sz w:val="16"/>
                <w:szCs w:val="24"/>
                <w:lang w:val="en-US" w:eastAsia="ja-JP" w:bidi="ar-SA"/>
              </w:rPr>
              <w:t>compliance.fit_proper_declarations</w:t>
            </w:r>
            <w:r>
              <w:rPr>
                <w:rFonts w:eastAsia="Segoe UI" w:cs="Segoe UI" w:ascii="Segoe UI" w:hAnsi="Segoe UI"/>
                <w:color w:val="101820"/>
                <w:kern w:val="0"/>
                <w:sz w:val="18"/>
                <w:szCs w:val="24"/>
                <w:lang w:val="en-US" w:eastAsia="ja-JP" w:bidi="ar-SA"/>
              </w:rPr>
              <w:t xml:space="preserve">), documents, review outcome, next review </w:t>
            </w:r>
            <w:r>
              <w:rPr>
                <w:rFonts w:eastAsia="Consolas" w:cs="Consolas" w:ascii="Consolas" w:hAnsi="Consolas"/>
                <w:color w:val="101820"/>
                <w:kern w:val="0"/>
                <w:sz w:val="16"/>
                <w:szCs w:val="24"/>
                <w:lang w:val="en-US" w:eastAsia="ja-JP" w:bidi="ar-SA"/>
              </w:rPr>
              <w:t>compliance.fit_proper_review_months</w:t>
            </w:r>
            <w:r>
              <w:rPr>
                <w:rFonts w:eastAsia="Segoe UI" w:cs="Segoe UI" w:ascii="Segoe UI" w:hAnsi="Segoe UI"/>
                <w:color w:val="101820"/>
                <w:kern w:val="0"/>
                <w:sz w:val="18"/>
                <w:szCs w:val="24"/>
                <w:lang w:val="en-US" w:eastAsia="ja-JP" w:bidi="ar-SA"/>
              </w:rPr>
              <w:t xml:space="preserve"> (12) later, reminders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declarations against the IC rules in force; obtain the clearances; submit what the IC requires on election or appointment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handling. A financial service provider has a complaints handling mechanism and resolves complaints within set periods (RA 11765 and the IC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 intake (channel, complainant, policy or claim, category), acknowledgement and resolution deadlines (</w:t>
            </w:r>
            <w:r>
              <w:rPr>
                <w:rFonts w:eastAsia="Consolas" w:cs="Consolas" w:ascii="Consolas" w:hAnsi="Consolas"/>
                <w:color w:val="101820"/>
                <w:kern w:val="0"/>
                <w:sz w:val="16"/>
                <w:szCs w:val="24"/>
                <w:lang w:val="en-US" w:eastAsia="ja-JP" w:bidi="ar-SA"/>
              </w:rPr>
              <w:t>complaints.ack_days</w:t>
            </w:r>
            <w:r>
              <w:rPr>
                <w:rFonts w:eastAsia="Segoe UI" w:cs="Segoe UI" w:ascii="Segoe UI" w:hAnsi="Segoe UI"/>
                <w:color w:val="101820"/>
                <w:kern w:val="0"/>
                <w:sz w:val="18"/>
                <w:szCs w:val="24"/>
                <w:lang w:val="en-US" w:eastAsia="ja-JP" w:bidi="ar-SA"/>
              </w:rPr>
              <w:t xml:space="preserve"> 2, </w:t>
            </w:r>
            <w:r>
              <w:rPr>
                <w:rFonts w:eastAsia="Consolas" w:cs="Consolas" w:ascii="Consolas" w:hAnsi="Consolas"/>
                <w:color w:val="101820"/>
                <w:kern w:val="0"/>
                <w:sz w:val="16"/>
                <w:szCs w:val="24"/>
                <w:lang w:val="en-US" w:eastAsia="ja-JP" w:bidi="ar-SA"/>
              </w:rPr>
              <w:t>complaints.resolution_days_simple</w:t>
            </w:r>
            <w:r>
              <w:rPr>
                <w:rFonts w:eastAsia="Segoe UI" w:cs="Segoe UI" w:ascii="Segoe UI" w:hAnsi="Segoe UI"/>
                <w:color w:val="101820"/>
                <w:kern w:val="0"/>
                <w:sz w:val="18"/>
                <w:szCs w:val="24"/>
                <w:lang w:val="en-US" w:eastAsia="ja-JP" w:bidi="ar-SA"/>
              </w:rPr>
              <w:t xml:space="preserve"> 7, </w:t>
            </w:r>
            <w:r>
              <w:rPr>
                <w:rFonts w:eastAsia="Consolas" w:cs="Consolas" w:ascii="Consolas" w:hAnsi="Consolas"/>
                <w:color w:val="101820"/>
                <w:kern w:val="0"/>
                <w:sz w:val="16"/>
                <w:szCs w:val="24"/>
                <w:lang w:val="en-US" w:eastAsia="ja-JP" w:bidi="ar-SA"/>
              </w:rPr>
              <w:t>complaints.resolution_days_complex</w:t>
            </w:r>
            <w:r>
              <w:rPr>
                <w:rFonts w:eastAsia="Segoe UI" w:cs="Segoe UI" w:ascii="Segoe UI" w:hAnsi="Segoe UI"/>
                <w:color w:val="101820"/>
                <w:kern w:val="0"/>
                <w:sz w:val="18"/>
                <w:szCs w:val="24"/>
                <w:lang w:val="en-US" w:eastAsia="ja-JP" w:bidi="ar-SA"/>
              </w:rPr>
              <w:t xml:space="preserve"> 45), assignment, escalation (automatic when overdue, </w:t>
            </w:r>
            <w:r>
              <w:rPr>
                <w:rFonts w:eastAsia="Consolas" w:cs="Consolas" w:ascii="Consolas" w:hAnsi="Consolas"/>
                <w:color w:val="101820"/>
                <w:kern w:val="0"/>
                <w:sz w:val="16"/>
                <w:szCs w:val="24"/>
                <w:lang w:val="en-US" w:eastAsia="ja-JP" w:bidi="ar-SA"/>
              </w:rPr>
              <w:t>complaints.auto_escalate</w:t>
            </w:r>
            <w:r>
              <w:rPr>
                <w:rFonts w:eastAsia="Segoe UI" w:cs="Segoe UI" w:ascii="Segoe UI" w:hAnsi="Segoe UI"/>
                <w:color w:val="101820"/>
                <w:kern w:val="0"/>
                <w:sz w:val="18"/>
                <w:szCs w:val="24"/>
                <w:lang w:val="en-US" w:eastAsia="ja-JP" w:bidi="ar-SA"/>
              </w:rPr>
              <w:t>), acknowledgement and resolution letters, referral to the IC, ageing, report for the regulator (Excel), audit trail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deadlines and letter texts against the IC rules in force; designate the complaints officers (</w:t>
            </w:r>
            <w:r>
              <w:rPr>
                <w:rFonts w:eastAsia="Consolas" w:cs="Consolas" w:ascii="Consolas" w:hAnsi="Consolas"/>
                <w:color w:val="101820"/>
                <w:kern w:val="0"/>
                <w:sz w:val="16"/>
                <w:szCs w:val="24"/>
                <w:lang w:val="en-US" w:eastAsia="ja-JP" w:bidi="ar-SA"/>
              </w:rPr>
              <w:t>approve:complaints</w:t>
            </w:r>
            <w:r>
              <w:rPr>
                <w:rFonts w:eastAsia="Segoe UI" w:cs="Segoe UI" w:ascii="Segoe UI" w:hAnsi="Segoe UI"/>
                <w:color w:val="101820"/>
                <w:kern w:val="0"/>
                <w:sz w:val="18"/>
                <w:szCs w:val="24"/>
                <w:lang w:val="en-US" w:eastAsia="ja-JP" w:bidi="ar-SA"/>
              </w:rPr>
              <w:t>); file the reports the IC requires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to the IC. The broker submits the reports and financial statements the IC requires.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&gt; Insurance Commission &gt; IC Annual Statement: workbook of the broker's annual statement from the ledger and production (cover, balance sheet, income statement, premiums and commission by insurer and line, premiums held in trust, accountant confirmation sheet, unmapped accounts), with checks; the ledger mapping is configurable (Account mapping) and the form set followed is named in </w:t>
            </w:r>
            <w:r>
              <w:rPr>
                <w:rFonts w:eastAsia="Consolas" w:cs="Consolas" w:ascii="Consolas" w:hAnsi="Consolas"/>
                <w:color w:val="101820"/>
                <w:kern w:val="0"/>
                <w:sz w:val="16"/>
                <w:szCs w:val="24"/>
                <w:lang w:val="en-US" w:eastAsia="ja-JP" w:bidi="ar-SA"/>
              </w:rPr>
              <w:t>compliance.ic_statement_form</w:t>
            </w:r>
            <w:r>
              <w:rPr>
                <w:rFonts w:eastAsia="Segoe UI" w:cs="Segoe UI" w:ascii="Segoe UI" w:hAnsi="Segoe UI"/>
                <w:color w:val="101820"/>
                <w:kern w:val="0"/>
                <w:sz w:val="18"/>
                <w:szCs w:val="24"/>
                <w:lang w:val="en-US" w:eastAsia="ja-JP" w:bidi="ar-SA"/>
              </w:rPr>
              <w:t>. Compliance &gt; Insurance Commission &gt; IC Production Report: premiums placed by insurer and IC line by month, quarter or year (Excel). Financial statements (Accounts &gt; Period End &gt;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accountant confirms the lines marked on the Accountant confirmation sheet and transcribes the figures onto the IC form set in force; the auditor's report and the filing remain with the broker</w:t>
            </w:r>
          </w:p>
        </w:tc>
      </w:tr>
    </w:tbl>
    <w:p>
      <w:pPr>
        <w:pStyle w:val="Heading1"/>
        <w:rPr/>
      </w:pPr>
      <w:r>
        <w:br w:type="page"/>
      </w:r>
      <w:bookmarkStart w:id="12" w:name="__RefHeading___Toc12258_3960898926"/>
      <w:bookmarkEnd w:id="12"/>
      <w:r>
        <w:rPr>
          <w:rFonts w:eastAsia="Segoe UI" w:cs="Segoe UI" w:ascii="Segoe UI" w:hAnsi="Segoe UI"/>
          <w:b/>
          <w:color w:val="0F4761"/>
          <w:sz w:val="32"/>
        </w:rPr>
        <w:t>6.  BIR: taxes, receipts and books</w:t>
      </w:r>
    </w:p>
    <w:p>
      <w:pPr>
        <w:pStyle w:val="Heading2"/>
        <w:rPr/>
      </w:pPr>
      <w:bookmarkStart w:id="13" w:name="__RefHeading___Toc12260_3960898926"/>
      <w:bookmarkEnd w:id="13"/>
      <w:r>
        <w:rPr>
          <w:rFonts w:eastAsia="Segoe UI" w:cs="Segoe UI"/>
          <w:b/>
          <w:color w:val="0F4761"/>
          <w:sz w:val="26"/>
        </w:rPr>
        <w:t>6.1  Books of accounts and Computerized Accounting System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Books of accounts. A taxpayer keeps books of accounts (journals and ledgers) and preserves them, with supporting documents, for the period the NIRC requires.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Double-entry general ledger: every operational event posts a journal from its posting rule (Master &gt; Finance &gt; Posting Rules); Journal Voucher, Correction JV, Reversal JV; General Ledger Detail, Journal Register, Trial Balance, Income Statement, Balance Sheet. Journals cannot be posted unbalanced, on inactive accounts or into closed periods. Accounts &gt; Tax &gt; CAS Books and Documents prints the loose-leaf books per month (general journal, general ledger, cash receipts book, cash disbursements book, sales book, purchase book) with page numbers that run on through the year, a print register, reprints marked REPRINT and voids with a reason (</w:t>
            </w:r>
            <w:r>
              <w:rPr>
                <w:rFonts w:eastAsia="Consolas" w:cs="Consolas" w:ascii="Consolas" w:hAnsi="Consolas"/>
                <w:color w:val="101820"/>
                <w:kern w:val="0"/>
                <w:sz w:val="16"/>
                <w:szCs w:val="24"/>
                <w:lang w:val="en-US" w:eastAsia="ja-JP" w:bidi="ar-SA"/>
              </w:rPr>
              <w:t>cas.books_form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cas.enforce_print_order</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the form of the books (loose-leaf or computerized) with the tax adviser; print and bind the loose-leaf books every month, or keep the computerized books on storage media; preserve them for the required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of a computerized accounting system. A taxpayer who keeps its books or issues its receipts or invoices with a computerized system registers it with the BIR, or obtains the acknowledgement the current regulations provide for, before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CAS Books and Documents produces the registration pack: system description and controls (modules, books, access, segregation of duties, numbering series, period control, audit trail, backup), backup and restore procedure (</w:t>
            </w:r>
            <w:r>
              <w:rPr>
                <w:rFonts w:eastAsia="Consolas" w:cs="Consolas" w:ascii="Consolas" w:hAnsi="Consolas"/>
                <w:color w:val="101820"/>
                <w:kern w:val="0"/>
                <w:sz w:val="16"/>
                <w:szCs w:val="24"/>
                <w:lang w:val="en-US" w:eastAsia="ja-JP" w:bidi="ar-SA"/>
              </w:rPr>
              <w:t>cas.backup_*</w:t>
            </w:r>
            <w:r>
              <w:rPr>
                <w:rFonts w:eastAsia="Segoe UI" w:cs="Segoe UI" w:ascii="Segoe UI" w:hAnsi="Segoe UI"/>
                <w:color w:val="101820"/>
                <w:kern w:val="0"/>
                <w:sz w:val="18"/>
                <w:szCs w:val="24"/>
                <w:lang w:val="en-US" w:eastAsia="ja-JP" w:bidi="ar-SA"/>
              </w:rPr>
              <w:t xml:space="preserve">), audit trail extract (Excel / PDF) for any date range, sample book prints, and a readiness checklist (taxpayer details, RDO, </w:t>
            </w:r>
            <w:r>
              <w:rPr>
                <w:rFonts w:eastAsia="Consolas" w:cs="Consolas" w:ascii="Consolas" w:hAnsi="Consolas"/>
                <w:color w:val="101820"/>
                <w:kern w:val="0"/>
                <w:sz w:val="16"/>
                <w:szCs w:val="24"/>
                <w:lang w:val="en-US" w:eastAsia="ja-JP" w:bidi="ar-SA"/>
              </w:rPr>
              <w:t>cas.permit_number</w:t>
            </w:r>
            <w:r>
              <w:rPr>
                <w:rFonts w:eastAsia="Segoe UI" w:cs="Segoe UI" w:ascii="Segoe UI" w:hAnsi="Segoe UI"/>
                <w:color w:val="101820"/>
                <w:kern w:val="0"/>
                <w:sz w:val="18"/>
                <w:szCs w:val="24"/>
                <w:lang w:val="en-US" w:eastAsia="ja-JP" w:bidi="ar-SA"/>
              </w:rPr>
              <w:t>, invoice permit, custodian, contact)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File the registration or acknowledgement application under the current BIR rules with the pack; record the permit number in </w:t>
            </w:r>
            <w:r>
              <w:rPr>
                <w:rFonts w:eastAsia="Consolas" w:cs="Consolas" w:ascii="Consolas" w:hAnsi="Consolas"/>
                <w:color w:val="101820"/>
                <w:kern w:val="0"/>
                <w:sz w:val="16"/>
                <w:szCs w:val="24"/>
                <w:lang w:val="en-US" w:eastAsia="ja-JP" w:bidi="ar-SA"/>
              </w:rPr>
              <w:t>cas.permit_number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invoice.cas_permit_number</w:t>
            </w:r>
            <w:r>
              <w:rPr>
                <w:rFonts w:eastAsia="Segoe UI" w:cs="Segoe UI" w:ascii="Segoe UI" w:hAnsi="Segoe UI"/>
                <w:color w:val="101820"/>
                <w:kern w:val="0"/>
                <w:sz w:val="18"/>
                <w:szCs w:val="24"/>
                <w:lang w:val="en-US" w:eastAsia="ja-JP" w:bidi="ar-SA"/>
              </w:rPr>
              <w:t>; register any change the BIR requires to be registered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details on documents. Registered name, address and TIN appear on documents and BIR forms.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Company master: company name, TIN, address; printed on every document and report. BIR group in Master &gt; Configuration: </w:t>
            </w:r>
            <w:r>
              <w:rPr>
                <w:rFonts w:eastAsia="Consolas" w:cs="Consolas" w:ascii="Consolas" w:hAnsi="Consolas"/>
                <w:color w:val="101820"/>
                <w:kern w:val="0"/>
                <w:sz w:val="16"/>
                <w:szCs w:val="24"/>
                <w:lang w:val="en-US" w:eastAsia="ja-JP" w:bidi="ar-SA"/>
              </w:rPr>
              <w:t>bir.withholding_agent_tin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bir.registered_name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bir.registered_address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bir.zip_code</w:t>
            </w:r>
            <w:r>
              <w:rPr>
                <w:rFonts w:eastAsia="Segoe UI" w:cs="Segoe UI" w:ascii="Segoe UI" w:hAnsi="Segoe UI"/>
                <w:color w:val="101820"/>
                <w:kern w:val="0"/>
                <w:sz w:val="18"/>
                <w:szCs w:val="24"/>
                <w:lang w:val="en-US" w:eastAsia="ja-JP" w:bidi="ar-SA"/>
              </w:rPr>
              <w:t xml:space="preserve"> (delivered empty) for the BIR forms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the BIR settings before the first filing; keep the Company master the same as the BIR registration</w:t>
            </w:r>
          </w:p>
        </w:tc>
      </w:tr>
    </w:tbl>
    <w:p>
      <w:pPr>
        <w:pStyle w:val="Normal"/>
        <w:spacing w:before="0" w:after="80"/>
        <w:rPr/>
      </w:pPr>
      <w:r>
        <w:rPr/>
      </w:r>
    </w:p>
    <w:p>
      <w:pPr>
        <w:pStyle w:val="Heading2"/>
        <w:rPr/>
      </w:pPr>
      <w:bookmarkStart w:id="14" w:name="__RefHeading___Toc12262_3960898926"/>
      <w:bookmarkEnd w:id="14"/>
      <w:r>
        <w:rPr>
          <w:rFonts w:eastAsia="Segoe UI" w:cs="Segoe UI"/>
          <w:b/>
          <w:color w:val="0F4761"/>
          <w:sz w:val="26"/>
        </w:rPr>
        <w:t>6.2  Invoices and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Invoices and receipts under the EOPT Act. Under the EOPT Act the invoice is the primary document for a sale of services, including VAT on services; an official receipt is a supplementary document. Invoices and receipts are registered and printed or generated as the BIR requires.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Sales Invoices: sales invoices for commission debit notes, overriding commission, broker-billed commission and fees, with the seller's registered name, trade name, TIN with branch code, address and VAT status, ATP / CAS acknowledgement and serial range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buyer name, TIN and address (required for business buyers and from </w:t>
            </w:r>
            <w:r>
              <w:rPr>
                <w:rFonts w:eastAsia="Consolas" w:cs="Consolas" w:ascii="Consolas" w:hAnsi="Consolas"/>
                <w:color w:val="101820"/>
                <w:kern w:val="0"/>
                <w:sz w:val="16"/>
                <w:szCs w:val="24"/>
                <w:lang w:val="en-US" w:eastAsia="ja-JP" w:bidi="ar-SA"/>
              </w:rPr>
              <w:t>invoice.buyer_details_threshold</w:t>
            </w:r>
            <w:r>
              <w:rPr>
                <w:rFonts w:eastAsia="Segoe UI" w:cs="Segoe UI" w:ascii="Segoe UI" w:hAnsi="Segoe UI"/>
                <w:color w:val="101820"/>
                <w:kern w:val="0"/>
                <w:sz w:val="18"/>
                <w:szCs w:val="24"/>
                <w:lang w:val="en-US" w:eastAsia="ja-JP" w:bidi="ar-SA"/>
              </w:rPr>
              <w:t xml:space="preserve">), VATable / exempt / zero-rated breakdown and VAT; series SI- sequential, never reset, stopped at </w:t>
            </w:r>
            <w:r>
              <w:rPr>
                <w:rFonts w:eastAsia="Consolas" w:cs="Consolas" w:ascii="Consolas" w:hAnsi="Consolas"/>
                <w:color w:val="101820"/>
                <w:kern w:val="0"/>
                <w:sz w:val="16"/>
                <w:szCs w:val="24"/>
                <w:lang w:val="en-US" w:eastAsia="ja-JP" w:bidi="ar-SA"/>
              </w:rPr>
              <w:t>invoice.serial_to</w:t>
            </w:r>
            <w:r>
              <w:rPr>
                <w:rFonts w:eastAsia="Segoe UI" w:cs="Segoe UI" w:ascii="Segoe UI" w:hAnsi="Segoe UI"/>
                <w:color w:val="101820"/>
                <w:kern w:val="0"/>
                <w:sz w:val="18"/>
                <w:szCs w:val="24"/>
                <w:lang w:val="en-US" w:eastAsia="ja-JP" w:bidi="ar-SA"/>
              </w:rPr>
              <w:t>; cancellation with a reason (journal reversed); payments acknowledged by a supplementary document (</w:t>
            </w:r>
            <w:r>
              <w:rPr>
                <w:rFonts w:eastAsia="Consolas" w:cs="Consolas" w:ascii="Consolas" w:hAnsi="Consolas"/>
                <w:color w:val="101820"/>
                <w:kern w:val="0"/>
                <w:sz w:val="16"/>
                <w:szCs w:val="24"/>
                <w:lang w:val="en-US" w:eastAsia="ja-JP" w:bidi="ar-SA"/>
              </w:rPr>
              <w:t>invoice.payment_document_title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invoice.supplementary_note</w:t>
            </w:r>
            <w:r>
              <w:rPr>
                <w:rFonts w:eastAsia="Segoe UI" w:cs="Segoe UI" w:ascii="Segoe UI" w:hAnsi="Segoe UI"/>
                <w:color w:val="101820"/>
                <w:kern w:val="0"/>
                <w:sz w:val="18"/>
                <w:szCs w:val="24"/>
                <w:lang w:val="en-US" w:eastAsia="ja-JP" w:bidi="ar-SA"/>
              </w:rPr>
              <w:t xml:space="preserve">); premium collection receipts titled by </w:t>
            </w:r>
            <w:r>
              <w:rPr>
                <w:rFonts w:eastAsia="Consolas" w:cs="Consolas" w:ascii="Consolas" w:hAnsi="Consolas"/>
                <w:color w:val="101820"/>
                <w:kern w:val="0"/>
                <w:sz w:val="16"/>
                <w:szCs w:val="24"/>
                <w:lang w:val="en-US" w:eastAsia="ja-JP" w:bidi="ar-SA"/>
              </w:rPr>
              <w:t>receipts.document_title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the tax adviser the documents registered as invoices, the supplementary document wording, the buyer threshold and the VAT treatment of each commission stream; register the series (ATP or system-generated) and set the serial range; layout changes beyond the settings are outside the OOTB scope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and voided documents are kept.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receipt is cancelled with a reason (its payment journals are reversed and the bill reopens), not deleted; a BIR Form 2307 certificate is cancelled with a reason; the audit trail keeps each change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cancelled originals as the BIR requires</w:t>
            </w:r>
          </w:p>
        </w:tc>
      </w:tr>
    </w:tbl>
    <w:p>
      <w:pPr>
        <w:pStyle w:val="Normal"/>
        <w:spacing w:before="0" w:after="80"/>
        <w:rPr/>
      </w:pPr>
      <w:r>
        <w:rPr/>
      </w:r>
    </w:p>
    <w:p>
      <w:pPr>
        <w:pStyle w:val="Heading2"/>
        <w:rPr/>
      </w:pPr>
      <w:bookmarkStart w:id="15" w:name="__RefHeading___Toc12264_3960898926"/>
      <w:bookmarkEnd w:id="15"/>
      <w:r>
        <w:rPr>
          <w:rFonts w:eastAsia="Segoe UI" w:cs="Segoe UI"/>
          <w:b/>
          <w:color w:val="0F4761"/>
          <w:sz w:val="26"/>
        </w:rPr>
        <w:t>6.3  VAT or percentage tax on commission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the broker's commission. A VAT-registered broker charges output VAT on its commission and fees, claims input VAT on purchases, and files the quarterly VAT return.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Output VAT on commission: direct bill commission debit notes add VAT at the rate of the tax code </w:t>
            </w:r>
            <w:r>
              <w:rPr>
                <w:rFonts w:eastAsia="Consolas" w:cs="Consolas" w:ascii="Consolas" w:hAnsi="Consolas"/>
                <w:color w:val="101820"/>
                <w:kern w:val="0"/>
                <w:sz w:val="16"/>
                <w:szCs w:val="24"/>
                <w:lang w:val="en-US" w:eastAsia="ja-JP" w:bidi="ar-SA"/>
              </w:rPr>
              <w:t>direct_bill.commission_vat_code</w:t>
            </w:r>
            <w:r>
              <w:rPr>
                <w:rFonts w:eastAsia="Segoe UI" w:cs="Segoe UI" w:ascii="Segoe UI" w:hAnsi="Segoe UI"/>
                <w:color w:val="101820"/>
                <w:kern w:val="0"/>
                <w:sz w:val="18"/>
                <w:szCs w:val="24"/>
                <w:lang w:val="en-US" w:eastAsia="ja-JP" w:bidi="ar-SA"/>
              </w:rPr>
              <w:t xml:space="preserve"> (VAT12-OUT, 12%), broker-billed commission at </w:t>
            </w:r>
            <w:r>
              <w:rPr>
                <w:rFonts w:eastAsia="Consolas" w:cs="Consolas" w:ascii="Consolas" w:hAnsi="Consolas"/>
                <w:color w:val="101820"/>
                <w:kern w:val="0"/>
                <w:sz w:val="16"/>
                <w:szCs w:val="24"/>
                <w:lang w:val="en-US" w:eastAsia="ja-JP" w:bidi="ar-SA"/>
              </w:rPr>
              <w:t>tax.commission_vat_code</w:t>
            </w:r>
            <w:r>
              <w:rPr>
                <w:rFonts w:eastAsia="Segoe UI" w:cs="Segoe UI" w:ascii="Segoe UI" w:hAnsi="Segoe UI"/>
                <w:color w:val="101820"/>
                <w:kern w:val="0"/>
                <w:sz w:val="18"/>
                <w:szCs w:val="24"/>
                <w:lang w:val="en-US" w:eastAsia="ja-JP" w:bidi="ar-SA"/>
              </w:rPr>
              <w:t>; commission booked with Output VAT Payable. Tax codes for VAT output 12%, input 12%, zero-rated and exempt (Master &gt; Finance &gt; Taxation). Accounts &gt; Tax &gt; VAT Summary: vatable revenue, output VAT, input VAT and net VAT payable per month or quarter, as the working paper for the VAT return (BIR Form 2550Q)</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the tax adviser how VAT applies to each commission stream, including commission netted from premium remittances; file and pay the VAT return; check the VAT Summary against the ledger before filing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 for a non-VAT broker. A broker that is not VAT-registered pays percentage tax on its gross sales or receipts instead of VAT.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direct_bill.broker_vat_registered</w:t>
            </w:r>
            <w:r>
              <w:rPr>
                <w:rFonts w:eastAsia="Segoe UI" w:cs="Segoe UI" w:ascii="Segoe UI" w:hAnsi="Segoe UI"/>
                <w:color w:val="101820"/>
                <w:kern w:val="0"/>
                <w:sz w:val="18"/>
                <w:szCs w:val="24"/>
                <w:lang w:val="en-US" w:eastAsia="ja-JP" w:bidi="ar-SA"/>
              </w:rPr>
              <w:t xml:space="preserve"> off makes the broker non-VAT: no VAT on debit notes and invoices. Accounts &gt; Tax &gt; Percentage Tax 2551Q: gross sales per month from the ledger revenue accounts at </w:t>
            </w:r>
            <w:r>
              <w:rPr>
                <w:rFonts w:eastAsia="Consolas" w:cs="Consolas" w:ascii="Consolas" w:hAnsi="Consolas"/>
                <w:color w:val="101820"/>
                <w:kern w:val="0"/>
                <w:sz w:val="16"/>
                <w:szCs w:val="24"/>
                <w:lang w:val="en-US" w:eastAsia="ja-JP" w:bidi="ar-SA"/>
              </w:rPr>
              <w:t>bir.percentage_tax_rate</w:t>
            </w:r>
            <w:r>
              <w:rPr>
                <w:rFonts w:eastAsia="Segoe UI" w:cs="Segoe UI" w:ascii="Segoe UI" w:hAnsi="Segoe UI"/>
                <w:color w:val="101820"/>
                <w:kern w:val="0"/>
                <w:sz w:val="18"/>
                <w:szCs w:val="24"/>
                <w:lang w:val="en-US" w:eastAsia="ja-JP" w:bidi="ar-SA"/>
              </w:rPr>
              <w:t xml:space="preserve"> (default 3%, ATC </w:t>
            </w:r>
            <w:r>
              <w:rPr>
                <w:rFonts w:eastAsia="Consolas" w:cs="Consolas" w:ascii="Consolas" w:hAnsi="Consolas"/>
                <w:color w:val="101820"/>
                <w:kern w:val="0"/>
                <w:sz w:val="16"/>
                <w:szCs w:val="24"/>
                <w:lang w:val="en-US" w:eastAsia="ja-JP" w:bidi="ar-SA"/>
              </w:rPr>
              <w:t>bir.percentage_tax_atc</w:t>
            </w:r>
            <w:r>
              <w:rPr>
                <w:rFonts w:eastAsia="Segoe UI" w:cs="Segoe UI" w:ascii="Segoe UI" w:hAnsi="Segoe UI"/>
                <w:color w:val="101820"/>
                <w:kern w:val="0"/>
                <w:sz w:val="18"/>
                <w:szCs w:val="24"/>
                <w:lang w:val="en-US" w:eastAsia="ja-JP" w:bidi="ar-SA"/>
              </w:rPr>
              <w:t xml:space="preserve"> PT010), print and Excel, filing record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rate and the basis (gross sales under the EOPT Act) with the tax adviser; file and pay the 2551Q</w:t>
            </w:r>
          </w:p>
        </w:tc>
      </w:tr>
    </w:tbl>
    <w:p>
      <w:pPr>
        <w:pStyle w:val="Normal"/>
        <w:spacing w:before="0" w:after="80"/>
        <w:rPr/>
      </w:pPr>
      <w:r>
        <w:rPr/>
      </w:r>
    </w:p>
    <w:p>
      <w:pPr>
        <w:pStyle w:val="Heading2"/>
        <w:rPr/>
      </w:pPr>
      <w:bookmarkStart w:id="16" w:name="__RefHeading___Toc12266_3960898926"/>
      <w:bookmarkEnd w:id="16"/>
      <w:r>
        <w:rPr>
          <w:rFonts w:eastAsia="Segoe UI" w:cs="Segoe UI"/>
          <w:b/>
          <w:color w:val="0F4761"/>
          <w:sz w:val="26"/>
        </w:rPr>
        <w:t>6.4  Withholding taxes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 on payments the broker makes. As withholding agent, the broker withholds expanded withholding tax on commission paid to agents and referrers and on other income payments subject to it, remits it, and issues BIR Form 2307 to the payee.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referrer commission at the rate of a tax code (</w:t>
            </w:r>
            <w:r>
              <w:rPr>
                <w:rFonts w:eastAsia="Consolas" w:cs="Consolas" w:ascii="Consolas" w:hAnsi="Consolas"/>
                <w:color w:val="101820"/>
                <w:kern w:val="0"/>
                <w:sz w:val="16"/>
                <w:szCs w:val="24"/>
                <w:lang w:val="en-US" w:eastAsia="ja-JP" w:bidi="ar-SA"/>
              </w:rPr>
              <w:t>commission.wht_code_by_type</w:t>
            </w:r>
            <w:r>
              <w:rPr>
                <w:rFonts w:eastAsia="Segoe UI" w:cs="Segoe UI" w:ascii="Segoe UI" w:hAnsi="Segoe UI"/>
                <w:color w:val="101820"/>
                <w:kern w:val="0"/>
                <w:sz w:val="18"/>
                <w:szCs w:val="24"/>
                <w:lang w:val="en-US" w:eastAsia="ja-JP" w:bidi="ar-SA"/>
              </w:rPr>
              <w:t>); EWT tax codes with ATC; payment vouchers post the tax withheld. Accounts &gt; Tax &gt; BIR Form 2307 (Issued by us). Accounts &gt; Tax &gt; Withholding Returns: 0619-E per month and 1601-EQ per quarter per ATC on the BIR layout (PDF and Excel), reconciled with the QAP and the ledger withholding accounts, with the filing record (date filed, reference, amount paid, penalties, payment reference, amended returns). Annual Alphalist 1604-E with schedules 3 and 4</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rates and ATC per payee with the tax adviser; file and pay through eFPS / eBIRForms and record each filing; issue Form 2307 to payees on time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 withheld from the broker. Insurers and clients that are withholding agents withhold tax on commission paid to the broker and issue BIR Form 2307; the broker claims the credit.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Direct bill: the insurer's EWT (tax code </w:t>
            </w:r>
            <w:r>
              <w:rPr>
                <w:rFonts w:eastAsia="Consolas" w:cs="Consolas" w:ascii="Consolas" w:hAnsi="Consolas"/>
                <w:color w:val="101820"/>
                <w:kern w:val="0"/>
                <w:sz w:val="16"/>
                <w:szCs w:val="24"/>
                <w:lang w:val="en-US" w:eastAsia="ja-JP" w:bidi="ar-SA"/>
              </w:rPr>
              <w:t>direct_bill.insurer_ewt_code</w:t>
            </w:r>
            <w:r>
              <w:rPr>
                <w:rFonts w:eastAsia="Segoe UI" w:cs="Segoe UI" w:ascii="Segoe UI" w:hAnsi="Segoe UI"/>
                <w:color w:val="101820"/>
                <w:kern w:val="0"/>
                <w:sz w:val="18"/>
                <w:szCs w:val="24"/>
                <w:lang w:val="en-US" w:eastAsia="ja-JP" w:bidi="ar-SA"/>
              </w:rPr>
              <w:t>, delivered WC139 10%) is posted to Creditable Withholding Tax (BIR 2307) when the debit note collection is recorded. Accounts &gt; Tax &gt; BIR Form 2307, Received; SAWT: Summary Alphalist of Withholding Taxes for the income tax return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 the Forms 2307 from insurers and clients and match them to the Received list; attach the SAWT to the returns as required; follow up missing certificates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withholding where it applies.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withholding tax codes are in the Taxation master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the tax adviser whether any payment is subject to final withholding</w:t>
            </w:r>
          </w:p>
        </w:tc>
      </w:tr>
    </w:tbl>
    <w:p>
      <w:pPr>
        <w:pStyle w:val="Normal"/>
        <w:spacing w:before="0" w:after="80"/>
        <w:rPr/>
      </w:pPr>
      <w:r>
        <w:rPr/>
      </w:r>
    </w:p>
    <w:p>
      <w:pPr>
        <w:pStyle w:val="Heading2"/>
        <w:rPr/>
      </w:pPr>
      <w:bookmarkStart w:id="17" w:name="__RefHeading___Toc12268_3960898926"/>
      <w:bookmarkEnd w:id="17"/>
      <w:r>
        <w:rPr>
          <w:rFonts w:eastAsia="Segoe UI" w:cs="Segoe UI"/>
          <w:b/>
          <w:color w:val="0F4761"/>
          <w:sz w:val="26"/>
        </w:rPr>
        <w:t>6.5  Summary lists and alphalists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 VAT-registered taxpayers who meet the BIR thresholds submit quarterly summary lists of sales and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Sales and SLSP Purchases, in the BIR column order, as CSV, Excel or PDF; Accounts &gt; Tax &gt; BIR DAT Files produces the RELIEF data files of the sales and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whether the broker is required to submit; validate the files with the current BIR validation module before submission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Alphalists in the BIR format.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 QAP and the 1604-E alphalist in the BIR column order; Accounts &gt; Tax &gt; BIR DAT Files produces the DAT files of the QAP, SAWT and 1604-E (layout of the BIR Alphalist Data Entry and Validation Module v7.x, version shown on screen) with warnings for missing TINs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Validate every DAT file with the current BIR validation module before submission; the system does not file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invoicing (EIS). Taxpayers the BIR names report their invoices to the Electronic Invoicing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Accounts &gt; Tax &gt; E-Invoicing (EIS): e-invoice payload per invoice and cancellation, signing placeholder, outbox with status, attempts and retry, test mode with a built-in fake provider, live adapter with the endpoint and credential variable names in </w:t>
            </w:r>
            <w:r>
              <w:rPr>
                <w:rFonts w:eastAsia="Consolas" w:cs="Consolas" w:ascii="Consolas" w:hAnsi="Consolas"/>
                <w:color w:val="101820"/>
                <w:kern w:val="0"/>
                <w:sz w:val="16"/>
                <w:szCs w:val="24"/>
                <w:lang w:val="en-US" w:eastAsia="ja-JP" w:bidi="ar-SA"/>
              </w:rPr>
              <w:t>eis.*</w:t>
            </w:r>
            <w:r>
              <w:rPr>
                <w:rFonts w:eastAsia="Segoe UI" w:cs="Segoe UI" w:ascii="Segoe UI" w:hAnsi="Segoe UI"/>
                <w:color w:val="101820"/>
                <w:kern w:val="0"/>
                <w:sz w:val="18"/>
                <w:szCs w:val="24"/>
                <w:lang w:val="en-US" w:eastAsia="ja-JP" w:bidi="ar-SA"/>
              </w:rPr>
              <w:t xml:space="preserve"> (values never stored), export of the payloads and manual reference as fallback; switched off by default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Enrol with the EIS and complete the BIR certification (sandbox tests, final field list, signing certificate); set the endpoint and credentials on the server; switch the connector on</w:t>
            </w:r>
          </w:p>
        </w:tc>
      </w:tr>
    </w:tbl>
    <w:p>
      <w:pPr>
        <w:pStyle w:val="Heading1"/>
        <w:rPr/>
      </w:pPr>
      <w:r>
        <w:br w:type="page"/>
      </w:r>
      <w:bookmarkStart w:id="18" w:name="__RefHeading___Toc12270_3960898926"/>
      <w:bookmarkEnd w:id="18"/>
      <w:r>
        <w:rPr>
          <w:rFonts w:eastAsia="Segoe UI" w:cs="Segoe UI" w:ascii="Segoe UI" w:hAnsi="Segoe UI"/>
          <w:b/>
          <w:color w:val="0F4761"/>
          <w:sz w:val="32"/>
        </w:rPr>
        <w:t>7.  Taxes and charges on premium</w:t>
      </w:r>
    </w:p>
    <w:p>
      <w:pPr>
        <w:pStyle w:val="Normal"/>
        <w:spacing w:lineRule="auto" w:line="276" w:before="0" w:after="120"/>
        <w:rPr/>
      </w:pPr>
      <w:r>
        <w:rPr>
          <w:rFonts w:eastAsia="Segoe UI" w:cs="Segoe UI" w:ascii="Segoe UI" w:hAnsi="Segoe UI"/>
          <w:color w:val="101820"/>
          <w:sz w:val="21"/>
        </w:rPr>
        <w:t>These taxes are imposed on the insurance premium and are paid to the government by the insurer. The broker bills them to the client as part of the gross premium and passes them to the insurer with the premium.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non-life policies. The NIRC imposes DST on non-life insurance policies, computed on the premium charged (PHP 0.50 on each PHP 4.00 of premium or fractional part).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of PHP 0.50 on each PHP 4.00 of net premium, a fractional PHP 4.00 counting as a whole one (DST rule of Master &gt; Finance &gt; Premium Taxes &amp; LGU Rates, the single source of premium tax rates) on every quotation, package, policy, endorsement and renewal; shown on the quotation and billing statement; booked to Premium DST due to insurers and remitted with the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each insurer the DST basis and rounding the insurer applies, so the broker's bill agrees with the insurer's policy; the insurer files and pays the DST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premium. Local government units may impose a tax on premiums, at rates set by local ordinance.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 at the rate of the client's city or municipality in Master &gt; Finance &gt; Premium Taxes &amp; LGU Rates, else the LGT rule rate (0.75% delivered), on every quotation, package and renewal; booked to Premium LGT due to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each insurer the LGT rate it applies for the client's location and keep the rates current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non-life premium. Non-life premium is subject to VAT, which the insurer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at 12% of net premium (VAT rule of Premium Taxes &amp; LGU Rates) on products under the VAT regime; products with the premium tax regime use premium tax instead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tax regime of each product with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insurance premium (Fire Code, RA 9514).</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 at 2% (FST rule of Premium Taxes &amp; LGU Rates) on the fire lines of the rule (fire, industrial all risks, householder)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lines to which each insurer applies FST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Taxes follow the premium on endorsements and cancellations.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gives negative tax amounts; each charge is rounded to 2 decimals on its own so printed totals add up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treatment of taxes on return premium with each insurer</w:t>
            </w:r>
          </w:p>
        </w:tc>
      </w:tr>
    </w:tbl>
    <w:p>
      <w:pPr>
        <w:pStyle w:val="Heading1"/>
        <w:rPr/>
      </w:pPr>
      <w:r>
        <w:br w:type="page"/>
      </w:r>
      <w:bookmarkStart w:id="19" w:name="__RefHeading___Toc12272_3960898926"/>
      <w:bookmarkEnd w:id="19"/>
      <w:r>
        <w:rPr>
          <w:rFonts w:eastAsia="Segoe UI" w:cs="Segoe UI" w:ascii="Segoe UI" w:hAnsi="Segoe UI"/>
          <w:b/>
          <w:color w:val="0F4761"/>
          <w:sz w:val="32"/>
        </w:rPr>
        <w:t>8.  CTPL and motor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Compulsory Third Party Liability cover is required for the registration of a motor vehicle with the LTO, at the premium set by the IC tariff for the vehicle class.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Product Templates &gt; MOT-003-2025 Motor Insurance Basic Plan, tab CTPL &amp; Auto PA: CTPL 1-year and 3-year amounts per vehicle class, default seats. The vehicle class on a quotation sets the CTPL amount; CTPL is read-only, inclusive of taxes and fees, not taxed again and never discounted; 3-year CTPL offered for brand-new vehicles where the class has a 3-year tariff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tariff equal to the current IC tariff and the insurers' rates (the delivered amounts were confirmed on 29 September 2026); authenticate each COC through Operations &gt; CTPL Authentication (COC series per insurer, request to the IC-accredited provider, code printed on the schedule, LTO feed, manual entry of a code obtained on the provider portal); the provider and LTO interfaces are certified with the partner during onboarding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certificate details. The policy records the certificate issued.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fields Cert Number and Authen Code (CTPL certificate number and authentication code)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certificate number and authentication code for each CTPL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and owner identification. Motor policies identify the vehicle and the insured.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policy issue is refused without government ID type, number and image, chassis number, motor number, and plate or MV file number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accepted IDs in </w:t>
            </w:r>
            <w:r>
              <w:rPr>
                <w:rFonts w:eastAsia="Consolas" w:cs="Consolas" w:ascii="Consolas" w:hAnsi="Consolas"/>
                <w:color w:val="101820"/>
                <w:kern w:val="0"/>
                <w:sz w:val="16"/>
                <w:szCs w:val="24"/>
                <w:lang w:val="en-US" w:eastAsia="ja-JP" w:bidi="ar-SA"/>
              </w:rPr>
              <w:t>policy.kyc_id_types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the documents presented; keep the list of accepted IDs current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per seat from the motor template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rates and limits with the insurers</w:t>
            </w:r>
          </w:p>
        </w:tc>
      </w:tr>
    </w:tbl>
    <w:p>
      <w:pPr>
        <w:pStyle w:val="Heading1"/>
        <w:rPr/>
      </w:pPr>
      <w:r>
        <w:br w:type="page"/>
      </w:r>
      <w:bookmarkStart w:id="20" w:name="__RefHeading___Toc12274_3960898926"/>
      <w:bookmarkEnd w:id="20"/>
      <w:r>
        <w:rPr>
          <w:rFonts w:eastAsia="Segoe UI" w:cs="Segoe UI" w:ascii="Segoe UI" w:hAnsi="Segoe UI"/>
          <w:b/>
          <w:color w:val="0F4761"/>
          <w:sz w:val="32"/>
        </w:rPr>
        <w:t>9.  Data Privacy Act (RA 10173)</w:t>
      </w:r>
    </w:p>
    <w:p>
      <w:pPr>
        <w:pStyle w:val="Normal"/>
        <w:spacing w:lineRule="auto" w:line="276" w:before="0" w:after="120"/>
        <w:rPr/>
      </w:pPr>
      <w:r>
        <w:rPr>
          <w:rFonts w:eastAsia="Segoe UI" w:cs="Segoe UI" w:ascii="Segoe UI" w:hAnsi="Segoe UI"/>
          <w:color w:val="101820"/>
          <w:sz w:val="21"/>
        </w:rPr>
        <w:t>The broker is the personal information controller for the personal data of prospects, clients, claimants, referrers and staff held in BrokerVerse. iorta TechNXT, as host and support provider, acts as personal information processor under the agreement with the broker.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Lawful, proportionate processing. Personal data is collected for declared, specified purposes and only as much as needed.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fields are limited by configuration: KYC items are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TIN is required for corporate prospects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Define the purposes and the legal basis; publish a privacy notice; obtain consent where consent is the basis and record it (Data privacy tab of the client, prospect view; Master &gt; Data Privacy &gt; Consent Register, with the notice version in </w:t>
            </w:r>
            <w:r>
              <w:rPr>
                <w:rFonts w:eastAsia="Consolas" w:cs="Consolas" w:ascii="Consolas" w:hAnsi="Consolas"/>
                <w:color w:val="101820"/>
                <w:kern w:val="0"/>
                <w:sz w:val="16"/>
                <w:szCs w:val="24"/>
                <w:lang w:val="en-US" w:eastAsia="ja-JP" w:bidi="ar-SA"/>
              </w:rPr>
              <w:t>privacy.notice_version</w:t>
            </w:r>
            <w:r>
              <w:rPr>
                <w:rFonts w:eastAsia="Segoe UI" w:cs="Segoe UI" w:ascii="Segoe UI" w:hAnsi="Segoe UI"/>
                <w:color w:val="101820"/>
                <w:kern w:val="0"/>
                <w:sz w:val="18"/>
                <w:szCs w:val="24"/>
                <w:lang w:val="en-US" w:eastAsia="ja-JP" w:bidi="ar-SA"/>
              </w:rPr>
              <w:t>); decide which optional fields the teams fill in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 physical and technical security measures.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Role-based access, deny by default, checked by the server on every action; password policy (8 characters, mixed case, digit, symbol, history 5, expiry 90 days); lockout after 5 wrong passwords; idle sign-out after 30 minutes; two-step verification for the roles set in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two-step secrets encrypted at rest; documents served only to signed-in users or through signed links that expire (</w:t>
            </w:r>
            <w:r>
              <w:rPr>
                <w:rFonts w:eastAsia="Consolas" w:cs="Consolas" w:ascii="Consolas" w:hAnsi="Consolas"/>
                <w:color w:val="101820"/>
                <w:kern w:val="0"/>
                <w:sz w:val="16"/>
                <w:szCs w:val="24"/>
                <w:lang w:val="en-US" w:eastAsia="ja-JP" w:bidi="ar-SA"/>
              </w:rPr>
              <w:t>FILE_URL_TTL_SECONDS</w:t>
            </w:r>
            <w:r>
              <w:rPr>
                <w:rFonts w:eastAsia="Segoe UI" w:cs="Segoe UI" w:ascii="Segoe UI" w:hAnsi="Segoe UI"/>
                <w:color w:val="101820"/>
                <w:kern w:val="0"/>
                <w:sz w:val="18"/>
                <w:szCs w:val="24"/>
                <w:lang w:val="en-US" w:eastAsia="ja-JP" w:bidi="ar-SA"/>
              </w:rPr>
              <w:t>, default 30 minutes); upload types checked against file content (</w:t>
            </w:r>
            <w:r>
              <w:rPr>
                <w:rFonts w:eastAsia="Consolas" w:cs="Consolas" w:ascii="Consolas" w:hAnsi="Consolas"/>
                <w:color w:val="101820"/>
                <w:kern w:val="0"/>
                <w:sz w:val="16"/>
                <w:szCs w:val="24"/>
                <w:lang w:val="en-US" w:eastAsia="ja-JP" w:bidi="ar-SA"/>
              </w:rPr>
              <w:t>uploads.allowed_types</w:t>
            </w:r>
            <w:r>
              <w:rPr>
                <w:rFonts w:eastAsia="Segoe UI" w:cs="Segoe UI" w:ascii="Segoe UI" w:hAnsi="Segoe UI"/>
                <w:color w:val="101820"/>
                <w:kern w:val="0"/>
                <w:sz w:val="18"/>
                <w:szCs w:val="24"/>
                <w:lang w:val="en-US" w:eastAsia="ja-JP" w:bidi="ar-SA"/>
              </w:rPr>
              <w:t xml:space="preserve">); passwords and tokens redacted from logs; HTTPS. TIN, government ID numbers and bank account numbers are encrypted at rest (AES-256, key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rotation procedure in deploy/REFERENCE.md) with search by exact value kept; users without </w:t>
            </w:r>
            <w:r>
              <w:rPr>
                <w:rFonts w:eastAsia="Segoe UI" w:cs="Segoe UI" w:ascii="Segoe UI" w:hAnsi="Segoe UI"/>
                <w:b/>
                <w:color w:val="101820"/>
                <w:kern w:val="0"/>
                <w:sz w:val="18"/>
                <w:szCs w:val="24"/>
                <w:lang w:val="en-US" w:eastAsia="ja-JP" w:bidi="ar-SA"/>
              </w:rPr>
              <w:t>View full personal identifiers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see TIN, ID numbers, mobile, e-mail, bank account and birth date partially masked on screens and exports (</w:t>
            </w:r>
            <w:r>
              <w:rPr>
                <w:rFonts w:eastAsia="Consolas" w:cs="Consolas" w:ascii="Consolas" w:hAnsi="Consolas"/>
                <w:color w:val="101820"/>
                <w:kern w:val="0"/>
                <w:sz w:val="16"/>
                <w:szCs w:val="24"/>
                <w:lang w:val="en-US" w:eastAsia="ja-JP" w:bidi="ar-SA"/>
              </w:rPr>
              <w:t>privacy.masking_enabled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privacy.pii_reveal_mode</w:t>
            </w:r>
            <w:r>
              <w:rPr>
                <w:rFonts w:eastAsia="Segoe UI" w:cs="Segoe UI" w:ascii="Segoe UI" w:hAnsi="Segoe UI"/>
                <w:color w:val="101820"/>
                <w:kern w:val="0"/>
                <w:sz w:val="18"/>
                <w:szCs w:val="24"/>
                <w:lang w:val="en-US" w:eastAsia="ja-JP" w:bidi="ar-SA"/>
              </w:rPr>
              <w:t xml:space="preserve"> with unmasking recorded in the audit trail)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with the backups and rotate it under the key management policy; grant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xml:space="preserve"> only to roles that need it; set the two-step verification roles (recommended: system-admin, accounting, accounting-manager); grant roles on a need-to-know basis; keep devices and browsers secure; adopt the security policy the DPA and NPC rules require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control and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Users and Access: User Access Matrix, Segregation of Duties, Access Reviews; Audit Trail of sign-ins and changes; login history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access at least as often as the broker's policy says (iorta TechNXT recommends monthly for administrators); remove leavers at once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 to be informed, to access, to correct, to object, to erasure or blocking, to data portability.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&gt; Data Subject Requests: register of requests (DSR series) by type (access, rectification, erasure or blocking, objection, data portability, withdrawal of consent) with a due date 15 calendar days after receipt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 Export personal data (JSON or Excel); Anonymise with a dry run, refused while the records must be kept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consent withdrawal per purpose; corrections on the Clients and Prospects screens, with every change in the audit trail; the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job notifies the privacy team of overdue requests (delivered switched off)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procedure for requests from data subjects; verify the identity of the requester; confirm the response period and the retention years with the DPO; switch on the overdue request job</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marketing only with consent; the right to object to direct marketing.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Campaigns e-mails only clients and prospects whose marketing consent is in force in the consent register and who have an e-mail; everyone else is recorded as excluded with the reason. Every e-mail carries a personal opt-out link; confirming it records a refusal of the marketing purpose (channel E-mail) and later campaigns leave the person out. Campaign results show the opt-outs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 marketing consent with the privacy notice; word the opt-out text (</w:t>
            </w:r>
            <w:r>
              <w:rPr>
                <w:rFonts w:eastAsia="Consolas" w:cs="Consolas" w:ascii="Consolas" w:hAnsi="Consolas"/>
                <w:color w:val="101820"/>
                <w:kern w:val="0"/>
                <w:sz w:val="16"/>
                <w:szCs w:val="24"/>
                <w:lang w:val="en-US" w:eastAsia="ja-JP" w:bidi="ar-SA"/>
              </w:rPr>
              <w:t>campaigns.opt_out_text</w:t>
            </w:r>
            <w:r>
              <w:rPr>
                <w:rFonts w:eastAsia="Segoe UI" w:cs="Segoe UI" w:ascii="Segoe UI" w:hAnsi="Segoe UI"/>
                <w:color w:val="101820"/>
                <w:kern w:val="0"/>
                <w:sz w:val="18"/>
                <w:szCs w:val="24"/>
                <w:lang w:val="en-US" w:eastAsia="ja-JP" w:bidi="ar-SA"/>
              </w:rPr>
              <w:t>); approve campaign content; honour objections received by other channels by recording them in the consent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 Personal data is kept only as long as needed for the purpose or as the law requires, then disposed of securely.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logs are deleted after their retention days (</w:t>
            </w:r>
            <w:r>
              <w:rPr>
                <w:rFonts w:eastAsia="Consolas" w:cs="Consolas" w:ascii="Consolas" w:hAnsi="Consolas"/>
                <w:color w:val="101820"/>
                <w:kern w:val="0"/>
                <w:sz w:val="16"/>
                <w:szCs w:val="24"/>
                <w:lang w:val="en-US" w:eastAsia="ja-JP" w:bidi="ar-SA"/>
              </w:rPr>
              <w:t>housekeeping.*</w:t>
            </w:r>
            <w:r>
              <w:rPr>
                <w:rFonts w:eastAsia="Segoe UI" w:cs="Segoe UI" w:ascii="Segoe UI" w:hAnsi="Segoe UI"/>
                <w:color w:val="101820"/>
                <w:kern w:val="0"/>
                <w:sz w:val="18"/>
                <w:szCs w:val="24"/>
                <w:lang w:val="en-US" w:eastAsia="ja-JP" w:bidi="ar-SA"/>
              </w:rPr>
              <w:t xml:space="preserve">: sign-in history 365 days, sent e-mails 180 days, read notifications 180 days); business records and the audit trail are kept; the personal data of a client or prospect can be anonymised once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has passed, keeping amounts, numbers and dates for the books. Proposed retention per record type in architecture document 10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retention schedule with the compliance officer (insurance, tax and AMLA retention rules apply too); approve any disposal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management. Breaches that meet the NPC criteria are notified to the NPC and the affected data subjects within 72 hours of knowledge.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Data Privacy (NPC) &gt; Breach Register: incident log (PDB series), assessment against the NPC criteria, the 72-hour deadline (</w:t>
            </w:r>
            <w:r>
              <w:rPr>
                <w:rFonts w:eastAsia="Consolas" w:cs="Consolas" w:ascii="Consolas" w:hAnsi="Consolas"/>
                <w:color w:val="101820"/>
                <w:kern w:val="0"/>
                <w:sz w:val="16"/>
                <w:szCs w:val="24"/>
                <w:lang w:val="en-US" w:eastAsia="ja-JP" w:bidi="ar-SA"/>
              </w:rPr>
              <w:t>privacy.breach_notify_hours</w:t>
            </w:r>
            <w:r>
              <w:rPr>
                <w:rFonts w:eastAsia="Segoe UI" w:cs="Segoe UI" w:ascii="Segoe UI" w:hAnsi="Segoe UI"/>
                <w:color w:val="101820"/>
                <w:kern w:val="0"/>
                <w:sz w:val="18"/>
                <w:szCs w:val="24"/>
                <w:lang w:val="en-US" w:eastAsia="ja-JP" w:bidi="ar-SA"/>
              </w:rPr>
              <w:t>) with hours left and hourly reminders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privacy.breach_reminder_hours</w:t>
            </w:r>
            <w:r>
              <w:rPr>
                <w:rFonts w:eastAsia="Segoe UI" w:cs="Segoe UI" w:ascii="Segoe UI" w:hAnsi="Segoe UI"/>
                <w:color w:val="101820"/>
                <w:kern w:val="0"/>
                <w:sz w:val="18"/>
                <w:szCs w:val="24"/>
                <w:lang w:val="en-US" w:eastAsia="ja-JP" w:bidi="ar-SA"/>
              </w:rPr>
              <w:t>), the NPC notification (reference, reason for a late notification), the data subjects notified, documents, closure; annual security incident report (Excel). Detection support: login history, audit trail, monitoring alarms; iorta TechNXT informs the broker of a suspected breach without delay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the breach, notify the NPC and data subjects through the NPC's channels, submit the annual security incident report; the DPO leads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in test, training and support environments. Personal data is processed only for its declared purpose and protected against unauthorised access.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copy of production used outside production is masked first with </w:t>
            </w:r>
            <w:r>
              <w:rPr>
                <w:rFonts w:eastAsia="Consolas" w:cs="Consolas" w:ascii="Consolas" w:hAnsi="Consolas"/>
                <w:color w:val="101820"/>
                <w:kern w:val="0"/>
                <w:sz w:val="16"/>
                <w:szCs w:val="24"/>
                <w:lang w:val="en-US" w:eastAsia="ja-JP" w:bidi="ar-SA"/>
              </w:rPr>
              <w:t>npm run mask:data</w:t>
            </w:r>
            <w:r>
              <w:rPr>
                <w:rFonts w:eastAsia="Segoe UI" w:cs="Segoe UI" w:ascii="Segoe UI" w:hAnsi="Segoe UI"/>
                <w:color w:val="101820"/>
                <w:kern w:val="0"/>
                <w:sz w:val="18"/>
                <w:szCs w:val="24"/>
                <w:lang w:val="en-US" w:eastAsia="ja-JP" w:bidi="ar-SA"/>
              </w:rPr>
              <w:t xml:space="preserve"> (consistent pseudonyms of names, e-mail addresses, mobile numbers, TINs, addresses, ID, vehicle and bank numbers; remarks cleared; files replaced; passwords reset; e-mail sending off), refused on the registered production database, verified, and recorded in the audit trail (docs/onboarding/DATA_MASKING.md)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each refresh (DPO); keep the evidence; destroy copies after use; never copy a masked copy back to production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and registration.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system function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Appoint a DPO; register with the NPC where the rules require it; train staff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Outsourcing and transfer. Processing by a service provider is covered by an agreement; data processed outside the Philippines stays under the controller's accountability.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hosts BrokerVerse on AWS, region ap-southeast-1 (Singapore), unless agreed otherwise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the outsourcing or data processing agreement; disclose the processing and its location in the privacy notice</w:t>
            </w:r>
          </w:p>
        </w:tc>
      </w:tr>
    </w:tbl>
    <w:p>
      <w:pPr>
        <w:pStyle w:val="Heading1"/>
        <w:rPr/>
      </w:pPr>
      <w:r>
        <w:br w:type="page"/>
      </w:r>
      <w:bookmarkStart w:id="21" w:name="__RefHeading___Toc12276_3960898926"/>
      <w:bookmarkEnd w:id="21"/>
      <w:r>
        <w:rPr>
          <w:rFonts w:eastAsia="Segoe UI" w:cs="Segoe UI" w:ascii="Segoe UI" w:hAnsi="Segoe UI"/>
          <w:b/>
          <w:color w:val="0F4761"/>
          <w:sz w:val="32"/>
        </w:rPr>
        <w:t>10.  Anti-Money Laundering Act (where applicable)</w:t>
      </w:r>
    </w:p>
    <w:p>
      <w:pPr>
        <w:pStyle w:val="Normal"/>
        <w:spacing w:lineRule="auto" w:line="276" w:before="0" w:after="120"/>
        <w:rPr/>
      </w:pPr>
      <w:r>
        <w:rPr>
          <w:rFonts w:eastAsia="Segoe UI" w:cs="Segoe UI" w:ascii="Segoe UI" w:hAnsi="Segoe UI"/>
          <w:color w:val="101820"/>
          <w:sz w:val="21"/>
        </w:rPr>
        <w:t>Persons supervised or regulated by the IC are covered persons under the AMLA, as amended. Whether and how the obligations apply to a given broker and transaction is confirmed by the broker's compliance officer under the AMLA, its implementing rules and the IC's guidelines.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due diligence. Identify and verify the customer and, for juridical persons, the entity, its authorised signatories and its beneficial owners, before or during the business relationship.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Clients &gt; </w:t>
            </w:r>
            <w:r>
              <w:rPr>
                <w:rFonts w:eastAsia="Segoe UI" w:cs="Segoe UI" w:ascii="Segoe UI" w:hAnsi="Segoe UI"/>
                <w:b/>
                <w:color w:val="101820"/>
                <w:kern w:val="0"/>
                <w:sz w:val="18"/>
                <w:szCs w:val="24"/>
                <w:lang w:val="en-US" w:eastAsia="ja-JP" w:bidi="ar-SA"/>
              </w:rPr>
              <w:t>Onboard client</w:t>
            </w:r>
            <w:r>
              <w:rPr>
                <w:rFonts w:eastAsia="Segoe UI" w:cs="Segoe UI" w:ascii="Segoe UI" w:hAnsi="Segoe UI"/>
                <w:color w:val="101820"/>
                <w:kern w:val="0"/>
                <w:sz w:val="18"/>
                <w:szCs w:val="24"/>
                <w:lang w:val="en-US" w:eastAsia="ja-JP" w:bidi="ar-SA"/>
              </w:rPr>
              <w:t xml:space="preserve"> creates the client before its first policy: individual (name, birth date and place, nationality, civil status, occupation, source of funds, government ID with expiry, Philippine mobile number and TIN checked, PSGC address) or juridical (registered and trade name, SEC / DTI / CDA registration, TIN, nature of business, authorised signatories with the board resolution or secretary's certificate, beneficial owners at or above </w:t>
            </w:r>
            <w:r>
              <w:rPr>
                <w:rFonts w:eastAsia="Consolas" w:cs="Consolas" w:ascii="Consolas" w:hAnsi="Consolas"/>
                <w:color w:val="101820"/>
                <w:kern w:val="0"/>
                <w:sz w:val="16"/>
                <w:szCs w:val="24"/>
                <w:lang w:val="en-US" w:eastAsia="ja-JP" w:bidi="ar-SA"/>
              </w:rPr>
              <w:t>aml.beneficial_owner_threshold</w:t>
            </w:r>
            <w:r>
              <w:rPr>
                <w:rFonts w:eastAsia="Segoe UI" w:cs="Segoe UI" w:ascii="Segoe UI" w:hAnsi="Segoe UI"/>
                <w:color w:val="101820"/>
                <w:kern w:val="0"/>
                <w:sz w:val="18"/>
                <w:szCs w:val="24"/>
                <w:lang w:val="en-US" w:eastAsia="ja-JP" w:bidi="ar-SA"/>
              </w:rPr>
              <w:t>, 25%, or in control); KYC documents uploaded per client, signatory, owner or EDD review; the client created at policy issue is completed the same way; KYC status per client (Incomplete, Complete, EDD required, Refresh due, Blocked)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Adopt the MTPP; decide which documents are accepted; verify the documents seen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Risk-based CDD, enhanced due diligence and ongoing monitoring.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risk rating Low / Normal / High from configurable factors (client type, nationality, PEP, line of business, payment mode, premium size, geography) at onboarding, at every policy issue and at the KYC refresh, with history and a compliance officer override; an EDD review is opened for every High-risk client, prepared and submitted, then approved by a compliance officer other than the preparer (approve:aml), and no policy is issued to a High-risk client without it (</w:t>
            </w:r>
            <w:r>
              <w:rPr>
                <w:rFonts w:eastAsia="Consolas" w:cs="Consolas" w:ascii="Consolas" w:hAnsi="Consolas"/>
                <w:color w:val="101820"/>
                <w:kern w:val="0"/>
                <w:sz w:val="16"/>
                <w:szCs w:val="24"/>
                <w:lang w:val="en-US" w:eastAsia="ja-JP" w:bidi="ar-SA"/>
              </w:rPr>
              <w:t>aml.block_issue_pending_edd</w:t>
            </w:r>
            <w:r>
              <w:rPr>
                <w:rFonts w:eastAsia="Segoe UI" w:cs="Segoe UI" w:ascii="Segoe UI" w:hAnsi="Segoe UI"/>
                <w:color w:val="101820"/>
                <w:kern w:val="0"/>
                <w:sz w:val="18"/>
                <w:szCs w:val="24"/>
                <w:lang w:val="en-US" w:eastAsia="ja-JP" w:bidi="ar-SA"/>
              </w:rPr>
              <w:t>); periodic KYC refresh per rating (</w:t>
            </w:r>
            <w:r>
              <w:rPr>
                <w:rFonts w:eastAsia="Consolas" w:cs="Consolas" w:ascii="Consolas" w:hAnsi="Consolas"/>
                <w:color w:val="101820"/>
                <w:kern w:val="0"/>
                <w:sz w:val="16"/>
                <w:szCs w:val="24"/>
                <w:lang w:val="en-US" w:eastAsia="ja-JP" w:bidi="ar-SA"/>
              </w:rPr>
              <w:t>aml.kyc_refresh_months</w:t>
            </w:r>
            <w:r>
              <w:rPr>
                <w:rFonts w:eastAsia="Segoe UI" w:cs="Segoe UI" w:ascii="Segoe UI" w:hAnsi="Segoe UI"/>
                <w:color w:val="101820"/>
                <w:kern w:val="0"/>
                <w:sz w:val="18"/>
                <w:szCs w:val="24"/>
                <w:lang w:val="en-US" w:eastAsia="ja-JP" w:bidi="ar-SA"/>
              </w:rPr>
              <w:t>: Low 36, Normal 24, High 12) with the due list (Compliance &gt; KYC Refresh) and a weekly job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risk factors, scores and refresh periods of the programme; approve the EDD reviews; decide the senior management approval of PEP relationships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Targeted financial sanctions, PEP and negative list screening.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Screening Lists: UN Security Council consolidated list (XML as published), AMLC / ATC designations, PEP list and internal negative list (CSV / XLSX), each upload a version with checksum and entries, followed by a rescreen of every client, owner and signatory; fuzzy name matching with a score threshold (</w:t>
            </w:r>
            <w:r>
              <w:rPr>
                <w:rFonts w:eastAsia="Consolas" w:cs="Consolas" w:ascii="Consolas" w:hAnsi="Consolas"/>
                <w:color w:val="101820"/>
                <w:kern w:val="0"/>
                <w:sz w:val="16"/>
                <w:szCs w:val="24"/>
                <w:lang w:val="en-US" w:eastAsia="ja-JP" w:bidi="ar-SA"/>
              </w:rPr>
              <w:t>aml.match_threshold</w:t>
            </w:r>
            <w:r>
              <w:rPr>
                <w:rFonts w:eastAsia="Segoe UI" w:cs="Segoe UI" w:ascii="Segoe UI" w:hAnsi="Segoe UI"/>
                <w:color w:val="101820"/>
                <w:kern w:val="0"/>
                <w:sz w:val="18"/>
                <w:szCs w:val="24"/>
                <w:lang w:val="en-US" w:eastAsia="ja-JP" w:bidi="ar-SA"/>
              </w:rPr>
              <w:t>); screening at onboarding, at policy issue and at refund and claim payouts; Compliance &gt; Screening Hits to clear, escalate or confirm with a reason (audited); policy issue and payouts refused while a hit is undecided or confirmed (</w:t>
            </w:r>
            <w:r>
              <w:rPr>
                <w:rFonts w:eastAsia="Consolas" w:cs="Consolas" w:ascii="Consolas" w:hAnsi="Consolas"/>
                <w:color w:val="101820"/>
                <w:kern w:val="0"/>
                <w:sz w:val="16"/>
                <w:szCs w:val="24"/>
                <w:lang w:val="en-US" w:eastAsia="ja-JP" w:bidi="ar-SA"/>
              </w:rPr>
              <w:t>aml.screening_block_events</w:t>
            </w:r>
            <w:r>
              <w:rPr>
                <w:rFonts w:eastAsia="Segoe UI" w:cs="Segoe UI" w:ascii="Segoe UI" w:hAnsi="Segoe UI"/>
                <w:color w:val="101820"/>
                <w:kern w:val="0"/>
                <w:sz w:val="18"/>
                <w:szCs w:val="24"/>
                <w:lang w:val="en-US" w:eastAsia="ja-JP" w:bidi="ar-SA"/>
              </w:rPr>
              <w:t>); adapter for a commercial screening provider (endpoint and API key by environment variable name, sandbox or live, request log with retry)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Obtain the lists and the PEP source it is entitled to use and upload each new publication; contract and certify the commercial provider if one is used; freeze and report as the AMLC and ATC require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keeping. Keep customer identification and transaction records for at least five years, or longer where a case is pending.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records, documents and the audit trail are kept; AML ratings, screenings, alerts, cases and report files are kept for </w:t>
            </w:r>
            <w:r>
              <w:rPr>
                <w:rFonts w:eastAsia="Consolas" w:cs="Consolas" w:ascii="Consolas" w:hAnsi="Consolas"/>
                <w:color w:val="101820"/>
                <w:kern w:val="0"/>
                <w:sz w:val="16"/>
                <w:szCs w:val="24"/>
                <w:lang w:val="en-US" w:eastAsia="ja-JP" w:bidi="ar-SA"/>
              </w:rPr>
              <w:t>aml.record_retention_years</w:t>
            </w:r>
            <w:r>
              <w:rPr>
                <w:rFonts w:eastAsia="Segoe UI" w:cs="Segoe UI" w:ascii="Segoe UI" w:hAnsi="Segoe UI"/>
                <w:color w:val="101820"/>
                <w:kern w:val="0"/>
                <w:sz w:val="18"/>
                <w:szCs w:val="24"/>
                <w:lang w:val="en-US" w:eastAsia="ja-JP" w:bidi="ar-SA"/>
              </w:rPr>
              <w:t xml:space="preserve"> (5) years after the last policy, transaction or case, and Master &gt; Data Privacy refuses to anonymise a client before then or while a case is open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and enforce the retention; keep records of the old system for the remaining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and suspicious transaction reporting to the AMLC.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monitoring (Compliance &gt; Transaction Alerts): covered transactions (cash above </w:t>
            </w:r>
            <w:r>
              <w:rPr>
                <w:rFonts w:eastAsia="Consolas" w:cs="Consolas" w:ascii="Consolas" w:hAnsi="Consolas"/>
                <w:color w:val="101820"/>
                <w:kern w:val="0"/>
                <w:sz w:val="16"/>
                <w:szCs w:val="24"/>
                <w:lang w:val="en-US" w:eastAsia="ja-JP" w:bidi="ar-SA"/>
              </w:rPr>
              <w:t>aml.covered_threshold</w:t>
            </w:r>
            <w:r>
              <w:rPr>
                <w:rFonts w:eastAsia="Segoe UI" w:cs="Segoe UI" w:ascii="Segoe UI" w:hAnsi="Segoe UI"/>
                <w:color w:val="101820"/>
                <w:kern w:val="0"/>
                <w:sz w:val="18"/>
                <w:szCs w:val="24"/>
                <w:lang w:val="en-US" w:eastAsia="ja-JP" w:bidi="ar-SA"/>
              </w:rPr>
              <w:t>, PHP 500,000, within one banking day, setting) and configurable red flags (several cash payments below the threshold, early cancellation with return premium, refund or claim paid to a third party, overpayment refunded, payer differs from the client); AML cases with the narrative, grounds of suspicion and due dates in working days (</w:t>
            </w:r>
            <w:r>
              <w:rPr>
                <w:rFonts w:eastAsia="Consolas" w:cs="Consolas" w:ascii="Consolas" w:hAnsi="Consolas"/>
                <w:color w:val="101820"/>
                <w:kern w:val="0"/>
                <w:sz w:val="16"/>
                <w:szCs w:val="24"/>
                <w:lang w:val="en-US" w:eastAsia="ja-JP" w:bidi="ar-SA"/>
              </w:rPr>
              <w:t>aml.ctr_due_working_days</w:t>
            </w:r>
            <w:r>
              <w:rPr>
                <w:rFonts w:eastAsia="Segoe UI" w:cs="Segoe UI" w:ascii="Segoe UI" w:hAnsi="Segoe UI"/>
                <w:color w:val="101820"/>
                <w:kern w:val="0"/>
                <w:sz w:val="18"/>
                <w:szCs w:val="24"/>
                <w:lang w:val="en-US" w:eastAsia="ja-JP" w:bidi="ar-SA"/>
              </w:rPr>
              <w:t xml:space="preserve"> 5, </w:t>
            </w:r>
            <w:r>
              <w:rPr>
                <w:rFonts w:eastAsia="Consolas" w:cs="Consolas" w:ascii="Consolas" w:hAnsi="Consolas"/>
                <w:color w:val="101820"/>
                <w:kern w:val="0"/>
                <w:sz w:val="16"/>
                <w:szCs w:val="24"/>
                <w:lang w:val="en-US" w:eastAsia="ja-JP" w:bidi="ar-SA"/>
              </w:rPr>
              <w:t>aml.str_due_working_days</w:t>
            </w:r>
            <w:r>
              <w:rPr>
                <w:rFonts w:eastAsia="Segoe UI" w:cs="Segoe UI" w:ascii="Segoe UI" w:hAnsi="Segoe UI"/>
                <w:color w:val="101820"/>
                <w:kern w:val="0"/>
                <w:sz w:val="18"/>
                <w:szCs w:val="24"/>
                <w:lang w:val="en-US" w:eastAsia="ja-JP" w:bidi="ar-SA"/>
              </w:rPr>
              <w:t xml:space="preserve"> 1); CTR and STR files in the layout BV-AMLC-TXN 1.0 (pipe-delimited header, detail, narrative and trailer records) downloaded from Compliance &gt; AMLC Reports, then the filing and the AMLC acknowledgement recorded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with the AMLC and set the institution code; confirm the thresholds, filing days, transaction codes and the field layout against the AMLC's current reporting guidelines and validate a test file in the AMLC portal; file the reports through the AMLC portal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and compliance testing.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and role decks for system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AMLA training of staff; internal audit of compliance</w:t>
            </w:r>
          </w:p>
        </w:tc>
      </w:tr>
    </w:tbl>
    <w:p>
      <w:pPr>
        <w:pStyle w:val="Heading1"/>
        <w:rPr/>
      </w:pPr>
      <w:r>
        <w:br w:type="page"/>
      </w:r>
      <w:bookmarkStart w:id="22" w:name="__RefHeading___Toc12278_3960898926"/>
      <w:bookmarkEnd w:id="22"/>
      <w:r>
        <w:rPr>
          <w:rFonts w:eastAsia="Segoe UI" w:cs="Segoe UI" w:ascii="Segoe UI" w:hAnsi="Segoe UI"/>
          <w:b/>
          <w:color w:val="0F4761"/>
          <w:sz w:val="32"/>
        </w:rPr>
        <w:t>11.  Summary of what remains with the broker</w:t>
      </w:r>
    </w:p>
    <w:p>
      <w:pPr>
        <w:pStyle w:val="Normal"/>
        <w:numPr>
          <w:ilvl w:val="0"/>
          <w:numId w:val="1"/>
        </w:numPr>
        <w:spacing w:before="0" w:after="60"/>
        <w:rPr/>
      </w:pPr>
      <w:r>
        <w:rPr>
          <w:rFonts w:eastAsia="Segoe UI" w:cs="Segoe UI" w:ascii="Segoe UI" w:hAnsi="Segoe UI"/>
          <w:color w:val="101820"/>
          <w:sz w:val="21"/>
        </w:rPr>
        <w:t>All registrations and filings: IC reports (from the IC Annual Statement and Production Report workbooks, confirmed by the accountant), BIR returns, alphalists and certificates, CAS registration or acknowledgement and the registration of invoices and receipts, NPC registration and breach notifications, AMLC reports (BrokerVerse prepares the CTR and STR files; the filing in the AMLC portal is the broker's).</w:t>
      </w:r>
    </w:p>
    <w:p>
      <w:pPr>
        <w:pStyle w:val="Normal"/>
        <w:numPr>
          <w:ilvl w:val="0"/>
          <w:numId w:val="1"/>
        </w:numPr>
        <w:spacing w:before="0" w:after="60"/>
        <w:rPr/>
      </w:pPr>
      <w:r>
        <w:rPr>
          <w:rFonts w:eastAsia="Segoe UI" w:cs="Segoe UI" w:ascii="Segoe UI" w:hAnsi="Segoe UI"/>
          <w:color w:val="101820"/>
          <w:sz w:val="21"/>
        </w:rPr>
        <w:t>Confirmation of every rate, ATC and GL account delivered with the system, by the broker's tax adviser, and of the motor tariff, by the insurers.</w:t>
      </w:r>
    </w:p>
    <w:p>
      <w:pPr>
        <w:pStyle w:val="Normal"/>
        <w:numPr>
          <w:ilvl w:val="0"/>
          <w:numId w:val="1"/>
        </w:numPr>
        <w:spacing w:before="0" w:after="60"/>
        <w:rPr/>
      </w:pPr>
      <w:r>
        <w:rPr>
          <w:rFonts w:eastAsia="Segoe UI" w:cs="Segoe UI" w:ascii="Segoe UI" w:hAnsi="Segoe UI"/>
          <w:color w:val="101820"/>
          <w:sz w:val="21"/>
        </w:rPr>
        <w:t>The choice of documents that serve as registered invoices and receipts, and the check of their printed layout.</w:t>
      </w:r>
    </w:p>
    <w:p>
      <w:pPr>
        <w:pStyle w:val="Normal"/>
        <w:numPr>
          <w:ilvl w:val="0"/>
          <w:numId w:val="1"/>
        </w:numPr>
        <w:spacing w:before="0" w:after="60"/>
        <w:rPr/>
      </w:pPr>
      <w:r>
        <w:rPr>
          <w:rFonts w:eastAsia="Segoe UI" w:cs="Segoe UI" w:ascii="Segoe UI" w:hAnsi="Segoe UI"/>
          <w:color w:val="101820"/>
          <w:sz w:val="21"/>
        </w:rPr>
        <w:t>Retention schedules for business records and personal data, and disposal.</w:t>
      </w:r>
    </w:p>
    <w:p>
      <w:pPr>
        <w:pStyle w:val="Normal"/>
        <w:numPr>
          <w:ilvl w:val="0"/>
          <w:numId w:val="1"/>
        </w:numPr>
        <w:spacing w:before="0" w:after="60"/>
        <w:rPr/>
      </w:pPr>
      <w:r>
        <w:rPr>
          <w:rFonts w:eastAsia="Segoe UI" w:cs="Segoe UI" w:ascii="Segoe UI" w:hAnsi="Segoe UI"/>
          <w:color w:val="101820"/>
          <w:sz w:val="21"/>
        </w:rPr>
        <w:t>Policies and procedures: credit control and cancellation, premium trust account, AMLA programme, privacy management programme, access reviews.</w:t>
      </w:r>
    </w:p>
    <w:p>
      <w:pPr>
        <w:pStyle w:val="Normal"/>
        <w:numPr>
          <w:ilvl w:val="0"/>
          <w:numId w:val="1"/>
        </w:numPr>
        <w:spacing w:before="0" w:after="60"/>
        <w:rPr/>
      </w:pPr>
      <w:r>
        <w:rPr>
          <w:rFonts w:eastAsia="Segoe UI" w:cs="Segoe UI" w:ascii="Segoe UI" w:hAnsi="Segoe UI"/>
          <w:color w:val="101820"/>
          <w:sz w:val="21"/>
        </w:rPr>
        <w:t>Keeping the configuration current when laws, rates and agreements change, using Master &gt; Configuration, Master &gt; Finance &gt; Taxation, Premium Taxes &amp; LGU Rates and the Product Configurator.</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3" w:name="__RefHeading___Toc12280_3960898926"/>
      <w:bookmarkStart w:id="24" w:name="_Toc233203395"/>
      <w:bookmarkEnd w:id="23"/>
      <w:r>
        <w:rPr>
          <w:rStyle w:val="BookTitle"/>
          <w:bCs w:val="false"/>
          <w:i w:val="false"/>
          <w:iCs w:val="false"/>
          <w:spacing w:val="0"/>
        </w:rPr>
        <w:t>12.  Document Sign-Off</w:t>
      </w:r>
      <w:bookmarkEnd w:id="2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2026-10-04T09:11:54Z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