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oter1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0" allowOverlap="1" relativeHeight="18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7553960" cy="1068514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960" cy="10685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29">
            <wp:simplePos x="0" y="0"/>
            <wp:positionH relativeFrom="margin">
              <wp:align>center</wp:align>
            </wp:positionH>
            <wp:positionV relativeFrom="margin">
              <wp:posOffset>244475</wp:posOffset>
            </wp:positionV>
            <wp:extent cx="2000250" cy="568325"/>
            <wp:effectExtent l="0" t="0" r="0" b="0"/>
            <wp:wrapNone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5720" distB="45720" distL="114300" distR="114300" simplePos="0" locked="0" layoutInCell="0" allowOverlap="1" relativeHeight="19" wp14:anchorId="3D43415C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599690" cy="266700"/>
                <wp:effectExtent l="0" t="0" r="0" b="0"/>
                <wp:wrapSquare wrapText="bothSides"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56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iorta TechNXT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15.3pt;margin-top:324.8pt;width:204.65pt;height:20.95pt;mso-wrap-style:square;v-text-anchor:top;mso-position-horizontal-relative:page" wp14:anchorId="3D43415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Prepared by – </w:t>
                      </w:r>
                      <w:r>
                        <w:rPr>
                          <w:b/>
                          <w:bCs/>
                          <w:color w:val="1D74BA"/>
                        </w:rPr>
                        <w:t>iorta TechNXT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3030" distR="114935" simplePos="0" locked="0" layoutInCell="0" allowOverlap="1" relativeHeight="21" wp14:anchorId="58C23128">
                <wp:simplePos x="0" y="0"/>
                <wp:positionH relativeFrom="page">
                  <wp:posOffset>3094990</wp:posOffset>
                </wp:positionH>
                <wp:positionV relativeFrom="paragraph">
                  <wp:posOffset>4124960</wp:posOffset>
                </wp:positionV>
                <wp:extent cx="1599565" cy="266700"/>
                <wp:effectExtent l="0" t="0" r="0" b="0"/>
                <wp:wrapSquare wrapText="bothSides"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1.1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43.7pt;margin-top:324.8pt;width:125.9pt;height:20.95pt;mso-wrap-style:square;v-text-anchor:top;mso-position-horizontal-relative:page" wp14:anchorId="58C23128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Version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1.1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4300" distR="113665" simplePos="0" locked="0" layoutInCell="0" allowOverlap="1" relativeHeight="23" wp14:anchorId="1BF25123">
                <wp:simplePos x="0" y="0"/>
                <wp:positionH relativeFrom="page">
                  <wp:posOffset>4992370</wp:posOffset>
                </wp:positionH>
                <wp:positionV relativeFrom="paragraph">
                  <wp:posOffset>4124960</wp:posOffset>
                </wp:positionV>
                <wp:extent cx="2400300" cy="266700"/>
                <wp:effectExtent l="0" t="0" r="0" b="0"/>
                <wp:wrapSquare wrapText="bothSides"/>
                <wp:docPr id="5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04 October 2026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393.1pt;margin-top:324.8pt;width:188.95pt;height:20.95pt;mso-wrap-style:square;v-text-anchor:top;mso-position-horizontal-relative:page" wp14:anchorId="1BF25123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Date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04 October 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6355" distL="114300" distR="114300" simplePos="0" locked="0" layoutInCell="0" allowOverlap="1" relativeHeight="25" wp14:anchorId="01DE2BF4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49680"/>
                <wp:effectExtent l="0" t="0" r="0" b="0"/>
                <wp:wrapSquare wrapText="bothSides"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124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Documentation Pack Index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01.7pt;width:356.55pt;height:98.35pt;mso-wrap-style:square;v-text-anchor:top;mso-position-horizontal:center;mso-position-horizontal-relative:margin" wp14:anchorId="01DE2BF4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Documentation Pack Index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50800" distL="114300" distR="114300" simplePos="0" locked="0" layoutInCell="0" allowOverlap="1" relativeHeight="27" wp14:anchorId="204C02CC">
                <wp:simplePos x="0" y="0"/>
                <wp:positionH relativeFrom="margin">
                  <wp:align>center</wp:align>
                </wp:positionH>
                <wp:positionV relativeFrom="paragraph">
                  <wp:posOffset>1979295</wp:posOffset>
                </wp:positionV>
                <wp:extent cx="4528820" cy="337820"/>
                <wp:effectExtent l="0" t="0" r="0" b="5080"/>
                <wp:wrapSquare wrapText="bothSides"/>
                <wp:docPr id="7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33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iNXT BrokerVerse OOTB documents by folder, audience and lifecycle stage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55.85pt;width:356.55pt;height:26.55pt;mso-wrap-style:square;v-text-anchor:top;mso-position-horizontal:center;mso-position-horizontal-relative:margin" wp14:anchorId="204C02C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iNXT BrokerVerse OOTB documents by folder, audience and lifecycle stage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br w:type="page"/>
      </w:r>
    </w:p>
    <w:p>
      <w:pPr>
        <w:pStyle w:val="TOCHeading"/>
        <w:tabs>
          <w:tab w:val="clear" w:pos="720"/>
          <w:tab w:val="left" w:pos="1991" w:leader="none"/>
          <w:tab w:val="center" w:pos="4725" w:leader="none"/>
          <w:tab w:val="right" w:pos="9450" w:leader="none"/>
        </w:tabs>
        <w:spacing w:before="0" w:after="0"/>
        <w:rPr>
          <w:rFonts w:ascii="Segoe UI" w:hAnsi="Segoe UI" w:cs="Segoe UI"/>
          <w:b/>
          <w:color w:val="003399"/>
        </w:rPr>
      </w:pPr>
      <w:r>
        <w:rPr>
          <w:rFonts w:eastAsia="Arial" w:cs="Segoe UI" w:ascii="Segoe UI" w:hAnsi="Segoe UI"/>
          <w:b/>
          <w:color w:val="003399"/>
        </w:rPr>
        <w:t>TABLE OF CONTENTS</w:t>
      </w:r>
    </w:p>
    <w:p>
      <w:pPr>
        <w:pStyle w:val="Normal"/>
        <w:rPr>
          <w:rFonts w:ascii="Segoe UI" w:hAnsi="Segoe UI" w:cs="Segoe UI"/>
          <w:color w:val="101820"/>
        </w:rPr>
      </w:pPr>
      <w:r>
        <w:rPr>
          <w:rFonts w:cs="Segoe UI" w:ascii="Segoe UI" w:hAnsi="Segoe UI"/>
          <w:color w:val="1018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572_1961981269">
            <w:r>
              <w:rPr>
                <w:webHidden/>
                <w:rStyle w:val="IndexLink"/>
              </w:rPr>
              <w:t xml:space="preserve"> </w:t>
            </w:r>
            <w:r>
              <w:rPr>
                <w:rStyle w:val="IndexLink"/>
                <w:i w:val="false"/>
                <w:iCs w:val="false"/>
              </w:rPr>
              <w:t>1. Document Control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74_1961981269">
            <w:r>
              <w:rPr>
                <w:webHidden/>
                <w:rStyle w:val="IndexLink"/>
                <w:i w:val="false"/>
                <w:iCs w:val="false"/>
              </w:rPr>
              <w:t>2. Acronyms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76_1961981269">
            <w:r>
              <w:rPr>
                <w:webHidden/>
                <w:rStyle w:val="IndexLink"/>
              </w:rPr>
              <w:t>3. How to use this index</w:t>
              <w:tab/>
              <w:t>4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78_1961981269">
            <w:r>
              <w:rPr>
                <w:webHidden/>
                <w:rStyle w:val="IndexLink"/>
              </w:rPr>
              <w:t>4. Index by audience</w:t>
              <w:tab/>
              <w:t>5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80_1961981269">
            <w:r>
              <w:rPr>
                <w:webHidden/>
                <w:rStyle w:val="IndexLink"/>
              </w:rPr>
              <w:t>5. Index by lifecycle stage</w:t>
              <w:tab/>
              <w:t>6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82_1961981269">
            <w:r>
              <w:rPr>
                <w:webHidden/>
                <w:rStyle w:val="IndexLink"/>
              </w:rPr>
              <w:t>6. File list by folder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84_1961981269">
            <w:r>
              <w:rPr>
                <w:webHidden/>
                <w:rStyle w:val="IndexLink"/>
              </w:rPr>
              <w:t>6.1 Sales (01_Sales)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86_1961981269">
            <w:r>
              <w:rPr>
                <w:webHidden/>
                <w:rStyle w:val="IndexLink"/>
              </w:rPr>
              <w:t>6.2 Commercials (02_Commercials)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88_1961981269">
            <w:r>
              <w:rPr>
                <w:webHidden/>
                <w:rStyle w:val="IndexLink"/>
              </w:rPr>
              <w:t>6.3 Contracts (03_Contracts)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90_1961981269">
            <w:r>
              <w:rPr>
                <w:webHidden/>
                <w:rStyle w:val="IndexLink"/>
              </w:rPr>
              <w:t>6.4 Onboarding and go-live (04_Onboarding_and_Go_Live)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92_1961981269">
            <w:r>
              <w:rPr>
                <w:webHidden/>
                <w:rStyle w:val="IndexLink"/>
              </w:rPr>
              <w:t>6.5 Delivery (05_Delivery)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94_1961981269">
            <w:r>
              <w:rPr>
                <w:webHidden/>
                <w:rStyle w:val="IndexLink"/>
              </w:rPr>
              <w:t>6.6 Support (06_Support)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96_1961981269">
            <w:r>
              <w:rPr>
                <w:webHidden/>
                <w:rStyle w:val="IndexLink"/>
              </w:rPr>
              <w:t>6.7 Technical (07_Technical)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98_1961981269">
            <w:r>
              <w:rPr>
                <w:webHidden/>
                <w:rStyle w:val="IndexLink"/>
              </w:rPr>
              <w:t>6.8 Management (08_Management)</w:t>
              <w:tab/>
              <w:t>11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600_1961981269">
            <w:r>
              <w:rPr>
                <w:webHidden/>
                <w:rStyle w:val="IndexLink"/>
              </w:rPr>
              <w:t>7. INTERNAL documents</w:t>
              <w:tab/>
              <w:t>12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602_1961981269">
            <w:r>
              <w:rPr>
                <w:webHidden/>
                <w:rStyle w:val="IndexLink"/>
              </w:rPr>
              <w:t>8. Building the documents</w:t>
              <w:tab/>
              <w:t>13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604_1961981269">
            <w:r>
              <w:rPr>
                <w:webHidden/>
                <w:rStyle w:val="IndexLink"/>
                <w:i w:val="false"/>
                <w:iCs w:val="false"/>
              </w:rPr>
              <w:t>9. Document Sign-Off</w:t>
            </w:r>
            <w:r>
              <w:rPr>
                <w:rStyle w:val="IndexLink"/>
              </w:rPr>
              <w:tab/>
              <w:t>14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0" w:name="__RefHeading___Toc3572_1961981269"/>
      <w:bookmarkStart w:id="1" w:name="_Toc48319687"/>
      <w:bookmarkStart w:id="2" w:name="_Toc11824118"/>
      <w:bookmarkEnd w:id="0"/>
      <w:r>
        <w:rPr>
          <w:rStyle w:val="BookTitle"/>
          <w:b w:val="false"/>
        </w:rPr>
        <w:t xml:space="preserve"> </w:t>
      </w:r>
      <w:bookmarkStart w:id="3" w:name="_Toc233203387"/>
      <w:r>
        <w:rPr>
          <w:rStyle w:val="BookTitle"/>
          <w:bCs w:val="false"/>
          <w:i w:val="false"/>
          <w:iCs w:val="false"/>
          <w:spacing w:val="0"/>
        </w:rPr>
        <w:t>1.  Document Control</w:t>
      </w:r>
      <w:bookmarkEnd w:id="1"/>
      <w:bookmarkEnd w:id="2"/>
      <w:bookmarkEnd w:id="3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785"/>
        <w:gridCol w:w="1608"/>
        <w:gridCol w:w="1692"/>
        <w:gridCol w:w="1696"/>
        <w:gridCol w:w="1690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Date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Version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Author &amp; Business Unit Info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Reviewed By &amp; Business Unit Info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 &amp; Business Unit Info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Change History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04 October 2026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1.1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Initial issue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spacing w:before="60" w:after="16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4" w:name="__RefHeading___Toc3574_1961981269"/>
      <w:bookmarkStart w:id="5" w:name="_Toc233203388"/>
      <w:bookmarkEnd w:id="4"/>
      <w:r>
        <w:rPr>
          <w:rStyle w:val="BookTitle"/>
          <w:bCs w:val="false"/>
          <w:i w:val="false"/>
          <w:iCs w:val="false"/>
          <w:spacing w:val="0"/>
        </w:rPr>
        <w:t>2.  Acronyms</w:t>
      </w:r>
      <w:bookmarkEnd w:id="5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345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4"/>
        <w:gridCol w:w="3712"/>
      </w:tblGrid>
      <w:tr>
        <w:trPr>
          <w:trHeight w:val="440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Acronym / Symbol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Definition / Meaning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OOTB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Out of the box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DPO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Data protection officer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NDA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Non-disclosure agreement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PIA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Privacy impact assessment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RAID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Risks, assumptions, issues and dependencies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RACI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Responsible, Accountable, Consulted, Informed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ROI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Return on investment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SLA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Service level agreement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User acceptance test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Disaster recovery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SaaS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Software as a service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Heading1"/>
        <w:pageBreakBefore w:val="false"/>
        <w:rPr/>
      </w:pPr>
      <w:bookmarkStart w:id="6" w:name="__RefHeading___Toc3576_1961981269"/>
      <w:bookmarkEnd w:id="6"/>
      <w:r>
        <w:rPr>
          <w:rFonts w:eastAsia="Segoe UI" w:cs="Segoe UI" w:ascii="Segoe UI" w:hAnsi="Segoe UI"/>
          <w:b/>
          <w:color w:val="0F4761"/>
          <w:sz w:val="32"/>
        </w:rPr>
        <w:t>3.  How to use this index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 BrokerVerse OOTB documentation pack holds every document iorta TechNXT uses to sell, contract, implement, run and support iNXT BrokerVerse OOTB for a Philippine non-life broker. This index lists each file by folder, with its purpose, its audience and the stage of the customer lifecycle in which it is used.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b/>
          <w:color w:val="101820"/>
          <w:sz w:val="21"/>
        </w:rPr>
        <w:t>Client-facing</w:t>
      </w:r>
      <w:r>
        <w:rPr>
          <w:rFonts w:eastAsia="Segoe UI" w:cs="Segoe UI" w:ascii="Segoe UI" w:hAnsi="Segoe UI"/>
          <w:color w:val="101820"/>
          <w:sz w:val="21"/>
        </w:rPr>
        <w:t xml:space="preserve"> files may be given to the broker, normally from the stage shown.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b/>
          <w:color w:val="101820"/>
          <w:sz w:val="21"/>
        </w:rPr>
        <w:t>INTERNAL</w:t>
      </w:r>
      <w:r>
        <w:rPr>
          <w:rFonts w:eastAsia="Segoe UI" w:cs="Segoe UI" w:ascii="Segoe UI" w:hAnsi="Segoe UI"/>
          <w:color w:val="101820"/>
          <w:sz w:val="21"/>
        </w:rPr>
        <w:t xml:space="preserve"> files are for iorta TechNXT staff only. They hold pricing logic, discount limits, competitor positioning or internal strategy and are never sent to a broker or attached to a proposal. Their file names end in </w:t>
      </w:r>
      <w:r>
        <w:rPr>
          <w:rFonts w:eastAsia="Consolas" w:cs="Consolas" w:ascii="Consolas" w:hAnsi="Consolas"/>
          <w:color w:val="101820"/>
          <w:sz w:val="19"/>
        </w:rPr>
        <w:t>_INTERNAL</w:t>
      </w:r>
      <w:r>
        <w:rPr>
          <w:rFonts w:eastAsia="Segoe UI" w:cs="Segoe UI" w:ascii="Segoe UI" w:hAnsi="Segoe UI"/>
          <w:color w:val="101820"/>
          <w:sz w:val="21"/>
        </w:rPr>
        <w:t xml:space="preserve"> where the document is a sales tool.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Audiences: Sales (account managers and presales), Delivery (implementation project managers and consultants), Development (product engineering), Support (L2 and L3 application support), Management (iorta TechNXT management, and the broker's management for client-facing files).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Lifecycle stages: Pre-sales, Contracting, Implementation, Go-live, Support.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The files are kept in </w:t>
      </w:r>
      <w:r>
        <w:rPr>
          <w:rFonts w:eastAsia="Consolas" w:cs="Consolas" w:ascii="Consolas" w:hAnsi="Consolas"/>
          <w:color w:val="101820"/>
          <w:sz w:val="19"/>
        </w:rPr>
        <w:t>docs/package</w:t>
      </w:r>
      <w:r>
        <w:rPr>
          <w:rFonts w:eastAsia="Segoe UI" w:cs="Segoe UI" w:ascii="Segoe UI" w:hAnsi="Segoe UI"/>
          <w:color w:val="101820"/>
          <w:sz w:val="21"/>
        </w:rPr>
        <w:t xml:space="preserve">, one folder per purpose in the order of the customer lifecycle, and each file is kept once. </w:t>
      </w:r>
      <w:r>
        <w:rPr>
          <w:rFonts w:eastAsia="Consolas" w:cs="Consolas" w:ascii="Consolas" w:hAnsi="Consolas"/>
          <w:color w:val="101820"/>
          <w:sz w:val="19"/>
        </w:rPr>
        <w:t>source/</w:t>
      </w:r>
      <w:r>
        <w:rPr>
          <w:rFonts w:eastAsia="Segoe UI" w:cs="Segoe UI" w:ascii="Segoe UI" w:hAnsi="Segoe UI"/>
          <w:color w:val="101820"/>
          <w:sz w:val="21"/>
        </w:rPr>
        <w:t xml:space="preserve"> holds the text sources and </w:t>
      </w:r>
      <w:r>
        <w:rPr>
          <w:rFonts w:eastAsia="Consolas" w:cs="Consolas" w:ascii="Consolas" w:hAnsi="Consolas"/>
          <w:color w:val="101820"/>
          <w:sz w:val="19"/>
        </w:rPr>
        <w:t>tools/</w:t>
      </w:r>
      <w:r>
        <w:rPr>
          <w:rFonts w:eastAsia="Segoe UI" w:cs="Segoe UI" w:ascii="Segoe UI" w:hAnsi="Segoe UI"/>
          <w:color w:val="101820"/>
          <w:sz w:val="21"/>
        </w:rPr>
        <w:t xml:space="preserve"> the builders.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17"/>
        <w:gridCol w:w="5090"/>
        <w:gridCol w:w="907"/>
      </w:tblGrid>
      <w:tr>
        <w:trPr>
          <w:tblHeader w:val="true"/>
        </w:trPr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Folder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What it holds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Count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01_Sales/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Material for prospects and the sales team: brochures, presentation, functionality, demo, FAQ, e-mails, ROI calculator and the competitive battlecard.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10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02_Commercials/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Prices and the commercial proposal: the rate card given to the broker, and the internal pricing model, price book, proposal note and negotiation playbook.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5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03_Contracts/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The contract pack, from the NDA to the hypercare exit certificate, including the UAT and go-live acceptance certificates.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18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04_Onboarding_and_Go_Live/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What the broker completes or reviews to onboard and go live: security due diligence, discovery and configuration, privacy impact assessment, data migration and cutover, and the go-live data workbooks.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05_Delivery/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The implementation project: approach and plan, project control templates, training, user manual, reports, communications, schedules, tests and the regulatory compliance matrix. The standard upload templates are kept in the sub-folder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Upload_Templates/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14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06_Support/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Production support, business continuity and disaster recovery, and releases.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07_Technical/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Architecture, infrastructure, security and privacy, technical reference, API catalogue and data dictionary.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08_Management/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recommendation and management register, OOTB strategy, Philippine fit and ASEAN rollout assessment, and this index.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</w:tr>
    </w:tbl>
    <w:p>
      <w:pPr>
        <w:pStyle w:val="Heading1"/>
        <w:rPr/>
      </w:pPr>
      <w:r>
        <w:br w:type="page"/>
      </w:r>
      <w:bookmarkStart w:id="7" w:name="__RefHeading___Toc3578_1961981269"/>
      <w:bookmarkEnd w:id="7"/>
      <w:r>
        <w:rPr>
          <w:rFonts w:eastAsia="Segoe UI" w:cs="Segoe UI" w:ascii="Segoe UI" w:hAnsi="Segoe UI"/>
          <w:b/>
          <w:color w:val="0F4761"/>
          <w:sz w:val="32"/>
        </w:rPr>
        <w:t>4.  Index by audience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05"/>
        <w:gridCol w:w="6008"/>
      </w:tblGrid>
      <w:tr>
        <w:trPr>
          <w:tblHeader w:val="true"/>
        </w:trPr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Start with</w:t>
            </w:r>
          </w:p>
        </w:tc>
      </w:tr>
      <w:tr>
        <w:trPr/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 (27 entries)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 Functionality, Demo Script, FAQ and Objection Handling, Rate Card, Battlecard (INTERNAL), Negotiation Playbook (INTERNAL)</w:t>
            </w:r>
          </w:p>
        </w:tc>
      </w:tr>
      <w:tr>
        <w:trPr/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 (33 entries)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Approach and Plan, Discovery Workbook Guide, Fit-Gap Register, RAID Log, Data Migration and Cutover Plan, User Manual</w:t>
            </w:r>
          </w:p>
        </w:tc>
      </w:tr>
      <w:tr>
        <w:trPr/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Development (12 entries)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Technical Reference, API and Dependency Catalogue, Data Dictionary, Release Notes Template</w:t>
            </w:r>
          </w:p>
        </w:tc>
      </w:tr>
      <w:tr>
        <w:trPr/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 (22 entries)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Production Support Approach and Standards, Schedules and Batch Jobs, Business Continuity and Disaster Recovery Plan, Communication Templates</w:t>
            </w:r>
          </w:p>
        </w:tc>
      </w:tr>
      <w:tr>
        <w:trPr/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 (40 entries)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Go/No-Go and Management Register (INTERNAL), OOTB Strategy and Playbook (INTERNAL), PH Fit and ASEAN Rollout Assessment (INTERNAL), Commercial Proposal Note (INTERNAL), Release Notes and Roadmap</w:t>
            </w:r>
          </w:p>
        </w:tc>
      </w:tr>
    </w:tbl>
    <w:p>
      <w:pPr>
        <w:pStyle w:val="Heading1"/>
        <w:rPr/>
      </w:pPr>
      <w:r>
        <w:br w:type="page"/>
      </w:r>
      <w:bookmarkStart w:id="8" w:name="__RefHeading___Toc3580_1961981269"/>
      <w:bookmarkEnd w:id="8"/>
      <w:r>
        <w:rPr>
          <w:rFonts w:eastAsia="Segoe UI" w:cs="Segoe UI" w:ascii="Segoe UI" w:hAnsi="Segoe UI"/>
          <w:b/>
          <w:color w:val="0F4761"/>
          <w:sz w:val="32"/>
        </w:rPr>
        <w:t>5.  Index by lifecycle stage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35"/>
        <w:gridCol w:w="6978"/>
      </w:tblGrid>
      <w:tr>
        <w:trPr>
          <w:tblHeader w:val="true"/>
        </w:trPr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Stage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Documents used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Brochure; One Page Brochure; Client Presentation; Product Functionality; Demo Script; FAQ and Objection Handling; Prospect Email Templates; Prospect Email Templates; ROI Calculator; Competitive Battlecard INTERNAL (INTERNAL); Commercial Proposal Rate Card; Commercials and Pricing (INTERNAL); Price Book (INTERNAL); Commercial Proposal Note (INTERNAL); Mutual Non Disclosure Agreement; Security Due Diligence Questionnaire; Implementation Approach and Plan; Test Summary Report; Philippine Regulatory Compliance Matrix; Release Notes and Roadmap; Architecture Infrastructure Security and Privacy; OOTB Strategy and Playbook INTERNAL (INTERNAL); PH Fit and ASEAN Rollout Assessment (INTERNAL); OOTB Documentation Pack Index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Prospect Email Templates; Prospect Email Templates; Commercial Proposal Rate Card; Commercials and Pricing (INTERNAL); Price Book (INTERNAL); Commercial Proposal Note (INTERNAL); Negotiation Playbook INTERNAL (INTERNAL); Contract Pack Index and Cover Letter; Letter of Award and Proposal Acceptance; Master Services Agreement; Order Form; Perpetual Software Licence Agreement; Software Subscription Agreement; Implementation Statement of Work; Annual Maintenance Support and SLA; Hosting and Infrastructure Services Agreement; Data Processing Agreement; Service Catalogue and Rate Annex; Customer Responsibilities and RACI Annex; Change Request Procedure and Form; Source Code Escrow Agreement; Exit and Transition Plan; Security Due Diligence Questionnaire; Production Support Approach and Standards; Business Continuity and Disaster Recovery Plan; Architecture Infrastructure Security and Privacy; OOTB Strategy and Playbook INTERNAL (INTERNAL); OOTB Documentation Pack Index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Statement of Work; Customer Responsibilities and RACI Annex; Change Request Procedure and Form; Discovery Workbook Guide; Discovery and Configuration Workbook; Data Migration and Cutover Plan; Environment Strategy and Production Rollout; Privacy Impact Assessment and Records of Processing Templates; Implementation Approach and Plan; Implementation Plan; Fit Gap Register; RAID Log Template; Project Status Report Template; Training Plan; User Manual; Reports Book; Communication Templates and Touchpoints; Communication Touchpoints; Schedules and Batch Jobs; Test Cases; Philippine Regulatory Compliance Matrix; Architecture Infrastructure Security and Privacy; Technical Reference; API and Dependency Catalogue; Data Dictionary; OOTB Strategy and Playbook INTERNAL (INTERNAL); OOTB Documentation Pack Index; Upload Templates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and Go Live Acceptance Certificates; Hypercare Exit and Handover Certificate; Data Migration and Cutover Plan; Environment Strategy and Production Rollout; Privacy Impact Assessment and Records of Processing Templates; RAID Log Template; Project Status Report Template; User Manual; Schedules and Batch Jobs; Test Cases; Test Summary Report; Production Support Approach and Standards; Release Notes and Roadmap; Go No Go and Management Register (INTERNAL); OOTB Strategy and Playbook INTERNAL (INTERNAL); OOTB Documentation Pack Index; Upload Templates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Annual Maintenance Support and SLA; Hosting and Infrastructure Services Agreement; Service Catalogue and Rate Annex; Change Request Procedure and Form; Exit and Transition Plan; Hypercare Exit and Handover Certificate; User Manual; Reports Book; Communication Templates and Touchpoints; Communication Touchpoints; Schedules and Batch Jobs; Production Support Approach and Standards; Business Continuity and Disaster Recovery Plan; Release Notes and Roadmap; Release Notes Template; Technical Reference; API and Dependency Catalogue; Data Dictionary; OOTB Strategy and Playbook INTERNAL (INTERNAL); PH Fit and ASEAN Rollout Assessment (INTERNAL); OOTB Documentation Pack Index</w:t>
            </w:r>
          </w:p>
        </w:tc>
      </w:tr>
    </w:tbl>
    <w:p>
      <w:pPr>
        <w:pStyle w:val="Heading1"/>
        <w:rPr/>
      </w:pPr>
      <w:r>
        <w:br w:type="page"/>
      </w:r>
      <w:bookmarkStart w:id="9" w:name="__RefHeading___Toc3582_1961981269"/>
      <w:bookmarkEnd w:id="9"/>
      <w:r>
        <w:rPr>
          <w:rFonts w:eastAsia="Segoe UI" w:cs="Segoe UI" w:ascii="Segoe UI" w:hAnsi="Segoe UI"/>
          <w:b/>
          <w:color w:val="0F4761"/>
          <w:sz w:val="32"/>
        </w:rPr>
        <w:t>6.  File list by folder</w:t>
      </w:r>
    </w:p>
    <w:p>
      <w:pPr>
        <w:pStyle w:val="Heading2"/>
        <w:rPr/>
      </w:pPr>
      <w:bookmarkStart w:id="10" w:name="__RefHeading___Toc3584_1961981269"/>
      <w:bookmarkEnd w:id="10"/>
      <w:r>
        <w:rPr>
          <w:rFonts w:eastAsia="Segoe UI" w:cs="Segoe UI"/>
          <w:b/>
          <w:color w:val="0F4761"/>
          <w:sz w:val="26"/>
        </w:rPr>
        <w:t>6.1  Sales (01_Sales)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16"/>
        <w:gridCol w:w="3014"/>
        <w:gridCol w:w="1599"/>
        <w:gridCol w:w="1385"/>
      </w:tblGrid>
      <w:tr>
        <w:trPr>
          <w:tblHeader w:val="true"/>
        </w:trPr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iNXT_BrokerVerse_Brochure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Two-page product brochure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iNXT_BrokerVerse_One_Page_Brochure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pdf, png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One-page summary for a first e-mail or a trade event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iNXT_BrokerVerse_Client_Presentation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pptx,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presentation deck for the first meeting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iNXT_BrokerVerse_Product_Functionality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What the product does, module by module, with the vendor comparison checklist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iNXT_BrokerVerse_Demo_Script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Scripted product demonstration with personas, data and timings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iNXT_BrokerVerse_FAQ_and_Objection_Handling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Answers to common questions and objections; known limits to disclose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iNXT_BrokerVerse_Prospect_Email_Templates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E-mails from first contact to the welcome after signing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Prospect_Email_Templates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txt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Plain-text copy of the prospect e-mails for pasting into a mail client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iNXT_BrokerVerse_ROI_Calculator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Return on investment calculator filled in with the broker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iNXT_BrokerVerse_Competitive_Battlecard_INTERNAL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Competitor positioning and proof points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1" w:name="__RefHeading___Toc3586_1961981269"/>
      <w:bookmarkEnd w:id="11"/>
      <w:r>
        <w:rPr>
          <w:rFonts w:eastAsia="Segoe UI" w:cs="Segoe UI"/>
          <w:b/>
          <w:color w:val="0F4761"/>
          <w:sz w:val="26"/>
        </w:rPr>
        <w:t>6.2  Commercials (02_Commercials)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16"/>
        <w:gridCol w:w="3014"/>
        <w:gridCol w:w="1599"/>
        <w:gridCol w:w="1385"/>
      </w:tblGrid>
      <w:tr>
        <w:trPr>
          <w:tblHeader w:val="true"/>
        </w:trPr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iNXT_BrokerVerse_Commercial_Proposal_Rate_Card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Rate card and commercial proposal given to the broker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BrokerVerse_Commercials_and_Pricing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Formula-driven pricing model behind the rate card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iNXT_BrokerVerse_Price_Book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Price book with quick quote, packages and negotiation limits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BrokerVerse_Commercial_Proposal_Note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Pricing rationale, market positioning and commercial assumptions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iNXT_BrokerVerse_Negotiation_Playbook_INTERNAL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Discount limits, trade-offs and approval rules in negotiation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2" w:name="__RefHeading___Toc3588_1961981269"/>
      <w:bookmarkEnd w:id="12"/>
      <w:r>
        <w:rPr>
          <w:rFonts w:eastAsia="Segoe UI" w:cs="Segoe UI"/>
          <w:b/>
          <w:color w:val="0F4761"/>
          <w:sz w:val="26"/>
        </w:rPr>
        <w:t>6.3  Contracts (03_Contracts)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87"/>
        <w:gridCol w:w="2687"/>
        <w:gridCol w:w="1623"/>
        <w:gridCol w:w="2016"/>
      </w:tblGrid>
      <w:tr>
        <w:trPr>
          <w:tblHeader w:val="true"/>
        </w:trPr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iNXT_BrokerVerse_Contract_Pack_Index_and_Cover_Letter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Index of the contract pack and cover letter to the broker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iNXT_BrokerVerse_Mutual_Non_Disclosure_Agreement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Mutual NDA before detailed discussions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iNXT_BrokerVerse_Letter_of_Award_and_Proposal_Acceptance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Broker letter of award and acceptance of the proposal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iNXT_BrokerVerse_Master_Services_Agreement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Services Agreement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iNXT_BrokerVerse_Order_Form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Order Form: size, model, prices, hosting and dates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iNXT_BrokerVerse_Perpetual_Software_Licence_Agreement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Licence schedule for the perpetual model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iNXT_BrokerVerse_Software_Subscription_Agreement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Subscription schedule for the SaaS model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iNXT_BrokerVerse_Implementation_Statement_of_Work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scope, milestones, acceptance and governance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iNXT_BrokerVerse_Annual_Maintenance_Support_and_SLA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Annual maintenance, support and service levels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iNXT_BrokerVerse_Hosting_and_Infrastructure_Services_Agreement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 services, data location, backups and recovery objectives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iNXT_BrokerVerse_Data_Processing_Agreement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processing agreement under the Data Privacy Act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iNXT_BrokerVerse_Service_Catalogue_and_Rate_Annex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Optional services and day rates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iNXT_BrokerVerse_Customer_Responsibilities_and_RACI_Annex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What the broker provides and who does what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iNXT_BrokerVerse_Change_Request_Procedure_and_Form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procedure and form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Implementation,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iNXT_BrokerVerse_Source_Code_Escrow_Agreement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Optional source code escrow with the perpetual licence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iNXT_BrokerVerse_Exit_and_Transition_Plan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return and transition at the end of the contract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iNXT_BrokerVerse_UAT_and_Go_Live_Acceptance_Certificates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and go-live acceptance certificates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iNXT_BrokerVerse_Hypercare_Exit_and_Handover_Certificate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Hypercare exit and handover to support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Go-live, Support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3" w:name="__RefHeading___Toc3590_1961981269"/>
      <w:bookmarkEnd w:id="13"/>
      <w:r>
        <w:rPr>
          <w:rFonts w:eastAsia="Segoe UI" w:cs="Segoe UI"/>
          <w:b/>
          <w:color w:val="0F4761"/>
          <w:sz w:val="26"/>
        </w:rPr>
        <w:t>6.4  Onboarding and go-live (04_Onboarding_and_Go_Live)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77"/>
        <w:gridCol w:w="2554"/>
        <w:gridCol w:w="2266"/>
        <w:gridCol w:w="1616"/>
      </w:tblGrid>
      <w:tr>
        <w:trPr>
          <w:tblHeader w:val="true"/>
        </w:trPr>
        <w:tc>
          <w:tcPr>
            <w:tcW w:w="25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5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22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5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BrokerVerse_Security_Due_Diligence_Questionnaire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pdf, xlsx</w:t>
            </w:r>
          </w:p>
        </w:tc>
        <w:tc>
          <w:tcPr>
            <w:tcW w:w="25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Pre-answered security and outsourcing due diligence questionnaire</w:t>
            </w:r>
          </w:p>
        </w:tc>
        <w:tc>
          <w:tcPr>
            <w:tcW w:w="22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25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BrokerVerse_Discovery_Workbook_Guide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5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How to run the discovery and configuration workshops</w:t>
            </w:r>
          </w:p>
        </w:tc>
        <w:tc>
          <w:tcPr>
            <w:tcW w:w="22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5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BrokerVerse_Discovery_and_Configuration_Workbook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5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Configuration decisions captured in discovery</w:t>
            </w:r>
          </w:p>
        </w:tc>
        <w:tc>
          <w:tcPr>
            <w:tcW w:w="22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5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BrokerVerse_Data_Migration_and_Cutover_Plan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5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 data, templates, mock loads, reconciliation and cutover</w:t>
            </w:r>
          </w:p>
        </w:tc>
        <w:tc>
          <w:tcPr>
            <w:tcW w:w="22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5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BrokerVerse_Environment_Strategy_and_Production_Rollout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5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Environments, promotion of code, scripts and configuration, cutover runbook and RACI</w:t>
            </w:r>
          </w:p>
        </w:tc>
        <w:tc>
          <w:tcPr>
            <w:tcW w:w="22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Development, 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5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BrokerVerse_Privacy_Impact_Assessment_and_Records_of_Processing_Templates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5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PIA and records of processing pre-filled for the broker DPO</w:t>
            </w:r>
          </w:p>
        </w:tc>
        <w:tc>
          <w:tcPr>
            <w:tcW w:w="22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4" w:name="__RefHeading___Toc3592_1961981269"/>
      <w:bookmarkEnd w:id="14"/>
      <w:r>
        <w:rPr>
          <w:rFonts w:eastAsia="Segoe UI" w:cs="Segoe UI"/>
          <w:b/>
          <w:color w:val="0F4761"/>
          <w:sz w:val="26"/>
        </w:rPr>
        <w:t>6.5  Delivery (05_Delivery)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87"/>
        <w:gridCol w:w="2687"/>
        <w:gridCol w:w="1848"/>
        <w:gridCol w:w="1791"/>
      </w:tblGrid>
      <w:tr>
        <w:trPr>
          <w:tblHeader w:val="true"/>
        </w:trPr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BrokerVerse_Implementation_Approach_and_Plan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Method, phases, plans by size, roles, governance and risks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BrokerVerse_Implementation_Plan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Gantt plans for the three sizes and the RACI matrix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BrokerVerse_Fit_Gap_Register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Register of requirements classed Fit, Configure, Procedure or Gap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BrokerVerse_RAID_Log_Template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Risks, assumptions, issues and dependencies with scoring and summary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BrokerVerse_Project_Status_Report_Template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Weekly or fortnightly status and steering committee report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BrokerVerse_Training_Plan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Training and change management by role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BrokerVerse_User_Manual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 manual for the seven roles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BrokerVerse_Reports_Book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pdf, 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Every report, dashboard and export with its columns and rules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BrokerVerse_Communication_Templates_and_Touchpoints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Every e-mail, notification and printed document the system sends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BrokerVerse_Communication_Touchpoints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Companion workbook of the communication templates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BrokerVerse_Schedules_and_Batch_Jobs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Scheduled jobs, batch processes and the operational run book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BrokerVerse_Test_Cases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test cases, traceability and defects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Development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BrokerVerse_Test_Summary_Report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Results of the release test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Development,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Go-live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BrokerVerse_Philippine_Regulatory_Compliance_Matrix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How the product supports IC, BIR, premium tax, CTPL, DPA and AMLA obligations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Upload_Templates/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folder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Standard upload templates for the go-live data, one per master or opening balance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5" w:name="__RefHeading___Toc3594_1961981269"/>
      <w:bookmarkEnd w:id="15"/>
      <w:r>
        <w:rPr>
          <w:rFonts w:eastAsia="Segoe UI" w:cs="Segoe UI"/>
          <w:b/>
          <w:color w:val="0F4761"/>
          <w:sz w:val="26"/>
        </w:rPr>
        <w:t>6.6  Support (06_Support)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87"/>
        <w:gridCol w:w="2687"/>
        <w:gridCol w:w="2015"/>
        <w:gridCol w:w="1624"/>
      </w:tblGrid>
      <w:tr>
        <w:trPr>
          <w:tblHeader w:val="true"/>
        </w:trPr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2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6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BrokerVerse_Production_Support_Approach_and_Standards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 model, severities, change and release management, monitoring</w:t>
            </w:r>
          </w:p>
        </w:tc>
        <w:tc>
          <w:tcPr>
            <w:tcW w:w="2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Go-live,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BrokerVerse_Business_Continuity_and_Disaster_Recovery_Plan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Backups, recovery objectives, scenarios and DR tests</w:t>
            </w:r>
          </w:p>
        </w:tc>
        <w:tc>
          <w:tcPr>
            <w:tcW w:w="2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BrokerVerse_Release_Notes_and_Roadmap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What release 1.0 delivers, known limitations, versioning policy and indicative roadmap</w:t>
            </w:r>
          </w:p>
        </w:tc>
        <w:tc>
          <w:tcPr>
            <w:tcW w:w="2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Delivery, 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Go-live,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BrokerVerse_Release_Notes_Template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notes for each patch, minor or major release</w:t>
            </w:r>
          </w:p>
        </w:tc>
        <w:tc>
          <w:tcPr>
            <w:tcW w:w="2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6" w:name="__RefHeading___Toc3596_1961981269"/>
      <w:bookmarkEnd w:id="16"/>
      <w:r>
        <w:rPr>
          <w:rFonts w:eastAsia="Segoe UI" w:cs="Segoe UI"/>
          <w:b/>
          <w:color w:val="0F4761"/>
          <w:sz w:val="26"/>
        </w:rPr>
        <w:t>6.7  Technical (07_Technical)</w:t>
      </w:r>
    </w:p>
    <w:tbl>
      <w:tblPr>
        <w:tblStyle w:val="TableGrid"/>
        <w:tblW w:w="901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57"/>
        <w:gridCol w:w="2458"/>
        <w:gridCol w:w="2152"/>
        <w:gridCol w:w="1945"/>
      </w:tblGrid>
      <w:tr>
        <w:trPr>
          <w:tblHeader w:val="true"/>
        </w:trPr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21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9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BrokerVerse_Architecture_Infrastructure_Security_and_Privacy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Architecture, hosting options, security controls and data privacy</w:t>
            </w:r>
          </w:p>
        </w:tc>
        <w:tc>
          <w:tcPr>
            <w:tcW w:w="21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Development, 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9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Contracting, Implementation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BrokerVerse_Technical_Reference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Code base, modules, security implementation and how to extend</w:t>
            </w:r>
          </w:p>
        </w:tc>
        <w:tc>
          <w:tcPr>
            <w:tcW w:w="21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9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BrokerVerse_API_and_Dependency_Catalogue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Every API route with its permission and the screens that call it</w:t>
            </w:r>
          </w:p>
        </w:tc>
        <w:tc>
          <w:tcPr>
            <w:tcW w:w="21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9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BrokerVerse_Data_Dictionary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pdf, xlsx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Tables, columns, relationships, personal data and retention</w:t>
            </w:r>
          </w:p>
        </w:tc>
        <w:tc>
          <w:tcPr>
            <w:tcW w:w="21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9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7" w:name="__RefHeading___Toc3598_1961981269"/>
      <w:bookmarkEnd w:id="17"/>
      <w:r>
        <w:rPr>
          <w:rFonts w:eastAsia="Segoe UI" w:cs="Segoe UI"/>
          <w:b/>
          <w:color w:val="0F4761"/>
          <w:sz w:val="26"/>
        </w:rPr>
        <w:t>6.8  Management (08_Management)</w:t>
      </w:r>
    </w:p>
    <w:tbl>
      <w:tblPr>
        <w:tblStyle w:val="TableGrid"/>
        <w:tblW w:w="901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54"/>
        <w:gridCol w:w="2254"/>
        <w:gridCol w:w="2254"/>
        <w:gridCol w:w="2253"/>
      </w:tblGrid>
      <w:tr>
        <w:trPr>
          <w:tblHeader w:val="true"/>
        </w:trPr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BrokerVerse_Go_No_Go_and_Management_Register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recommendation, go-live conditions, risks, plans and decisions needed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Delivery, Development, Support, 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iNXT_BrokerVerse_OOTB_Strategy_and_Playbook_INTERNAL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How iorta TechNXT sells, delivers, supports and evolves the OOTB product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Sales, Delivery, 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Contracting, Implementation, Go-live, Support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BrokerVerse_PH_Fit_and_ASEAN_Rollout_Assessment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pdf, xlsx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Philippine process fit by area with evidence, gaps ranked, and the change needed for each ASEAN country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Sales, Development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Support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BrokerVerse_OOTB_Documentation_Pack_Index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This index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Delivery, Development, 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Contracting, Implementation, Go-live, Support</w:t>
            </w:r>
          </w:p>
        </w:tc>
      </w:tr>
    </w:tbl>
    <w:p>
      <w:pPr>
        <w:pStyle w:val="Heading1"/>
        <w:rPr/>
      </w:pPr>
      <w:r>
        <w:br w:type="page"/>
      </w:r>
      <w:bookmarkStart w:id="18" w:name="__RefHeading___Toc3600_1961981269"/>
      <w:bookmarkEnd w:id="18"/>
      <w:r>
        <w:rPr>
          <w:rFonts w:eastAsia="Segoe UI" w:cs="Segoe UI" w:ascii="Segoe UI" w:hAnsi="Segoe UI"/>
          <w:b/>
          <w:color w:val="0F4761"/>
          <w:sz w:val="32"/>
        </w:rPr>
        <w:t>7.  INTERNAL documents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These files never leave iorta TechNXT: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01_Sales/iNXT_BrokerVerse_Competitive_Battlecard_INTERNAL</w:t>
      </w:r>
      <w:r>
        <w:rPr>
          <w:rFonts w:eastAsia="Segoe UI" w:cs="Segoe UI" w:ascii="Segoe UI" w:hAnsi="Segoe UI"/>
          <w:color w:val="101820"/>
          <w:sz w:val="21"/>
        </w:rPr>
        <w:t xml:space="preserve"> (docx, pdf): Competitor positioning and proof points.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02_Commercials/BrokerVerse_Commercials_and_Pricing</w:t>
      </w:r>
      <w:r>
        <w:rPr>
          <w:rFonts w:eastAsia="Segoe UI" w:cs="Segoe UI" w:ascii="Segoe UI" w:hAnsi="Segoe UI"/>
          <w:color w:val="101820"/>
          <w:sz w:val="21"/>
        </w:rPr>
        <w:t xml:space="preserve"> (xlsx): Formula-driven pricing model behind the rate card.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02_Commercials/iNXT_BrokerVerse_Price_Book</w:t>
      </w:r>
      <w:r>
        <w:rPr>
          <w:rFonts w:eastAsia="Segoe UI" w:cs="Segoe UI" w:ascii="Segoe UI" w:hAnsi="Segoe UI"/>
          <w:color w:val="101820"/>
          <w:sz w:val="21"/>
        </w:rPr>
        <w:t xml:space="preserve"> (xlsx): Price book with quick quote, packages and negotiation limits.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02_Commercials/BrokerVerse_Commercial_Proposal_Note</w:t>
      </w:r>
      <w:r>
        <w:rPr>
          <w:rFonts w:eastAsia="Segoe UI" w:cs="Segoe UI" w:ascii="Segoe UI" w:hAnsi="Segoe UI"/>
          <w:color w:val="101820"/>
          <w:sz w:val="21"/>
        </w:rPr>
        <w:t xml:space="preserve"> (docx, pdf): Pricing rationale, market positioning and commercial assumptions.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02_Commercials/iNXT_BrokerVerse_Negotiation_Playbook_INTERNAL</w:t>
      </w:r>
      <w:r>
        <w:rPr>
          <w:rFonts w:eastAsia="Segoe UI" w:cs="Segoe UI" w:ascii="Segoe UI" w:hAnsi="Segoe UI"/>
          <w:color w:val="101820"/>
          <w:sz w:val="21"/>
        </w:rPr>
        <w:t xml:space="preserve"> (docx, pdf): Discount limits, trade-offs and approval rules in negotiation.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08_Management/BrokerVerse_Go_No_Go_and_Management_Register</w:t>
      </w:r>
      <w:r>
        <w:rPr>
          <w:rFonts w:eastAsia="Segoe UI" w:cs="Segoe UI" w:ascii="Segoe UI" w:hAnsi="Segoe UI"/>
          <w:color w:val="101820"/>
          <w:sz w:val="21"/>
        </w:rPr>
        <w:t xml:space="preserve"> (docx, pdf): Release recommendation, go-live conditions, risks, plans and decisions needed.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08_Management/iNXT_BrokerVerse_OOTB_Strategy_and_Playbook_INTERNAL</w:t>
      </w:r>
      <w:r>
        <w:rPr>
          <w:rFonts w:eastAsia="Segoe UI" w:cs="Segoe UI" w:ascii="Segoe UI" w:hAnsi="Segoe UI"/>
          <w:color w:val="101820"/>
          <w:sz w:val="21"/>
        </w:rPr>
        <w:t xml:space="preserve"> (docx, pdf): How iorta TechNXT sells, delivers, supports and evolves the OOTB product.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08_Management/BrokerVerse_PH_Fit_and_ASEAN_Rollout_Assessment</w:t>
      </w:r>
      <w:r>
        <w:rPr>
          <w:rFonts w:eastAsia="Segoe UI" w:cs="Segoe UI" w:ascii="Segoe UI" w:hAnsi="Segoe UI"/>
          <w:color w:val="101820"/>
          <w:sz w:val="21"/>
        </w:rPr>
        <w:t xml:space="preserve"> (docx, pdf, xlsx): Philippine process fit by area with evidence, gaps ranked, and the change needed for each ASEAN country.</w:t>
      </w:r>
      <w:r>
        <w:br w:type="page"/>
      </w:r>
    </w:p>
    <w:p>
      <w:pPr>
        <w:pStyle w:val="Heading1"/>
        <w:rPr/>
      </w:pPr>
      <w:bookmarkStart w:id="19" w:name="__RefHeading___Toc3602_1961981269"/>
      <w:bookmarkEnd w:id="19"/>
      <w:r>
        <w:rPr>
          <w:rFonts w:eastAsia="Segoe UI" w:cs="Segoe UI" w:ascii="Segoe UI" w:hAnsi="Segoe UI"/>
          <w:b/>
          <w:color w:val="0F4761"/>
          <w:sz w:val="32"/>
        </w:rPr>
        <w:t>8.  Building the documents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Each Word and PDF document is built from its text source in </w:t>
      </w:r>
      <w:r>
        <w:rPr>
          <w:rFonts w:eastAsia="Consolas" w:cs="Consolas" w:ascii="Consolas" w:hAnsi="Consolas"/>
          <w:color w:val="101820"/>
          <w:sz w:val="19"/>
        </w:rPr>
        <w:t>source/</w:t>
      </w:r>
      <w:r>
        <w:rPr>
          <w:rFonts w:eastAsia="Segoe UI" w:cs="Segoe UI" w:ascii="Segoe UI" w:hAnsi="Segoe UI"/>
          <w:color w:val="101820"/>
          <w:sz w:val="21"/>
        </w:rPr>
        <w:t xml:space="preserve"> into the iorta TechNXT template. The table of sources, folders and file names is kept in one place, </w:t>
      </w:r>
      <w:r>
        <w:rPr>
          <w:rFonts w:eastAsia="Consolas" w:cs="Consolas" w:ascii="Consolas" w:hAnsi="Consolas"/>
          <w:color w:val="101820"/>
          <w:sz w:val="19"/>
        </w:rPr>
        <w:t>tools/build_all.py</w:t>
      </w:r>
      <w:r>
        <w:rPr>
          <w:rFonts w:eastAsia="Segoe UI" w:cs="Segoe UI" w:ascii="Segoe UI" w:hAnsi="Segoe UI"/>
          <w:color w:val="101820"/>
          <w:sz w:val="21"/>
        </w:rPr>
        <w:t>: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cd docs/package/tools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python3 build_all.py --list                (which source becomes which file)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python3 build_all.py                       (every document: .docx, contents page and .pdf)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python3 build_all.py user-manual           (one document)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python3 build_all.py --sales --workbooks   (also brochures, presentation and workbooks)</w:t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Consolas" w:cs="Consolas" w:ascii="Consolas" w:hAnsi="Consolas"/>
          <w:color w:val="101820"/>
          <w:sz w:val="19"/>
        </w:rPr>
        <w:t>build_all.py</w:t>
      </w:r>
      <w:r>
        <w:rPr>
          <w:rFonts w:eastAsia="Segoe UI" w:cs="Segoe UI" w:ascii="Segoe UI" w:hAnsi="Segoe UI"/>
          <w:color w:val="101820"/>
          <w:sz w:val="21"/>
        </w:rPr>
        <w:t xml:space="preserve"> runs </w:t>
      </w:r>
      <w:r>
        <w:rPr>
          <w:rFonts w:eastAsia="Consolas" w:cs="Consolas" w:ascii="Consolas" w:hAnsi="Consolas"/>
          <w:color w:val="101820"/>
          <w:sz w:val="19"/>
        </w:rPr>
        <w:t>build_doc.py</w:t>
      </w:r>
      <w:r>
        <w:rPr>
          <w:rFonts w:eastAsia="Segoe UI" w:cs="Segoe UI" w:ascii="Segoe UI" w:hAnsi="Segoe UI"/>
          <w:color w:val="101820"/>
          <w:sz w:val="21"/>
        </w:rPr>
        <w:t xml:space="preserve"> (text to .docx), the post-processing step where one is needed (</w:t>
      </w:r>
      <w:r>
        <w:rPr>
          <w:rFonts w:eastAsia="Consolas" w:cs="Consolas" w:ascii="Consolas" w:hAnsi="Consolas"/>
          <w:color w:val="101820"/>
          <w:sz w:val="19"/>
        </w:rPr>
        <w:t>brochure/widths.py</w:t>
      </w:r>
      <w:r>
        <w:rPr>
          <w:rFonts w:eastAsia="Segoe UI" w:cs="Segoe UI" w:ascii="Segoe UI" w:hAnsi="Segoe UI"/>
          <w:color w:val="101820"/>
          <w:sz w:val="21"/>
        </w:rPr>
        <w:t xml:space="preserve"> for the Product Functionality document) and </w:t>
      </w:r>
      <w:r>
        <w:rPr>
          <w:rFonts w:eastAsia="Consolas" w:cs="Consolas" w:ascii="Consolas" w:hAnsi="Consolas"/>
          <w:color w:val="101820"/>
          <w:sz w:val="19"/>
        </w:rPr>
        <w:t>refresh.py</w:t>
      </w:r>
      <w:r>
        <w:rPr>
          <w:rFonts w:eastAsia="Segoe UI" w:cs="Segoe UI" w:ascii="Segoe UI" w:hAnsi="Segoe UI"/>
          <w:color w:val="101820"/>
          <w:sz w:val="21"/>
        </w:rPr>
        <w:t xml:space="preserve"> (contents page and PDF with LibreOffice). The workbooks have their own builders: </w:t>
      </w:r>
      <w:r>
        <w:rPr>
          <w:rFonts w:eastAsia="Consolas" w:cs="Consolas" w:ascii="Consolas" w:hAnsi="Consolas"/>
          <w:color w:val="101820"/>
          <w:sz w:val="19"/>
        </w:rPr>
        <w:t>build_pricing.py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build_price_book.py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build_roi.py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build_questionnaire_xlsx.py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build_discovery_workbook.py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build_plan_xlsx.py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build_project_templates_xlsx.py</w:t>
      </w:r>
      <w:r>
        <w:rPr>
          <w:rFonts w:eastAsia="Segoe UI" w:cs="Segoe UI" w:ascii="Segoe UI" w:hAnsi="Segoe UI"/>
          <w:color w:val="101820"/>
          <w:sz w:val="21"/>
        </w:rPr>
        <w:t xml:space="preserve"> (Fit-Gap Register and RAID Log), </w:t>
      </w:r>
      <w:r>
        <w:rPr>
          <w:rFonts w:eastAsia="Consolas" w:cs="Consolas" w:ascii="Consolas" w:hAnsi="Consolas"/>
          <w:color w:val="101820"/>
          <w:sz w:val="19"/>
        </w:rPr>
        <w:t>build_touchpoints_xlsx.py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build_api_catalogue.py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build_fit_assessment_xlsx.py</w:t>
      </w:r>
      <w:r>
        <w:rPr>
          <w:rFonts w:eastAsia="Segoe UI" w:cs="Segoe UI" w:ascii="Segoe UI" w:hAnsi="Segoe UI"/>
          <w:color w:val="101820"/>
          <w:sz w:val="21"/>
        </w:rPr>
        <w:t xml:space="preserve"> (Philippine fit and ASEAN rollout assessment) and </w:t>
      </w:r>
      <w:r>
        <w:rPr>
          <w:rFonts w:eastAsia="Consolas" w:cs="Consolas" w:ascii="Consolas" w:hAnsi="Consolas"/>
          <w:color w:val="101820"/>
          <w:sz w:val="19"/>
        </w:rPr>
        <w:t>data-dictionary/</w:t>
      </w:r>
      <w:r>
        <w:rPr>
          <w:rFonts w:eastAsia="Segoe UI" w:cs="Segoe UI" w:ascii="Segoe UI" w:hAnsi="Segoe UI"/>
          <w:color w:val="101820"/>
          <w:sz w:val="21"/>
        </w:rPr>
        <w:t xml:space="preserve">. The Test Cases and Reports Book workbooks are maintained directly. Writing rules: </w:t>
      </w:r>
      <w:r>
        <w:rPr>
          <w:rFonts w:eastAsia="Consolas" w:cs="Consolas" w:ascii="Consolas" w:hAnsi="Consolas"/>
          <w:color w:val="101820"/>
          <w:sz w:val="19"/>
        </w:rPr>
        <w:t>tools/WRITING_RULES.md</w:t>
      </w:r>
      <w:r>
        <w:rPr>
          <w:rFonts w:eastAsia="Segoe UI" w:cs="Segoe UI" w:ascii="Segoe UI" w:hAnsi="Segoe UI"/>
          <w:color w:val="101820"/>
          <w:sz w:val="21"/>
        </w:rPr>
        <w:t xml:space="preserve">. This index is generated by </w:t>
      </w:r>
      <w:r>
        <w:rPr>
          <w:rFonts w:eastAsia="Consolas" w:cs="Consolas" w:ascii="Consolas" w:hAnsi="Consolas"/>
          <w:color w:val="101820"/>
          <w:sz w:val="19"/>
        </w:rPr>
        <w:t>build_pack_index.py</w:t>
      </w:r>
      <w:r>
        <w:rPr>
          <w:rFonts w:eastAsia="Segoe UI" w:cs="Segoe UI" w:ascii="Segoe UI" w:hAnsi="Segoe UI"/>
          <w:color w:val="101820"/>
          <w:sz w:val="21"/>
        </w:rPr>
        <w:t>.</w:t>
      </w:r>
      <w:r>
        <w:br w:type="page"/>
      </w:r>
    </w:p>
    <w:p>
      <w:pPr>
        <w:pStyle w:val="Heading1"/>
        <w:tabs>
          <w:tab w:val="clear" w:pos="720"/>
          <w:tab w:val="left" w:pos="360" w:leader="none"/>
        </w:tabs>
        <w:spacing w:lineRule="auto" w:line="360"/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20" w:name="__RefHeading___Toc3604_1961981269"/>
      <w:bookmarkStart w:id="21" w:name="_Toc233203395"/>
      <w:bookmarkEnd w:id="20"/>
      <w:r>
        <w:rPr>
          <w:rStyle w:val="BookTitle"/>
          <w:bCs w:val="false"/>
          <w:i w:val="false"/>
          <w:iCs w:val="false"/>
          <w:spacing w:val="0"/>
        </w:rPr>
        <w:t>9.  Document Sign-Off</w:t>
      </w:r>
      <w:bookmarkEnd w:id="21"/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57"/>
        <w:gridCol w:w="3859"/>
        <w:gridCol w:w="1727"/>
        <w:gridCol w:w="1982"/>
      </w:tblGrid>
      <w:tr>
        <w:trPr>
          <w:trHeight w:val="440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Serial Number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Description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Owner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Status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 open items at the time of issue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3294"/>
        <w:gridCol w:w="1828"/>
        <w:gridCol w:w="2349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 Off Date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Signature</w:t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</w:t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Department &amp; Project Role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drawing>
          <wp:anchor behindDoc="1" distT="0" distB="0" distL="0" distR="0" simplePos="0" locked="0" layoutInCell="0" allowOverlap="1" relativeHeight="17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245" cy="10677525"/>
            <wp:effectExtent l="0" t="0" r="0" b="0"/>
            <wp:wrapNone/>
            <wp:docPr id="8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24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5"/>
      <w:footerReference w:type="first" r:id="rId6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6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9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6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10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0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00"/>
      </w:pPr>
      <w:rPr>
        <w:rFonts w:ascii="Symbol" w:hAnsi="Symbol" w:cs="Symbol" w:hint="default"/>
      </w:rPr>
    </w:lvl>
    <w:lvl w:ilvl="2">
      <w:start w:val="1"/>
      <w:numFmt w:val="bullet"/>
      <w:lvlText w:val="◦"/>
      <w:lvlJc w:val="left"/>
      <w:pPr>
        <w:tabs>
          <w:tab w:val="num" w:pos="0"/>
        </w:tabs>
        <w:ind w:left="1440" w:hanging="30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ＭＳ 明朝" w:cs="Arial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ＭＳ 明朝" w:cs="Arial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 w:val="true"/>
      <w:keepLines/>
      <w:spacing w:before="240" w:after="0"/>
      <w:outlineLvl w:val="0"/>
    </w:pPr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2" w:customStyle="1">
    <w:name w:val="Heading 2"/>
    <w:basedOn w:val="Normal"/>
    <w:qFormat/>
    <w:pPr>
      <w:keepNext w:val="true"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styleId="Heading3" w:customStyle="1">
    <w:name w:val="Heading 3"/>
    <w:basedOn w:val="Normal"/>
    <w:qFormat/>
    <w:pPr>
      <w:keepNext w:val="true"/>
      <w:spacing w:before="240" w:after="80"/>
      <w:outlineLvl w:val="2"/>
    </w:pPr>
    <w:rPr>
      <w:rFonts w:ascii="Segoe UI" w:hAnsi="Segoe UI"/>
      <w:b/>
      <w:color w:val="0F4761"/>
      <w:sz w:val="2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526c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a4a0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b183a"/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lineRule="auto" w:line="276" w:before="480" w:after="0"/>
      <w:outlineLvl w:val="9"/>
    </w:pPr>
    <w:rPr>
      <w:rFonts w:ascii="Arial" w:hAnsi="Arial" w:eastAsia="Times New Roman" w:cs="Arial"/>
      <w:bCs/>
      <w:color w:themeColor="accent1" w:themeShade="bf"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clear" w:pos="720"/>
        <w:tab w:val="left" w:pos="900" w:leader="none"/>
        <w:tab w:val="right" w:pos="9350" w:leader="dot"/>
      </w:tabs>
      <w:spacing w:lineRule="auto" w:line="276" w:before="0" w:after="100"/>
      <w:jc w:val="both"/>
    </w:pPr>
    <w:rPr>
      <w:rFonts w:ascii="Segoe UI" w:hAnsi="Segoe UI" w:eastAsia="Times New Roman" w:cs="Times New Roman"/>
      <w:b/>
      <w:color w:val="101820"/>
      <w:sz w:val="20"/>
      <w:szCs w:val="22"/>
      <w:lang w:eastAsia="en-US"/>
    </w:rPr>
  </w:style>
  <w:style w:type="paragraph" w:styleId="TOC2" w:customStyle="1">
    <w:name w:val="TOC 2"/>
    <w:basedOn w:val="TOC1"/>
    <w:pPr>
      <w:ind w:left="340"/>
    </w:pPr>
    <w:rPr/>
  </w:style>
  <w:style w:type="paragraph" w:styleId="TOC3" w:customStyle="1">
    <w:name w:val="TOC 3"/>
    <w:basedOn w:val="TOC1"/>
    <w:pPr>
      <w:ind w:left="68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8</Pages>
  <Words>812</Words>
  <Characters>4634</Characters>
  <CharactersWithSpaces>5436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2026-06-24T05:58:00Z</dcterms:created>
  <dc:creator>Andrew R</dc:creator>
  <dc:description/>
  <dc:language>en-US</dc:language>
  <cp:lastModifiedBy/>
  <dcterms:modified xsi:type="dcterms:W3CDTF">2026-10-04T06:28:52Z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