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2">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3">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3"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5"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7"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9"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Philippine Fit and ASEAN Rollout Assessment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Philippine Fit and ASEAN Rollout Assessment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1"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 (INTERNAL)</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 (INTERNAL)</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404_1427950960">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406_1427950960">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408_1427950960">
            <w:r>
              <w:rPr>
                <w:webHidden/>
                <w:rStyle w:val="IndexLink"/>
              </w:rPr>
              <w:t>3. Summary for the product owner</w:t>
              <w:tab/>
              <w:t>5</w:t>
            </w:r>
          </w:hyperlink>
        </w:p>
        <w:p>
          <w:pPr>
            <w:pStyle w:val="TOC2"/>
            <w:tabs>
              <w:tab w:val="clear" w:pos="900"/>
              <w:tab w:val="clear" w:pos="9350"/>
              <w:tab w:val="right" w:pos="9025" w:leader="dot"/>
            </w:tabs>
            <w:rPr/>
          </w:pPr>
          <w:hyperlink w:anchor="__RefHeading___Toc3410_1427950960">
            <w:r>
              <w:rPr>
                <w:webHidden/>
                <w:rStyle w:val="IndexLink"/>
              </w:rPr>
              <w:t>3.1 The answers</w:t>
              <w:tab/>
              <w:t>5</w:t>
            </w:r>
          </w:hyperlink>
        </w:p>
        <w:p>
          <w:pPr>
            <w:pStyle w:val="TOC2"/>
            <w:tabs>
              <w:tab w:val="clear" w:pos="900"/>
              <w:tab w:val="clear" w:pos="9350"/>
              <w:tab w:val="right" w:pos="9025" w:leader="dot"/>
            </w:tabs>
            <w:rPr/>
          </w:pPr>
          <w:hyperlink w:anchor="__RefHeading___Toc3412_1427950960">
            <w:r>
              <w:rPr>
                <w:webHidden/>
                <w:rStyle w:val="IndexLink"/>
              </w:rPr>
              <w:t>3.2 What this means</w:t>
              <w:tab/>
              <w:t>5</w:t>
            </w:r>
          </w:hyperlink>
        </w:p>
        <w:p>
          <w:pPr>
            <w:pStyle w:val="TOC1"/>
            <w:tabs>
              <w:tab w:val="clear" w:pos="900"/>
              <w:tab w:val="clear" w:pos="9350"/>
              <w:tab w:val="right" w:pos="9025" w:leader="dot"/>
            </w:tabs>
            <w:rPr/>
          </w:pPr>
          <w:hyperlink w:anchor="__RefHeading___Toc3414_1427950960">
            <w:r>
              <w:rPr>
                <w:webHidden/>
                <w:rStyle w:val="IndexLink"/>
              </w:rPr>
              <w:t>4. Scope, baseline and method</w:t>
              <w:tab/>
              <w:t>7</w:t>
            </w:r>
          </w:hyperlink>
        </w:p>
        <w:p>
          <w:pPr>
            <w:pStyle w:val="TOC2"/>
            <w:tabs>
              <w:tab w:val="clear" w:pos="900"/>
              <w:tab w:val="clear" w:pos="9350"/>
              <w:tab w:val="right" w:pos="9025" w:leader="dot"/>
            </w:tabs>
            <w:rPr/>
          </w:pPr>
          <w:hyperlink w:anchor="__RefHeading___Toc3416_1427950960">
            <w:r>
              <w:rPr>
                <w:webHidden/>
                <w:rStyle w:val="IndexLink"/>
              </w:rPr>
              <w:t>4.1 Baseline</w:t>
              <w:tab/>
              <w:t>7</w:t>
            </w:r>
          </w:hyperlink>
        </w:p>
        <w:p>
          <w:pPr>
            <w:pStyle w:val="TOC2"/>
            <w:tabs>
              <w:tab w:val="clear" w:pos="900"/>
              <w:tab w:val="clear" w:pos="9350"/>
              <w:tab w:val="right" w:pos="9025" w:leader="dot"/>
            </w:tabs>
            <w:rPr/>
          </w:pPr>
          <w:hyperlink w:anchor="__RefHeading___Toc3418_1427950960">
            <w:r>
              <w:rPr>
                <w:webHidden/>
                <w:rStyle w:val="IndexLink"/>
              </w:rPr>
              <w:t>4.2 Process catalogue</w:t>
              <w:tab/>
              <w:t>7</w:t>
            </w:r>
          </w:hyperlink>
        </w:p>
        <w:p>
          <w:pPr>
            <w:pStyle w:val="TOC2"/>
            <w:tabs>
              <w:tab w:val="clear" w:pos="900"/>
              <w:tab w:val="clear" w:pos="9350"/>
              <w:tab w:val="right" w:pos="9025" w:leader="dot"/>
            </w:tabs>
            <w:rPr/>
          </w:pPr>
          <w:hyperlink w:anchor="__RefHeading___Toc3420_1427950960">
            <w:r>
              <w:rPr>
                <w:webHidden/>
                <w:rStyle w:val="IndexLink"/>
              </w:rPr>
              <w:t>4.3 Calculation</w:t>
              <w:tab/>
              <w:t>7</w:t>
            </w:r>
          </w:hyperlink>
        </w:p>
        <w:p>
          <w:pPr>
            <w:pStyle w:val="TOC1"/>
            <w:tabs>
              <w:tab w:val="clear" w:pos="900"/>
              <w:tab w:val="clear" w:pos="9350"/>
              <w:tab w:val="right" w:pos="9025" w:leader="dot"/>
            </w:tabs>
            <w:rPr/>
          </w:pPr>
          <w:hyperlink w:anchor="__RefHeading___Toc3422_1427950960">
            <w:r>
              <w:rPr>
                <w:webHidden/>
                <w:rStyle w:val="IndexLink"/>
              </w:rPr>
              <w:t>5. Philippine process fit</w:t>
              <w:tab/>
              <w:t>8</w:t>
            </w:r>
          </w:hyperlink>
        </w:p>
        <w:p>
          <w:pPr>
            <w:pStyle w:val="TOC2"/>
            <w:tabs>
              <w:tab w:val="clear" w:pos="900"/>
              <w:tab w:val="clear" w:pos="9350"/>
              <w:tab w:val="right" w:pos="9025" w:leader="dot"/>
            </w:tabs>
            <w:rPr/>
          </w:pPr>
          <w:hyperlink w:anchor="__RefHeading___Toc3424_1427950960">
            <w:r>
              <w:rPr>
                <w:webHidden/>
                <w:rStyle w:val="IndexLink"/>
              </w:rPr>
              <w:t>5.1 Fit by process area</w:t>
              <w:tab/>
              <w:t>8</w:t>
            </w:r>
          </w:hyperlink>
        </w:p>
        <w:p>
          <w:pPr>
            <w:pStyle w:val="TOC2"/>
            <w:tabs>
              <w:tab w:val="clear" w:pos="900"/>
              <w:tab w:val="clear" w:pos="9350"/>
              <w:tab w:val="right" w:pos="9025" w:leader="dot"/>
            </w:tabs>
            <w:rPr/>
          </w:pPr>
          <w:hyperlink w:anchor="__RefHeading___Toc3426_1427950960">
            <w:r>
              <w:rPr>
                <w:webHidden/>
                <w:rStyle w:val="IndexLink"/>
              </w:rPr>
              <w:t>5.2 Regulatory fit by authority</w:t>
              <w:tab/>
              <w:t>8</w:t>
            </w:r>
          </w:hyperlink>
        </w:p>
        <w:p>
          <w:pPr>
            <w:pStyle w:val="TOC2"/>
            <w:tabs>
              <w:tab w:val="clear" w:pos="900"/>
              <w:tab w:val="clear" w:pos="9350"/>
              <w:tab w:val="right" w:pos="9025" w:leader="dot"/>
            </w:tabs>
            <w:rPr/>
          </w:pPr>
          <w:hyperlink w:anchor="__RefHeading___Toc3428_1427950960">
            <w:r>
              <w:rPr>
                <w:webHidden/>
                <w:rStyle w:val="IndexLink"/>
              </w:rPr>
              <w:t>5.3 Strongest areas</w:t>
              <w:tab/>
              <w:t>8</w:t>
            </w:r>
          </w:hyperlink>
        </w:p>
        <w:p>
          <w:pPr>
            <w:pStyle w:val="TOC2"/>
            <w:tabs>
              <w:tab w:val="clear" w:pos="900"/>
              <w:tab w:val="clear" w:pos="9350"/>
              <w:tab w:val="right" w:pos="9025" w:leader="dot"/>
            </w:tabs>
            <w:rPr/>
          </w:pPr>
          <w:hyperlink w:anchor="__RefHeading___Toc3430_1427950960">
            <w:r>
              <w:rPr>
                <w:webHidden/>
                <w:rStyle w:val="IndexLink"/>
              </w:rPr>
              <w:t>5.4 Where the fit is lower</w:t>
              <w:tab/>
              <w:t>9</w:t>
            </w:r>
          </w:hyperlink>
        </w:p>
        <w:p>
          <w:pPr>
            <w:pStyle w:val="TOC2"/>
            <w:tabs>
              <w:tab w:val="clear" w:pos="900"/>
              <w:tab w:val="clear" w:pos="9350"/>
              <w:tab w:val="right" w:pos="9025" w:leader="dot"/>
            </w:tabs>
            <w:rPr/>
          </w:pPr>
          <w:hyperlink w:anchor="__RefHeading___Toc3432_1427950960">
            <w:r>
              <w:rPr>
                <w:webHidden/>
                <w:rStyle w:val="IndexLink"/>
              </w:rPr>
              <w:t>5.5 Broker and captive agency</w:t>
              <w:tab/>
              <w:t>9</w:t>
            </w:r>
          </w:hyperlink>
        </w:p>
        <w:p>
          <w:pPr>
            <w:pStyle w:val="TOC1"/>
            <w:tabs>
              <w:tab w:val="clear" w:pos="900"/>
              <w:tab w:val="clear" w:pos="9350"/>
              <w:tab w:val="right" w:pos="9025" w:leader="dot"/>
            </w:tabs>
            <w:rPr/>
          </w:pPr>
          <w:hyperlink w:anchor="__RefHeading___Toc3434_1427950960">
            <w:r>
              <w:rPr>
                <w:webHidden/>
                <w:rStyle w:val="IndexLink"/>
              </w:rPr>
              <w:t>6. Room to improve today</w:t>
              <w:tab/>
              <w:t>10</w:t>
            </w:r>
          </w:hyperlink>
        </w:p>
        <w:p>
          <w:pPr>
            <w:pStyle w:val="TOC2"/>
            <w:tabs>
              <w:tab w:val="clear" w:pos="900"/>
              <w:tab w:val="clear" w:pos="9350"/>
              <w:tab w:val="right" w:pos="9025" w:leader="dot"/>
            </w:tabs>
            <w:rPr/>
          </w:pPr>
          <w:hyperlink w:anchor="__RefHeading___Toc3436_1427950960">
            <w:r>
              <w:rPr>
                <w:webHidden/>
                <w:rStyle w:val="IndexLink"/>
              </w:rPr>
              <w:t>6.1 Top 10 gaps</w:t>
              <w:tab/>
              <w:t>10</w:t>
            </w:r>
          </w:hyperlink>
        </w:p>
        <w:p>
          <w:pPr>
            <w:pStyle w:val="TOC2"/>
            <w:tabs>
              <w:tab w:val="clear" w:pos="900"/>
              <w:tab w:val="clear" w:pos="9350"/>
              <w:tab w:val="right" w:pos="9025" w:leader="dot"/>
            </w:tabs>
            <w:rPr/>
          </w:pPr>
          <w:hyperlink w:anchor="__RefHeading___Toc3438_1427950960">
            <w:r>
              <w:rPr>
                <w:webHidden/>
                <w:rStyle w:val="IndexLink"/>
              </w:rPr>
              <w:t>6.2 Improvement packages</w:t>
              <w:tab/>
              <w:t>10</w:t>
            </w:r>
          </w:hyperlink>
        </w:p>
        <w:p>
          <w:pPr>
            <w:pStyle w:val="TOC1"/>
            <w:tabs>
              <w:tab w:val="clear" w:pos="900"/>
              <w:tab w:val="clear" w:pos="9350"/>
              <w:tab w:val="right" w:pos="9025" w:leader="dot"/>
            </w:tabs>
            <w:rPr/>
          </w:pPr>
          <w:hyperlink w:anchor="__RefHeading___Toc3440_1427950960">
            <w:r>
              <w:rPr>
                <w:webHidden/>
                <w:rStyle w:val="IndexLink"/>
              </w:rPr>
              <w:t>7. ASEAN rollout</w:t>
              <w:tab/>
              <w:t>12</w:t>
            </w:r>
          </w:hyperlink>
        </w:p>
        <w:p>
          <w:pPr>
            <w:pStyle w:val="TOC2"/>
            <w:tabs>
              <w:tab w:val="clear" w:pos="900"/>
              <w:tab w:val="clear" w:pos="9350"/>
              <w:tab w:val="right" w:pos="9025" w:leader="dot"/>
            </w:tabs>
            <w:rPr/>
          </w:pPr>
          <w:hyperlink w:anchor="__RefHeading___Toc3442_1427950960">
            <w:r>
              <w:rPr>
                <w:webHidden/>
                <w:rStyle w:val="IndexLink"/>
              </w:rPr>
              <w:t>7.1 What carries over and what does not</w:t>
              <w:tab/>
              <w:t>12</w:t>
            </w:r>
          </w:hyperlink>
        </w:p>
        <w:p>
          <w:pPr>
            <w:pStyle w:val="TOC2"/>
            <w:tabs>
              <w:tab w:val="clear" w:pos="900"/>
              <w:tab w:val="clear" w:pos="9350"/>
              <w:tab w:val="right" w:pos="9025" w:leader="dot"/>
            </w:tabs>
            <w:rPr/>
          </w:pPr>
          <w:hyperlink w:anchor="__RefHeading___Toc3444_1427950960">
            <w:r>
              <w:rPr>
                <w:webHidden/>
                <w:rStyle w:val="IndexLink"/>
              </w:rPr>
              <w:t>7.2 Change needed by country</w:t>
              <w:tab/>
              <w:t>12</w:t>
            </w:r>
          </w:hyperlink>
        </w:p>
        <w:p>
          <w:pPr>
            <w:pStyle w:val="TOC2"/>
            <w:tabs>
              <w:tab w:val="clear" w:pos="900"/>
              <w:tab w:val="clear" w:pos="9350"/>
              <w:tab w:val="right" w:pos="9025" w:leader="dot"/>
            </w:tabs>
            <w:rPr/>
          </w:pPr>
          <w:hyperlink w:anchor="__RefHeading___Toc3446_1427950960">
            <w:r>
              <w:rPr>
                <w:webHidden/>
                <w:rStyle w:val="IndexLink"/>
              </w:rPr>
              <w:t>7.3 Country notes</w:t>
              <w:tab/>
              <w:t>13</w:t>
            </w:r>
          </w:hyperlink>
        </w:p>
        <w:p>
          <w:pPr>
            <w:pStyle w:val="TOC2"/>
            <w:tabs>
              <w:tab w:val="clear" w:pos="900"/>
              <w:tab w:val="clear" w:pos="9350"/>
              <w:tab w:val="right" w:pos="9025" w:leader="dot"/>
            </w:tabs>
            <w:rPr/>
          </w:pPr>
          <w:hyperlink w:anchor="__RefHeading___Toc3448_1427950960">
            <w:r>
              <w:rPr>
                <w:webHidden/>
                <w:rStyle w:val="IndexLink"/>
              </w:rPr>
              <w:t>7.4 Recommended sequence</w:t>
              <w:tab/>
              <w:t>15</w:t>
            </w:r>
          </w:hyperlink>
        </w:p>
        <w:p>
          <w:pPr>
            <w:pStyle w:val="TOC2"/>
            <w:tabs>
              <w:tab w:val="clear" w:pos="900"/>
              <w:tab w:val="clear" w:pos="9350"/>
              <w:tab w:val="right" w:pos="9025" w:leader="dot"/>
            </w:tabs>
            <w:rPr/>
          </w:pPr>
          <w:hyperlink w:anchor="__RefHeading___Toc3450_1427950960">
            <w:r>
              <w:rPr>
                <w:webHidden/>
                <w:rStyle w:val="IndexLink"/>
              </w:rPr>
              <w:t>7.5 Common work for every country</w:t>
              <w:tab/>
              <w:t>15</w:t>
            </w:r>
          </w:hyperlink>
        </w:p>
        <w:p>
          <w:pPr>
            <w:pStyle w:val="TOC1"/>
            <w:tabs>
              <w:tab w:val="clear" w:pos="900"/>
              <w:tab w:val="clear" w:pos="9350"/>
              <w:tab w:val="right" w:pos="9025" w:leader="dot"/>
            </w:tabs>
            <w:rPr/>
          </w:pPr>
          <w:hyperlink w:anchor="__RefHeading___Toc3452_1427950960">
            <w:r>
              <w:rPr>
                <w:webHidden/>
                <w:rStyle w:val="IndexLink"/>
              </w:rPr>
              <w:t>8. Assumptions and limits</w:t>
              <w:tab/>
              <w:t>17</w:t>
            </w:r>
          </w:hyperlink>
        </w:p>
        <w:p>
          <w:pPr>
            <w:pStyle w:val="TOC2"/>
            <w:tabs>
              <w:tab w:val="clear" w:pos="900"/>
              <w:tab w:val="clear" w:pos="9350"/>
              <w:tab w:val="right" w:pos="9025" w:leader="dot"/>
            </w:tabs>
            <w:rPr/>
          </w:pPr>
          <w:hyperlink w:anchor="__RefHeading___Toc3454_1427950960">
            <w:r>
              <w:rPr>
                <w:webHidden/>
                <w:rStyle w:val="IndexLink"/>
              </w:rPr>
              <w:t>8.1 Rebuilding the figures</w:t>
              <w:tab/>
              <w:t>17</w:t>
            </w:r>
          </w:hyperlink>
        </w:p>
        <w:p>
          <w:pPr>
            <w:pStyle w:val="TOC1"/>
            <w:tabs>
              <w:tab w:val="clear" w:pos="900"/>
              <w:tab w:val="clear" w:pos="9350"/>
              <w:tab w:val="right" w:pos="9025" w:leader="dot"/>
            </w:tabs>
            <w:rPr/>
          </w:pPr>
          <w:hyperlink w:anchor="__RefHeading___Toc3456_1427950960">
            <w:r>
              <w:rPr>
                <w:webHidden/>
                <w:rStyle w:val="IndexLink"/>
                <w:i w:val="false"/>
                <w:iCs w:val="false"/>
              </w:rPr>
              <w:t>9. Document Sign-Off</w:t>
            </w:r>
            <w:r>
              <w:rPr>
                <w:rStyle w:val="IndexLink"/>
              </w:rPr>
              <w:tab/>
              <w:t>18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404_1427950960"/>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 for the product owner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406_1427950960"/>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Customer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Enhanced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Politically exposed person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PSGC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Standard Geographic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 (RA 11976)</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Revenue Regulations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Goods and services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and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Creditable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Alphalist of Withholding Taxes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QAP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Quarterly Alphalist of Payees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Summary List of Sales and Purchases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RFQ</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Request for quotation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Level 1 process area</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L2</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Level 2 process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Monetary Authority of Singapore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BNM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Bank Negara Malaysia</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Office of Insurance Commission (Thailand)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OJK</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Otoritas Jasa Keuangan (Indonesia)</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BDCB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Brunei Darussalam Central Bank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IRC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Regulator of Cambodia</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Data Protection Act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408_1427950960"/>
      <w:bookmarkEnd w:id="6"/>
      <w:r>
        <w:rPr>
          <w:rFonts w:eastAsia="Segoe UI" w:cs="Segoe UI" w:ascii="Segoe UI" w:hAnsi="Segoe UI"/>
          <w:b/>
          <w:color w:val="0F4761"/>
          <w:sz w:val="32"/>
        </w:rPr>
        <w:t>3.  Summary for the product owner</w:t>
      </w:r>
    </w:p>
    <w:p>
      <w:pPr>
        <w:pStyle w:val="Normal"/>
        <w:spacing w:lineRule="auto" w:line="276" w:before="0" w:after="120"/>
        <w:rPr/>
      </w:pPr>
      <w:r>
        <w:rPr>
          <w:rFonts w:eastAsia="Segoe UI" w:cs="Segoe UI" w:ascii="Segoe UI" w:hAnsi="Segoe UI"/>
          <w:color w:val="101820"/>
          <w:sz w:val="21"/>
        </w:rPr>
        <w:t xml:space="preserve">This assessment answers three questions about BrokerVerse OOTB as it is on 04 October 2026: how well it fits the practice of a Philippine non-life broker, where it is strongest and where it should improve, and how much it would have to change for the other ASEAN countries. The figures come from a catalogue of 150 business processes scored against the code, the tests and the UAT run. Every score, with its evidence, is in the companion workbook </w:t>
      </w:r>
      <w:r>
        <w:rPr>
          <w:rFonts w:eastAsia="Segoe UI" w:cs="Segoe UI" w:ascii="Segoe UI" w:hAnsi="Segoe UI"/>
          <w:b/>
          <w:color w:val="101820"/>
          <w:sz w:val="21"/>
        </w:rPr>
        <w:t>BrokerVerse_PH_Fit_and_ASEAN_Rollout_Assessment.xlsx</w:t>
      </w:r>
      <w:r>
        <w:rPr>
          <w:rFonts w:eastAsia="Segoe UI" w:cs="Segoe UI" w:ascii="Segoe UI" w:hAnsi="Segoe UI"/>
          <w:color w:val="101820"/>
          <w:sz w:val="21"/>
        </w:rPr>
        <w:t>.</w:t>
      </w:r>
    </w:p>
    <w:p>
      <w:pPr>
        <w:pStyle w:val="Normal"/>
        <w:shd w:val="clear" w:color="auto" w:fill="EAF2FB"/>
        <w:spacing w:before="0" w:after="160"/>
        <w:ind w:left="170"/>
        <w:rPr/>
      </w:pPr>
      <w:r>
        <w:rPr>
          <w:rFonts w:eastAsia="Segoe UI" w:cs="Segoe UI" w:ascii="Segoe UI" w:hAnsi="Segoe UI"/>
          <w:color w:val="101820"/>
          <w:sz w:val="20"/>
        </w:rPr>
        <w:t>Work in development is not counted. The menu redesign, the reworked audit trail screen, the Philippine masters (Province in place of State, PSGC geography, Philippine banks, IDs and salutations, the IC list of non-life insurers), My Work, the Product Configurator connections, branding and e-signature, masking and the comparison report are scored as they are today.</w:t>
      </w:r>
    </w:p>
    <w:p>
      <w:pPr>
        <w:pStyle w:val="Heading2"/>
        <w:rPr/>
      </w:pPr>
      <w:bookmarkStart w:id="7" w:name="__RefHeading___Toc3410_1427950960"/>
      <w:bookmarkEnd w:id="7"/>
      <w:r>
        <w:rPr>
          <w:rFonts w:eastAsia="Segoe UI" w:cs="Segoe UI"/>
          <w:b/>
          <w:color w:val="0F4761"/>
          <w:sz w:val="26"/>
        </w:rPr>
        <w:t>3.1  The answers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0"/>
        <w:gridCol w:w="4603"/>
      </w:tblGrid>
      <w:tr>
        <w:trPr>
          <w:tblHeader w:val="true"/>
        </w:trPr>
        <w:tc>
          <w:tcPr>
            <w:tcW w:w="44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Question</w:t>
            </w:r>
          </w:p>
        </w:tc>
        <w:tc>
          <w:tcPr>
            <w:tcW w:w="4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Answer today</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Overall Philippine process fit</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80%</w:t>
            </w:r>
            <w:r>
              <w:rPr>
                <w:rFonts w:eastAsia="Segoe UI" w:cs="Segoe UI" w:ascii="Segoe UI" w:hAnsi="Segoe UI"/>
                <w:color w:val="101820"/>
                <w:kern w:val="0"/>
                <w:sz w:val="18"/>
                <w:szCs w:val="24"/>
                <w:lang w:val="en-US" w:eastAsia="ja-JP" w:bidi="ar-SA"/>
              </w:rPr>
              <w:t xml:space="preserve"> (weighted, 150 L2 processes in 15 areas)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Operational process fit</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85%</w:t>
            </w:r>
            <w:r>
              <w:rPr>
                <w:rFonts w:eastAsia="Segoe UI" w:cs="Segoe UI" w:ascii="Segoe UI" w:hAnsi="Segoe UI"/>
                <w:color w:val="101820"/>
                <w:kern w:val="0"/>
                <w:sz w:val="18"/>
                <w:szCs w:val="24"/>
                <w:lang w:val="en-US" w:eastAsia="ja-JP" w:bidi="ar-SA"/>
              </w:rPr>
              <w:t xml:space="preserve"> (101 processes)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compliance fit (IC, BIR, NPC, AMLC)</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71%</w:t>
            </w:r>
            <w:r>
              <w:rPr>
                <w:rFonts w:eastAsia="Segoe UI" w:cs="Segoe UI" w:ascii="Segoe UI" w:hAnsi="Segoe UI"/>
                <w:color w:val="101820"/>
                <w:kern w:val="0"/>
                <w:sz w:val="18"/>
                <w:szCs w:val="24"/>
                <w:lang w:val="en-US" w:eastAsia="ja-JP" w:bidi="ar-SA"/>
              </w:rPr>
              <w:t xml:space="preserve"> (49 processes)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practice / captive agency practice</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81% / 80%</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 once the work in development lands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84% (12 processes move up)</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Strongest areas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period end 96%, renewals 92%, quotation 90%, billing and receipts 89%, commission 88%</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Weakest areas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onboarding, KYC and AML 52%, IC and data privacy compliance 59%, prospecting 65%, BIR compliance 74%</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ASEAN, low change</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and Brunei about 24% change, Malaysia about 33%</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ASEAN, high change</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Thailand about 38%, Cambodia and Lao PDR about 43 to 44%, Indonesia about 46%, Vietnam about 50%; Myanmar not recommended now</w:t>
            </w:r>
          </w:p>
        </w:tc>
      </w:tr>
    </w:tbl>
    <w:p>
      <w:pPr>
        <w:pStyle w:val="Normal"/>
        <w:spacing w:before="0" w:after="80"/>
        <w:rPr/>
      </w:pPr>
      <w:r>
        <w:rPr/>
      </w:r>
    </w:p>
    <w:p>
      <w:pPr>
        <w:pStyle w:val="Heading2"/>
        <w:rPr/>
      </w:pPr>
      <w:bookmarkStart w:id="8" w:name="__RefHeading___Toc3412_1427950960"/>
      <w:bookmarkEnd w:id="8"/>
      <w:r>
        <w:rPr>
          <w:rFonts w:eastAsia="Segoe UI" w:cs="Segoe UI"/>
          <w:b/>
          <w:color w:val="0F4761"/>
          <w:sz w:val="26"/>
        </w:rPr>
        <w:t>3.2  What this means</w:t>
      </w:r>
    </w:p>
    <w:p>
      <w:pPr>
        <w:pStyle w:val="Normal"/>
        <w:spacing w:lineRule="auto" w:line="276" w:before="0" w:after="120"/>
        <w:rPr/>
      </w:pPr>
      <w:r>
        <w:rPr>
          <w:rFonts w:eastAsia="Segoe UI" w:cs="Segoe UI" w:ascii="Segoe UI" w:hAnsi="Segoe UI"/>
          <w:color w:val="101820"/>
          <w:sz w:val="21"/>
        </w:rPr>
        <w:t>BrokerVerse covers the money side of a Philippine broker almost completely: billing, receipts, collections, remittance to insurers, direct bill, commission, the general ledger, bank and insurer reconciliation and the month-end close all run end to end and are tested. The sales and placement chain (quotation, RFQ, placement slips, co-insurance, policy issue, endorsements, renewals, claims) is also strong.</w:t>
      </w:r>
    </w:p>
    <w:p>
      <w:pPr>
        <w:pStyle w:val="Normal"/>
        <w:spacing w:lineRule="auto" w:line="276" w:before="0" w:after="120"/>
        <w:rPr/>
      </w:pPr>
      <w:r>
        <w:rPr>
          <w:rFonts w:eastAsia="Segoe UI" w:cs="Segoe UI" w:ascii="Segoe UI" w:hAnsi="Segoe UI"/>
          <w:color w:val="101820"/>
          <w:sz w:val="21"/>
        </w:rPr>
        <w:t>The fit drops in the compliance programmes that sit around the transactions: anti-money laundering (no risk rating, beneficial owners, sanctions screening or AMLC reporting), IC licensing and complaints, the BIR forms beyond the working papers (0619-E, 1601-EQ, 1604-E, DAT files) and the EOPT invoice. These gaps are mostly small or medium pieces of work; none needs a change to the core design.</w:t>
      </w:r>
    </w:p>
    <w:p>
      <w:pPr>
        <w:pStyle w:val="Normal"/>
        <w:spacing w:lineRule="auto" w:line="276" w:before="0" w:after="120"/>
        <w:rPr/>
      </w:pPr>
      <w:r>
        <w:rPr>
          <w:rFonts w:eastAsia="Segoe UI" w:cs="Segoe UI" w:ascii="Segoe UI" w:hAnsi="Segoe UI"/>
          <w:color w:val="101820"/>
          <w:sz w:val="21"/>
        </w:rPr>
        <w:t>For ASEAN, the configurable parts of the product (tax engine, currencies, posting rules, settings, number series, address structure, i18n framework) carry over. What does not carry over is the Philippine regulatory layer: the BIR forms, CTPL, the premium taxes and the IC conventions. Each country needs that layer rebuilt for its own tax, e-invoicing and regulator, plus a language pack outside the English-speaking markets.</w:t>
      </w:r>
      <w:r>
        <w:br w:type="page"/>
      </w:r>
    </w:p>
    <w:p>
      <w:pPr>
        <w:pStyle w:val="Heading1"/>
        <w:rPr/>
      </w:pPr>
      <w:bookmarkStart w:id="9" w:name="__RefHeading___Toc3414_1427950960"/>
      <w:bookmarkEnd w:id="9"/>
      <w:r>
        <w:rPr>
          <w:rFonts w:eastAsia="Segoe UI" w:cs="Segoe UI" w:ascii="Segoe UI" w:hAnsi="Segoe UI"/>
          <w:b/>
          <w:color w:val="0F4761"/>
          <w:sz w:val="32"/>
        </w:rPr>
        <w:t>4.  Scope, baseline and method</w:t>
      </w:r>
    </w:p>
    <w:p>
      <w:pPr>
        <w:pStyle w:val="Heading2"/>
        <w:rPr/>
      </w:pPr>
      <w:bookmarkStart w:id="10" w:name="__RefHeading___Toc3416_1427950960"/>
      <w:bookmarkEnd w:id="10"/>
      <w:r>
        <w:rPr>
          <w:rFonts w:eastAsia="Segoe UI" w:cs="Segoe UI"/>
          <w:b/>
          <w:color w:val="0F4761"/>
          <w:sz w:val="26"/>
        </w:rPr>
        <w:t>4.1  Baseline</w:t>
      </w:r>
    </w:p>
    <w:p>
      <w:pPr>
        <w:pStyle w:val="Normal"/>
        <w:numPr>
          <w:ilvl w:val="0"/>
          <w:numId w:val="1"/>
        </w:numPr>
        <w:spacing w:before="0" w:after="60"/>
        <w:rPr/>
      </w:pPr>
      <w:r>
        <w:rPr>
          <w:rFonts w:eastAsia="Segoe UI" w:cs="Segoe UI" w:ascii="Segoe UI" w:hAnsi="Segoe UI"/>
          <w:color w:val="101820"/>
          <w:sz w:val="21"/>
        </w:rPr>
        <w:t xml:space="preserve">Code on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as of 04 October 2026: 46 backend modules, the database migrations, 79 backend test files, the menu (</w:t>
      </w:r>
      <w:r>
        <w:rPr>
          <w:rFonts w:eastAsia="Consolas" w:cs="Consolas" w:ascii="Consolas" w:hAnsi="Consolas"/>
          <w:color w:val="101820"/>
          <w:sz w:val="19"/>
        </w:rPr>
        <w:t>brokerverse/src/components/SideBar/list.js</w:t>
      </w:r>
      <w:r>
        <w:rPr>
          <w:rFonts w:eastAsia="Segoe UI" w:cs="Segoe UI" w:ascii="Segoe UI" w:hAnsi="Segoe UI"/>
          <w:color w:val="101820"/>
          <w:sz w:val="21"/>
        </w:rPr>
        <w:t>), the UAT scenario (</w:t>
      </w:r>
      <w:r>
        <w:rPr>
          <w:rFonts w:eastAsia="Consolas" w:cs="Consolas" w:ascii="Consolas" w:hAnsi="Consolas"/>
          <w:color w:val="101820"/>
          <w:sz w:val="19"/>
        </w:rPr>
        <w:t>backend/scripts/uat-scenario.js</w:t>
      </w:r>
      <w:r>
        <w:rPr>
          <w:rFonts w:eastAsia="Segoe UI" w:cs="Segoe UI" w:ascii="Segoe UI" w:hAnsi="Segoe UI"/>
          <w:color w:val="101820"/>
          <w:sz w:val="21"/>
        </w:rPr>
        <w:t>, 371 steps passed) and the go-live rehearsal (51 checks passed).</w:t>
      </w:r>
    </w:p>
    <w:p>
      <w:pPr>
        <w:pStyle w:val="Normal"/>
        <w:numPr>
          <w:ilvl w:val="0"/>
          <w:numId w:val="1"/>
        </w:numPr>
        <w:spacing w:before="0" w:after="60"/>
        <w:rPr/>
      </w:pPr>
      <w:r>
        <w:rPr>
          <w:rFonts w:eastAsia="Segoe UI" w:cs="Segoe UI" w:ascii="Segoe UI" w:hAnsi="Segoe UI"/>
          <w:color w:val="101820"/>
          <w:sz w:val="21"/>
        </w:rPr>
        <w:t>Documents used as evidence: the Philippine Regulatory Compliance Matrix, the Product Functionality document, the Test Summary Report and the User Manual.</w:t>
      </w:r>
    </w:p>
    <w:p>
      <w:pPr>
        <w:pStyle w:val="Normal"/>
        <w:numPr>
          <w:ilvl w:val="0"/>
          <w:numId w:val="1"/>
        </w:numPr>
        <w:spacing w:before="0" w:after="60"/>
        <w:rPr/>
      </w:pPr>
      <w:r>
        <w:rPr>
          <w:rFonts w:eastAsia="Segoe UI" w:cs="Segoe UI" w:ascii="Segoe UI" w:hAnsi="Segoe UI"/>
          <w:color w:val="101820"/>
          <w:sz w:val="21"/>
        </w:rPr>
        <w:t>Only what runs end to end counts. A screen that exists but does not complete the process, or a feature in development, gets no credit.</w:t>
      </w:r>
    </w:p>
    <w:p>
      <w:pPr>
        <w:pStyle w:val="Heading2"/>
        <w:rPr/>
      </w:pPr>
      <w:bookmarkStart w:id="11" w:name="__RefHeading___Toc3418_1427950960"/>
      <w:bookmarkEnd w:id="11"/>
      <w:r>
        <w:rPr>
          <w:rFonts w:eastAsia="Segoe UI" w:cs="Segoe UI"/>
          <w:b/>
          <w:color w:val="0F4761"/>
          <w:sz w:val="26"/>
        </w:rPr>
        <w:t>4.2  Process catalogue</w:t>
      </w:r>
    </w:p>
    <w:p>
      <w:pPr>
        <w:pStyle w:val="Normal"/>
        <w:spacing w:lineRule="auto" w:line="276" w:before="0" w:after="120"/>
        <w:rPr/>
      </w:pPr>
      <w:r>
        <w:rPr>
          <w:rFonts w:eastAsia="Segoe UI" w:cs="Segoe UI" w:ascii="Segoe UI" w:hAnsi="Segoe UI"/>
          <w:color w:val="101820"/>
          <w:sz w:val="21"/>
        </w:rPr>
        <w:t>The catalogue describes the work of a Philippine non-life broker, and of a captive agency (for example the insurance agency of a motor distributor), in 15 L1 areas and 150 L2 processes. Each L2 is marked with whom it applies to (broker, agent or both) and its type: operational, or a regulatory item of the IC, BIR, NPC or AMLC.</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8"/>
        <w:gridCol w:w="7725"/>
      </w:tblGrid>
      <w:tr>
        <w:trPr>
          <w:tblHeader w:val="true"/>
        </w:trPr>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7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Weight</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core to daily operation or a legal obligation; 2 important; 1 useful or occasional</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Score</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supported out of the box end to end; 1 partly supported, workaround or configuration not yet present; 0 not supported</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path from the menu, setting, API route, test file or UAT phase</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Gap note</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is missing, and whether work in development covers it</w:t>
            </w:r>
          </w:p>
        </w:tc>
      </w:tr>
    </w:tbl>
    <w:p>
      <w:pPr>
        <w:pStyle w:val="Normal"/>
        <w:spacing w:before="0" w:after="80"/>
        <w:rPr/>
      </w:pPr>
      <w:r>
        <w:rPr/>
      </w:r>
    </w:p>
    <w:p>
      <w:pPr>
        <w:pStyle w:val="Heading2"/>
        <w:rPr/>
      </w:pPr>
      <w:bookmarkStart w:id="12" w:name="__RefHeading___Toc3420_1427950960"/>
      <w:bookmarkEnd w:id="12"/>
      <w:r>
        <w:rPr>
          <w:rFonts w:eastAsia="Segoe UI" w:cs="Segoe UI"/>
          <w:b/>
          <w:color w:val="0F4761"/>
          <w:sz w:val="26"/>
        </w:rPr>
        <w:t>4.3  Calculation</w:t>
      </w:r>
    </w:p>
    <w:p>
      <w:pPr>
        <w:pStyle w:val="Normal"/>
        <w:numPr>
          <w:ilvl w:val="0"/>
          <w:numId w:val="1"/>
        </w:numPr>
        <w:spacing w:before="0" w:after="60"/>
        <w:rPr/>
      </w:pPr>
      <w:r>
        <w:rPr>
          <w:rFonts w:eastAsia="Segoe UI" w:cs="Segoe UI" w:ascii="Segoe UI" w:hAnsi="Segoe UI"/>
          <w:color w:val="101820"/>
          <w:sz w:val="21"/>
        </w:rPr>
        <w:t>Fit % of an L1 area = sum of (weight x score) / sum of (weight x 2).</w:t>
      </w:r>
    </w:p>
    <w:p>
      <w:pPr>
        <w:pStyle w:val="Normal"/>
        <w:numPr>
          <w:ilvl w:val="0"/>
          <w:numId w:val="1"/>
        </w:numPr>
        <w:spacing w:before="0" w:after="60"/>
        <w:rPr/>
      </w:pPr>
      <w:r>
        <w:rPr>
          <w:rFonts w:eastAsia="Segoe UI" w:cs="Segoe UI" w:ascii="Segoe UI" w:hAnsi="Segoe UI"/>
          <w:color w:val="101820"/>
          <w:sz w:val="21"/>
        </w:rPr>
        <w:t>Overall fit uses all 150 processes; regulatory fit the 49 processes typed IC, BIR, NPC or AMLC; operational fit the other 101.</w:t>
      </w:r>
    </w:p>
    <w:p>
      <w:pPr>
        <w:pStyle w:val="Normal"/>
        <w:numPr>
          <w:ilvl w:val="0"/>
          <w:numId w:val="1"/>
        </w:numPr>
        <w:spacing w:before="0" w:after="60"/>
        <w:rPr/>
      </w:pPr>
      <w:r>
        <w:rPr>
          <w:rFonts w:eastAsia="Segoe UI" w:cs="Segoe UI" w:ascii="Segoe UI" w:hAnsi="Segoe UI"/>
          <w:color w:val="101820"/>
          <w:sz w:val="21"/>
        </w:rPr>
        <w:t>Gap impact = weight x (2 - score), times 1.5 for a regulatory item. Ties go to the smaller effort first.</w:t>
      </w:r>
    </w:p>
    <w:p>
      <w:pPr>
        <w:pStyle w:val="Normal"/>
        <w:numPr>
          <w:ilvl w:val="0"/>
          <w:numId w:val="1"/>
        </w:numPr>
        <w:spacing w:before="0" w:after="60"/>
        <w:rPr/>
      </w:pPr>
      <w:r>
        <w:rPr>
          <w:rFonts w:eastAsia="Segoe UI" w:cs="Segoe UI" w:ascii="Segoe UI" w:hAnsi="Segoe UI"/>
          <w:color w:val="101820"/>
          <w:sz w:val="21"/>
        </w:rPr>
        <w:t>Effort sizes: S up to 2 weeks, M 2 to 6 weeks, L more than 6 weeks for one team, from design to test.</w:t>
      </w:r>
      <w:r>
        <w:br w:type="page"/>
      </w:r>
    </w:p>
    <w:p>
      <w:pPr>
        <w:pStyle w:val="Heading1"/>
        <w:rPr/>
      </w:pPr>
      <w:bookmarkStart w:id="13" w:name="__RefHeading___Toc3422_1427950960"/>
      <w:bookmarkEnd w:id="13"/>
      <w:r>
        <w:rPr>
          <w:rFonts w:eastAsia="Segoe UI" w:cs="Segoe UI" w:ascii="Segoe UI" w:hAnsi="Segoe UI"/>
          <w:b/>
          <w:color w:val="0F4761"/>
          <w:sz w:val="32"/>
        </w:rPr>
        <w:t>5.  Philippine process fit</w:t>
      </w:r>
    </w:p>
    <w:p>
      <w:pPr>
        <w:pStyle w:val="Heading2"/>
        <w:rPr/>
      </w:pPr>
      <w:bookmarkStart w:id="14" w:name="__RefHeading___Toc3424_1427950960"/>
      <w:bookmarkEnd w:id="14"/>
      <w:r>
        <w:rPr>
          <w:rFonts w:eastAsia="Segoe UI" w:cs="Segoe UI"/>
          <w:b/>
          <w:color w:val="0F4761"/>
          <w:sz w:val="26"/>
        </w:rPr>
        <w:t>5.1  Fit by process area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925"/>
        <w:gridCol w:w="906"/>
        <w:gridCol w:w="227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9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L1 process area</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Fit</w:t>
            </w:r>
          </w:p>
        </w:tc>
        <w:tc>
          <w:tcPr>
            <w:tcW w:w="22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L2 (2 / 1 /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onboarding, KYC and AML</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(4 / 2 / 4)</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Prospecting and sales pipeline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65%</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(3 / 3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and insurer comparison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 (8 / 3 /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RFQ, placement, co-insurance and reinsurance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85%</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(7 / 2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issuance, documents and motor (CTPL, LTO)</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83%</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 (7 / 3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and cancellations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(6 / 1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and retention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92%</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 (5 / 0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collection, credit control and receipts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89%</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(10 / 1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direct bill and insurer reconciliation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83%</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(6 / 0 / 2)</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referrers and incentives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88%</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 (7 / 1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assistance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84%</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(5 / 3 /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general ledger, period end and audit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96%</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(9 / 1 /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Taxes and BIR compliance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74%</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 (6 / 6 /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Commission and Data Privacy compliance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59%</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 (5 / 4 / 4)</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Reporting, administration, security and go-live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84%</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 (8 / 6 / 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49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Overall</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80%</w:t>
            </w:r>
          </w:p>
        </w:tc>
        <w:tc>
          <w:tcPr>
            <w:tcW w:w="22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150 (96 / 36 / 18)</w:t>
            </w:r>
          </w:p>
        </w:tc>
      </w:tr>
    </w:tbl>
    <w:p>
      <w:pPr>
        <w:pStyle w:val="Normal"/>
        <w:spacing w:before="0" w:after="80"/>
        <w:rPr/>
      </w:pPr>
      <w:r>
        <w:rPr/>
      </w:r>
    </w:p>
    <w:p>
      <w:pPr>
        <w:pStyle w:val="Heading2"/>
        <w:rPr/>
      </w:pPr>
      <w:bookmarkStart w:id="15" w:name="__RefHeading___Toc3426_1427950960"/>
      <w:bookmarkEnd w:id="15"/>
      <w:r>
        <w:rPr>
          <w:rFonts w:eastAsia="Segoe UI" w:cs="Segoe UI"/>
          <w:b/>
          <w:color w:val="0F4761"/>
          <w:sz w:val="26"/>
        </w:rPr>
        <w:t>5.2  Regulatory fit by authority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71"/>
        <w:gridCol w:w="906"/>
        <w:gridCol w:w="3262"/>
        <w:gridCol w:w="3274"/>
      </w:tblGrid>
      <w:tr>
        <w:trPr>
          <w:tblHeader w:val="true"/>
        </w:trPr>
        <w:tc>
          <w:tcPr>
            <w:tcW w:w="15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Authority</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Fit</w:t>
            </w:r>
          </w:p>
        </w:tc>
        <w:tc>
          <w:tcPr>
            <w:tcW w:w="32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Strong</w:t>
            </w:r>
          </w:p>
        </w:tc>
        <w:tc>
          <w:tcPr>
            <w:tcW w:w="327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Weak</w:t>
            </w:r>
          </w:p>
        </w:tc>
      </w:tr>
      <w:tr>
        <w:trPr/>
        <w:tc>
          <w:tcPr>
            <w:tcW w:w="1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81%</w:t>
            </w:r>
          </w:p>
        </w:tc>
        <w:tc>
          <w:tcPr>
            <w:tcW w:w="32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taxes, VAT Summary, Form 2307 issued and received, SAWT, QAP, SLSP, withholding on commission</w:t>
            </w:r>
          </w:p>
        </w:tc>
        <w:tc>
          <w:tcPr>
            <w:tcW w:w="32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0619-E, 1601-EQ and 1604-E layouts, DAT files, EOPT invoice, CAS pack, EIS</w:t>
            </w:r>
          </w:p>
        </w:tc>
      </w:tr>
      <w:tr>
        <w:trPr/>
        <w:tc>
          <w:tcPr>
            <w:tcW w:w="1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(Data Privacy Act)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w:t>
            </w:r>
          </w:p>
        </w:tc>
        <w:tc>
          <w:tcPr>
            <w:tcW w:w="32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register, data subject requests, export, anonymisation, retention, access control, two-step verification</w:t>
            </w:r>
          </w:p>
        </w:tc>
        <w:tc>
          <w:tcPr>
            <w:tcW w:w="32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Masking (in development), audit trail screen (in development), breach register, field encryption</w:t>
            </w:r>
          </w:p>
        </w:tc>
      </w:tr>
      <w:tr>
        <w:trPr/>
        <w:tc>
          <w:tcPr>
            <w:tcW w:w="1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68%</w:t>
            </w:r>
          </w:p>
        </w:tc>
        <w:tc>
          <w:tcPr>
            <w:tcW w:w="32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 warranty, remittance terms, premium held for insurers, CTPL tariff, records of business</w:t>
            </w:r>
          </w:p>
        </w:tc>
        <w:tc>
          <w:tcPr>
            <w:tcW w:w="32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tracking, complaints, IC-format reports, CTPL authentication, insurer authority check</w:t>
            </w:r>
          </w:p>
        </w:tc>
      </w:tr>
      <w:tr>
        <w:trPr/>
        <w:tc>
          <w:tcPr>
            <w:tcW w:w="15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(AMLA)</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w:t>
            </w:r>
          </w:p>
        </w:tc>
        <w:tc>
          <w:tcPr>
            <w:tcW w:w="32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Government ID capture, record retention</w:t>
            </w:r>
          </w:p>
        </w:tc>
        <w:tc>
          <w:tcPr>
            <w:tcW w:w="327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rating and EDD, beneficial owners, sanctions and PEP screening, covered and suspicious transaction reporting</w:t>
            </w:r>
          </w:p>
        </w:tc>
      </w:tr>
    </w:tbl>
    <w:p>
      <w:pPr>
        <w:pStyle w:val="Normal"/>
        <w:spacing w:before="0" w:after="80"/>
        <w:rPr/>
      </w:pPr>
      <w:r>
        <w:rPr/>
      </w:r>
    </w:p>
    <w:p>
      <w:pPr>
        <w:pStyle w:val="Heading2"/>
        <w:rPr/>
      </w:pPr>
      <w:bookmarkStart w:id="16" w:name="__RefHeading___Toc3428_1427950960"/>
      <w:bookmarkEnd w:id="16"/>
      <w:r>
        <w:rPr>
          <w:rFonts w:eastAsia="Segoe UI" w:cs="Segoe UI"/>
          <w:b/>
          <w:color w:val="0F4761"/>
          <w:sz w:val="26"/>
        </w:rPr>
        <w:t>5.3  Strongest areas</w:t>
      </w:r>
    </w:p>
    <w:p>
      <w:pPr>
        <w:pStyle w:val="Normal"/>
        <w:numPr>
          <w:ilvl w:val="0"/>
          <w:numId w:val="1"/>
        </w:numPr>
        <w:spacing w:before="0" w:after="60"/>
        <w:rPr/>
      </w:pPr>
      <w:r>
        <w:rPr>
          <w:rFonts w:eastAsia="Segoe UI" w:cs="Segoe UI" w:ascii="Segoe UI" w:hAnsi="Segoe UI"/>
          <w:b/>
          <w:color w:val="101820"/>
          <w:sz w:val="21"/>
        </w:rPr>
        <w:t>Accounting and period end (96%).</w:t>
      </w:r>
      <w:r>
        <w:rPr>
          <w:rFonts w:eastAsia="Segoe UI" w:cs="Segoe UI" w:ascii="Segoe UI" w:hAnsi="Segoe UI"/>
          <w:color w:val="101820"/>
          <w:sz w:val="21"/>
        </w:rPr>
        <w:t xml:space="preserve"> Every business event posts a balanced journal through posting rules; journal, correction and reversal vouchers with approval; bank statement import with six matching rules; month-end and year-end close with checklist and approval; financial statements. Tested in </w:t>
      </w:r>
      <w:r>
        <w:rPr>
          <w:rFonts w:eastAsia="Consolas" w:cs="Consolas" w:ascii="Consolas" w:hAnsi="Consolas"/>
          <w:color w:val="101820"/>
          <w:sz w:val="19"/>
        </w:rPr>
        <w:t>accounting-flow.test.js</w:t>
      </w:r>
      <w:r>
        <w:rPr>
          <w:rFonts w:eastAsia="Segoe UI" w:cs="Segoe UI" w:ascii="Segoe UI" w:hAnsi="Segoe UI"/>
          <w:color w:val="101820"/>
          <w:sz w:val="21"/>
        </w:rPr>
        <w:t xml:space="preserve">, </w:t>
      </w:r>
      <w:r>
        <w:rPr>
          <w:rFonts w:eastAsia="Consolas" w:cs="Consolas" w:ascii="Consolas" w:hAnsi="Consolas"/>
          <w:color w:val="101820"/>
          <w:sz w:val="19"/>
        </w:rPr>
        <w:t>period-end.test.js</w:t>
      </w:r>
      <w:r>
        <w:rPr>
          <w:rFonts w:eastAsia="Segoe UI" w:cs="Segoe UI" w:ascii="Segoe UI" w:hAnsi="Segoe UI"/>
          <w:color w:val="101820"/>
          <w:sz w:val="21"/>
        </w:rPr>
        <w:t xml:space="preserve">, </w:t>
      </w:r>
      <w:r>
        <w:rPr>
          <w:rFonts w:eastAsia="Consolas" w:cs="Consolas" w:ascii="Consolas" w:hAnsi="Consolas"/>
          <w:color w:val="101820"/>
          <w:sz w:val="19"/>
        </w:rPr>
        <w:t>bank-reconciliation.test.js</w:t>
      </w:r>
      <w:r>
        <w:rPr>
          <w:rFonts w:eastAsia="Segoe UI" w:cs="Segoe UI" w:ascii="Segoe UI" w:hAnsi="Segoe UI"/>
          <w:color w:val="101820"/>
          <w:sz w:val="21"/>
        </w:rPr>
        <w:t xml:space="preserve"> and the UAT month-end phase.</w:t>
      </w:r>
    </w:p>
    <w:p>
      <w:pPr>
        <w:pStyle w:val="Normal"/>
        <w:numPr>
          <w:ilvl w:val="0"/>
          <w:numId w:val="1"/>
        </w:numPr>
        <w:spacing w:before="0" w:after="60"/>
        <w:rPr/>
      </w:pPr>
      <w:r>
        <w:rPr>
          <w:rFonts w:eastAsia="Segoe UI" w:cs="Segoe UI" w:ascii="Segoe UI" w:hAnsi="Segoe UI"/>
          <w:b/>
          <w:color w:val="101820"/>
          <w:sz w:val="21"/>
        </w:rPr>
        <w:t>Renewals (92%).</w:t>
      </w:r>
      <w:r>
        <w:rPr>
          <w:rFonts w:eastAsia="Segoe UI" w:cs="Segoe UI" w:ascii="Segoe UI" w:hAnsi="Segoe UI"/>
          <w:color w:val="101820"/>
          <w:sz w:val="21"/>
        </w:rPr>
        <w:t xml:space="preserve"> Pipeline 90 days before expiry, notices at 60, 30 and 15 days, renewal batch, negotiation, at-risk scoring and lapse management (</w:t>
      </w:r>
      <w:r>
        <w:rPr>
          <w:rFonts w:eastAsia="Consolas" w:cs="Consolas" w:ascii="Consolas" w:hAnsi="Consolas"/>
          <w:color w:val="101820"/>
          <w:sz w:val="19"/>
        </w:rPr>
        <w:t>renewals.test.js</w:t>
      </w:r>
      <w:r>
        <w:rPr>
          <w:rFonts w:eastAsia="Segoe UI" w:cs="Segoe UI" w:ascii="Segoe UI" w:hAnsi="Segoe UI"/>
          <w:color w:val="101820"/>
          <w:sz w:val="21"/>
        </w:rPr>
        <w:t>). Only SMS reminders are missing.</w:t>
      </w:r>
    </w:p>
    <w:p>
      <w:pPr>
        <w:pStyle w:val="Normal"/>
        <w:numPr>
          <w:ilvl w:val="0"/>
          <w:numId w:val="1"/>
        </w:numPr>
        <w:spacing w:before="0" w:after="60"/>
        <w:rPr/>
      </w:pPr>
      <w:r>
        <w:rPr>
          <w:rFonts w:eastAsia="Segoe UI" w:cs="Segoe UI" w:ascii="Segoe UI" w:hAnsi="Segoe UI"/>
          <w:b/>
          <w:color w:val="101820"/>
          <w:sz w:val="21"/>
        </w:rPr>
        <w:t>Quotation (90%).</w:t>
      </w:r>
      <w:r>
        <w:rPr>
          <w:rFonts w:eastAsia="Segoe UI" w:cs="Segoe UI" w:ascii="Segoe UI" w:hAnsi="Segoe UI"/>
          <w:color w:val="101820"/>
          <w:sz w:val="21"/>
        </w:rPr>
        <w:t xml:space="preserve"> Motor quotation with CTPL tariff, server-side pricing with VAT, DST, LGT and FST from one tax engine, online client approval, discount from commission, comparison of insurers (</w:t>
      </w:r>
      <w:r>
        <w:rPr>
          <w:rFonts w:eastAsia="Consolas" w:cs="Consolas" w:ascii="Consolas" w:hAnsi="Consolas"/>
          <w:color w:val="101820"/>
          <w:sz w:val="19"/>
        </w:rPr>
        <w:t>quotations.test.js</w:t>
      </w:r>
      <w:r>
        <w:rPr>
          <w:rFonts w:eastAsia="Segoe UI" w:cs="Segoe UI" w:ascii="Segoe UI" w:hAnsi="Segoe UI"/>
          <w:color w:val="101820"/>
          <w:sz w:val="21"/>
        </w:rPr>
        <w:t xml:space="preserve">, </w:t>
      </w:r>
      <w:r>
        <w:rPr>
          <w:rFonts w:eastAsia="Consolas" w:cs="Consolas" w:ascii="Consolas" w:hAnsi="Consolas"/>
          <w:color w:val="101820"/>
          <w:sz w:val="19"/>
        </w:rPr>
        <w:t>premium-charges.test.js</w:t>
      </w:r>
      <w:r>
        <w:rPr>
          <w:rFonts w:eastAsia="Segoe UI" w:cs="Segoe UI" w:ascii="Segoe UI" w:hAnsi="Segoe UI"/>
          <w:color w:val="101820"/>
          <w:sz w:val="21"/>
        </w:rPr>
        <w:t xml:space="preserve">, </w:t>
      </w:r>
      <w:r>
        <w:rPr>
          <w:rFonts w:eastAsia="Consolas" w:cs="Consolas" w:ascii="Consolas" w:hAnsi="Consolas"/>
          <w:color w:val="101820"/>
          <w:sz w:val="19"/>
        </w:rPr>
        <w:t>money-single-source.test.js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Billing, collection and receipts (89%).</w:t>
      </w:r>
      <w:r>
        <w:rPr>
          <w:rFonts w:eastAsia="Segoe UI" w:cs="Segoe UI" w:ascii="Segoe UI" w:hAnsi="Segoe UI"/>
          <w:color w:val="101820"/>
          <w:sz w:val="21"/>
        </w:rPr>
        <w:t xml:space="preserve"> Bills, payment capture with verification, official receipts by Accounting only, returned cheques, payment links, ageing and reminders, premium warranty monitor (</w:t>
      </w:r>
      <w:r>
        <w:rPr>
          <w:rFonts w:eastAsia="Consolas" w:cs="Consolas" w:ascii="Consolas" w:hAnsi="Consolas"/>
          <w:color w:val="101820"/>
          <w:sz w:val="19"/>
        </w:rPr>
        <w:t>receipts.test.js</w:t>
      </w:r>
      <w:r>
        <w:rPr>
          <w:rFonts w:eastAsia="Segoe UI" w:cs="Segoe UI" w:ascii="Segoe UI" w:hAnsi="Segoe UI"/>
          <w:color w:val="101820"/>
          <w:sz w:val="21"/>
        </w:rPr>
        <w:t xml:space="preserve">, </w:t>
      </w:r>
      <w:r>
        <w:rPr>
          <w:rFonts w:eastAsia="Consolas" w:cs="Consolas" w:ascii="Consolas" w:hAnsi="Consolas"/>
          <w:color w:val="101820"/>
          <w:sz w:val="19"/>
        </w:rPr>
        <w:t>collections.test.js</w:t>
      </w:r>
      <w:r>
        <w:rPr>
          <w:rFonts w:eastAsia="Segoe UI" w:cs="Segoe UI" w:ascii="Segoe UI" w:hAnsi="Segoe UI"/>
          <w:color w:val="101820"/>
          <w:sz w:val="21"/>
        </w:rPr>
        <w:t xml:space="preserve">, </w:t>
      </w:r>
      <w:r>
        <w:rPr>
          <w:rFonts w:eastAsia="Consolas" w:cs="Consolas" w:ascii="Consolas" w:hAnsi="Consolas"/>
          <w:color w:val="101820"/>
          <w:sz w:val="19"/>
        </w:rPr>
        <w:t>credit-control.test.js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b/>
          <w:color w:val="101820"/>
          <w:sz w:val="21"/>
        </w:rPr>
        <w:t>Commission (88%) and remittance (83%).</w:t>
      </w:r>
      <w:r>
        <w:rPr>
          <w:rFonts w:eastAsia="Segoe UI" w:cs="Segoe UI" w:ascii="Segoe UI" w:hAnsi="Segoe UI"/>
          <w:color w:val="101820"/>
          <w:sz w:val="21"/>
        </w:rPr>
        <w:t xml:space="preserve"> Commission rate matrix, referrer chain payable on full collection with withholding by payee type, remittance per insurer net of commission and by co-insurer share, direct bill debit notes with VAT and EWT, insurer statement reconciliation.</w:t>
      </w:r>
    </w:p>
    <w:p>
      <w:pPr>
        <w:pStyle w:val="Heading2"/>
        <w:rPr/>
      </w:pPr>
      <w:bookmarkStart w:id="17" w:name="__RefHeading___Toc3430_1427950960"/>
      <w:bookmarkEnd w:id="17"/>
      <w:r>
        <w:rPr>
          <w:rFonts w:eastAsia="Segoe UI" w:cs="Segoe UI"/>
          <w:b/>
          <w:color w:val="0F4761"/>
          <w:sz w:val="26"/>
        </w:rPr>
        <w:t>5.4  Where the fit is lower</w:t>
      </w:r>
    </w:p>
    <w:p>
      <w:pPr>
        <w:pStyle w:val="Normal"/>
        <w:numPr>
          <w:ilvl w:val="0"/>
          <w:numId w:val="1"/>
        </w:numPr>
        <w:spacing w:before="0" w:after="60"/>
        <w:rPr/>
      </w:pPr>
      <w:r>
        <w:rPr>
          <w:rFonts w:eastAsia="Segoe UI" w:cs="Segoe UI" w:ascii="Segoe UI" w:hAnsi="Segoe UI"/>
          <w:b/>
          <w:color w:val="101820"/>
          <w:sz w:val="21"/>
        </w:rPr>
        <w:t>Client onboarding, KYC and AML (52%).</w:t>
      </w:r>
      <w:r>
        <w:rPr>
          <w:rFonts w:eastAsia="Segoe UI" w:cs="Segoe UI" w:ascii="Segoe UI" w:hAnsi="Segoe UI"/>
          <w:color w:val="101820"/>
          <w:sz w:val="21"/>
        </w:rPr>
        <w:t xml:space="preserve"> Identification is captured, but the AMLA programme has no system support: no customer risk rating, no beneficial owners, no sanctions or PEP screening, no transaction monitoring or AMLC report.</w:t>
      </w:r>
    </w:p>
    <w:p>
      <w:pPr>
        <w:pStyle w:val="Normal"/>
        <w:numPr>
          <w:ilvl w:val="0"/>
          <w:numId w:val="1"/>
        </w:numPr>
        <w:spacing w:before="0" w:after="60"/>
        <w:rPr/>
      </w:pPr>
      <w:r>
        <w:rPr>
          <w:rFonts w:eastAsia="Segoe UI" w:cs="Segoe UI" w:ascii="Segoe UI" w:hAnsi="Segoe UI"/>
          <w:b/>
          <w:color w:val="101820"/>
          <w:sz w:val="21"/>
        </w:rPr>
        <w:t>IC and data privacy compliance (59%).</w:t>
      </w:r>
      <w:r>
        <w:rPr>
          <w:rFonts w:eastAsia="Segoe UI" w:cs="Segoe UI" w:ascii="Segoe UI" w:hAnsi="Segoe UI"/>
          <w:color w:val="101820"/>
          <w:sz w:val="21"/>
        </w:rPr>
        <w:t xml:space="preserve"> Privacy rights and consent are well covered. The IC side lacks licence tracking for the firm, its officers and its referrers, a complaints register under the Financial Consumer Protection Act, and reports in the IC's format. Masking is in development.</w:t>
      </w:r>
    </w:p>
    <w:p>
      <w:pPr>
        <w:pStyle w:val="Normal"/>
        <w:numPr>
          <w:ilvl w:val="0"/>
          <w:numId w:val="1"/>
        </w:numPr>
        <w:spacing w:before="0" w:after="60"/>
        <w:rPr/>
      </w:pPr>
      <w:r>
        <w:rPr>
          <w:rFonts w:eastAsia="Segoe UI" w:cs="Segoe UI" w:ascii="Segoe UI" w:hAnsi="Segoe UI"/>
          <w:b/>
          <w:color w:val="101820"/>
          <w:sz w:val="21"/>
        </w:rPr>
        <w:t>Prospecting (65%).</w:t>
      </w:r>
      <w:r>
        <w:rPr>
          <w:rFonts w:eastAsia="Segoe UI" w:cs="Segoe UI" w:ascii="Segoe UI" w:hAnsi="Segoe UI"/>
          <w:color w:val="101820"/>
          <w:sz w:val="21"/>
        </w:rPr>
        <w:t xml:space="preserve"> Leads, statuses and the funnel work; account executives cannot log calls, meetings or follow-up tasks (My Work is in development), and there is no dealer or bank channel structure for a captive agency.</w:t>
      </w:r>
    </w:p>
    <w:p>
      <w:pPr>
        <w:pStyle w:val="Normal"/>
        <w:numPr>
          <w:ilvl w:val="0"/>
          <w:numId w:val="1"/>
        </w:numPr>
        <w:spacing w:before="0" w:after="60"/>
        <w:rPr/>
      </w:pPr>
      <w:r>
        <w:rPr>
          <w:rFonts w:eastAsia="Segoe UI" w:cs="Segoe UI" w:ascii="Segoe UI" w:hAnsi="Segoe UI"/>
          <w:b/>
          <w:color w:val="101820"/>
          <w:sz w:val="21"/>
        </w:rPr>
        <w:t>BIR compliance (74%).</w:t>
      </w:r>
      <w:r>
        <w:rPr>
          <w:rFonts w:eastAsia="Segoe UI" w:cs="Segoe UI" w:ascii="Segoe UI" w:hAnsi="Segoe UI"/>
          <w:color w:val="101820"/>
          <w:sz w:val="21"/>
        </w:rPr>
        <w:t xml:space="preserve"> The working papers are there; the forms around them (0619-E, 1601-EQ, 1604-E), the BIR validation files and the EOPT invoice definition are not.</w:t>
      </w:r>
    </w:p>
    <w:p>
      <w:pPr>
        <w:pStyle w:val="Heading2"/>
        <w:rPr/>
      </w:pPr>
      <w:bookmarkStart w:id="18" w:name="__RefHeading___Toc3432_1427950960"/>
      <w:bookmarkEnd w:id="18"/>
      <w:r>
        <w:rPr>
          <w:rFonts w:eastAsia="Segoe UI" w:cs="Segoe UI"/>
          <w:b/>
          <w:color w:val="0F4761"/>
          <w:sz w:val="26"/>
        </w:rPr>
        <w:t>5.5  Broker and captive agency</w:t>
      </w:r>
    </w:p>
    <w:p>
      <w:pPr>
        <w:pStyle w:val="Normal"/>
        <w:spacing w:lineRule="auto" w:line="276" w:before="0" w:after="120"/>
        <w:rPr/>
      </w:pPr>
      <w:r>
        <w:rPr>
          <w:rFonts w:eastAsia="Segoe UI" w:cs="Segoe UI" w:ascii="Segoe UI" w:hAnsi="Segoe UI"/>
          <w:color w:val="101820"/>
          <w:sz w:val="21"/>
        </w:rPr>
        <w:t>The fit for a captive agency (80%) is close to the broker fit (81%). An agency does not need the market placement processes, where BrokerVerse is strong, and needs dealer and financing-bank programmes for brand-new vehicles, where it is partial (no dealer master, no bank endorsement letters, no bulk dealer upload). Agency bill processing and the commission and remittance flows work for an agency as they are.</w:t>
      </w:r>
      <w:r>
        <w:br w:type="page"/>
      </w:r>
    </w:p>
    <w:p>
      <w:pPr>
        <w:pStyle w:val="Heading1"/>
        <w:rPr/>
      </w:pPr>
      <w:bookmarkStart w:id="19" w:name="__RefHeading___Toc3434_1427950960"/>
      <w:bookmarkEnd w:id="19"/>
      <w:r>
        <w:rPr>
          <w:rFonts w:eastAsia="Segoe UI" w:cs="Segoe UI" w:ascii="Segoe UI" w:hAnsi="Segoe UI"/>
          <w:b/>
          <w:color w:val="0F4761"/>
          <w:sz w:val="32"/>
        </w:rPr>
        <w:t>6.  Room to improve today</w:t>
      </w:r>
    </w:p>
    <w:p>
      <w:pPr>
        <w:pStyle w:val="Heading2"/>
        <w:rPr/>
      </w:pPr>
      <w:bookmarkStart w:id="20" w:name="__RefHeading___Toc3436_1427950960"/>
      <w:bookmarkEnd w:id="20"/>
      <w:r>
        <w:rPr>
          <w:rFonts w:eastAsia="Segoe UI" w:cs="Segoe UI"/>
          <w:b/>
          <w:color w:val="0F4761"/>
          <w:sz w:val="26"/>
        </w:rPr>
        <w:t>6.1  Top 10 gaps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907"/>
        <w:gridCol w:w="2694"/>
        <w:gridCol w:w="906"/>
        <w:gridCol w:w="907"/>
        <w:gridCol w:w="269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Rank</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6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Gap</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Effort</w:t>
            </w:r>
          </w:p>
        </w:tc>
        <w:tc>
          <w:tcPr>
            <w:tcW w:w="2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1.05</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Beneficial ownership of juridical clients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beneficial owner capture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10.09</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Licence check of agents and sub-agents before paying commission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licence number or expiry on referrer accounts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14.02</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Licence renewal tracking of the firm and licensed individuals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licence calendar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14.08</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Complaints handling (RA 11765)</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complaints register or response time tracking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1.04</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Risk-based CDD rating and EDD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 risk rating, EDD or KYC refresh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1.06</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Sanctions, PEP and negative list screening</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Needs a list provider or upload of lists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1.07</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Covered and suspicious transaction monitoring, AMLC report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Only transaction data today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14.12</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Masking of personal data by role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 development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13.07</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0619-E and 1601-EQ return figures with QAP</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QAP delivered; return layout missing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15.07</w:t>
            </w:r>
          </w:p>
        </w:tc>
        <w:tc>
          <w:tcPr>
            <w:tcW w:w="26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trail screen with search by users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w:t>
            </w:r>
          </w:p>
        </w:tc>
        <w:tc>
          <w:tcPr>
            <w:tcW w:w="2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Audit log delivered; screen in development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next five are the EOPT invoice under RR 7-2024 (M), the CAS registration pack (M), the IC annual statement in the IC's format (M), CTPL authentication with the IC-accredited provider and the LTO (L, integration) and a cover note or binder (S). The full ranked list of 54 gaps is in the workbook, sheet Gaps Ranked.</w:t>
      </w:r>
    </w:p>
    <w:p>
      <w:pPr>
        <w:pStyle w:val="Heading2"/>
        <w:rPr/>
      </w:pPr>
      <w:bookmarkStart w:id="21" w:name="__RefHeading___Toc3438_1427950960"/>
      <w:bookmarkEnd w:id="21"/>
      <w:r>
        <w:rPr>
          <w:rFonts w:eastAsia="Segoe UI" w:cs="Segoe UI"/>
          <w:b/>
          <w:color w:val="0F4761"/>
          <w:sz w:val="26"/>
        </w:rPr>
        <w:t>6.2  Improvement packages</w:t>
      </w:r>
    </w:p>
    <w:p>
      <w:pPr>
        <w:pStyle w:val="Normal"/>
        <w:spacing w:lineRule="auto" w:line="276" w:before="0" w:after="120"/>
        <w:rPr/>
      </w:pPr>
      <w:r>
        <w:rPr>
          <w:rFonts w:eastAsia="Segoe UI" w:cs="Segoe UI" w:ascii="Segoe UI" w:hAnsi="Segoe UI"/>
          <w:color w:val="101820"/>
          <w:sz w:val="21"/>
        </w:rPr>
        <w:t>The gaps group into six packages. The fit gain is the rise in overall fit when the package is complete.</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72"/>
        <w:gridCol w:w="2163"/>
        <w:gridCol w:w="2471"/>
        <w:gridCol w:w="1906"/>
      </w:tblGrid>
      <w:tr>
        <w:trPr>
          <w:tblHeader w:val="true"/>
        </w:trPr>
        <w:tc>
          <w:tcPr>
            <w:tcW w:w="24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Package</w:t>
            </w:r>
          </w:p>
        </w:tc>
        <w:tc>
          <w:tcPr>
            <w:tcW w:w="21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Gaps</w:t>
            </w:r>
          </w:p>
        </w:tc>
        <w:tc>
          <w:tcPr>
            <w:tcW w:w="24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Effort</w:t>
            </w:r>
          </w:p>
        </w:tc>
        <w:tc>
          <w:tcPr>
            <w:tcW w:w="1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Fit gain</w:t>
            </w:r>
          </w:p>
        </w:tc>
      </w:tr>
      <w:tr>
        <w:trPr/>
        <w:tc>
          <w:tcPr>
            <w:tcW w:w="2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toolkit: risk rating and EDD, beneficial owners, authorised signatories, screening, covered and suspicious transaction report</w:t>
            </w:r>
          </w:p>
        </w:tc>
        <w:tc>
          <w:tcPr>
            <w:tcW w:w="21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1.02, 1.04 to 1.07</w:t>
            </w:r>
          </w:p>
        </w:tc>
        <w:tc>
          <w:tcPr>
            <w:tcW w:w="24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 (8 to 12 weeks; screening list source to decide)</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 points; AMLC fit from 36% to 100%</w:t>
            </w:r>
          </w:p>
        </w:tc>
      </w:tr>
      <w:tr>
        <w:trPr/>
        <w:tc>
          <w:tcPr>
            <w:tcW w:w="2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compliance pack: licence register for firm, officers and referrers with payout block, complaints register, fit and proper record, IC-format annual statement and production report</w:t>
            </w:r>
          </w:p>
        </w:tc>
        <w:tc>
          <w:tcPr>
            <w:tcW w:w="21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10.09, 14.02 to 14.05, 14.08</w:t>
            </w:r>
          </w:p>
        </w:tc>
        <w:tc>
          <w:tcPr>
            <w:tcW w:w="24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 (6 to 8 weeks)</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 points</w:t>
            </w:r>
          </w:p>
        </w:tc>
      </w:tr>
      <w:tr>
        <w:trPr/>
        <w:tc>
          <w:tcPr>
            <w:tcW w:w="2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forms pack: 0619-E and 1601-EQ, 1604-E, DAT files, percentage tax, EOPT invoice definition, CAS output pack</w:t>
            </w:r>
          </w:p>
        </w:tc>
        <w:tc>
          <w:tcPr>
            <w:tcW w:w="21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13.04, 13.07, 13.08, 13.10, 13.11, 13.13</w:t>
            </w:r>
          </w:p>
        </w:tc>
        <w:tc>
          <w:tcPr>
            <w:tcW w:w="24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 (6 to 8 weeks with tax adviser review)</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 points</w:t>
            </w:r>
          </w:p>
        </w:tc>
      </w:tr>
      <w:tr>
        <w:trPr/>
        <w:tc>
          <w:tcPr>
            <w:tcW w:w="2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quick wins: cover note, short-period and pro-rata cancellation, post-dated cheques, instalment invoices, claim document checklist, claims cash in the Accounting menu</w:t>
            </w:r>
          </w:p>
        </w:tc>
        <w:tc>
          <w:tcPr>
            <w:tcW w:w="21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4.07, 6.04, 6.05, 8.09, 8.12, 11.03, 11.06</w:t>
            </w:r>
          </w:p>
        </w:tc>
        <w:tc>
          <w:tcPr>
            <w:tcW w:w="24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 (5 to 7 weeks in total, each item S)</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 points</w:t>
            </w:r>
          </w:p>
        </w:tc>
      </w:tr>
      <w:tr>
        <w:trPr/>
        <w:tc>
          <w:tcPr>
            <w:tcW w:w="2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 in development (deliver and count)</w:t>
            </w:r>
          </w:p>
        </w:tc>
        <w:tc>
          <w:tcPr>
            <w:tcW w:w="21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items</w:t>
            </w:r>
          </w:p>
        </w:tc>
        <w:tc>
          <w:tcPr>
            <w:tcW w:w="24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progress</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 points (to 84%)</w:t>
            </w:r>
          </w:p>
        </w:tc>
      </w:tr>
      <w:tr>
        <w:trPr/>
        <w:tc>
          <w:tcPr>
            <w:tcW w:w="24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bank payment files, SMS, CTPL authentication and LTO, BIR EIS, insurer APIs</w:t>
            </w:r>
          </w:p>
        </w:tc>
        <w:tc>
          <w:tcPr>
            <w:tcW w:w="21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5.07, 7.07, 9.05, 9.09, 13.12</w:t>
            </w:r>
          </w:p>
        </w:tc>
        <w:tc>
          <w:tcPr>
            <w:tcW w:w="24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 each, partner dependent</w:t>
            </w:r>
          </w:p>
        </w:tc>
        <w:tc>
          <w:tcPr>
            <w:tcW w:w="1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 points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With the first four packages and the work in development, the overall fit reaches 95% and the regulatory fit 97%. Most of the remaining points are integrations that depend on third parties (97% with the integrations package).</w:t>
      </w:r>
    </w:p>
    <w:p>
      <w:pPr>
        <w:pStyle w:val="Normal"/>
        <w:shd w:val="clear" w:color="auto" w:fill="EAF2FB"/>
        <w:spacing w:before="0" w:after="160"/>
        <w:ind w:left="170"/>
        <w:rPr/>
      </w:pPr>
      <w:r>
        <w:rPr>
          <w:rFonts w:eastAsia="Segoe UI" w:cs="Segoe UI" w:ascii="Segoe UI" w:hAnsi="Segoe UI"/>
          <w:color w:val="101820"/>
          <w:sz w:val="20"/>
        </w:rPr>
        <w:t>Effort sizes are indicative and assume one team that knows the code. They are for planning, not quotation.</w:t>
      </w:r>
      <w:r>
        <w:br w:type="page"/>
      </w:r>
    </w:p>
    <w:p>
      <w:pPr>
        <w:pStyle w:val="Heading1"/>
        <w:rPr/>
      </w:pPr>
      <w:bookmarkStart w:id="22" w:name="__RefHeading___Toc3440_1427950960"/>
      <w:bookmarkEnd w:id="22"/>
      <w:r>
        <w:rPr>
          <w:rFonts w:eastAsia="Segoe UI" w:cs="Segoe UI" w:ascii="Segoe UI" w:hAnsi="Segoe UI"/>
          <w:b/>
          <w:color w:val="0F4761"/>
          <w:sz w:val="32"/>
        </w:rPr>
        <w:t>7.  ASEAN rollout</w:t>
      </w:r>
    </w:p>
    <w:p>
      <w:pPr>
        <w:pStyle w:val="Heading2"/>
        <w:rPr/>
      </w:pPr>
      <w:bookmarkStart w:id="23" w:name="__RefHeading___Toc3442_1427950960"/>
      <w:bookmarkEnd w:id="23"/>
      <w:r>
        <w:rPr>
          <w:rFonts w:eastAsia="Segoe UI" w:cs="Segoe UI"/>
          <w:b/>
          <w:color w:val="0F4761"/>
          <w:sz w:val="26"/>
        </w:rPr>
        <w:t>7.1  What carries over and what does not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Accelerators in the code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Inhibitors in the code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i18n framework and language picker (</w:t>
            </w:r>
            <w:r>
              <w:rPr>
                <w:rFonts w:eastAsia="Consolas" w:cs="Consolas" w:ascii="Consolas" w:hAnsi="Consolas"/>
                <w:color w:val="101820"/>
                <w:kern w:val="0"/>
                <w:sz w:val="16"/>
                <w:szCs w:val="24"/>
                <w:lang w:val="en-US" w:eastAsia="ja-JP" w:bidi="ar-SA"/>
              </w:rPr>
              <w:t>i18n.js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utility/languages.js</w:t>
            </w:r>
            <w:r>
              <w:rPr>
                <w:rFonts w:eastAsia="Segoe UI" w:cs="Segoe UI" w:ascii="Segoe UI" w:hAnsi="Segoe UI"/>
                <w:color w:val="101820"/>
                <w:kern w:val="0"/>
                <w:sz w:val="18"/>
                <w:szCs w:val="24"/>
                <w:lang w:val="en-US" w:eastAsia="ja-JP" w:bidi="ar-SA"/>
              </w:rPr>
              <w:t xml:space="preserve">); Thai file </w:t>
            </w:r>
            <w:r>
              <w:rPr>
                <w:rFonts w:eastAsia="Consolas" w:cs="Consolas" w:ascii="Consolas" w:hAnsi="Consolas"/>
                <w:color w:val="101820"/>
                <w:kern w:val="0"/>
                <w:sz w:val="16"/>
                <w:szCs w:val="24"/>
                <w:lang w:val="en-US" w:eastAsia="ja-JP" w:bidi="ar-SA"/>
              </w:rPr>
              <w:t>th.json</w:t>
            </w:r>
            <w:r>
              <w:rPr>
                <w:rFonts w:eastAsia="Segoe UI" w:cs="Segoe UI" w:ascii="Segoe UI" w:hAnsi="Segoe UI"/>
                <w:color w:val="101820"/>
                <w:kern w:val="0"/>
                <w:sz w:val="18"/>
                <w:szCs w:val="24"/>
                <w:lang w:val="en-US" w:eastAsia="ja-JP" w:bidi="ar-SA"/>
              </w:rPr>
              <w:t xml:space="preserve"> with 4,675 of 7,917 keys in Thai, withdrawn from the pickers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reports and the Form 2307 layout are Philippine-specific</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Base currency and dated exchange rates, FX revaluation (migration 0235)</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quotation built around CTPL and the IC vehicle classes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 engine: rule kinds vat, premium_tax, dst, fst, lgt and other, by percent, per unit or flat, by line, regime and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tax kinds named after Philippine taxes; LGU tax master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rules and account determination: the chart of accounts can be replaced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time zone Asia/Manila in 9 backend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Configuration settings, 61 number series, approvals and authority matrix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as default currency in document templates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API country, province, city, district with postal code lookup</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ID list and Philippine formats (mobile, TIN, ZIP)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 providers, bank and insurer statement formats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gateways PayMongo and Dragonpay only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already in AWS Singapore (ap-southeast-1)</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e-invoicing connector of any kind yet</w:t>
            </w:r>
          </w:p>
        </w:tc>
      </w:tr>
    </w:tbl>
    <w:p>
      <w:pPr>
        <w:pStyle w:val="Normal"/>
        <w:spacing w:before="0" w:after="80"/>
        <w:rPr/>
      </w:pPr>
      <w:r>
        <w:rPr/>
      </w:r>
    </w:p>
    <w:p>
      <w:pPr>
        <w:pStyle w:val="Heading2"/>
        <w:rPr/>
      </w:pPr>
      <w:bookmarkStart w:id="24" w:name="__RefHeading___Toc3444_1427950960"/>
      <w:bookmarkEnd w:id="24"/>
      <w:r>
        <w:rPr>
          <w:rFonts w:eastAsia="Segoe UI" w:cs="Segoe UI"/>
          <w:b/>
          <w:color w:val="0F4761"/>
          <w:sz w:val="26"/>
        </w:rPr>
        <w:t>7.2  Change needed by country</w:t>
      </w:r>
    </w:p>
    <w:p>
      <w:pPr>
        <w:pStyle w:val="Normal"/>
        <w:spacing w:lineRule="auto" w:line="276" w:before="0" w:after="120"/>
        <w:rPr/>
      </w:pPr>
      <w:r>
        <w:rPr>
          <w:rFonts w:eastAsia="Segoe UI" w:cs="Segoe UI" w:ascii="Segoe UI" w:hAnsi="Segoe UI"/>
          <w:color w:val="101820"/>
          <w:sz w:val="21"/>
        </w:rPr>
        <w:t>The change % is the share of the Philippine product that must change for the country, weighted by the Philippine process catalogue. It is split into configuration only, localisation of masters, tax rules and forms, code (regulatory reports, e-invoicing and other integrations, screens) and language. Effort uses 3 person-weeks per point of change, delivered by a team of five; it covers the country version of the product, not a first client implementation.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70"/>
        <w:gridCol w:w="907"/>
        <w:gridCol w:w="1599"/>
        <w:gridCol w:w="907"/>
        <w:gridCol w:w="1122"/>
        <w:gridCol w:w="1041"/>
        <w:gridCol w:w="136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Rank</w:t>
            </w:r>
          </w:p>
        </w:tc>
        <w:tc>
          <w:tcPr>
            <w:tcW w:w="1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Country</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Config</w:t>
            </w:r>
          </w:p>
        </w:tc>
        <w:tc>
          <w:tcPr>
            <w:tcW w:w="15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Localisation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Code</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Language</w:t>
            </w:r>
          </w:p>
        </w:tc>
        <w:tc>
          <w:tcPr>
            <w:tcW w:w="10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Change % (range)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Effort (calendar weeks)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Singapore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to 28%</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to 17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Brunei Darussalam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 to 29%</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 to 17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Malaysia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 to 38%</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 to 23</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Thailand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 to 43%</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to 26</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Cambodia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 to 50%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to 30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Lao PDR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 to 52%</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 to 31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Indonesia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40 to 52%</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 to 31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Vietnam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44 to 56%</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 to 34</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Myanmar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5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0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41 to 57%</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to 34 (not recommended now)</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Layer columns are points of change on the whole product (midpoint). The heat map of change by L1 area and country is in the workbook, sheet ASEAN Heat Map.</w:t>
      </w:r>
    </w:p>
    <w:p>
      <w:pPr>
        <w:pStyle w:val="Heading2"/>
        <w:rPr/>
      </w:pPr>
      <w:bookmarkStart w:id="25" w:name="__RefHeading___Toc3446_1427950960"/>
      <w:bookmarkEnd w:id="25"/>
      <w:r>
        <w:rPr>
          <w:rFonts w:eastAsia="Segoe UI" w:cs="Segoe UI"/>
          <w:b/>
          <w:color w:val="0F4761"/>
          <w:sz w:val="26"/>
        </w:rPr>
        <w:t>7.3  Country notes</w:t>
      </w:r>
    </w:p>
    <w:p>
      <w:pPr>
        <w:pStyle w:val="Heading3"/>
        <w:rPr/>
      </w:pPr>
      <w:r>
        <w:rPr>
          <w:rFonts w:eastAsia="Segoe UI" w:cs="Segoe UI"/>
          <w:b/>
          <w:color w:val="0F4761"/>
          <w:sz w:val="23"/>
        </w:rPr>
        <w:t>7.3.1  Singapore</w:t>
      </w:r>
    </w:p>
    <w:p>
      <w:pPr>
        <w:pStyle w:val="Normal"/>
        <w:numPr>
          <w:ilvl w:val="0"/>
          <w:numId w:val="1"/>
        </w:numPr>
        <w:spacing w:before="0" w:after="60"/>
        <w:rPr/>
      </w:pPr>
      <w:r>
        <w:rPr>
          <w:rFonts w:eastAsia="Segoe UI" w:cs="Segoe UI" w:ascii="Segoe UI" w:hAnsi="Segoe UI"/>
          <w:color w:val="101820"/>
          <w:sz w:val="21"/>
        </w:rPr>
        <w:t>Regulator and regime: MAS; insurance brokers registered under the Insurance Act, with insurance broking premium accounts for client money.</w:t>
      </w:r>
    </w:p>
    <w:p>
      <w:pPr>
        <w:pStyle w:val="Normal"/>
        <w:numPr>
          <w:ilvl w:val="0"/>
          <w:numId w:val="1"/>
        </w:numPr>
        <w:spacing w:before="0" w:after="60"/>
        <w:rPr/>
      </w:pPr>
      <w:r>
        <w:rPr>
          <w:rFonts w:eastAsia="Segoe UI" w:cs="Segoe UI" w:ascii="Segoe UI" w:hAnsi="Segoe UI"/>
          <w:color w:val="101820"/>
          <w:sz w:val="21"/>
        </w:rPr>
        <w:t>Tax: GST 9% on general premium and on brokerage (marine and international zero-rating to verify); no stamp duty on policies; no withholding on resident commission. E-invoicing: InvoiceNow (Peppol) being phased in (timing for brokers to verify).</w:t>
      </w:r>
    </w:p>
    <w:p>
      <w:pPr>
        <w:pStyle w:val="Normal"/>
        <w:numPr>
          <w:ilvl w:val="0"/>
          <w:numId w:val="1"/>
        </w:numPr>
        <w:spacing w:before="0" w:after="60"/>
        <w:rPr/>
      </w:pPr>
      <w:r>
        <w:rPr>
          <w:rFonts w:eastAsia="Segoe UI" w:cs="Segoe UI" w:ascii="Segoe UI" w:hAnsi="Segoe UI"/>
          <w:color w:val="101820"/>
          <w:sz w:val="21"/>
        </w:rPr>
        <w:t>Language English; currency SGD; PDPA 2012 with the Do Not Call registry; no data localisation, and the current hosting region is Singapore.</w:t>
      </w:r>
    </w:p>
    <w:p>
      <w:pPr>
        <w:pStyle w:val="Normal"/>
        <w:numPr>
          <w:ilvl w:val="0"/>
          <w:numId w:val="1"/>
        </w:numPr>
        <w:spacing w:before="0" w:after="60"/>
        <w:rPr/>
      </w:pPr>
      <w:r>
        <w:rPr>
          <w:rFonts w:eastAsia="Segoe UI" w:cs="Segoe UI" w:ascii="Segoe UI" w:hAnsi="Segoe UI"/>
          <w:color w:val="101820"/>
          <w:sz w:val="21"/>
        </w:rPr>
        <w:t>Motor: compulsory third-party cover priced freely by insurers, filed by the insurer with LTA; no CTPL tariff.</w:t>
      </w:r>
    </w:p>
    <w:p>
      <w:pPr>
        <w:pStyle w:val="Normal"/>
        <w:numPr>
          <w:ilvl w:val="0"/>
          <w:numId w:val="1"/>
        </w:numPr>
        <w:spacing w:before="0" w:after="60"/>
        <w:rPr/>
      </w:pPr>
      <w:r>
        <w:rPr>
          <w:rFonts w:eastAsia="Segoe UI" w:cs="Segoe UI" w:ascii="Segoe UI" w:hAnsi="Segoe UI"/>
          <w:color w:val="101820"/>
          <w:sz w:val="21"/>
        </w:rPr>
        <w:t>Main changes: replace the BIR layer with GST and a GST F5 working paper; remove DST, LGT, FST and CTPL; MAS broker returns; InvoiceNow connector; NRIC, FIN and UEN; postal codes.</w:t>
      </w:r>
    </w:p>
    <w:p>
      <w:pPr>
        <w:pStyle w:val="Heading3"/>
        <w:rPr/>
      </w:pPr>
      <w:r>
        <w:rPr>
          <w:rFonts w:eastAsia="Segoe UI" w:cs="Segoe UI"/>
          <w:b/>
          <w:color w:val="0F4761"/>
          <w:sz w:val="23"/>
        </w:rPr>
        <w:t>7.3.2  Brunei Darussalam</w:t>
      </w:r>
    </w:p>
    <w:p>
      <w:pPr>
        <w:pStyle w:val="Normal"/>
        <w:numPr>
          <w:ilvl w:val="0"/>
          <w:numId w:val="1"/>
        </w:numPr>
        <w:spacing w:before="0" w:after="60"/>
        <w:rPr/>
      </w:pPr>
      <w:r>
        <w:rPr>
          <w:rFonts w:eastAsia="Segoe UI" w:cs="Segoe UI" w:ascii="Segoe UI" w:hAnsi="Segoe UI"/>
          <w:color w:val="101820"/>
          <w:sz w:val="21"/>
        </w:rPr>
        <w:t>Regulator BDCB; Insurance Order 2006 and Takaful Order 2008; few brokers.</w:t>
      </w:r>
    </w:p>
    <w:p>
      <w:pPr>
        <w:pStyle w:val="Normal"/>
        <w:numPr>
          <w:ilvl w:val="0"/>
          <w:numId w:val="1"/>
        </w:numPr>
        <w:spacing w:before="0" w:after="60"/>
        <w:rPr/>
      </w:pPr>
      <w:r>
        <w:rPr>
          <w:rFonts w:eastAsia="Segoe UI" w:cs="Segoe UI" w:ascii="Segoe UI" w:hAnsi="Segoe UI"/>
          <w:color w:val="101820"/>
          <w:sz w:val="21"/>
        </w:rPr>
        <w:t>No VAT or GST and no personal income tax: most of the change is removing the Philippine tax layer. Stamp duty on policies to verify.</w:t>
      </w:r>
    </w:p>
    <w:p>
      <w:pPr>
        <w:pStyle w:val="Normal"/>
        <w:numPr>
          <w:ilvl w:val="0"/>
          <w:numId w:val="1"/>
        </w:numPr>
        <w:spacing w:before="0" w:after="60"/>
        <w:rPr/>
      </w:pPr>
      <w:r>
        <w:rPr>
          <w:rFonts w:eastAsia="Segoe UI" w:cs="Segoe UI" w:ascii="Segoe UI" w:hAnsi="Segoe UI"/>
          <w:color w:val="101820"/>
          <w:sz w:val="21"/>
        </w:rPr>
        <w:t>Malay and English; BND pegged to SGD; Personal Data Protection Order 2025 in transition (dates to verify).</w:t>
      </w:r>
    </w:p>
    <w:p>
      <w:pPr>
        <w:pStyle w:val="Normal"/>
        <w:numPr>
          <w:ilvl w:val="0"/>
          <w:numId w:val="1"/>
        </w:numPr>
        <w:spacing w:before="0" w:after="60"/>
        <w:rPr/>
      </w:pPr>
      <w:r>
        <w:rPr>
          <w:rFonts w:eastAsia="Segoe UI" w:cs="Segoe UI" w:ascii="Segoe UI" w:hAnsi="Segoe UI"/>
          <w:color w:val="101820"/>
          <w:sz w:val="21"/>
        </w:rPr>
        <w:t>Main changes: takaful variant, BDCB returns, PDPO alignment. Low change but a very small market.</w:t>
      </w:r>
    </w:p>
    <w:p>
      <w:pPr>
        <w:pStyle w:val="Heading3"/>
        <w:rPr/>
      </w:pPr>
      <w:r>
        <w:rPr>
          <w:rFonts w:eastAsia="Segoe UI" w:cs="Segoe UI"/>
          <w:b/>
          <w:color w:val="0F4761"/>
          <w:sz w:val="23"/>
        </w:rPr>
        <w:t>7.3.3  Malaysia</w:t>
      </w:r>
    </w:p>
    <w:p>
      <w:pPr>
        <w:pStyle w:val="Normal"/>
        <w:numPr>
          <w:ilvl w:val="0"/>
          <w:numId w:val="1"/>
        </w:numPr>
        <w:spacing w:before="0" w:after="60"/>
        <w:rPr/>
      </w:pPr>
      <w:r>
        <w:rPr>
          <w:rFonts w:eastAsia="Segoe UI" w:cs="Segoe UI" w:ascii="Segoe UI" w:hAnsi="Segoe UI"/>
          <w:color w:val="101820"/>
          <w:sz w:val="21"/>
        </w:rPr>
        <w:t>Regulator BNM; insurance and takaful brokers approved under the Financial Services Act 2013 and the Islamic Financial Services Act 2013.</w:t>
      </w:r>
    </w:p>
    <w:p>
      <w:pPr>
        <w:pStyle w:val="Normal"/>
        <w:numPr>
          <w:ilvl w:val="0"/>
          <w:numId w:val="1"/>
        </w:numPr>
        <w:spacing w:before="0" w:after="60"/>
        <w:rPr/>
      </w:pPr>
      <w:r>
        <w:rPr>
          <w:rFonts w:eastAsia="Segoe UI" w:cs="Segoe UI" w:ascii="Segoe UI" w:hAnsi="Segoe UI"/>
          <w:color w:val="101820"/>
          <w:sz w:val="21"/>
        </w:rPr>
        <w:t>Tax: service tax on general premium and brokerage (rate after March 2024 to verify for insurance); stamp duty RM10 per policy; withholding under s.107D on agent commission and CP58 statements.</w:t>
      </w:r>
    </w:p>
    <w:p>
      <w:pPr>
        <w:pStyle w:val="Normal"/>
        <w:numPr>
          <w:ilvl w:val="0"/>
          <w:numId w:val="1"/>
        </w:numPr>
        <w:spacing w:before="0" w:after="60"/>
        <w:rPr/>
      </w:pPr>
      <w:r>
        <w:rPr>
          <w:rFonts w:eastAsia="Segoe UI" w:cs="Segoe UI" w:ascii="Segoe UI" w:hAnsi="Segoe UI"/>
          <w:color w:val="101820"/>
          <w:sz w:val="21"/>
        </w:rPr>
        <w:t>E-invoicing: LHDN MyInvois, mandatory in phases since August 2024, needs an API connector.</w:t>
      </w:r>
    </w:p>
    <w:p>
      <w:pPr>
        <w:pStyle w:val="Normal"/>
        <w:numPr>
          <w:ilvl w:val="0"/>
          <w:numId w:val="1"/>
        </w:numPr>
        <w:spacing w:before="0" w:after="60"/>
        <w:rPr/>
      </w:pPr>
      <w:r>
        <w:rPr>
          <w:rFonts w:eastAsia="Segoe UI" w:cs="Segoe UI" w:ascii="Segoe UI" w:hAnsi="Segoe UI"/>
          <w:color w:val="101820"/>
          <w:sz w:val="21"/>
        </w:rPr>
        <w:t>Bahasa Malaysia optional (English common); MYR; PDPA 2010 as amended in 2024 (DPO, breach notification).</w:t>
      </w:r>
    </w:p>
    <w:p>
      <w:pPr>
        <w:pStyle w:val="Normal"/>
        <w:numPr>
          <w:ilvl w:val="0"/>
          <w:numId w:val="1"/>
        </w:numPr>
        <w:spacing w:before="0" w:after="60"/>
        <w:rPr/>
      </w:pPr>
      <w:r>
        <w:rPr>
          <w:rFonts w:eastAsia="Segoe UI" w:cs="Segoe UI" w:ascii="Segoe UI" w:hAnsi="Segoe UI"/>
          <w:color w:val="101820"/>
          <w:sz w:val="21"/>
        </w:rPr>
        <w:t>Motor: compulsory third-party under the Road Transport Act 1987, liberalised tariffs, e-cover notes to JPJ through insurers, NCD.</w:t>
      </w:r>
    </w:p>
    <w:p>
      <w:pPr>
        <w:pStyle w:val="Normal"/>
        <w:numPr>
          <w:ilvl w:val="0"/>
          <w:numId w:val="1"/>
        </w:numPr>
        <w:spacing w:before="0" w:after="60"/>
        <w:rPr/>
      </w:pPr>
      <w:r>
        <w:rPr>
          <w:rFonts w:eastAsia="Segoe UI" w:cs="Segoe UI" w:ascii="Segoe UI" w:hAnsi="Segoe UI"/>
          <w:color w:val="101820"/>
          <w:sz w:val="21"/>
        </w:rPr>
        <w:t>Main changes: SST and stamp duty rules, MyInvois connector, takaful variant, s.107D and CP58, BNM returns, motor NCD and JPJ fields.</w:t>
      </w:r>
    </w:p>
    <w:p>
      <w:pPr>
        <w:pStyle w:val="Heading3"/>
        <w:rPr/>
      </w:pPr>
      <w:r>
        <w:rPr>
          <w:rFonts w:eastAsia="Segoe UI" w:cs="Segoe UI"/>
          <w:b/>
          <w:color w:val="0F4761"/>
          <w:sz w:val="23"/>
        </w:rPr>
        <w:t>7.3.4  Thailand</w:t>
      </w:r>
    </w:p>
    <w:p>
      <w:pPr>
        <w:pStyle w:val="Normal"/>
        <w:numPr>
          <w:ilvl w:val="0"/>
          <w:numId w:val="1"/>
        </w:numPr>
        <w:spacing w:before="0" w:after="60"/>
        <w:rPr/>
      </w:pPr>
      <w:r>
        <w:rPr>
          <w:rFonts w:eastAsia="Segoe UI" w:cs="Segoe UI" w:ascii="Segoe UI" w:hAnsi="Segoe UI"/>
          <w:color w:val="101820"/>
          <w:sz w:val="21"/>
        </w:rPr>
        <w:t>Regulator OIC; non-life broker licences under the Non-Life Insurance Act B.E. 2535.</w:t>
      </w:r>
    </w:p>
    <w:p>
      <w:pPr>
        <w:pStyle w:val="Normal"/>
        <w:numPr>
          <w:ilvl w:val="0"/>
          <w:numId w:val="1"/>
        </w:numPr>
        <w:spacing w:before="0" w:after="60"/>
        <w:rPr/>
      </w:pPr>
      <w:r>
        <w:rPr>
          <w:rFonts w:eastAsia="Segoe UI" w:cs="Segoe UI" w:ascii="Segoe UI" w:hAnsi="Segoe UI"/>
          <w:color w:val="101820"/>
          <w:sz w:val="21"/>
        </w:rPr>
        <w:t>Tax: VAT 7% on non-life premium and brokerage; stamp duty about 0.4% of premium; withholding 3% on service fees (PND 3, PND 53) with 50 Tawi certificates; tax invoices in Thai.</w:t>
      </w:r>
    </w:p>
    <w:p>
      <w:pPr>
        <w:pStyle w:val="Normal"/>
        <w:numPr>
          <w:ilvl w:val="0"/>
          <w:numId w:val="1"/>
        </w:numPr>
        <w:spacing w:before="0" w:after="60"/>
        <w:rPr/>
      </w:pPr>
      <w:r>
        <w:rPr>
          <w:rFonts w:eastAsia="Segoe UI" w:cs="Segoe UI" w:ascii="Segoe UI" w:hAnsi="Segoe UI"/>
          <w:color w:val="101820"/>
          <w:sz w:val="21"/>
        </w:rPr>
        <w:t>Thai script UI and documents; Buddhist Era dates; THB; PDPA B.E. 2562 in force since 2022.</w:t>
      </w:r>
    </w:p>
    <w:p>
      <w:pPr>
        <w:pStyle w:val="Normal"/>
        <w:numPr>
          <w:ilvl w:val="0"/>
          <w:numId w:val="1"/>
        </w:numPr>
        <w:spacing w:before="0" w:after="60"/>
        <w:rPr/>
      </w:pPr>
      <w:r>
        <w:rPr>
          <w:rFonts w:eastAsia="Segoe UI" w:cs="Segoe UI" w:ascii="Segoe UI" w:hAnsi="Segoe UI"/>
          <w:color w:val="101820"/>
          <w:sz w:val="21"/>
        </w:rPr>
        <w:t>Motor: compulsory motor insurance (Por Ror Bor) at an OIC tariff per vehicle type, which maps closely to the CTPL tariff model, plus voluntary classes 1, 2, 3, 2+ and 3+.</w:t>
      </w:r>
    </w:p>
    <w:p>
      <w:pPr>
        <w:pStyle w:val="Normal"/>
        <w:numPr>
          <w:ilvl w:val="0"/>
          <w:numId w:val="1"/>
        </w:numPr>
        <w:spacing w:before="0" w:after="60"/>
        <w:rPr/>
      </w:pPr>
      <w:r>
        <w:rPr>
          <w:rFonts w:eastAsia="Segoe UI" w:cs="Segoe UI" w:ascii="Segoe UI" w:hAnsi="Segoe UI"/>
          <w:color w:val="101820"/>
          <w:sz w:val="21"/>
        </w:rPr>
        <w:t>Main changes: complete and re-enable the Thai translation and Thai PDF fonts; Por Ror Bor tariff from the CTPL model; VAT and stamp duty; 50 Tawi and PND forms; OIC reports.</w:t>
      </w:r>
    </w:p>
    <w:p>
      <w:pPr>
        <w:pStyle w:val="Heading3"/>
        <w:rPr/>
      </w:pPr>
      <w:r>
        <w:rPr>
          <w:rFonts w:eastAsia="Segoe UI" w:cs="Segoe UI"/>
          <w:b/>
          <w:color w:val="0F4761"/>
          <w:sz w:val="23"/>
        </w:rPr>
        <w:t>7.3.5  Cambodia</w:t>
      </w:r>
    </w:p>
    <w:p>
      <w:pPr>
        <w:pStyle w:val="Normal"/>
        <w:numPr>
          <w:ilvl w:val="0"/>
          <w:numId w:val="1"/>
        </w:numPr>
        <w:spacing w:before="0" w:after="60"/>
        <w:rPr/>
      </w:pPr>
      <w:r>
        <w:rPr>
          <w:rFonts w:eastAsia="Segoe UI" w:cs="Segoe UI" w:ascii="Segoe UI" w:hAnsi="Segoe UI"/>
          <w:color w:val="101820"/>
          <w:sz w:val="21"/>
        </w:rPr>
        <w:t>Regulator IRC; brokers licensed under the Law on Insurance 2014.</w:t>
      </w:r>
    </w:p>
    <w:p>
      <w:pPr>
        <w:pStyle w:val="Normal"/>
        <w:numPr>
          <w:ilvl w:val="0"/>
          <w:numId w:val="1"/>
        </w:numPr>
        <w:spacing w:before="0" w:after="60"/>
        <w:rPr/>
      </w:pPr>
      <w:r>
        <w:rPr>
          <w:rFonts w:eastAsia="Segoe UI" w:cs="Segoe UI" w:ascii="Segoe UI" w:hAnsi="Segoe UI"/>
          <w:color w:val="101820"/>
          <w:sz w:val="21"/>
        </w:rPr>
        <w:t>Tax on gross premium and the VAT treatment of non-life premium to verify; withholding on services; CamInvoice e-invoicing phased from 2025 (to verify).</w:t>
      </w:r>
    </w:p>
    <w:p>
      <w:pPr>
        <w:pStyle w:val="Normal"/>
        <w:numPr>
          <w:ilvl w:val="0"/>
          <w:numId w:val="1"/>
        </w:numPr>
        <w:spacing w:before="0" w:after="60"/>
        <w:rPr/>
      </w:pPr>
      <w:r>
        <w:rPr>
          <w:rFonts w:eastAsia="Segoe UI" w:cs="Segoe UI" w:ascii="Segoe UI" w:hAnsi="Segoe UI"/>
          <w:color w:val="101820"/>
          <w:sz w:val="21"/>
        </w:rPr>
        <w:t>Khmer script for documents and invoices; USD and KHR used side by side; no comprehensive data protection law in force yet (to verify).</w:t>
      </w:r>
    </w:p>
    <w:p>
      <w:pPr>
        <w:pStyle w:val="Normal"/>
        <w:numPr>
          <w:ilvl w:val="0"/>
          <w:numId w:val="1"/>
        </w:numPr>
        <w:spacing w:before="0" w:after="60"/>
        <w:rPr/>
      </w:pPr>
      <w:r>
        <w:rPr>
          <w:rFonts w:eastAsia="Segoe UI" w:cs="Segoe UI" w:ascii="Segoe UI" w:hAnsi="Segoe UI"/>
          <w:color w:val="101820"/>
          <w:sz w:val="21"/>
        </w:rPr>
        <w:t>Main changes: dual currency billing, Khmer documents and UI, tax rules, e-invoicing connector, IRC reports.</w:t>
      </w:r>
    </w:p>
    <w:p>
      <w:pPr>
        <w:pStyle w:val="Heading3"/>
        <w:rPr/>
      </w:pPr>
      <w:r>
        <w:rPr>
          <w:rFonts w:eastAsia="Segoe UI" w:cs="Segoe UI"/>
          <w:b/>
          <w:color w:val="0F4761"/>
          <w:sz w:val="23"/>
        </w:rPr>
        <w:t>7.3.6  Lao PDR</w:t>
      </w:r>
    </w:p>
    <w:p>
      <w:pPr>
        <w:pStyle w:val="Normal"/>
        <w:numPr>
          <w:ilvl w:val="0"/>
          <w:numId w:val="1"/>
        </w:numPr>
        <w:spacing w:before="0" w:after="60"/>
        <w:rPr/>
      </w:pPr>
      <w:r>
        <w:rPr>
          <w:rFonts w:eastAsia="Segoe UI" w:cs="Segoe UI" w:ascii="Segoe UI" w:hAnsi="Segoe UI"/>
          <w:color w:val="101820"/>
          <w:sz w:val="21"/>
        </w:rPr>
        <w:t>Ministry of Finance supervision; very few brokers (to verify).</w:t>
      </w:r>
    </w:p>
    <w:p>
      <w:pPr>
        <w:pStyle w:val="Normal"/>
        <w:numPr>
          <w:ilvl w:val="0"/>
          <w:numId w:val="1"/>
        </w:numPr>
        <w:spacing w:before="0" w:after="60"/>
        <w:rPr/>
      </w:pPr>
      <w:r>
        <w:rPr>
          <w:rFonts w:eastAsia="Segoe UI" w:cs="Segoe UI" w:ascii="Segoe UI" w:hAnsi="Segoe UI"/>
          <w:color w:val="101820"/>
          <w:sz w:val="21"/>
        </w:rPr>
        <w:t>VAT 10%; Lao script; LAK with USD and THB in use; Law on Electronic Data Protection 2017.</w:t>
      </w:r>
    </w:p>
    <w:p>
      <w:pPr>
        <w:pStyle w:val="Normal"/>
        <w:numPr>
          <w:ilvl w:val="0"/>
          <w:numId w:val="1"/>
        </w:numPr>
        <w:spacing w:before="0" w:after="60"/>
        <w:rPr/>
      </w:pPr>
      <w:r>
        <w:rPr>
          <w:rFonts w:eastAsia="Segoe UI" w:cs="Segoe UI" w:ascii="Segoe UI" w:hAnsi="Segoe UI"/>
          <w:color w:val="101820"/>
          <w:sz w:val="21"/>
        </w:rPr>
        <w:t>Main changes: as Cambodia, with a smaller market. Proceed only with a partner and a signed client.</w:t>
      </w:r>
    </w:p>
    <w:p>
      <w:pPr>
        <w:pStyle w:val="Heading3"/>
        <w:rPr/>
      </w:pPr>
      <w:r>
        <w:rPr>
          <w:rFonts w:eastAsia="Segoe UI" w:cs="Segoe UI"/>
          <w:b/>
          <w:color w:val="0F4761"/>
          <w:sz w:val="23"/>
        </w:rPr>
        <w:t>7.3.7  Indonesia</w:t>
      </w:r>
    </w:p>
    <w:p>
      <w:pPr>
        <w:pStyle w:val="Normal"/>
        <w:numPr>
          <w:ilvl w:val="0"/>
          <w:numId w:val="1"/>
        </w:numPr>
        <w:spacing w:before="0" w:after="60"/>
        <w:rPr/>
      </w:pPr>
      <w:r>
        <w:rPr>
          <w:rFonts w:eastAsia="Segoe UI" w:cs="Segoe UI" w:ascii="Segoe UI" w:hAnsi="Segoe UI"/>
          <w:color w:val="101820"/>
          <w:sz w:val="21"/>
        </w:rPr>
        <w:t>Regulator OJK; insurance, reinsurance and sharia brokers licensed by OJK.</w:t>
      </w:r>
    </w:p>
    <w:p>
      <w:pPr>
        <w:pStyle w:val="Normal"/>
        <w:numPr>
          <w:ilvl w:val="0"/>
          <w:numId w:val="1"/>
        </w:numPr>
        <w:spacing w:before="0" w:after="60"/>
        <w:rPr/>
      </w:pPr>
      <w:r>
        <w:rPr>
          <w:rFonts w:eastAsia="Segoe UI" w:cs="Segoe UI" w:ascii="Segoe UI" w:hAnsi="Segoe UI"/>
          <w:color w:val="101820"/>
          <w:sz w:val="21"/>
        </w:rPr>
        <w:t>Tax: premium outside the VAT scope; VAT on brokerage (effective rate to verify); stamp duty Rp10,000; withholding PPh 23 and PPh 21. E-Faktur through Coretax (since January 2025) and e-Bupot are mandatory.</w:t>
      </w:r>
    </w:p>
    <w:p>
      <w:pPr>
        <w:pStyle w:val="Normal"/>
        <w:numPr>
          <w:ilvl w:val="0"/>
          <w:numId w:val="1"/>
        </w:numPr>
        <w:spacing w:before="0" w:after="60"/>
        <w:rPr/>
      </w:pPr>
      <w:r>
        <w:rPr>
          <w:rFonts w:eastAsia="Segoe UI" w:cs="Segoe UI" w:ascii="Segoe UI" w:hAnsi="Segoe UI"/>
          <w:color w:val="101820"/>
          <w:sz w:val="21"/>
        </w:rPr>
        <w:t>Bahasa Indonesia required for policies, invoices and UI; IDR without decimals in practice; PDP Law 27/2022; data centre in Indonesia may be required (to verify).</w:t>
      </w:r>
    </w:p>
    <w:p>
      <w:pPr>
        <w:pStyle w:val="Normal"/>
        <w:numPr>
          <w:ilvl w:val="0"/>
          <w:numId w:val="1"/>
        </w:numPr>
        <w:spacing w:before="0" w:after="60"/>
        <w:rPr/>
      </w:pPr>
      <w:r>
        <w:rPr>
          <w:rFonts w:eastAsia="Segoe UI" w:cs="Segoe UI" w:ascii="Segoe UI" w:hAnsi="Segoe UI"/>
          <w:color w:val="101820"/>
          <w:sz w:val="21"/>
        </w:rPr>
        <w:t>Motor and property: OJK reference rate bands; Jasa Raharja is collected with vehicle registration, outside brokers.</w:t>
      </w:r>
    </w:p>
    <w:p>
      <w:pPr>
        <w:pStyle w:val="Normal"/>
        <w:numPr>
          <w:ilvl w:val="0"/>
          <w:numId w:val="1"/>
        </w:numPr>
        <w:spacing w:before="0" w:after="60"/>
        <w:rPr/>
      </w:pPr>
      <w:r>
        <w:rPr>
          <w:rFonts w:eastAsia="Segoe UI" w:cs="Segoe UI" w:ascii="Segoe UI" w:hAnsi="Segoe UI"/>
          <w:color w:val="101820"/>
          <w:sz w:val="21"/>
        </w:rPr>
        <w:t>Main changes: Coretax and e-Bupot integration, OJK reports, Bahasa UI and documents, OJK rate bands in rating, sharia variant, hosting in Indonesia.</w:t>
      </w:r>
    </w:p>
    <w:p>
      <w:pPr>
        <w:pStyle w:val="Heading3"/>
        <w:rPr/>
      </w:pPr>
      <w:r>
        <w:rPr>
          <w:rFonts w:eastAsia="Segoe UI" w:cs="Segoe UI"/>
          <w:b/>
          <w:color w:val="0F4761"/>
          <w:sz w:val="23"/>
        </w:rPr>
        <w:t>7.3.8  Vietnam</w:t>
      </w:r>
    </w:p>
    <w:p>
      <w:pPr>
        <w:pStyle w:val="Normal"/>
        <w:numPr>
          <w:ilvl w:val="0"/>
          <w:numId w:val="1"/>
        </w:numPr>
        <w:spacing w:before="0" w:after="60"/>
        <w:rPr/>
      </w:pPr>
      <w:r>
        <w:rPr>
          <w:rFonts w:eastAsia="Segoe UI" w:cs="Segoe UI" w:ascii="Segoe UI" w:hAnsi="Segoe UI"/>
          <w:color w:val="101820"/>
          <w:sz w:val="21"/>
        </w:rPr>
        <w:t>Regulator Ministry of Finance (Insurance Supervisory Authority); Law on Insurance Business 2022 and Decree 46/2023.</w:t>
      </w:r>
    </w:p>
    <w:p>
      <w:pPr>
        <w:pStyle w:val="Normal"/>
        <w:numPr>
          <w:ilvl w:val="0"/>
          <w:numId w:val="1"/>
        </w:numPr>
        <w:spacing w:before="0" w:after="60"/>
        <w:rPr/>
      </w:pPr>
      <w:r>
        <w:rPr>
          <w:rFonts w:eastAsia="Segoe UI" w:cs="Segoe UI" w:ascii="Segoe UI" w:hAnsi="Segoe UI"/>
          <w:color w:val="101820"/>
          <w:sz w:val="21"/>
        </w:rPr>
        <w:t>Tax: VAT 10% on non-life premium and brokerage (some lines exempt); e-invoices with tax authority codes mandatory since July 2022.</w:t>
      </w:r>
    </w:p>
    <w:p>
      <w:pPr>
        <w:pStyle w:val="Normal"/>
        <w:numPr>
          <w:ilvl w:val="0"/>
          <w:numId w:val="1"/>
        </w:numPr>
        <w:spacing w:before="0" w:after="60"/>
        <w:rPr/>
      </w:pPr>
      <w:r>
        <w:rPr>
          <w:rFonts w:eastAsia="Segoe UI" w:cs="Segoe UI" w:ascii="Segoe UI" w:hAnsi="Segoe UI"/>
          <w:color w:val="101820"/>
          <w:sz w:val="21"/>
        </w:rPr>
        <w:t>Vietnamese for UI, documents and books; VND without decimals; Personal Data Protection Law effective 1 January 2026.</w:t>
      </w:r>
    </w:p>
    <w:p>
      <w:pPr>
        <w:pStyle w:val="Normal"/>
        <w:numPr>
          <w:ilvl w:val="0"/>
          <w:numId w:val="1"/>
        </w:numPr>
        <w:spacing w:before="0" w:after="60"/>
        <w:rPr/>
      </w:pPr>
      <w:r>
        <w:rPr>
          <w:rFonts w:eastAsia="Segoe UI" w:cs="Segoe UI" w:ascii="Segoe UI" w:hAnsi="Segoe UI"/>
          <w:color w:val="101820"/>
          <w:sz w:val="21"/>
        </w:rPr>
        <w:t>Accounting: Vietnamese Accounting Standards with a prescribed chart of accounts and statutory books.</w:t>
      </w:r>
    </w:p>
    <w:p>
      <w:pPr>
        <w:pStyle w:val="Normal"/>
        <w:numPr>
          <w:ilvl w:val="0"/>
          <w:numId w:val="1"/>
        </w:numPr>
        <w:spacing w:before="0" w:after="60"/>
        <w:rPr/>
      </w:pPr>
      <w:r>
        <w:rPr>
          <w:rFonts w:eastAsia="Segoe UI" w:cs="Segoe UI" w:ascii="Segoe UI" w:hAnsi="Segoe UI"/>
          <w:color w:val="101820"/>
          <w:sz w:val="21"/>
        </w:rPr>
        <w:t>Main changes: e-invoice connector, statutory chart of accounts and books, Vietnamese language, Ministry of Finance motor tariff and reports.</w:t>
      </w:r>
    </w:p>
    <w:p>
      <w:pPr>
        <w:pStyle w:val="Heading3"/>
        <w:rPr/>
      </w:pPr>
      <w:r>
        <w:rPr>
          <w:rFonts w:eastAsia="Segoe UI" w:cs="Segoe UI"/>
          <w:b/>
          <w:color w:val="0F4761"/>
          <w:sz w:val="23"/>
        </w:rPr>
        <w:t>7.3.9  Myanmar</w:t>
      </w:r>
    </w:p>
    <w:p>
      <w:pPr>
        <w:pStyle w:val="Normal"/>
        <w:spacing w:lineRule="auto" w:line="276" w:before="0" w:after="120"/>
        <w:rPr/>
      </w:pPr>
      <w:r>
        <w:rPr>
          <w:rFonts w:eastAsia="Segoe UI" w:cs="Segoe UI" w:ascii="Segoe UI" w:hAnsi="Segoe UI"/>
          <w:color w:val="101820"/>
          <w:sz w:val="21"/>
        </w:rPr>
        <w:t>Insurance Law 2019 provides for intermediaries, but broker licensing practice, the tax treatment of insurance and the political and sanctions situation since 2021 make a rollout inadvisable now. Burmese (Unicode) script, MMK and sanctions screening would be needed.</w:t>
      </w:r>
    </w:p>
    <w:p>
      <w:pPr>
        <w:pStyle w:val="Heading3"/>
        <w:rPr/>
      </w:pPr>
      <w:r>
        <w:rPr>
          <w:rFonts w:eastAsia="Segoe UI" w:cs="Segoe UI"/>
          <w:b/>
          <w:color w:val="0F4761"/>
          <w:sz w:val="23"/>
        </w:rPr>
        <w:t>7.3.10  Timor-Leste</w:t>
      </w:r>
    </w:p>
    <w:p>
      <w:pPr>
        <w:pStyle w:val="Normal"/>
        <w:spacing w:lineRule="auto" w:line="276" w:before="0" w:after="120"/>
        <w:rPr/>
      </w:pPr>
      <w:r>
        <w:rPr>
          <w:rFonts w:eastAsia="Segoe UI" w:cs="Segoe UI" w:ascii="Segoe UI" w:hAnsi="Segoe UI"/>
          <w:color w:val="101820"/>
          <w:sz w:val="21"/>
        </w:rPr>
        <w:t>Timor-Leste joined ASEAN in October 2025. It is not scored: the insurance market supervised by the Banco Central de Timor-Leste is very small, the currency is USD and the languages are Tetum and Portuguese. Treat it as Lao PDR or higher if a prospect appears (to verify with a local partner).</w:t>
      </w:r>
    </w:p>
    <w:p>
      <w:pPr>
        <w:pStyle w:val="Heading2"/>
        <w:rPr/>
      </w:pPr>
      <w:bookmarkStart w:id="26" w:name="__RefHeading___Toc3448_1427950960"/>
      <w:bookmarkEnd w:id="26"/>
      <w:r>
        <w:rPr>
          <w:rFonts w:eastAsia="Segoe UI" w:cs="Segoe UI"/>
          <w:b/>
          <w:color w:val="0F4761"/>
          <w:sz w:val="26"/>
        </w:rPr>
        <w:t>7.4  Recommended sequence</w:t>
      </w:r>
    </w:p>
    <w:p>
      <w:pPr>
        <w:pStyle w:val="Normal"/>
        <w:spacing w:lineRule="auto" w:line="276" w:before="0" w:after="120"/>
        <w:rPr/>
      </w:pPr>
      <w:r>
        <w:rPr>
          <w:rFonts w:eastAsia="Segoe UI" w:cs="Segoe UI" w:ascii="Segoe UI" w:hAnsi="Segoe UI"/>
          <w:color w:val="101820"/>
          <w:sz w:val="21"/>
        </w:rPr>
        <w:t>Ranking by change alone puts Singapore and Brunei first. Taking market size into account as well:</w:t>
      </w:r>
    </w:p>
    <w:p>
      <w:pPr>
        <w:pStyle w:val="Normal"/>
        <w:numPr>
          <w:ilvl w:val="0"/>
          <w:numId w:val="4"/>
        </w:numPr>
        <w:spacing w:before="0" w:after="60"/>
        <w:rPr/>
      </w:pPr>
      <w:r>
        <w:rPr>
          <w:rFonts w:eastAsia="Segoe UI" w:cs="Segoe UI" w:ascii="Segoe UI" w:hAnsi="Segoe UI"/>
          <w:b/>
          <w:color w:val="101820"/>
          <w:sz w:val="21"/>
        </w:rPr>
        <w:t>Singapore</w:t>
      </w:r>
      <w:r>
        <w:rPr>
          <w:rFonts w:eastAsia="Segoe UI" w:cs="Segoe UI" w:ascii="Segoe UI" w:hAnsi="Segoe UI"/>
          <w:color w:val="101820"/>
          <w:sz w:val="21"/>
        </w:rPr>
        <w:t xml:space="preserve"> first: lowest change, English, current hosting region, a regional broker hub. The GST and InvoiceNow work is reusable for other GST and Peppol markets.</w:t>
      </w:r>
    </w:p>
    <w:p>
      <w:pPr>
        <w:pStyle w:val="Normal"/>
        <w:numPr>
          <w:ilvl w:val="0"/>
          <w:numId w:val="2"/>
        </w:numPr>
        <w:spacing w:before="0" w:after="60"/>
        <w:rPr/>
      </w:pPr>
      <w:r>
        <w:rPr>
          <w:rFonts w:eastAsia="Segoe UI" w:cs="Segoe UI" w:ascii="Segoe UI" w:hAnsi="Segoe UI"/>
          <w:b/>
          <w:color w:val="101820"/>
          <w:sz w:val="21"/>
        </w:rPr>
        <w:t>Malaysia</w:t>
      </w:r>
      <w:r>
        <w:rPr>
          <w:rFonts w:eastAsia="Segoe UI" w:cs="Segoe UI" w:ascii="Segoe UI" w:hAnsi="Segoe UI"/>
          <w:color w:val="101820"/>
          <w:sz w:val="21"/>
        </w:rPr>
        <w:t xml:space="preserve"> second: moderate change, a sizeable broker market, English widely used; MyInvois is the main build item. The takaful variant also serves Brunei and Indonesia.</w:t>
      </w:r>
    </w:p>
    <w:p>
      <w:pPr>
        <w:pStyle w:val="Normal"/>
        <w:numPr>
          <w:ilvl w:val="0"/>
          <w:numId w:val="2"/>
        </w:numPr>
        <w:spacing w:before="0" w:after="60"/>
        <w:rPr/>
      </w:pPr>
      <w:r>
        <w:rPr>
          <w:rFonts w:eastAsia="Segoe UI" w:cs="Segoe UI" w:ascii="Segoe UI" w:hAnsi="Segoe UI"/>
          <w:b/>
          <w:color w:val="101820"/>
          <w:sz w:val="21"/>
        </w:rPr>
        <w:t>Thailand</w:t>
      </w:r>
      <w:r>
        <w:rPr>
          <w:rFonts w:eastAsia="Segoe UI" w:cs="Segoe UI" w:ascii="Segoe UI" w:hAnsi="Segoe UI"/>
          <w:color w:val="101820"/>
          <w:sz w:val="21"/>
        </w:rPr>
        <w:t xml:space="preserve"> third: the CTPL tariff model maps to Por Ror Bor and a Thai translation already exists in part; the Thai tax forms and OIC reports are the main build.</w:t>
      </w:r>
    </w:p>
    <w:p>
      <w:pPr>
        <w:pStyle w:val="Normal"/>
        <w:numPr>
          <w:ilvl w:val="0"/>
          <w:numId w:val="2"/>
        </w:numPr>
        <w:spacing w:before="0" w:after="60"/>
        <w:rPr/>
      </w:pPr>
      <w:r>
        <w:rPr>
          <w:rFonts w:eastAsia="Segoe UI" w:cs="Segoe UI" w:ascii="Segoe UI" w:hAnsi="Segoe UI"/>
          <w:b/>
          <w:color w:val="101820"/>
          <w:sz w:val="21"/>
        </w:rPr>
        <w:t>Indonesia and Vietnam</w:t>
      </w:r>
      <w:r>
        <w:rPr>
          <w:rFonts w:eastAsia="Segoe UI" w:cs="Segoe UI" w:ascii="Segoe UI" w:hAnsi="Segoe UI"/>
          <w:color w:val="101820"/>
          <w:sz w:val="21"/>
        </w:rPr>
        <w:t xml:space="preserve"> as larger programmes, each with a local partner, after the e-invoicing pattern is proven in Malaysia.</w:t>
      </w:r>
    </w:p>
    <w:p>
      <w:pPr>
        <w:pStyle w:val="Normal"/>
        <w:numPr>
          <w:ilvl w:val="0"/>
          <w:numId w:val="2"/>
        </w:numPr>
        <w:spacing w:before="0" w:after="60"/>
        <w:rPr/>
      </w:pPr>
      <w:r>
        <w:rPr>
          <w:rFonts w:eastAsia="Segoe UI" w:cs="Segoe UI" w:ascii="Segoe UI" w:hAnsi="Segoe UI"/>
          <w:b/>
          <w:color w:val="101820"/>
          <w:sz w:val="21"/>
        </w:rPr>
        <w:t>Brunei</w:t>
      </w:r>
      <w:r>
        <w:rPr>
          <w:rFonts w:eastAsia="Segoe UI" w:cs="Segoe UI" w:ascii="Segoe UI" w:hAnsi="Segoe UI"/>
          <w:color w:val="101820"/>
          <w:sz w:val="21"/>
        </w:rPr>
        <w:t xml:space="preserve">, </w:t>
      </w:r>
      <w:r>
        <w:rPr>
          <w:rFonts w:eastAsia="Segoe UI" w:cs="Segoe UI" w:ascii="Segoe UI" w:hAnsi="Segoe UI"/>
          <w:b/>
          <w:color w:val="101820"/>
          <w:sz w:val="21"/>
        </w:rPr>
        <w:t>Cambodia</w:t>
      </w:r>
      <w:r>
        <w:rPr>
          <w:rFonts w:eastAsia="Segoe UI" w:cs="Segoe UI" w:ascii="Segoe UI" w:hAnsi="Segoe UI"/>
          <w:color w:val="101820"/>
          <w:sz w:val="21"/>
        </w:rPr>
        <w:t xml:space="preserve"> and </w:t>
      </w:r>
      <w:r>
        <w:rPr>
          <w:rFonts w:eastAsia="Segoe UI" w:cs="Segoe UI" w:ascii="Segoe UI" w:hAnsi="Segoe UI"/>
          <w:b/>
          <w:color w:val="101820"/>
          <w:sz w:val="21"/>
        </w:rPr>
        <w:t>Lao PDR</w:t>
      </w:r>
      <w:r>
        <w:rPr>
          <w:rFonts w:eastAsia="Segoe UI" w:cs="Segoe UI" w:ascii="Segoe UI" w:hAnsi="Segoe UI"/>
          <w:color w:val="101820"/>
          <w:sz w:val="21"/>
        </w:rPr>
        <w:t xml:space="preserve"> on demand, with a signed client. </w:t>
      </w:r>
      <w:r>
        <w:rPr>
          <w:rFonts w:eastAsia="Segoe UI" w:cs="Segoe UI" w:ascii="Segoe UI" w:hAnsi="Segoe UI"/>
          <w:b/>
          <w:color w:val="101820"/>
          <w:sz w:val="21"/>
        </w:rPr>
        <w:t>Myanmar</w:t>
      </w:r>
      <w:r>
        <w:rPr>
          <w:rFonts w:eastAsia="Segoe UI" w:cs="Segoe UI" w:ascii="Segoe UI" w:hAnsi="Segoe UI"/>
          <w:color w:val="101820"/>
          <w:sz w:val="21"/>
        </w:rPr>
        <w:t xml:space="preserve"> not now.</w:t>
      </w:r>
    </w:p>
    <w:p>
      <w:pPr>
        <w:pStyle w:val="Heading2"/>
        <w:rPr/>
      </w:pPr>
      <w:bookmarkStart w:id="27" w:name="__RefHeading___Toc3450_1427950960"/>
      <w:bookmarkEnd w:id="27"/>
      <w:r>
        <w:rPr>
          <w:rFonts w:eastAsia="Segoe UI" w:cs="Segoe UI"/>
          <w:b/>
          <w:color w:val="0F4761"/>
          <w:sz w:val="26"/>
        </w:rPr>
        <w:t>7.5  Common work for every country</w:t>
      </w:r>
    </w:p>
    <w:p>
      <w:pPr>
        <w:pStyle w:val="Normal"/>
        <w:spacing w:lineRule="auto" w:line="276" w:before="0" w:after="120"/>
        <w:rPr/>
      </w:pPr>
      <w:r>
        <w:rPr>
          <w:rFonts w:eastAsia="Segoe UI" w:cs="Segoe UI" w:ascii="Segoe UI" w:hAnsi="Segoe UI"/>
          <w:color w:val="101820"/>
          <w:sz w:val="21"/>
        </w:rPr>
        <w:t>Some work is needed once, before the first country, and lowers the cost of each one after it:</w:t>
      </w:r>
    </w:p>
    <w:p>
      <w:pPr>
        <w:pStyle w:val="Normal"/>
        <w:numPr>
          <w:ilvl w:val="0"/>
          <w:numId w:val="1"/>
        </w:numPr>
        <w:spacing w:before="0" w:after="60"/>
        <w:rPr/>
      </w:pPr>
      <w:r>
        <w:rPr>
          <w:rFonts w:eastAsia="Segoe UI" w:cs="Segoe UI" w:ascii="Segoe UI" w:hAnsi="Segoe UI"/>
          <w:color w:val="101820"/>
          <w:sz w:val="21"/>
        </w:rPr>
        <w:t>Move the business time zone, default currency and Philippine formats from code into settings.</w:t>
      </w:r>
    </w:p>
    <w:p>
      <w:pPr>
        <w:pStyle w:val="Normal"/>
        <w:numPr>
          <w:ilvl w:val="0"/>
          <w:numId w:val="1"/>
        </w:numPr>
        <w:spacing w:before="0" w:after="60"/>
        <w:rPr/>
      </w:pPr>
      <w:r>
        <w:rPr>
          <w:rFonts w:eastAsia="Segoe UI" w:cs="Segoe UI" w:ascii="Segoe UI" w:hAnsi="Segoe UI"/>
          <w:color w:val="101820"/>
          <w:sz w:val="21"/>
        </w:rPr>
        <w:t>Make the tax forms a pluggable layer (one module per country) instead of the BIR reports in the general report queries.</w:t>
      </w:r>
    </w:p>
    <w:p>
      <w:pPr>
        <w:pStyle w:val="Normal"/>
        <w:numPr>
          <w:ilvl w:val="0"/>
          <w:numId w:val="1"/>
        </w:numPr>
        <w:spacing w:before="0" w:after="60"/>
        <w:rPr/>
      </w:pPr>
      <w:r>
        <w:rPr>
          <w:rFonts w:eastAsia="Segoe UI" w:cs="Segoe UI" w:ascii="Segoe UI" w:hAnsi="Segoe UI"/>
          <w:color w:val="101820"/>
          <w:sz w:val="21"/>
        </w:rPr>
        <w:t>Generalise the motor tariff from CTPL to "compulsory motor tariff per vehicle class".</w:t>
      </w:r>
    </w:p>
    <w:p>
      <w:pPr>
        <w:pStyle w:val="Normal"/>
        <w:numPr>
          <w:ilvl w:val="0"/>
          <w:numId w:val="1"/>
        </w:numPr>
        <w:spacing w:before="0" w:after="60"/>
        <w:rPr/>
      </w:pPr>
      <w:r>
        <w:rPr>
          <w:rFonts w:eastAsia="Segoe UI" w:cs="Segoe UI" w:ascii="Segoe UI" w:hAnsi="Segoe UI"/>
          <w:color w:val="101820"/>
          <w:sz w:val="21"/>
        </w:rPr>
        <w:t>Add an e-invoicing connector interface, then one adapter per country.</w:t>
      </w:r>
    </w:p>
    <w:p>
      <w:pPr>
        <w:pStyle w:val="Normal"/>
        <w:numPr>
          <w:ilvl w:val="0"/>
          <w:numId w:val="1"/>
        </w:numPr>
        <w:spacing w:before="0" w:after="60"/>
        <w:rPr/>
      </w:pPr>
      <w:r>
        <w:rPr>
          <w:rFonts w:eastAsia="Segoe UI" w:cs="Segoe UI" w:ascii="Segoe UI" w:hAnsi="Segoe UI"/>
          <w:color w:val="101820"/>
          <w:sz w:val="21"/>
        </w:rPr>
        <w:t>Complete the language workflow: translation files for every screen and the printed documents, with fonts for Thai, Khmer, Lao, Burmese and Vietnamese.</w:t>
      </w:r>
    </w:p>
    <w:p>
      <w:pPr>
        <w:pStyle w:val="Normal"/>
        <w:spacing w:lineRule="auto" w:line="276" w:before="0" w:after="120"/>
        <w:rPr/>
      </w:pPr>
      <w:r>
        <w:rPr>
          <w:rFonts w:eastAsia="Segoe UI" w:cs="Segoe UI" w:ascii="Segoe UI" w:hAnsi="Segoe UI"/>
          <w:color w:val="101820"/>
          <w:sz w:val="21"/>
        </w:rPr>
        <w:t>These items are included in the country percentages above. Done once as a platform step, they would take about a third of the code layer off each later country (estimate).</w:t>
      </w:r>
      <w:r>
        <w:br w:type="page"/>
      </w:r>
    </w:p>
    <w:p>
      <w:pPr>
        <w:pStyle w:val="Heading1"/>
        <w:rPr/>
      </w:pPr>
      <w:bookmarkStart w:id="28" w:name="__RefHeading___Toc3452_1427950960"/>
      <w:bookmarkEnd w:id="28"/>
      <w:r>
        <w:rPr>
          <w:rFonts w:eastAsia="Segoe UI" w:cs="Segoe UI" w:ascii="Segoe UI" w:hAnsi="Segoe UI"/>
          <w:b/>
          <w:color w:val="0F4761"/>
          <w:sz w:val="32"/>
        </w:rPr>
        <w:t>8.  Assumptions and limits</w:t>
      </w:r>
    </w:p>
    <w:p>
      <w:pPr>
        <w:pStyle w:val="Normal"/>
        <w:numPr>
          <w:ilvl w:val="0"/>
          <w:numId w:val="1"/>
        </w:numPr>
        <w:spacing w:before="0" w:after="60"/>
        <w:rPr/>
      </w:pPr>
      <w:r>
        <w:rPr>
          <w:rFonts w:eastAsia="Segoe UI" w:cs="Segoe UI" w:ascii="Segoe UI" w:hAnsi="Segoe UI"/>
          <w:color w:val="101820"/>
          <w:sz w:val="21"/>
        </w:rPr>
        <w:t>The Philippine scores are evidence-based and can be checked line by line in the workbook. The weights reflect the judgement of a Philippine broker practitioner and can be changed in the workbook builder; the totals follow.</w:t>
      </w:r>
    </w:p>
    <w:p>
      <w:pPr>
        <w:pStyle w:val="Normal"/>
        <w:numPr>
          <w:ilvl w:val="0"/>
          <w:numId w:val="1"/>
        </w:numPr>
        <w:spacing w:before="0" w:after="60"/>
        <w:rPr/>
      </w:pPr>
      <w:r>
        <w:rPr>
          <w:rFonts w:eastAsia="Segoe UI" w:cs="Segoe UI" w:ascii="Segoe UI" w:hAnsi="Segoe UI"/>
          <w:color w:val="101820"/>
          <w:sz w:val="21"/>
        </w:rPr>
        <w:t>Country facts are general knowledge of each regime as of the assessment date. Items marked "to verify" must be confirmed with local counsel or a partner before any commitment. Percentages are ranges for that reason.</w:t>
      </w:r>
    </w:p>
    <w:p>
      <w:pPr>
        <w:pStyle w:val="Normal"/>
        <w:numPr>
          <w:ilvl w:val="0"/>
          <w:numId w:val="1"/>
        </w:numPr>
        <w:spacing w:before="0" w:after="60"/>
        <w:rPr/>
      </w:pPr>
      <w:r>
        <w:rPr>
          <w:rFonts w:eastAsia="Segoe UI" w:cs="Segoe UI" w:ascii="Segoe UI" w:hAnsi="Segoe UI"/>
          <w:color w:val="101820"/>
          <w:sz w:val="21"/>
        </w:rPr>
        <w:t>Effort is indicative: 3 person-weeks per point of change, a team of five, excluding the first client implementation, sales and partner set-up.</w:t>
      </w:r>
    </w:p>
    <w:p>
      <w:pPr>
        <w:pStyle w:val="Normal"/>
        <w:numPr>
          <w:ilvl w:val="0"/>
          <w:numId w:val="1"/>
        </w:numPr>
        <w:spacing w:before="0" w:after="60"/>
        <w:rPr/>
      </w:pPr>
      <w:r>
        <w:rPr>
          <w:rFonts w:eastAsia="Segoe UI" w:cs="Segoe UI" w:ascii="Segoe UI" w:hAnsi="Segoe UI"/>
          <w:color w:val="101820"/>
          <w:sz w:val="21"/>
        </w:rPr>
        <w:t>This document is not legal or tax advice.</w:t>
      </w:r>
    </w:p>
    <w:p>
      <w:pPr>
        <w:pStyle w:val="Heading2"/>
        <w:rPr/>
      </w:pPr>
      <w:bookmarkStart w:id="29" w:name="__RefHeading___Toc3454_1427950960"/>
      <w:bookmarkEnd w:id="29"/>
      <w:r>
        <w:rPr>
          <w:rFonts w:eastAsia="Segoe UI" w:cs="Segoe UI"/>
          <w:b/>
          <w:color w:val="0F4761"/>
          <w:sz w:val="26"/>
        </w:rPr>
        <w:t>8.1  Rebuilding the figures</w:t>
      </w:r>
    </w:p>
    <w:p>
      <w:pPr>
        <w:pStyle w:val="Normal"/>
        <w:spacing w:lineRule="auto" w:line="276" w:before="0" w:after="120"/>
        <w:rPr/>
      </w:pPr>
      <w:r>
        <w:rPr>
          <w:rFonts w:eastAsia="Segoe UI" w:cs="Segoe UI" w:ascii="Segoe UI" w:hAnsi="Segoe UI"/>
          <w:color w:val="101820"/>
          <w:sz w:val="21"/>
        </w:rPr>
        <w:t>The catalogue, the scores and the country estimates are kept in one script, which writes the workbook and prints the headline figures:</w:t>
      </w:r>
    </w:p>
    <w:p>
      <w:pPr>
        <w:pStyle w:val="Normal"/>
        <w:shd w:val="clear" w:color="auto" w:fill="F3F4F6"/>
        <w:spacing w:before="0" w:after="0"/>
        <w:ind w:left="170"/>
        <w:rPr/>
      </w:pPr>
      <w:r>
        <w:rPr>
          <w:rFonts w:eastAsia="Consolas" w:cs="Consolas" w:ascii="Consolas" w:hAnsi="Consolas"/>
          <w:color w:val="101820"/>
          <w:sz w:val="17"/>
        </w:rPr>
        <w:t>cd docs/package/tools</w:t>
      </w:r>
    </w:p>
    <w:p>
      <w:pPr>
        <w:pStyle w:val="Normal"/>
        <w:shd w:val="clear" w:color="auto" w:fill="F3F4F6"/>
        <w:spacing w:before="0" w:after="0"/>
        <w:ind w:left="170"/>
        <w:rPr/>
      </w:pPr>
      <w:r>
        <w:rPr>
          <w:rFonts w:eastAsia="Consolas" w:cs="Consolas" w:ascii="Consolas" w:hAnsi="Consolas"/>
          <w:color w:val="101820"/>
          <w:sz w:val="17"/>
        </w:rPr>
        <w:t>python3 build_fit_assessment_xlsx.py</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When a score changes, run the script and update this document from its output.</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0" w:name="__RefHeading___Toc3456_1427950960"/>
      <w:bookmarkStart w:id="31" w:name="_Toc233203395"/>
      <w:bookmarkEnd w:id="30"/>
      <w:r>
        <w:rPr>
          <w:rStyle w:val="BookTitle"/>
          <w:bCs w:val="false"/>
          <w:i w:val="false"/>
          <w:iCs w:val="false"/>
          <w:spacing w:val="0"/>
        </w:rPr>
        <w:t>9.  Document Sign-Off</w:t>
      </w:r>
      <w:bookmarkEnd w:id="31"/>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Country facts marked "to verify" are to be confirmed with local counsel or a partner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1">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0">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19</Pages>
  <Words>811</Words>
  <Characters>4264</Characters>
  <CharactersWithSpaces>5000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2026-10-04T06:28:17Z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