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4">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5">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5"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27"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1.1</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1.1</w:t>
                      </w:r>
                    </w:p>
                  </w:txbxContent>
                </v:textbox>
                <w10:wrap type="square"/>
              </v:rect>
            </w:pict>
          </mc:Fallback>
        </mc:AlternateContent>
        <mc:AlternateContent>
          <mc:Choice Requires="wps">
            <w:drawing>
              <wp:anchor behindDoc="0" distT="45720" distB="45720" distL="114300" distR="113665" simplePos="0" locked="0" layoutInCell="0" allowOverlap="1" relativeHeight="29"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04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04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1"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Release Notes and Product Roadmap</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Release Notes and Product Roadmap</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3"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BrokerVerse OOTB Release 1.1</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BrokerVerse OOTB Release 1.1</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3789_1225279311">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3791_1225279311">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3793_1225279311">
            <w:r>
              <w:rPr>
                <w:webHidden/>
                <w:rStyle w:val="IndexLink"/>
              </w:rPr>
              <w:t>3. About this release</w:t>
              <w:tab/>
              <w:t>5</w:t>
            </w:r>
          </w:hyperlink>
        </w:p>
        <w:p>
          <w:pPr>
            <w:pStyle w:val="TOC2"/>
            <w:tabs>
              <w:tab w:val="clear" w:pos="900"/>
              <w:tab w:val="clear" w:pos="9350"/>
              <w:tab w:val="right" w:pos="9025" w:leader="dot"/>
            </w:tabs>
            <w:rPr/>
          </w:pPr>
          <w:hyperlink w:anchor="__RefHeading___Toc3795_1225279311">
            <w:r>
              <w:rPr>
                <w:webHidden/>
                <w:rStyle w:val="IndexLink"/>
              </w:rPr>
              <w:t>3.1 Release identification</w:t>
              <w:tab/>
              <w:t>5</w:t>
            </w:r>
          </w:hyperlink>
        </w:p>
        <w:p>
          <w:pPr>
            <w:pStyle w:val="TOC2"/>
            <w:tabs>
              <w:tab w:val="clear" w:pos="900"/>
              <w:tab w:val="clear" w:pos="9350"/>
              <w:tab w:val="right" w:pos="9025" w:leader="dot"/>
            </w:tabs>
            <w:rPr/>
          </w:pPr>
          <w:hyperlink w:anchor="__RefHeading___Toc3797_1225279311">
            <w:r>
              <w:rPr>
                <w:webHidden/>
                <w:rStyle w:val="IndexLink"/>
              </w:rPr>
              <w:t>3.2 Release in figures</w:t>
              <w:tab/>
              <w:t>6</w:t>
            </w:r>
          </w:hyperlink>
        </w:p>
        <w:p>
          <w:pPr>
            <w:pStyle w:val="TOC1"/>
            <w:tabs>
              <w:tab w:val="clear" w:pos="900"/>
              <w:tab w:val="clear" w:pos="9350"/>
              <w:tab w:val="right" w:pos="9025" w:leader="dot"/>
            </w:tabs>
            <w:rPr/>
          </w:pPr>
          <w:hyperlink w:anchor="__RefHeading___Toc3799_1225279311">
            <w:r>
              <w:rPr>
                <w:webHidden/>
                <w:rStyle w:val="IndexLink"/>
              </w:rPr>
              <w:t>4. Release 1.1: what is new</w:t>
              <w:tab/>
              <w:t>7</w:t>
            </w:r>
          </w:hyperlink>
        </w:p>
        <w:p>
          <w:pPr>
            <w:pStyle w:val="TOC2"/>
            <w:tabs>
              <w:tab w:val="clear" w:pos="900"/>
              <w:tab w:val="clear" w:pos="9350"/>
              <w:tab w:val="right" w:pos="9025" w:leader="dot"/>
            </w:tabs>
            <w:rPr/>
          </w:pPr>
          <w:hyperlink w:anchor="__RefHeading___Toc3801_1225279311">
            <w:r>
              <w:rPr>
                <w:webHidden/>
                <w:rStyle w:val="IndexLink"/>
              </w:rPr>
              <w:t>4.1 Platform, navigation and Philippine masters</w:t>
              <w:tab/>
              <w:t>7</w:t>
            </w:r>
          </w:hyperlink>
        </w:p>
        <w:p>
          <w:pPr>
            <w:pStyle w:val="TOC2"/>
            <w:tabs>
              <w:tab w:val="clear" w:pos="900"/>
              <w:tab w:val="clear" w:pos="9350"/>
              <w:tab w:val="right" w:pos="9025" w:leader="dot"/>
            </w:tabs>
            <w:rPr/>
          </w:pPr>
          <w:hyperlink w:anchor="__RefHeading___Toc3803_1225279311">
            <w:r>
              <w:rPr>
                <w:webHidden/>
                <w:rStyle w:val="IndexLink"/>
              </w:rPr>
              <w:t>4.2 Go-live and release tooling</w:t>
              <w:tab/>
              <w:t>7</w:t>
            </w:r>
          </w:hyperlink>
        </w:p>
        <w:p>
          <w:pPr>
            <w:pStyle w:val="TOC2"/>
            <w:tabs>
              <w:tab w:val="clear" w:pos="900"/>
              <w:tab w:val="clear" w:pos="9350"/>
              <w:tab w:val="right" w:pos="9025" w:leader="dot"/>
            </w:tabs>
            <w:rPr/>
          </w:pPr>
          <w:hyperlink w:anchor="__RefHeading___Toc3805_1225279311">
            <w:r>
              <w:rPr>
                <w:webHidden/>
                <w:rStyle w:val="IndexLink"/>
              </w:rPr>
              <w:t>4.3 Compliance</w:t>
              <w:tab/>
              <w:t>8</w:t>
            </w:r>
          </w:hyperlink>
        </w:p>
        <w:p>
          <w:pPr>
            <w:pStyle w:val="TOC2"/>
            <w:tabs>
              <w:tab w:val="clear" w:pos="900"/>
              <w:tab w:val="clear" w:pos="9350"/>
              <w:tab w:val="right" w:pos="9025" w:leader="dot"/>
            </w:tabs>
            <w:rPr/>
          </w:pPr>
          <w:hyperlink w:anchor="__RefHeading___Toc3807_1225279311">
            <w:r>
              <w:rPr>
                <w:webHidden/>
                <w:rStyle w:val="IndexLink"/>
              </w:rPr>
              <w:t>4.4 BIR and tax</w:t>
              <w:tab/>
              <w:t>8</w:t>
            </w:r>
          </w:hyperlink>
        </w:p>
        <w:p>
          <w:pPr>
            <w:pStyle w:val="TOC2"/>
            <w:tabs>
              <w:tab w:val="clear" w:pos="900"/>
              <w:tab w:val="clear" w:pos="9350"/>
              <w:tab w:val="right" w:pos="9025" w:leader="dot"/>
            </w:tabs>
            <w:rPr/>
          </w:pPr>
          <w:hyperlink w:anchor="__RefHeading___Toc3809_1225279311">
            <w:r>
              <w:rPr>
                <w:webHidden/>
                <w:rStyle w:val="IndexLink"/>
              </w:rPr>
              <w:t>4.5 Operations and accounting</w:t>
              <w:tab/>
              <w:t>9</w:t>
            </w:r>
          </w:hyperlink>
        </w:p>
        <w:p>
          <w:pPr>
            <w:pStyle w:val="TOC2"/>
            <w:tabs>
              <w:tab w:val="clear" w:pos="900"/>
              <w:tab w:val="clear" w:pos="9350"/>
              <w:tab w:val="right" w:pos="9025" w:leader="dot"/>
            </w:tabs>
            <w:rPr/>
          </w:pPr>
          <w:hyperlink w:anchor="__RefHeading___Toc3811_1225279311">
            <w:r>
              <w:rPr>
                <w:webHidden/>
                <w:rStyle w:val="IndexLink"/>
              </w:rPr>
              <w:t>4.6 Distribution and marketing</w:t>
              <w:tab/>
              <w:t>9</w:t>
            </w:r>
          </w:hyperlink>
        </w:p>
        <w:p>
          <w:pPr>
            <w:pStyle w:val="TOC2"/>
            <w:tabs>
              <w:tab w:val="clear" w:pos="900"/>
              <w:tab w:val="clear" w:pos="9350"/>
              <w:tab w:val="right" w:pos="9025" w:leader="dot"/>
            </w:tabs>
            <w:rPr/>
          </w:pPr>
          <w:hyperlink w:anchor="__RefHeading___Toc3813_1225279311">
            <w:r>
              <w:rPr>
                <w:webHidden/>
                <w:rStyle w:val="IndexLink"/>
              </w:rPr>
              <w:t>4.7 Integrations</w:t>
              <w:tab/>
              <w:t>10</w:t>
            </w:r>
          </w:hyperlink>
        </w:p>
        <w:p>
          <w:pPr>
            <w:pStyle w:val="TOC1"/>
            <w:tabs>
              <w:tab w:val="clear" w:pos="900"/>
              <w:tab w:val="clear" w:pos="9350"/>
              <w:tab w:val="right" w:pos="9025" w:leader="dot"/>
            </w:tabs>
            <w:rPr/>
          </w:pPr>
          <w:hyperlink w:anchor="__RefHeading___Toc3815_1225279311">
            <w:r>
              <w:rPr>
                <w:webHidden/>
                <w:rStyle w:val="IndexLink"/>
              </w:rPr>
              <w:t>5. Upgrade notes for release 1.1</w:t>
              <w:tab/>
              <w:t>11</w:t>
            </w:r>
          </w:hyperlink>
        </w:p>
        <w:p>
          <w:pPr>
            <w:pStyle w:val="TOC2"/>
            <w:tabs>
              <w:tab w:val="clear" w:pos="900"/>
              <w:tab w:val="clear" w:pos="9350"/>
              <w:tab w:val="right" w:pos="9025" w:leader="dot"/>
            </w:tabs>
            <w:rPr/>
          </w:pPr>
          <w:hyperlink w:anchor="__RefHeading___Toc3817_1225279311">
            <w:r>
              <w:rPr>
                <w:webHidden/>
                <w:rStyle w:val="IndexLink"/>
              </w:rPr>
              <w:t>5.1 How the upgrade runs</w:t>
              <w:tab/>
              <w:t>11</w:t>
            </w:r>
          </w:hyperlink>
        </w:p>
        <w:p>
          <w:pPr>
            <w:pStyle w:val="TOC2"/>
            <w:tabs>
              <w:tab w:val="clear" w:pos="900"/>
              <w:tab w:val="clear" w:pos="9350"/>
              <w:tab w:val="right" w:pos="9025" w:leader="dot"/>
            </w:tabs>
            <w:rPr/>
          </w:pPr>
          <w:hyperlink w:anchor="__RefHeading___Toc3819_1225279311">
            <w:r>
              <w:rPr>
                <w:webHidden/>
                <w:rStyle w:val="IndexLink"/>
              </w:rPr>
              <w:t>5.2 New environment variable: PII_ENCRYPTION_KEY</w:t>
              <w:tab/>
              <w:t>11</w:t>
            </w:r>
          </w:hyperlink>
        </w:p>
        <w:p>
          <w:pPr>
            <w:pStyle w:val="TOC2"/>
            <w:tabs>
              <w:tab w:val="clear" w:pos="900"/>
              <w:tab w:val="clear" w:pos="9350"/>
              <w:tab w:val="right" w:pos="9025" w:leader="dot"/>
            </w:tabs>
            <w:rPr/>
          </w:pPr>
          <w:hyperlink w:anchor="__RefHeading___Toc3821_1225279311">
            <w:r>
              <w:rPr>
                <w:webHidden/>
                <w:rStyle w:val="IndexLink"/>
              </w:rPr>
              <w:t>5.3 Jobs delivered switched off</w:t>
              <w:tab/>
              <w:t>11</w:t>
            </w:r>
          </w:hyperlink>
        </w:p>
        <w:p>
          <w:pPr>
            <w:pStyle w:val="TOC2"/>
            <w:tabs>
              <w:tab w:val="clear" w:pos="900"/>
              <w:tab w:val="clear" w:pos="9350"/>
              <w:tab w:val="right" w:pos="9025" w:leader="dot"/>
            </w:tabs>
            <w:rPr/>
          </w:pPr>
          <w:hyperlink w:anchor="__RefHeading___Toc3823_1225279311">
            <w:r>
              <w:rPr>
                <w:webHidden/>
                <w:rStyle w:val="IndexLink"/>
              </w:rPr>
              <w:t>5.4 Settings to review</w:t>
              <w:tab/>
              <w:t>12</w:t>
            </w:r>
          </w:hyperlink>
        </w:p>
        <w:p>
          <w:pPr>
            <w:pStyle w:val="TOC2"/>
            <w:tabs>
              <w:tab w:val="clear" w:pos="900"/>
              <w:tab w:val="clear" w:pos="9350"/>
              <w:tab w:val="right" w:pos="9025" w:leader="dot"/>
            </w:tabs>
            <w:rPr/>
          </w:pPr>
          <w:hyperlink w:anchor="__RefHeading___Toc3825_1225279311">
            <w:r>
              <w:rPr>
                <w:webHidden/>
                <w:rStyle w:val="IndexLink"/>
              </w:rPr>
              <w:t>5.5 Before the release is tagged</w:t>
              <w:tab/>
              <w:t>13</w:t>
            </w:r>
          </w:hyperlink>
        </w:p>
        <w:p>
          <w:pPr>
            <w:pStyle w:val="TOC1"/>
            <w:tabs>
              <w:tab w:val="clear" w:pos="900"/>
              <w:tab w:val="clear" w:pos="9350"/>
              <w:tab w:val="right" w:pos="9025" w:leader="dot"/>
            </w:tabs>
            <w:rPr/>
          </w:pPr>
          <w:hyperlink w:anchor="__RefHeading___Toc3827_1225279311">
            <w:r>
              <w:rPr>
                <w:webHidden/>
                <w:rStyle w:val="IndexLink"/>
              </w:rPr>
              <w:t>6. Release 1.0</w:t>
              <w:tab/>
              <w:t>14</w:t>
            </w:r>
          </w:hyperlink>
        </w:p>
        <w:p>
          <w:pPr>
            <w:pStyle w:val="TOC2"/>
            <w:tabs>
              <w:tab w:val="clear" w:pos="900"/>
              <w:tab w:val="clear" w:pos="9350"/>
              <w:tab w:val="right" w:pos="9025" w:leader="dot"/>
            </w:tabs>
            <w:rPr/>
          </w:pPr>
          <w:hyperlink w:anchor="__RefHeading___Toc3829_1225279311">
            <w:r>
              <w:rPr>
                <w:webHidden/>
                <w:rStyle w:val="IndexLink"/>
              </w:rPr>
              <w:t>6.1 What release 1.0 delivered</w:t>
              <w:tab/>
              <w:t>14</w:t>
            </w:r>
          </w:hyperlink>
        </w:p>
        <w:p>
          <w:pPr>
            <w:pStyle w:val="TOC2"/>
            <w:tabs>
              <w:tab w:val="clear" w:pos="900"/>
              <w:tab w:val="clear" w:pos="9350"/>
              <w:tab w:val="right" w:pos="9025" w:leader="dot"/>
            </w:tabs>
            <w:rPr/>
          </w:pPr>
          <w:hyperlink w:anchor="__RefHeading___Toc3831_1225279311">
            <w:r>
              <w:rPr>
                <w:webHidden/>
                <w:rStyle w:val="IndexLink"/>
              </w:rPr>
              <w:t>6.2 Defects and observations carried forward</w:t>
              <w:tab/>
              <w:t>14</w:t>
            </w:r>
          </w:hyperlink>
        </w:p>
        <w:p>
          <w:pPr>
            <w:pStyle w:val="TOC2"/>
            <w:tabs>
              <w:tab w:val="clear" w:pos="900"/>
              <w:tab w:val="clear" w:pos="9350"/>
              <w:tab w:val="right" w:pos="9025" w:leader="dot"/>
            </w:tabs>
            <w:rPr/>
          </w:pPr>
          <w:hyperlink w:anchor="__RefHeading___Toc3833_1225279311">
            <w:r>
              <w:rPr>
                <w:webHidden/>
                <w:rStyle w:val="IndexLink"/>
              </w:rPr>
              <w:t>6.3 Limits of release 1.0 resolved in 1.1</w:t>
              <w:tab/>
              <w:t>14</w:t>
            </w:r>
          </w:hyperlink>
        </w:p>
        <w:p>
          <w:pPr>
            <w:pStyle w:val="TOC1"/>
            <w:tabs>
              <w:tab w:val="clear" w:pos="900"/>
              <w:tab w:val="clear" w:pos="9350"/>
              <w:tab w:val="right" w:pos="9025" w:leader="dot"/>
            </w:tabs>
            <w:rPr/>
          </w:pPr>
          <w:hyperlink w:anchor="__RefHeading___Toc3835_1225279311">
            <w:r>
              <w:rPr>
                <w:webHidden/>
                <w:rStyle w:val="IndexLink"/>
              </w:rPr>
              <w:t>7. Known limitations and open items</w:t>
              <w:tab/>
              <w:t>16</w:t>
            </w:r>
          </w:hyperlink>
        </w:p>
        <w:p>
          <w:pPr>
            <w:pStyle w:val="TOC2"/>
            <w:tabs>
              <w:tab w:val="clear" w:pos="900"/>
              <w:tab w:val="clear" w:pos="9350"/>
              <w:tab w:val="right" w:pos="9025" w:leader="dot"/>
            </w:tabs>
            <w:rPr/>
          </w:pPr>
          <w:hyperlink w:anchor="__RefHeading___Toc3837_1225279311">
            <w:r>
              <w:rPr>
                <w:webHidden/>
                <w:rStyle w:val="IndexLink"/>
              </w:rPr>
              <w:t>7.1 Limits of the OOTB scope in release 1.1</w:t>
              <w:tab/>
              <w:t>16</w:t>
            </w:r>
          </w:hyperlink>
        </w:p>
        <w:p>
          <w:pPr>
            <w:pStyle w:val="TOC2"/>
            <w:tabs>
              <w:tab w:val="clear" w:pos="900"/>
              <w:tab w:val="clear" w:pos="9350"/>
              <w:tab w:val="right" w:pos="9025" w:leader="dot"/>
            </w:tabs>
            <w:rPr/>
          </w:pPr>
          <w:hyperlink w:anchor="__RefHeading___Toc3839_1225279311">
            <w:r>
              <w:rPr>
                <w:webHidden/>
                <w:rStyle w:val="IndexLink"/>
              </w:rPr>
              <w:t>7.2 Before go-live at a broker</w:t>
              <w:tab/>
              <w:t>16</w:t>
            </w:r>
          </w:hyperlink>
        </w:p>
        <w:p>
          <w:pPr>
            <w:pStyle w:val="TOC1"/>
            <w:tabs>
              <w:tab w:val="clear" w:pos="900"/>
              <w:tab w:val="clear" w:pos="9350"/>
              <w:tab w:val="right" w:pos="9025" w:leader="dot"/>
            </w:tabs>
            <w:rPr/>
          </w:pPr>
          <w:hyperlink w:anchor="__RefHeading___Toc3841_1225279311">
            <w:r>
              <w:rPr>
                <w:webHidden/>
                <w:rStyle w:val="IndexLink"/>
              </w:rPr>
              <w:t>8. Upgrade and versioning policy</w:t>
              <w:tab/>
              <w:t>17</w:t>
            </w:r>
          </w:hyperlink>
        </w:p>
        <w:p>
          <w:pPr>
            <w:pStyle w:val="TOC2"/>
            <w:tabs>
              <w:tab w:val="clear" w:pos="900"/>
              <w:tab w:val="clear" w:pos="9350"/>
              <w:tab w:val="right" w:pos="9025" w:leader="dot"/>
            </w:tabs>
            <w:rPr/>
          </w:pPr>
          <w:hyperlink w:anchor="__RefHeading___Toc3843_1225279311">
            <w:r>
              <w:rPr>
                <w:webHidden/>
                <w:rStyle w:val="IndexLink"/>
              </w:rPr>
              <w:t>8.1 Version numbers</w:t>
              <w:tab/>
              <w:t>17</w:t>
            </w:r>
          </w:hyperlink>
        </w:p>
        <w:p>
          <w:pPr>
            <w:pStyle w:val="TOC2"/>
            <w:tabs>
              <w:tab w:val="clear" w:pos="900"/>
              <w:tab w:val="clear" w:pos="9350"/>
              <w:tab w:val="right" w:pos="9025" w:leader="dot"/>
            </w:tabs>
            <w:rPr/>
          </w:pPr>
          <w:hyperlink w:anchor="__RefHeading___Toc3845_1225279311">
            <w:r>
              <w:rPr>
                <w:webHidden/>
                <w:rStyle w:val="IndexLink"/>
              </w:rPr>
              <w:t>8.2 Rules for every release</w:t>
              <w:tab/>
              <w:t>17</w:t>
            </w:r>
          </w:hyperlink>
        </w:p>
        <w:p>
          <w:pPr>
            <w:pStyle w:val="TOC2"/>
            <w:tabs>
              <w:tab w:val="clear" w:pos="900"/>
              <w:tab w:val="clear" w:pos="9350"/>
              <w:tab w:val="right" w:pos="9025" w:leader="dot"/>
            </w:tabs>
            <w:rPr/>
          </w:pPr>
          <w:hyperlink w:anchor="__RefHeading___Toc3847_1225279311">
            <w:r>
              <w:rPr>
                <w:webHidden/>
                <w:rStyle w:val="IndexLink"/>
              </w:rPr>
              <w:t>8.3 Entitlement and support of versions</w:t>
              <w:tab/>
              <w:t>17</w:t>
            </w:r>
          </w:hyperlink>
        </w:p>
        <w:p>
          <w:pPr>
            <w:pStyle w:val="TOC1"/>
            <w:tabs>
              <w:tab w:val="clear" w:pos="900"/>
              <w:tab w:val="clear" w:pos="9350"/>
              <w:tab w:val="right" w:pos="9025" w:leader="dot"/>
            </w:tabs>
            <w:rPr/>
          </w:pPr>
          <w:hyperlink w:anchor="__RefHeading___Toc3849_1225279311">
            <w:r>
              <w:rPr>
                <w:webHidden/>
                <w:rStyle w:val="IndexLink"/>
              </w:rPr>
              <w:t>9. Product roadmap</w:t>
              <w:tab/>
              <w:t>18</w:t>
            </w:r>
          </w:hyperlink>
        </w:p>
        <w:p>
          <w:pPr>
            <w:pStyle w:val="TOC2"/>
            <w:tabs>
              <w:tab w:val="clear" w:pos="900"/>
              <w:tab w:val="clear" w:pos="9350"/>
              <w:tab w:val="right" w:pos="9025" w:leader="dot"/>
            </w:tabs>
            <w:rPr/>
          </w:pPr>
          <w:hyperlink w:anchor="__RefHeading___Toc3851_1225279311">
            <w:r>
              <w:rPr>
                <w:webHidden/>
                <w:rStyle w:val="IndexLink"/>
              </w:rPr>
              <w:t>9.1 Partner certifications (what remains for live connectors)</w:t>
              <w:tab/>
              <w:t>18</w:t>
            </w:r>
          </w:hyperlink>
        </w:p>
        <w:p>
          <w:pPr>
            <w:pStyle w:val="TOC2"/>
            <w:tabs>
              <w:tab w:val="clear" w:pos="900"/>
              <w:tab w:val="clear" w:pos="9350"/>
              <w:tab w:val="right" w:pos="9025" w:leader="dot"/>
            </w:tabs>
            <w:rPr/>
          </w:pPr>
          <w:hyperlink w:anchor="__RefHeading___Toc3853_1225279311">
            <w:r>
              <w:rPr>
                <w:webHidden/>
                <w:rStyle w:val="IndexLink"/>
              </w:rPr>
              <w:t>9.2 Near term (indicative: within 3 months)</w:t>
              <w:tab/>
              <w:t>18</w:t>
            </w:r>
          </w:hyperlink>
        </w:p>
        <w:p>
          <w:pPr>
            <w:pStyle w:val="TOC2"/>
            <w:tabs>
              <w:tab w:val="clear" w:pos="900"/>
              <w:tab w:val="clear" w:pos="9350"/>
              <w:tab w:val="right" w:pos="9025" w:leader="dot"/>
            </w:tabs>
            <w:rPr/>
          </w:pPr>
          <w:hyperlink w:anchor="__RefHeading___Toc3855_1225279311">
            <w:r>
              <w:rPr>
                <w:webHidden/>
                <w:rStyle w:val="IndexLink"/>
              </w:rPr>
              <w:t>9.3 Mid term (indicative: 3 to 9 months)</w:t>
              <w:tab/>
              <w:t>18</w:t>
            </w:r>
          </w:hyperlink>
        </w:p>
        <w:p>
          <w:pPr>
            <w:pStyle w:val="TOC2"/>
            <w:tabs>
              <w:tab w:val="clear" w:pos="900"/>
              <w:tab w:val="clear" w:pos="9350"/>
              <w:tab w:val="right" w:pos="9025" w:leader="dot"/>
            </w:tabs>
            <w:rPr/>
          </w:pPr>
          <w:hyperlink w:anchor="__RefHeading___Toc3857_1225279311">
            <w:r>
              <w:rPr>
                <w:webHidden/>
                <w:rStyle w:val="IndexLink"/>
              </w:rPr>
              <w:t>9.4 Later (indicative: beyond 9 months)</w:t>
              <w:tab/>
              <w:t>19</w:t>
            </w:r>
          </w:hyperlink>
        </w:p>
        <w:p>
          <w:pPr>
            <w:pStyle w:val="TOC1"/>
            <w:tabs>
              <w:tab w:val="clear" w:pos="900"/>
              <w:tab w:val="clear" w:pos="9350"/>
              <w:tab w:val="right" w:pos="9025" w:leader="dot"/>
            </w:tabs>
            <w:rPr/>
          </w:pPr>
          <w:hyperlink w:anchor="__RefHeading___Toc3859_1225279311">
            <w:r>
              <w:rPr>
                <w:webHidden/>
                <w:rStyle w:val="IndexLink"/>
                <w:i w:val="false"/>
                <w:iCs w:val="false"/>
              </w:rPr>
              <w:t>10. Document Sign-Off</w:t>
            </w:r>
            <w:r>
              <w:rPr>
                <w:rStyle w:val="IndexLink"/>
              </w:rPr>
              <w:tab/>
              <w:t>20</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3789_1225279311"/>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04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1.1.1</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Version 1.1.1: release figures aligned with the release verification of 04 October 2026 (packages B and G merged, migrations to 0331, 1,113 backend tests in 104 files, 175 front-end tests in 33 suites, UAT cycle of 433 steps, rehearsal of 52 checks, defects BV-DEF-009 to 014 closed). Version 1.1: release 1.1 entry (migrations 0243 to 0329): Philippine masters, enterprise menu and help, My Work, Product Configurator in the flow, audit trail, go-live workbench, release pipeline, AML/CFT, IC and NPC compliance, BIR, operations and accounting, distribution, integrations, branding and e-signatures; upgrade notes; roadmap of partner certifications</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3791_1225279311"/>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 (RA 10173)</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EOPT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Ease of Paying Taxes Act (RA 11976)</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EIS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Electronic Invoicing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Computerized accounting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CTPL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Compulsory Third Party Liability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Certificate of cover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LTO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Land Transportation Office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Letter of authority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PDC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Post-dated cheque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PSGC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Standard Geographic Code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CFT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Countering the financing of terrorism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 Council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Covered transaction report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Suspicious transaction report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EDD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Enhanced due diligence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PEP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Politically exposed person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DST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Documentary stamp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LGT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Local government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FST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Fire service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Expanded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ATC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Alphanumeric tax code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file format of the BIR alphalists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KYC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Know your customer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Official receipt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Journal voucher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General ledger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Segregation of duties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Time-based one-time password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Application programming interface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Business intelligence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advisory board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Development environment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Pre-Prod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Pre-production environment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System integration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3793_1225279311"/>
      <w:bookmarkEnd w:id="6"/>
      <w:r>
        <w:rPr>
          <w:rFonts w:eastAsia="Segoe UI" w:cs="Segoe UI" w:ascii="Segoe UI" w:hAnsi="Segoe UI"/>
          <w:b/>
          <w:color w:val="0F4761"/>
          <w:sz w:val="32"/>
        </w:rPr>
        <w:t>3.  About this release</w:t>
      </w:r>
    </w:p>
    <w:p>
      <w:pPr>
        <w:pStyle w:val="Heading2"/>
        <w:rPr/>
      </w:pPr>
      <w:bookmarkStart w:id="7" w:name="__RefHeading___Toc3795_1225279311"/>
      <w:bookmarkEnd w:id="7"/>
      <w:r>
        <w:rPr>
          <w:rFonts w:eastAsia="Segoe UI" w:cs="Segoe UI"/>
          <w:b/>
          <w:color w:val="0F4761"/>
          <w:sz w:val="26"/>
        </w:rPr>
        <w:t>3.1  Release identification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6"/>
        <w:gridCol w:w="6457"/>
      </w:tblGrid>
      <w:tr>
        <w:trPr>
          <w:tblHeader w:val="true"/>
        </w:trPr>
        <w:tc>
          <w:tcPr>
            <w:tcW w:w="25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4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Value</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 BrokerVerse OOTB, insurance broking platform for Philippine non-life brokers</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Build</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Branch </w:t>
            </w:r>
            <w:r>
              <w:rPr>
                <w:rFonts w:eastAsia="Consolas" w:cs="Consolas" w:ascii="Consolas" w:hAnsi="Consolas"/>
                <w:color w:val="101820"/>
                <w:kern w:val="0"/>
                <w:sz w:val="16"/>
                <w:szCs w:val="24"/>
                <w:lang w:val="en-US" w:eastAsia="ja-JP" w:bidi="ar-SA"/>
              </w:rPr>
              <w:t>brokerverse-platform</w:t>
            </w:r>
            <w:r>
              <w:rPr>
                <w:rFonts w:eastAsia="Segoe UI" w:cs="Segoe UI" w:ascii="Segoe UI" w:hAnsi="Segoe UI"/>
                <w:color w:val="101820"/>
                <w:kern w:val="0"/>
                <w:sz w:val="18"/>
                <w:szCs w:val="24"/>
                <w:lang w:val="en-US" w:eastAsia="ja-JP" w:bidi="ar-SA"/>
              </w:rPr>
              <w:t xml:space="preserve"> of 04 October 2026 with package B (Insurance Commission and data privacy compliance) and package G (sales activities, quote covers and risk fields, supplier BIR Form 2307, fixed asset disposal) merged, verified end to end on the final code (Test Summary Report 1.3). The release tag </w:t>
            </w:r>
            <w:r>
              <w:rPr>
                <w:rFonts w:eastAsia="Consolas" w:cs="Consolas" w:ascii="Consolas" w:hAnsi="Consolas"/>
                <w:color w:val="101820"/>
                <w:kern w:val="0"/>
                <w:sz w:val="16"/>
                <w:szCs w:val="24"/>
                <w:lang w:val="en-US" w:eastAsia="ja-JP" w:bidi="ar-SA"/>
              </w:rPr>
              <w:t>v1.1.0</w:t>
            </w:r>
            <w:r>
              <w:rPr>
                <w:rFonts w:eastAsia="Segoe UI" w:cs="Segoe UI" w:ascii="Segoe UI" w:hAnsi="Segoe UI"/>
                <w:color w:val="101820"/>
                <w:kern w:val="0"/>
                <w:sz w:val="18"/>
                <w:szCs w:val="24"/>
                <w:lang w:val="en-US" w:eastAsia="ja-JP" w:bidi="ar-SA"/>
              </w:rPr>
              <w:t xml:space="preserve"> is [to confirm]</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Previous release</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 (03 October 2026); its content is summarised in the chapter "Release 1.0"</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 migrations</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0243</w:t>
            </w:r>
            <w:r>
              <w:rPr>
                <w:rFonts w:eastAsia="Segoe UI" w:cs="Segoe UI" w:ascii="Segoe UI" w:hAnsi="Segoe UI"/>
                <w:color w:val="101820"/>
                <w:kern w:val="0"/>
                <w:sz w:val="18"/>
                <w:szCs w:val="24"/>
                <w:lang w:val="en-US" w:eastAsia="ja-JP" w:bidi="ar-SA"/>
              </w:rPr>
              <w:t xml:space="preserve"> to </w:t>
            </w:r>
            <w:r>
              <w:rPr>
                <w:rFonts w:eastAsia="Consolas" w:cs="Consolas" w:ascii="Consolas" w:hAnsi="Consolas"/>
                <w:color w:val="101820"/>
                <w:kern w:val="0"/>
                <w:sz w:val="16"/>
                <w:szCs w:val="24"/>
                <w:lang w:val="en-US" w:eastAsia="ja-JP" w:bidi="ar-SA"/>
              </w:rPr>
              <w:t>0331</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0243</w:t>
            </w:r>
            <w:r>
              <w:rPr>
                <w:rFonts w:eastAsia="Segoe UI" w:cs="Segoe UI" w:ascii="Segoe UI" w:hAnsi="Segoe UI"/>
                <w:color w:val="101820"/>
                <w:kern w:val="0"/>
                <w:sz w:val="18"/>
                <w:szCs w:val="24"/>
                <w:lang w:val="en-US" w:eastAsia="ja-JP" w:bidi="ar-SA"/>
              </w:rPr>
              <w:t xml:space="preserve"> to </w:t>
            </w:r>
            <w:r>
              <w:rPr>
                <w:rFonts w:eastAsia="Consolas" w:cs="Consolas" w:ascii="Consolas" w:hAnsi="Consolas"/>
                <w:color w:val="101820"/>
                <w:kern w:val="0"/>
                <w:sz w:val="16"/>
                <w:szCs w:val="24"/>
                <w:lang w:val="en-US" w:eastAsia="ja-JP" w:bidi="ar-SA"/>
              </w:rPr>
              <w:t>0254</w:t>
            </w:r>
            <w:r>
              <w:rPr>
                <w:rFonts w:eastAsia="Segoe UI" w:cs="Segoe UI" w:ascii="Segoe UI" w:hAnsi="Segoe UI"/>
                <w:color w:val="101820"/>
                <w:kern w:val="0"/>
                <w:sz w:val="18"/>
                <w:szCs w:val="24"/>
                <w:lang w:val="en-US" w:eastAsia="ja-JP" w:bidi="ar-SA"/>
              </w:rPr>
              <w:t xml:space="preserve"> platform and go-live, </w:t>
            </w:r>
            <w:r>
              <w:rPr>
                <w:rFonts w:eastAsia="Consolas" w:cs="Consolas" w:ascii="Consolas" w:hAnsi="Consolas"/>
                <w:color w:val="101820"/>
                <w:kern w:val="0"/>
                <w:sz w:val="16"/>
                <w:szCs w:val="24"/>
                <w:lang w:val="en-US" w:eastAsia="ja-JP" w:bidi="ar-SA"/>
              </w:rPr>
              <w:t>0260</w:t>
            </w:r>
            <w:r>
              <w:rPr>
                <w:rFonts w:eastAsia="Segoe UI" w:cs="Segoe UI" w:ascii="Segoe UI" w:hAnsi="Segoe UI"/>
                <w:color w:val="101820"/>
                <w:kern w:val="0"/>
                <w:sz w:val="18"/>
                <w:szCs w:val="24"/>
                <w:lang w:val="en-US" w:eastAsia="ja-JP" w:bidi="ar-SA"/>
              </w:rPr>
              <w:t xml:space="preserve"> to </w:t>
            </w:r>
            <w:r>
              <w:rPr>
                <w:rFonts w:eastAsia="Consolas" w:cs="Consolas" w:ascii="Consolas" w:hAnsi="Consolas"/>
                <w:color w:val="101820"/>
                <w:kern w:val="0"/>
                <w:sz w:val="16"/>
                <w:szCs w:val="24"/>
                <w:lang w:val="en-US" w:eastAsia="ja-JP" w:bidi="ar-SA"/>
              </w:rPr>
              <w:t>0263</w:t>
            </w:r>
            <w:r>
              <w:rPr>
                <w:rFonts w:eastAsia="Segoe UI" w:cs="Segoe UI" w:ascii="Segoe UI" w:hAnsi="Segoe UI"/>
                <w:color w:val="101820"/>
                <w:kern w:val="0"/>
                <w:sz w:val="18"/>
                <w:szCs w:val="24"/>
                <w:lang w:val="en-US" w:eastAsia="ja-JP" w:bidi="ar-SA"/>
              </w:rPr>
              <w:t xml:space="preserve"> AML/CFT, </w:t>
            </w:r>
            <w:r>
              <w:rPr>
                <w:rFonts w:eastAsia="Consolas" w:cs="Consolas" w:ascii="Consolas" w:hAnsi="Consolas"/>
                <w:color w:val="101820"/>
                <w:kern w:val="0"/>
                <w:sz w:val="16"/>
                <w:szCs w:val="24"/>
                <w:lang w:val="en-US" w:eastAsia="ja-JP" w:bidi="ar-SA"/>
              </w:rPr>
              <w:t>0270</w:t>
            </w:r>
            <w:r>
              <w:rPr>
                <w:rFonts w:eastAsia="Segoe UI" w:cs="Segoe UI" w:ascii="Segoe UI" w:hAnsi="Segoe UI"/>
                <w:color w:val="101820"/>
                <w:kern w:val="0"/>
                <w:sz w:val="18"/>
                <w:szCs w:val="24"/>
                <w:lang w:val="en-US" w:eastAsia="ja-JP" w:bidi="ar-SA"/>
              </w:rPr>
              <w:t xml:space="preserve"> to </w:t>
            </w:r>
            <w:r>
              <w:rPr>
                <w:rFonts w:eastAsia="Consolas" w:cs="Consolas" w:ascii="Consolas" w:hAnsi="Consolas"/>
                <w:color w:val="101820"/>
                <w:kern w:val="0"/>
                <w:sz w:val="16"/>
                <w:szCs w:val="24"/>
                <w:lang w:val="en-US" w:eastAsia="ja-JP" w:bidi="ar-SA"/>
              </w:rPr>
              <w:t>0277</w:t>
            </w:r>
            <w:r>
              <w:rPr>
                <w:rFonts w:eastAsia="Segoe UI" w:cs="Segoe UI" w:ascii="Segoe UI" w:hAnsi="Segoe UI"/>
                <w:color w:val="101820"/>
                <w:kern w:val="0"/>
                <w:sz w:val="18"/>
                <w:szCs w:val="24"/>
                <w:lang w:val="en-US" w:eastAsia="ja-JP" w:bidi="ar-SA"/>
              </w:rPr>
              <w:t xml:space="preserve"> package B, </w:t>
            </w:r>
            <w:r>
              <w:rPr>
                <w:rFonts w:eastAsia="Consolas" w:cs="Consolas" w:ascii="Consolas" w:hAnsi="Consolas"/>
                <w:color w:val="101820"/>
                <w:kern w:val="0"/>
                <w:sz w:val="16"/>
                <w:szCs w:val="24"/>
                <w:lang w:val="en-US" w:eastAsia="ja-JP" w:bidi="ar-SA"/>
              </w:rPr>
              <w:t>0280</w:t>
            </w:r>
            <w:r>
              <w:rPr>
                <w:rFonts w:eastAsia="Segoe UI" w:cs="Segoe UI" w:ascii="Segoe UI" w:hAnsi="Segoe UI"/>
                <w:color w:val="101820"/>
                <w:kern w:val="0"/>
                <w:sz w:val="18"/>
                <w:szCs w:val="24"/>
                <w:lang w:val="en-US" w:eastAsia="ja-JP" w:bidi="ar-SA"/>
              </w:rPr>
              <w:t xml:space="preserve"> to </w:t>
            </w:r>
            <w:r>
              <w:rPr>
                <w:rFonts w:eastAsia="Consolas" w:cs="Consolas" w:ascii="Consolas" w:hAnsi="Consolas"/>
                <w:color w:val="101820"/>
                <w:kern w:val="0"/>
                <w:sz w:val="16"/>
                <w:szCs w:val="24"/>
                <w:lang w:val="en-US" w:eastAsia="ja-JP" w:bidi="ar-SA"/>
              </w:rPr>
              <w:t>0284</w:t>
            </w:r>
            <w:r>
              <w:rPr>
                <w:rFonts w:eastAsia="Segoe UI" w:cs="Segoe UI" w:ascii="Segoe UI" w:hAnsi="Segoe UI"/>
                <w:color w:val="101820"/>
                <w:kern w:val="0"/>
                <w:sz w:val="18"/>
                <w:szCs w:val="24"/>
                <w:lang w:val="en-US" w:eastAsia="ja-JP" w:bidi="ar-SA"/>
              </w:rPr>
              <w:t xml:space="preserve"> BIR, </w:t>
            </w:r>
            <w:r>
              <w:rPr>
                <w:rFonts w:eastAsia="Consolas" w:cs="Consolas" w:ascii="Consolas" w:hAnsi="Consolas"/>
                <w:color w:val="101820"/>
                <w:kern w:val="0"/>
                <w:sz w:val="16"/>
                <w:szCs w:val="24"/>
                <w:lang w:val="en-US" w:eastAsia="ja-JP" w:bidi="ar-SA"/>
              </w:rPr>
              <w:t>0290</w:t>
            </w:r>
            <w:r>
              <w:rPr>
                <w:rFonts w:eastAsia="Segoe UI" w:cs="Segoe UI" w:ascii="Segoe UI" w:hAnsi="Segoe UI"/>
                <w:color w:val="101820"/>
                <w:kern w:val="0"/>
                <w:sz w:val="18"/>
                <w:szCs w:val="24"/>
                <w:lang w:val="en-US" w:eastAsia="ja-JP" w:bidi="ar-SA"/>
              </w:rPr>
              <w:t xml:space="preserve"> to </w:t>
            </w:r>
            <w:r>
              <w:rPr>
                <w:rFonts w:eastAsia="Consolas" w:cs="Consolas" w:ascii="Consolas" w:hAnsi="Consolas"/>
                <w:color w:val="101820"/>
                <w:kern w:val="0"/>
                <w:sz w:val="16"/>
                <w:szCs w:val="24"/>
                <w:lang w:val="en-US" w:eastAsia="ja-JP" w:bidi="ar-SA"/>
              </w:rPr>
              <w:t>0298</w:t>
            </w:r>
            <w:r>
              <w:rPr>
                <w:rFonts w:eastAsia="Segoe UI" w:cs="Segoe UI" w:ascii="Segoe UI" w:hAnsi="Segoe UI"/>
                <w:color w:val="101820"/>
                <w:kern w:val="0"/>
                <w:sz w:val="18"/>
                <w:szCs w:val="24"/>
                <w:lang w:val="en-US" w:eastAsia="ja-JP" w:bidi="ar-SA"/>
              </w:rPr>
              <w:t xml:space="preserve"> operations and accounting, </w:t>
            </w:r>
            <w:r>
              <w:rPr>
                <w:rFonts w:eastAsia="Consolas" w:cs="Consolas" w:ascii="Consolas" w:hAnsi="Consolas"/>
                <w:color w:val="101820"/>
                <w:kern w:val="0"/>
                <w:sz w:val="16"/>
                <w:szCs w:val="24"/>
                <w:lang w:val="en-US" w:eastAsia="ja-JP" w:bidi="ar-SA"/>
              </w:rPr>
              <w:t>0300</w:t>
            </w:r>
            <w:r>
              <w:rPr>
                <w:rFonts w:eastAsia="Segoe UI" w:cs="Segoe UI" w:ascii="Segoe UI" w:hAnsi="Segoe UI"/>
                <w:color w:val="101820"/>
                <w:kern w:val="0"/>
                <w:sz w:val="18"/>
                <w:szCs w:val="24"/>
                <w:lang w:val="en-US" w:eastAsia="ja-JP" w:bidi="ar-SA"/>
              </w:rPr>
              <w:t xml:space="preserve"> to </w:t>
            </w:r>
            <w:r>
              <w:rPr>
                <w:rFonts w:eastAsia="Consolas" w:cs="Consolas" w:ascii="Consolas" w:hAnsi="Consolas"/>
                <w:color w:val="101820"/>
                <w:kern w:val="0"/>
                <w:sz w:val="16"/>
                <w:szCs w:val="24"/>
                <w:lang w:val="en-US" w:eastAsia="ja-JP" w:bidi="ar-SA"/>
              </w:rPr>
              <w:t>0308</w:t>
            </w:r>
            <w:r>
              <w:rPr>
                <w:rFonts w:eastAsia="Segoe UI" w:cs="Segoe UI" w:ascii="Segoe UI" w:hAnsi="Segoe UI"/>
                <w:color w:val="101820"/>
                <w:kern w:val="0"/>
                <w:sz w:val="18"/>
                <w:szCs w:val="24"/>
                <w:lang w:val="en-US" w:eastAsia="ja-JP" w:bidi="ar-SA"/>
              </w:rPr>
              <w:t xml:space="preserve"> distribution, </w:t>
            </w:r>
            <w:r>
              <w:rPr>
                <w:rFonts w:eastAsia="Consolas" w:cs="Consolas" w:ascii="Consolas" w:hAnsi="Consolas"/>
                <w:color w:val="101820"/>
                <w:kern w:val="0"/>
                <w:sz w:val="16"/>
                <w:szCs w:val="24"/>
                <w:lang w:val="en-US" w:eastAsia="ja-JP" w:bidi="ar-SA"/>
              </w:rPr>
              <w:t>0310</w:t>
            </w:r>
            <w:r>
              <w:rPr>
                <w:rFonts w:eastAsia="Segoe UI" w:cs="Segoe UI" w:ascii="Segoe UI" w:hAnsi="Segoe UI"/>
                <w:color w:val="101820"/>
                <w:kern w:val="0"/>
                <w:sz w:val="18"/>
                <w:szCs w:val="24"/>
                <w:lang w:val="en-US" w:eastAsia="ja-JP" w:bidi="ar-SA"/>
              </w:rPr>
              <w:t xml:space="preserve"> to </w:t>
            </w:r>
            <w:r>
              <w:rPr>
                <w:rFonts w:eastAsia="Consolas" w:cs="Consolas" w:ascii="Consolas" w:hAnsi="Consolas"/>
                <w:color w:val="101820"/>
                <w:kern w:val="0"/>
                <w:sz w:val="16"/>
                <w:szCs w:val="24"/>
                <w:lang w:val="en-US" w:eastAsia="ja-JP" w:bidi="ar-SA"/>
              </w:rPr>
              <w:t>0314</w:t>
            </w:r>
            <w:r>
              <w:rPr>
                <w:rFonts w:eastAsia="Segoe UI" w:cs="Segoe UI" w:ascii="Segoe UI" w:hAnsi="Segoe UI"/>
                <w:color w:val="101820"/>
                <w:kern w:val="0"/>
                <w:sz w:val="18"/>
                <w:szCs w:val="24"/>
                <w:lang w:val="en-US" w:eastAsia="ja-JP" w:bidi="ar-SA"/>
              </w:rPr>
              <w:t xml:space="preserve"> integrations, </w:t>
            </w:r>
            <w:r>
              <w:rPr>
                <w:rFonts w:eastAsia="Consolas" w:cs="Consolas" w:ascii="Consolas" w:hAnsi="Consolas"/>
                <w:color w:val="101820"/>
                <w:kern w:val="0"/>
                <w:sz w:val="16"/>
                <w:szCs w:val="24"/>
                <w:lang w:val="en-US" w:eastAsia="ja-JP" w:bidi="ar-SA"/>
              </w:rPr>
              <w:t>0320</w:t>
            </w:r>
            <w:r>
              <w:rPr>
                <w:rFonts w:eastAsia="Segoe UI" w:cs="Segoe UI" w:ascii="Segoe UI" w:hAnsi="Segoe UI"/>
                <w:color w:val="101820"/>
                <w:kern w:val="0"/>
                <w:sz w:val="18"/>
                <w:szCs w:val="24"/>
                <w:lang w:val="en-US" w:eastAsia="ja-JP" w:bidi="ar-SA"/>
              </w:rPr>
              <w:t xml:space="preserve"> to </w:t>
            </w:r>
            <w:r>
              <w:rPr>
                <w:rFonts w:eastAsia="Consolas" w:cs="Consolas" w:ascii="Consolas" w:hAnsi="Consolas"/>
                <w:color w:val="101820"/>
                <w:kern w:val="0"/>
                <w:sz w:val="16"/>
                <w:szCs w:val="24"/>
                <w:lang w:val="en-US" w:eastAsia="ja-JP" w:bidi="ar-SA"/>
              </w:rPr>
              <w:t>0322</w:t>
            </w:r>
            <w:r>
              <w:rPr>
                <w:rFonts w:eastAsia="Segoe UI" w:cs="Segoe UI" w:ascii="Segoe UI" w:hAnsi="Segoe UI"/>
                <w:color w:val="101820"/>
                <w:kern w:val="0"/>
                <w:sz w:val="18"/>
                <w:szCs w:val="24"/>
                <w:lang w:val="en-US" w:eastAsia="ja-JP" w:bidi="ar-SA"/>
              </w:rPr>
              <w:t xml:space="preserve"> package G, </w:t>
            </w:r>
            <w:r>
              <w:rPr>
                <w:rFonts w:eastAsia="Consolas" w:cs="Consolas" w:ascii="Consolas" w:hAnsi="Consolas"/>
                <w:color w:val="101820"/>
                <w:kern w:val="0"/>
                <w:sz w:val="16"/>
                <w:szCs w:val="24"/>
                <w:lang w:val="en-US" w:eastAsia="ja-JP" w:bidi="ar-SA"/>
              </w:rPr>
              <w:t>0330</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0331</w:t>
            </w:r>
            <w:r>
              <w:rPr>
                <w:rFonts w:eastAsia="Segoe UI" w:cs="Segoe UI" w:ascii="Segoe UI" w:hAnsi="Segoe UI"/>
                <w:color w:val="101820"/>
                <w:kern w:val="0"/>
                <w:sz w:val="18"/>
                <w:szCs w:val="24"/>
                <w:lang w:val="en-US" w:eastAsia="ja-JP" w:bidi="ar-SA"/>
              </w:rPr>
              <w:t xml:space="preserve"> release verification fixes (EIS outbox restart safety; encryption of the client identifiers of the AML/CFT onboarding); </w:t>
            </w:r>
            <w:r>
              <w:rPr>
                <w:rFonts w:eastAsia="Consolas" w:cs="Consolas" w:ascii="Consolas" w:hAnsi="Consolas"/>
                <w:color w:val="101820"/>
                <w:kern w:val="0"/>
                <w:sz w:val="16"/>
                <w:szCs w:val="24"/>
                <w:lang w:val="en-US" w:eastAsia="ja-JP" w:bidi="ar-SA"/>
              </w:rPr>
              <w:t>0323</w:t>
            </w:r>
            <w:r>
              <w:rPr>
                <w:rFonts w:eastAsia="Segoe UI" w:cs="Segoe UI" w:ascii="Segoe UI" w:hAnsi="Segoe UI"/>
                <w:color w:val="101820"/>
                <w:kern w:val="0"/>
                <w:sz w:val="18"/>
                <w:szCs w:val="24"/>
                <w:lang w:val="en-US" w:eastAsia="ja-JP" w:bidi="ar-SA"/>
              </w:rPr>
              <w:t xml:space="preserve"> to </w:t>
            </w:r>
            <w:r>
              <w:rPr>
                <w:rFonts w:eastAsia="Consolas" w:cs="Consolas" w:ascii="Consolas" w:hAnsi="Consolas"/>
                <w:color w:val="101820"/>
                <w:kern w:val="0"/>
                <w:sz w:val="16"/>
                <w:szCs w:val="24"/>
                <w:lang w:val="en-US" w:eastAsia="ja-JP" w:bidi="ar-SA"/>
              </w:rPr>
              <w:t>0329</w:t>
            </w:r>
            <w:r>
              <w:rPr>
                <w:rFonts w:eastAsia="Segoe UI" w:cs="Segoe UI" w:ascii="Segoe UI" w:hAnsi="Segoe UI"/>
                <w:color w:val="101820"/>
                <w:kern w:val="0"/>
                <w:sz w:val="18"/>
                <w:szCs w:val="24"/>
                <w:lang w:val="en-US" w:eastAsia="ja-JP" w:bidi="ar-SA"/>
              </w:rPr>
              <w:t xml:space="preserve"> unused</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Technology</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React 18 web application, Node.js 22 API, PostgreSQL 16 database</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Audience</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management, key users, System Administrator, compliance officer, auditors, and the iorta TechNXT delivery and support teams</w:t>
            </w:r>
          </w:p>
        </w:tc>
      </w:tr>
    </w:tbl>
    <w:p>
      <w:pPr>
        <w:pStyle w:val="Normal"/>
        <w:spacing w:before="0" w:after="80"/>
        <w:rPr/>
      </w:pPr>
      <w:r>
        <w:rPr/>
      </w:r>
    </w:p>
    <w:p>
      <w:pPr>
        <w:pStyle w:val="Heading2"/>
        <w:rPr/>
      </w:pPr>
      <w:bookmarkStart w:id="8" w:name="__RefHeading___Toc3797_1225279311"/>
      <w:bookmarkEnd w:id="8"/>
      <w:r>
        <w:rPr>
          <w:rFonts w:eastAsia="Segoe UI" w:cs="Segoe UI"/>
          <w:b/>
          <w:color w:val="0F4761"/>
          <w:sz w:val="26"/>
        </w:rPr>
        <w:t>3.2  Release in figures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739"/>
        <w:gridCol w:w="1003"/>
        <w:gridCol w:w="4272"/>
      </w:tblGrid>
      <w:tr>
        <w:trPr>
          <w:tblHeader w:val="true"/>
        </w:trPr>
        <w:tc>
          <w:tcPr>
            <w:tcW w:w="373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10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Release 1.0</w:t>
            </w:r>
          </w:p>
        </w:tc>
        <w:tc>
          <w:tcPr>
            <w:tcW w:w="427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Release 1.1</w:t>
            </w:r>
          </w:p>
        </w:tc>
      </w:tr>
      <w:tr>
        <w:trPr/>
        <w:tc>
          <w:tcPr>
            <w:tcW w:w="37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Delivered roles</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42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 (Compliance Officer added)</w:t>
            </w:r>
          </w:p>
        </w:tc>
      </w:tr>
      <w:tr>
        <w:trPr/>
        <w:tc>
          <w:tcPr>
            <w:tcW w:w="37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Back-end modules</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45</w:t>
            </w:r>
          </w:p>
        </w:tc>
        <w:tc>
          <w:tcPr>
            <w:tcW w:w="42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73</w:t>
            </w:r>
          </w:p>
        </w:tc>
      </w:tr>
      <w:tr>
        <w:trPr/>
        <w:tc>
          <w:tcPr>
            <w:tcW w:w="37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Registered API routes</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868</w:t>
            </w:r>
          </w:p>
        </w:tc>
        <w:tc>
          <w:tcPr>
            <w:tcW w:w="42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1,356</w:t>
            </w:r>
          </w:p>
        </w:tc>
      </w:tr>
      <w:tr>
        <w:trPr/>
        <w:tc>
          <w:tcPr>
            <w:tcW w:w="37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 screens</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170</w:t>
            </w:r>
          </w:p>
        </w:tc>
        <w:tc>
          <w:tcPr>
            <w:tcW w:w="42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223</w:t>
            </w:r>
          </w:p>
        </w:tc>
      </w:tr>
      <w:tr>
        <w:trPr/>
        <w:tc>
          <w:tcPr>
            <w:tcW w:w="37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 tables</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167</w:t>
            </w:r>
          </w:p>
        </w:tc>
        <w:tc>
          <w:tcPr>
            <w:tcW w:w="42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260</w:t>
            </w:r>
          </w:p>
        </w:tc>
      </w:tr>
      <w:tr>
        <w:trPr/>
        <w:tc>
          <w:tcPr>
            <w:tcW w:w="37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Settings</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404</w:t>
            </w:r>
          </w:p>
        </w:tc>
        <w:tc>
          <w:tcPr>
            <w:tcW w:w="42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660</w:t>
            </w:r>
          </w:p>
        </w:tc>
      </w:tr>
      <w:tr>
        <w:trPr/>
        <w:tc>
          <w:tcPr>
            <w:tcW w:w="37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jobs (Asia/Manila time)</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w:t>
            </w:r>
          </w:p>
        </w:tc>
        <w:tc>
          <w:tcPr>
            <w:tcW w:w="42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35; 14 delivered switched off</w:t>
            </w:r>
          </w:p>
        </w:tc>
      </w:tr>
      <w:tr>
        <w:trPr/>
        <w:tc>
          <w:tcPr>
            <w:tcW w:w="37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 number series</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61</w:t>
            </w:r>
          </w:p>
        </w:tc>
        <w:tc>
          <w:tcPr>
            <w:tcW w:w="42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85</w:t>
            </w:r>
          </w:p>
        </w:tc>
      </w:tr>
      <w:tr>
        <w:trPr/>
        <w:tc>
          <w:tcPr>
            <w:tcW w:w="37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 events with a delivered rule</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31</w:t>
            </w:r>
          </w:p>
        </w:tc>
        <w:tc>
          <w:tcPr>
            <w:tcW w:w="42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43</w:t>
            </w:r>
          </w:p>
        </w:tc>
      </w:tr>
      <w:tr>
        <w:trPr/>
        <w:tc>
          <w:tcPr>
            <w:tcW w:w="37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Automated back-end tests</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634</w:t>
            </w:r>
          </w:p>
        </w:tc>
        <w:tc>
          <w:tcPr>
            <w:tcW w:w="42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1,113 in 104 files, all passed on 04 October 2026 on the merged release</w:t>
            </w:r>
          </w:p>
        </w:tc>
      </w:tr>
      <w:tr>
        <w:trPr/>
        <w:tc>
          <w:tcPr>
            <w:tcW w:w="37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Front-end tests</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43</w:t>
            </w:r>
          </w:p>
        </w:tc>
        <w:tc>
          <w:tcPr>
            <w:tcW w:w="42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175 in 33 suites, all passed</w:t>
            </w:r>
          </w:p>
        </w:tc>
      </w:tr>
      <w:tr>
        <w:trPr/>
        <w:tc>
          <w:tcPr>
            <w:tcW w:w="37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End-to-end UAT cycle and go-live rehearsal</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371 steps</w:t>
            </w:r>
          </w:p>
        </w:tc>
        <w:tc>
          <w:tcPr>
            <w:tcW w:w="42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433 steps in 12 phases (2,168 API calls) and 52 rehearsal checks, all passed on the final code</w:t>
            </w:r>
          </w:p>
        </w:tc>
      </w:tr>
    </w:tbl>
    <w:p>
      <w:pPr>
        <w:pStyle w:val="Heading1"/>
        <w:rPr/>
      </w:pPr>
      <w:r>
        <w:br w:type="page"/>
      </w:r>
      <w:bookmarkStart w:id="9" w:name="__RefHeading___Toc3799_1225279311"/>
      <w:bookmarkEnd w:id="9"/>
      <w:r>
        <w:rPr>
          <w:rFonts w:eastAsia="Segoe UI" w:cs="Segoe UI" w:ascii="Segoe UI" w:hAnsi="Segoe UI"/>
          <w:b/>
          <w:color w:val="0F4761"/>
          <w:sz w:val="32"/>
        </w:rPr>
        <w:t>4.  Release 1.1: what is new</w:t>
      </w:r>
    </w:p>
    <w:p>
      <w:pPr>
        <w:pStyle w:val="Heading2"/>
        <w:rPr/>
      </w:pPr>
      <w:bookmarkStart w:id="10" w:name="__RefHeading___Toc3801_1225279311"/>
      <w:bookmarkEnd w:id="10"/>
      <w:r>
        <w:rPr>
          <w:rFonts w:eastAsia="Segoe UI" w:cs="Segoe UI"/>
          <w:b/>
          <w:color w:val="0F4761"/>
          <w:sz w:val="26"/>
        </w:rPr>
        <w:t>4.1  Platform, navigation and Philippine masters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Capability</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Philippine geography out of the box from the PSGC of the 2nd quarter 2026: Region, Province (no longer "State"), City / Municipality with class and ZIP code, Barangay (full list as an optional load); Philippine address format on leads, clients, users, claims and endorsements, the region filled from the city or province (migration 0250, seed </w:t>
            </w:r>
            <w:r>
              <w:rPr>
                <w:rFonts w:eastAsia="Consolas" w:cs="Consolas" w:ascii="Consolas" w:hAnsi="Consolas"/>
                <w:color w:val="101820"/>
                <w:kern w:val="0"/>
                <w:sz w:val="16"/>
                <w:szCs w:val="24"/>
                <w:lang w:val="en-US" w:eastAsia="ja-JP" w:bidi="ar-SA"/>
              </w:rPr>
              <w:t>12_ph_geography.sql</w:t>
            </w:r>
            <w:r>
              <w:rPr>
                <w:rFonts w:eastAsia="Segoe UI" w:cs="Segoe UI" w:ascii="Segoe UI" w:hAnsi="Segoe UI"/>
                <w:color w:val="101820"/>
                <w:kern w:val="0"/>
                <w:sz w:val="18"/>
                <w:szCs w:val="24"/>
                <w:lang w:val="en-US" w:eastAsia="ja-JP" w:bidi="ar-SA"/>
              </w:rPr>
              <w: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Location; every address form</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Philippine practice masters: banks, government ID types with number formats, salutations, holidays, the IC list of insurers (seed </w:t>
            </w:r>
            <w:r>
              <w:rPr>
                <w:rFonts w:eastAsia="Consolas" w:cs="Consolas" w:ascii="Consolas" w:hAnsi="Consolas"/>
                <w:color w:val="101820"/>
                <w:kern w:val="0"/>
                <w:sz w:val="16"/>
                <w:szCs w:val="24"/>
                <w:lang w:val="en-US" w:eastAsia="ja-JP" w:bidi="ar-SA"/>
              </w:rPr>
              <w:t>69_ph_practice_masters.sql</w:t>
            </w:r>
            <w:r>
              <w:rPr>
                <w:rFonts w:eastAsia="Segoe UI" w:cs="Segoe UI" w:ascii="Segoe UI" w:hAnsi="Segoe UI"/>
                <w:color w:val="101820"/>
                <w:kern w:val="0"/>
                <w:sz w:val="18"/>
                <w:szCs w:val="24"/>
                <w:lang w:val="en-US" w:eastAsia="ja-JP" w:bidi="ar-SA"/>
              </w:rPr>
              <w: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Organization; Master &gt; Insurance Management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Enterprise side menu: Master in sections (Organization, Insurance Management, Location, Employee Management, User Management, Finance, System Configuration, Data Privacy, Go-Live and Data); skeleton rows while lists load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Side menu</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Help panel: F1 or the help button opens the user manual section of the screen, with the support contacts (</w:t>
            </w:r>
            <w:r>
              <w:rPr>
                <w:rFonts w:eastAsia="Consolas" w:cs="Consolas" w:ascii="Consolas" w:hAnsi="Consolas"/>
                <w:color w:val="101820"/>
                <w:kern w:val="0"/>
                <w:sz w:val="16"/>
                <w:szCs w:val="24"/>
                <w:lang w:val="en-US" w:eastAsia="ja-JP" w:bidi="ar-SA"/>
              </w:rPr>
              <w:t>support.*</w:t>
            </w:r>
            <w:r>
              <w:rPr>
                <w:rFonts w:eastAsia="Segoe UI" w:cs="Segoe UI" w:ascii="Segoe UI" w:hAnsi="Segoe UI"/>
                <w:color w:val="101820"/>
                <w:kern w:val="0"/>
                <w:sz w:val="18"/>
                <w:szCs w:val="24"/>
                <w:lang w:val="en-US" w:eastAsia="ja-JP" w:bidi="ar-SA"/>
              </w:rPr>
              <w:t xml:space="preserve"> settings, migration 0251)</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screen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My Work: My Items, My Team by reporting line, My Tasks with reminders, Calendar; reassignment where the module allows it (migration 0253)</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My Work</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Configurator in the business flow: acceptance rules (refer, decline, loading) with authority, rating factors, document templates with merge fields, market mapping and the governing template applied to quotations (migration 0252)</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Configurator; quotations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Audit trail as business events: who, when, from which screen, each changed field with old and new value; History panel on records; filters and Excel export (migration 0247)</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System Configuration &gt; Audit Trail</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Theme and Branding: themes, logo, favicon, sign-in picture, brand packs (the optional Toyota Insurance Services pack only with the client's written permission); branded documents, report files and e-mails; e-signatures captured with consent and mapped to document slots (migration 0254)</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System Configuration &gt; System Settings &gt; Theme and Branding; Master &gt; Insurance Management &gt; Signatories; My Profile</w:t>
            </w:r>
          </w:p>
        </w:tc>
      </w:tr>
    </w:tbl>
    <w:p>
      <w:pPr>
        <w:pStyle w:val="Normal"/>
        <w:spacing w:before="0" w:after="80"/>
        <w:rPr/>
      </w:pPr>
      <w:r>
        <w:rPr/>
      </w:r>
    </w:p>
    <w:p>
      <w:pPr>
        <w:pStyle w:val="Heading2"/>
        <w:rPr/>
      </w:pPr>
      <w:bookmarkStart w:id="11" w:name="__RefHeading___Toc3803_1225279311"/>
      <w:bookmarkEnd w:id="11"/>
      <w:r>
        <w:rPr>
          <w:rFonts w:eastAsia="Segoe UI" w:cs="Segoe UI"/>
          <w:b/>
          <w:color w:val="0F4761"/>
          <w:sz w:val="26"/>
        </w:rPr>
        <w:t>4.2  Go-live and release tooling</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55"/>
        <w:gridCol w:w="4459"/>
      </w:tblGrid>
      <w:tr>
        <w:trPr>
          <w:tblHeader w:val="true"/>
        </w:trPr>
        <w:tc>
          <w:tcPr>
            <w:tcW w:w="45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Capability</w:t>
            </w:r>
          </w:p>
        </w:tc>
        <w:tc>
          <w:tcPr>
            <w:tcW w:w="44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w:t>
            </w:r>
          </w:p>
        </w:tc>
      </w:tr>
      <w:tr>
        <w:trPr/>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Data Workbench: configuration and migration kits, validation as a dry run, errors workbook, load (all or nothing), reconciliation (migrations 0244, 0246)</w:t>
            </w:r>
          </w:p>
        </w:tc>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Go-Live and Data &gt; Go-Live Data Load</w:t>
            </w:r>
          </w:p>
        </w:tc>
      </w:tr>
      <w:tr>
        <w:trPr/>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Environment comparison report: configuration and masters mirrored between environments, on screen and as </w:t>
            </w:r>
            <w:r>
              <w:rPr>
                <w:rFonts w:eastAsia="Consolas" w:cs="Consolas" w:ascii="Consolas" w:hAnsi="Consolas"/>
                <w:color w:val="101820"/>
                <w:kern w:val="0"/>
                <w:sz w:val="16"/>
                <w:szCs w:val="24"/>
                <w:lang w:val="en-US" w:eastAsia="ja-JP" w:bidi="ar-SA"/>
              </w:rPr>
              <w:t>backend/scripts/compare-environments.js</w:t>
            </w:r>
            <w:r>
              <w:rPr>
                <w:rFonts w:eastAsia="Segoe UI" w:cs="Segoe UI" w:ascii="Segoe UI" w:hAnsi="Segoe UI"/>
                <w:color w:val="101820"/>
                <w:kern w:val="0"/>
                <w:sz w:val="18"/>
                <w:szCs w:val="24"/>
                <w:lang w:val="en-US" w:eastAsia="ja-JP" w:bidi="ar-SA"/>
              </w:rPr>
              <w:t xml:space="preserve"> (migration 0248)</w:t>
            </w:r>
          </w:p>
        </w:tc>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Data Load &gt; Compare environments</w:t>
            </w:r>
          </w:p>
        </w:tc>
      </w:tr>
      <w:tr>
        <w:trPr/>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Transaction reset after the smoke test (</w:t>
            </w:r>
            <w:r>
              <w:rPr>
                <w:rFonts w:eastAsia="Consolas" w:cs="Consolas" w:ascii="Consolas" w:hAnsi="Consolas"/>
                <w:color w:val="101820"/>
                <w:kern w:val="0"/>
                <w:sz w:val="16"/>
                <w:szCs w:val="24"/>
                <w:lang w:val="en-US" w:eastAsia="ja-JP" w:bidi="ar-SA"/>
              </w:rPr>
              <w:t>npm run reset:transactions</w:t>
            </w:r>
            <w:r>
              <w:rPr>
                <w:rFonts w:eastAsia="Segoe UI" w:cs="Segoe UI" w:ascii="Segoe UI" w:hAnsi="Segoe UI"/>
                <w:color w:val="101820"/>
                <w:kern w:val="0"/>
                <w:sz w:val="18"/>
                <w:szCs w:val="24"/>
                <w:lang w:val="en-US" w:eastAsia="ja-JP" w:bidi="ar-SA"/>
              </w:rPr>
              <w:t xml:space="preserve">), refused once the go-live lock </w:t>
            </w:r>
            <w:r>
              <w:rPr>
                <w:rFonts w:eastAsia="Consolas" w:cs="Consolas" w:ascii="Consolas" w:hAnsi="Consolas"/>
                <w:color w:val="101820"/>
                <w:kern w:val="0"/>
                <w:sz w:val="16"/>
                <w:szCs w:val="24"/>
                <w:lang w:val="en-US" w:eastAsia="ja-JP" w:bidi="ar-SA"/>
              </w:rPr>
              <w:t>golive.locked</w:t>
            </w:r>
            <w:r>
              <w:rPr>
                <w:rFonts w:eastAsia="Segoe UI" w:cs="Segoe UI" w:ascii="Segoe UI" w:hAnsi="Segoe UI"/>
                <w:color w:val="101820"/>
                <w:kern w:val="0"/>
                <w:sz w:val="18"/>
                <w:szCs w:val="24"/>
                <w:lang w:val="en-US" w:eastAsia="ja-JP" w:bidi="ar-SA"/>
              </w:rPr>
              <w:t xml:space="preserve"> is on (migration 0243)</w:t>
            </w:r>
          </w:p>
        </w:tc>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Command line</w:t>
            </w:r>
          </w:p>
        </w:tc>
      </w:tr>
      <w:tr>
        <w:trPr/>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data masking for non-production copies (</w:t>
            </w:r>
            <w:r>
              <w:rPr>
                <w:rFonts w:eastAsia="Consolas" w:cs="Consolas" w:ascii="Consolas" w:hAnsi="Consolas"/>
                <w:color w:val="101820"/>
                <w:kern w:val="0"/>
                <w:sz w:val="16"/>
                <w:szCs w:val="24"/>
                <w:lang w:val="en-US" w:eastAsia="ja-JP" w:bidi="ar-SA"/>
              </w:rPr>
              <w:t>npm run mask:data</w:t>
            </w:r>
            <w:r>
              <w:rPr>
                <w:rFonts w:eastAsia="Segoe UI" w:cs="Segoe UI" w:ascii="Segoe UI" w:hAnsi="Segoe UI"/>
                <w:color w:val="101820"/>
                <w:kern w:val="0"/>
                <w:sz w:val="18"/>
                <w:szCs w:val="24"/>
                <w:lang w:val="en-US" w:eastAsia="ja-JP" w:bidi="ar-SA"/>
              </w:rPr>
              <w:t xml:space="preserve">) with </w:t>
            </w:r>
            <w:r>
              <w:rPr>
                <w:rFonts w:eastAsia="Consolas" w:cs="Consolas" w:ascii="Consolas" w:hAnsi="Consolas"/>
                <w:color w:val="101820"/>
                <w:kern w:val="0"/>
                <w:sz w:val="16"/>
                <w:szCs w:val="24"/>
                <w:lang w:val="en-US" w:eastAsia="ja-JP" w:bidi="ar-SA"/>
              </w:rPr>
              <w:t>--remark-copy</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--register-production</w:t>
            </w:r>
            <w:r>
              <w:rPr>
                <w:rFonts w:eastAsia="Segoe UI" w:cs="Segoe UI" w:ascii="Segoe UI" w:hAnsi="Segoe UI"/>
                <w:color w:val="101820"/>
                <w:kern w:val="0"/>
                <w:sz w:val="18"/>
                <w:szCs w:val="24"/>
                <w:lang w:val="en-US" w:eastAsia="ja-JP" w:bidi="ar-SA"/>
              </w:rPr>
              <w:t xml:space="preserve">; environment marker </w:t>
            </w:r>
            <w:r>
              <w:rPr>
                <w:rFonts w:eastAsia="Consolas" w:cs="Consolas" w:ascii="Consolas" w:hAnsi="Consolas"/>
                <w:color w:val="101820"/>
                <w:kern w:val="0"/>
                <w:sz w:val="16"/>
                <w:szCs w:val="24"/>
                <w:lang w:val="en-US" w:eastAsia="ja-JP" w:bidi="ar-SA"/>
              </w:rPr>
              <w:t>system.environment</w:t>
            </w:r>
            <w:r>
              <w:rPr>
                <w:rFonts w:eastAsia="Segoe UI" w:cs="Segoe UI" w:ascii="Segoe UI" w:hAnsi="Segoe UI"/>
                <w:color w:val="101820"/>
                <w:kern w:val="0"/>
                <w:sz w:val="18"/>
                <w:szCs w:val="24"/>
                <w:lang w:val="en-US" w:eastAsia="ja-JP" w:bidi="ar-SA"/>
              </w:rPr>
              <w:t xml:space="preserve"> (migration 0249)</w:t>
            </w:r>
          </w:p>
        </w:tc>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Command line; </w:t>
            </w:r>
            <w:r>
              <w:rPr>
                <w:rFonts w:eastAsia="Consolas" w:cs="Consolas" w:ascii="Consolas" w:hAnsi="Consolas"/>
                <w:color w:val="101820"/>
                <w:kern w:val="0"/>
                <w:sz w:val="16"/>
                <w:szCs w:val="24"/>
                <w:lang w:val="en-US" w:eastAsia="ja-JP" w:bidi="ar-SA"/>
              </w:rPr>
              <w:t>docs/onboarding/DATA_MASKING.md</w:t>
            </w:r>
          </w:p>
        </w:tc>
      </w:tr>
      <w:tr>
        <w:trPr/>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pipeline: one build promoted through Dev, SIT, UAT, a temporary Pre-Prod and Production with approvals, pre-deploy backup, smoke test, automatic and manual rollback (</w:t>
            </w:r>
            <w:r>
              <w:rPr>
                <w:rFonts w:eastAsia="Consolas" w:cs="Consolas" w:ascii="Consolas" w:hAnsi="Consolas"/>
                <w:color w:val="101820"/>
                <w:kern w:val="0"/>
                <w:sz w:val="16"/>
                <w:szCs w:val="24"/>
                <w:lang w:val="en-US" w:eastAsia="ja-JP" w:bidi="ar-SA"/>
              </w:rPr>
              <w:t>ci.yml</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deploy.yml</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rollback.yml</w:t>
            </w:r>
            <w:r>
              <w:rPr>
                <w:rFonts w:eastAsia="Segoe UI" w:cs="Segoe UI" w:ascii="Segoe UI" w:hAnsi="Segoe UI"/>
                <w:color w:val="101820"/>
                <w:kern w:val="0"/>
                <w:sz w:val="18"/>
                <w:szCs w:val="24"/>
                <w:lang w:val="en-US" w:eastAsia="ja-JP" w:bidi="ar-SA"/>
              </w:rPr>
              <w:t>)</w:t>
            </w:r>
          </w:p>
        </w:tc>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deploy/RELEASE_PIPELINE.md</w:t>
            </w:r>
          </w:p>
        </w:tc>
      </w:tr>
    </w:tbl>
    <w:p>
      <w:pPr>
        <w:pStyle w:val="Normal"/>
        <w:spacing w:before="0" w:after="80"/>
        <w:rPr/>
      </w:pPr>
      <w:r>
        <w:rPr/>
      </w:r>
    </w:p>
    <w:p>
      <w:pPr>
        <w:pStyle w:val="Heading2"/>
        <w:rPr/>
      </w:pPr>
      <w:bookmarkStart w:id="12" w:name="__RefHeading___Toc3805_1225279311"/>
      <w:bookmarkEnd w:id="12"/>
      <w:r>
        <w:rPr>
          <w:rFonts w:eastAsia="Segoe UI" w:cs="Segoe UI"/>
          <w:b/>
          <w:color w:val="0F4761"/>
          <w:sz w:val="26"/>
        </w:rPr>
        <w:t>4.3  Compliance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Capability</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AML/CFT: onboarding of juridical clients before the first policy with signatories and beneficial owners, KYC documents, risk rating and EDD, screening lists (UN, AMLC, PEP, internal) and hits, covered and suspicious transaction alerts, cases, AMLC report files; Compliance Officer role (migrations 0260 to 0263)</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 B, Insurance Commission: licence register with expiry reminders and payout block for unlicensed referrers, fit and proper records, insurer authority check at placement and issue, IC annual statement and production report (migrations 0270, 0271, 0274)</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&gt; Insurance Commission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 B, complaints register under RA 11765 with acknowledgement and resolution deadlines and escalation (migration 0272)</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&gt; Insurance Commission &gt; Complaints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 B, breach register with the NPC 72-hour notification tracker (migration 0273)</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&gt; Data Privacy (NPC) &gt; Breach Register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Package B, masking of personal data by role: TIN, ID, mobile, e-mail, bank account and birth date shown partially masked to users without </w:t>
            </w:r>
            <w:r>
              <w:rPr>
                <w:rFonts w:eastAsia="Consolas" w:cs="Consolas" w:ascii="Consolas" w:hAnsi="Consolas"/>
                <w:color w:val="101820"/>
                <w:kern w:val="0"/>
                <w:sz w:val="16"/>
                <w:szCs w:val="24"/>
                <w:lang w:val="en-US" w:eastAsia="ja-JP" w:bidi="ar-SA"/>
              </w:rPr>
              <w:t>view:pii</w:t>
            </w:r>
            <w:r>
              <w:rPr>
                <w:rFonts w:eastAsia="Segoe UI" w:cs="Segoe UI" w:ascii="Segoe UI" w:hAnsi="Segoe UI"/>
                <w:color w:val="101820"/>
                <w:kern w:val="0"/>
                <w:sz w:val="18"/>
                <w:szCs w:val="24"/>
                <w:lang w:val="en-US" w:eastAsia="ja-JP" w:bidi="ar-SA"/>
              </w:rPr>
              <w:t>, in screens and exports; optional "Show full identifiers" on request with audit (migration 0276)</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screen and export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Package B, field encryption of TIN, government ID and bank account numbers at rest with key </w:t>
            </w:r>
            <w:r>
              <w:rPr>
                <w:rFonts w:eastAsia="Consolas" w:cs="Consolas" w:ascii="Consolas" w:hAnsi="Consolas"/>
                <w:color w:val="101820"/>
                <w:kern w:val="0"/>
                <w:sz w:val="16"/>
                <w:szCs w:val="24"/>
                <w:lang w:val="en-US" w:eastAsia="ja-JP" w:bidi="ar-SA"/>
              </w:rPr>
              <w:t>PII_ENCRYPTION_KEY</w:t>
            </w:r>
            <w:r>
              <w:rPr>
                <w:rFonts w:eastAsia="Segoe UI" w:cs="Segoe UI" w:ascii="Segoe UI" w:hAnsi="Segoe UI"/>
                <w:color w:val="101820"/>
                <w:kern w:val="0"/>
                <w:sz w:val="18"/>
                <w:szCs w:val="24"/>
                <w:lang w:val="en-US" w:eastAsia="ja-JP" w:bidi="ar-SA"/>
              </w:rPr>
              <w:t xml:space="preserve"> and blind indexes for search (migration 0277)</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w:t>
            </w:r>
          </w:p>
        </w:tc>
      </w:tr>
    </w:tbl>
    <w:p>
      <w:pPr>
        <w:pStyle w:val="Normal"/>
        <w:spacing w:before="0" w:after="80"/>
        <w:rPr/>
      </w:pPr>
      <w:r>
        <w:rPr/>
      </w:r>
    </w:p>
    <w:p>
      <w:pPr>
        <w:pStyle w:val="Heading2"/>
        <w:rPr/>
      </w:pPr>
      <w:bookmarkStart w:id="13" w:name="__RefHeading___Toc3807_1225279311"/>
      <w:bookmarkEnd w:id="13"/>
      <w:r>
        <w:rPr>
          <w:rFonts w:eastAsia="Segoe UI" w:cs="Segoe UI"/>
          <w:b/>
          <w:color w:val="0F4761"/>
          <w:sz w:val="26"/>
        </w:rPr>
        <w:t>4.4  BIR and tax</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476"/>
        <w:gridCol w:w="3537"/>
      </w:tblGrid>
      <w:tr>
        <w:trPr>
          <w:tblHeader w:val="true"/>
        </w:trPr>
        <w:tc>
          <w:tcPr>
            <w:tcW w:w="54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Capability</w:t>
            </w:r>
          </w:p>
        </w:tc>
        <w:tc>
          <w:tcPr>
            <w:tcW w:w="35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w:t>
            </w:r>
          </w:p>
        </w:tc>
      </w:tr>
      <w:tr>
        <w:trPr/>
        <w:tc>
          <w:tcPr>
            <w:tcW w:w="54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returns with filing records: 0619-E, 1601-EQ, 1604-E with the alphalist DAT files, 2551Q percentage tax (migration 0280)</w:t>
            </w:r>
          </w:p>
        </w:tc>
        <w:tc>
          <w:tcPr>
            <w:tcW w:w="3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w:t>
            </w:r>
          </w:p>
        </w:tc>
      </w:tr>
      <w:tr>
        <w:trPr/>
        <w:tc>
          <w:tcPr>
            <w:tcW w:w="54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invoices under the EOPT Act for commission, fees and override commission, with payment acknowledgements (migration 0281)</w:t>
            </w:r>
          </w:p>
        </w:tc>
        <w:tc>
          <w:tcPr>
            <w:tcW w:w="3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 &gt; Sales Invoices</w:t>
            </w:r>
          </w:p>
        </w:tc>
      </w:tr>
      <w:tr>
        <w:trPr/>
        <w:tc>
          <w:tcPr>
            <w:tcW w:w="54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CAS registration pack: loose-leaf books of accounts with running page numbers (migration 0282)</w:t>
            </w:r>
          </w:p>
        </w:tc>
        <w:tc>
          <w:tcPr>
            <w:tcW w:w="3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w:t>
            </w:r>
          </w:p>
        </w:tc>
      </w:tr>
      <w:tr>
        <w:trPr/>
        <w:tc>
          <w:tcPr>
            <w:tcW w:w="54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EIS connector: every invoice and cancellation queued for the BIR Electronic Invoicing System (migration 0283; job </w:t>
            </w:r>
            <w:r>
              <w:rPr>
                <w:rFonts w:eastAsia="Consolas" w:cs="Consolas" w:ascii="Consolas" w:hAnsi="Consolas"/>
                <w:color w:val="101820"/>
                <w:kern w:val="0"/>
                <w:sz w:val="16"/>
                <w:szCs w:val="24"/>
                <w:lang w:val="en-US" w:eastAsia="ja-JP" w:bidi="ar-SA"/>
              </w:rPr>
              <w:t>eis-outbox</w:t>
            </w:r>
            <w:r>
              <w:rPr>
                <w:rFonts w:eastAsia="Segoe UI" w:cs="Segoe UI" w:ascii="Segoe UI" w:hAnsi="Segoe UI"/>
                <w:color w:val="101820"/>
                <w:kern w:val="0"/>
                <w:sz w:val="18"/>
                <w:szCs w:val="24"/>
                <w:lang w:val="en-US" w:eastAsia="ja-JP" w:bidi="ar-SA"/>
              </w:rPr>
              <w:t xml:space="preserve"> delivered off)</w:t>
            </w:r>
          </w:p>
        </w:tc>
        <w:tc>
          <w:tcPr>
            <w:tcW w:w="3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w:t>
            </w:r>
          </w:p>
        </w:tc>
      </w:tr>
      <w:tr>
        <w:trPr/>
        <w:tc>
          <w:tcPr>
            <w:tcW w:w="54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Overriding, profit and contingent commission from insurers: agreements with tiers, computation, approval, settlement (migration 0284)</w:t>
            </w:r>
          </w:p>
        </w:tc>
        <w:tc>
          <w:tcPr>
            <w:tcW w:w="3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&gt; Insurer Overrides</w:t>
            </w:r>
          </w:p>
        </w:tc>
      </w:tr>
      <w:tr>
        <w:trPr/>
        <w:tc>
          <w:tcPr>
            <w:tcW w:w="54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 G: supplier BIR Form 2307 from payables and supplier EWT in the returns</w:t>
            </w:r>
          </w:p>
        </w:tc>
        <w:tc>
          <w:tcPr>
            <w:tcW w:w="3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w:t>
            </w:r>
          </w:p>
        </w:tc>
      </w:tr>
    </w:tbl>
    <w:p>
      <w:pPr>
        <w:pStyle w:val="Normal"/>
        <w:spacing w:before="0" w:after="80"/>
        <w:rPr/>
      </w:pPr>
      <w:r>
        <w:rPr/>
      </w:r>
    </w:p>
    <w:p>
      <w:pPr>
        <w:pStyle w:val="Heading2"/>
        <w:rPr/>
      </w:pPr>
      <w:bookmarkStart w:id="14" w:name="__RefHeading___Toc3809_1225279311"/>
      <w:bookmarkEnd w:id="14"/>
      <w:r>
        <w:rPr>
          <w:rFonts w:eastAsia="Segoe UI" w:cs="Segoe UI"/>
          <w:b/>
          <w:color w:val="0F4761"/>
          <w:sz w:val="26"/>
        </w:rPr>
        <w:t>4.5  Operations and accounting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Capability</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Cover notes (binders) issued from an accepted quotation or placement, superseded by the policy (migration 0290)</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Cover Notes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Computed cancellation: pro-rata, short-period scale when the insured cancels, flat; return premium with taxes and commission taken back (migration 0291)</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Policy Cancellation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Post-dated cheque register: deposit due list, deposit into an official receipt, bounce, replacement (migration 0292)</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Post-Dated Cheques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Instalment invoices for instalment plans (migration 0293)</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Credit Control</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document checklist with reminders; claims settlements worked from the Accounting menu (migration 0294)</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Claim Documents; Accounts &gt; Claims Settlements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Motor claim repairs: estimates, letters of authority, vehicle release (migration 0295)</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Motor Claim Repairs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payable: supplier invoices with input VAT and EWT, payments, AP ageing (migration 0296)</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Payables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Fixed assets and monthly depreciation (migration 0297); package G adds disposal by sale or write-off with gain or loss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Fixed Assets</w:t>
            </w:r>
          </w:p>
        </w:tc>
      </w:tr>
    </w:tbl>
    <w:p>
      <w:pPr>
        <w:pStyle w:val="Normal"/>
        <w:spacing w:before="0" w:after="80"/>
        <w:rPr/>
      </w:pPr>
      <w:r>
        <w:rPr/>
      </w:r>
    </w:p>
    <w:p>
      <w:pPr>
        <w:pStyle w:val="Heading2"/>
        <w:rPr/>
      </w:pPr>
      <w:bookmarkStart w:id="15" w:name="__RefHeading___Toc3811_1225279311"/>
      <w:bookmarkEnd w:id="15"/>
      <w:r>
        <w:rPr>
          <w:rFonts w:eastAsia="Segoe UI" w:cs="Segoe UI"/>
          <w:b/>
          <w:color w:val="0F4761"/>
          <w:sz w:val="26"/>
        </w:rPr>
        <w:t>4.6  Distribution and marketing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Capability</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 assignment rules, queue and reassignment SLA (migration 0300)</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Lead Assignment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Distribution channels: dealer groups and branches, financing banks, affinity partners (migration 0301)</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Insurance Management &gt; Distribution Channels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Brand-new vehicle dealer programmes with dealer sales uploads and bank letters (migration 0302)</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Dealer Programmes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Fleet schedules (migration 0303) and marine cargo open covers with certificates and declarations (migration 0304)</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Fleet Schedules; Marine Open Covers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Facultative reinsurance placement as reinsurance broker (migration 0305)</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 &gt; Facultative Placements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comparison and recommendation report (migration 0306)</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Comparison Reports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Marketing campaigns to consenting clients and prospects with opt-out (migration 0307)</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Campaigns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builder and scheduled BI extract (migration 0308)</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Report Builder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 G: sales activity log with follow-ups in My Work; quote wizard offering the covers and asking the risk fields of the Product Configurator template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quotations</w:t>
            </w:r>
          </w:p>
        </w:tc>
      </w:tr>
    </w:tbl>
    <w:p>
      <w:pPr>
        <w:pStyle w:val="Normal"/>
        <w:spacing w:before="0" w:after="80"/>
        <w:rPr/>
      </w:pPr>
      <w:r>
        <w:rPr/>
      </w:r>
    </w:p>
    <w:p>
      <w:pPr>
        <w:pStyle w:val="Heading2"/>
        <w:rPr/>
      </w:pPr>
      <w:bookmarkStart w:id="16" w:name="__RefHeading___Toc3813_1225279311"/>
      <w:bookmarkEnd w:id="16"/>
      <w:r>
        <w:rPr>
          <w:rFonts w:eastAsia="Segoe UI" w:cs="Segoe UI"/>
          <w:b/>
          <w:color w:val="0F4761"/>
          <w:sz w:val="26"/>
        </w:rPr>
        <w:t>4.7  Integrations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Capability</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 framework: connectors in test or live mode, outbox with retries, inbox with signature check, monitor (migration 0310)</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System Configuration &gt; Integrations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SMS (Semaphore, Globe Labs, generic) and Viber business messages with templates per event (migration 0311)</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System Configuration &gt; Message Templates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CTPL authentication with COC number series and optional LTO feed (migration 0312)</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CTPL Authentication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API connectors: policy issuance request and claim status updates per insurer mapping (migration 0313)</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System Configuration &gt; Insurer Integration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payment files (bulk credit, InstaPay, PESONet layouts) and status files (migration 0314)</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Payment Files; Master &gt; Finance &gt; Bank File Layouts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Every connector is delivered in test mode with a built-in fake provider. Live use needs the provider's credentials in the environment and the certification listed in the roadmap.</w:t>
      </w:r>
      <w:r>
        <w:br w:type="page"/>
      </w:r>
    </w:p>
    <w:p>
      <w:pPr>
        <w:pStyle w:val="Heading1"/>
        <w:rPr/>
      </w:pPr>
      <w:bookmarkStart w:id="17" w:name="__RefHeading___Toc3815_1225279311"/>
      <w:bookmarkEnd w:id="17"/>
      <w:r>
        <w:rPr>
          <w:rFonts w:eastAsia="Segoe UI" w:cs="Segoe UI" w:ascii="Segoe UI" w:hAnsi="Segoe UI"/>
          <w:b/>
          <w:color w:val="0F4761"/>
          <w:sz w:val="32"/>
        </w:rPr>
        <w:t>5.  Upgrade notes for release 1.1</w:t>
      </w:r>
    </w:p>
    <w:p>
      <w:pPr>
        <w:pStyle w:val="Heading2"/>
        <w:rPr/>
      </w:pPr>
      <w:bookmarkStart w:id="18" w:name="__RefHeading___Toc3817_1225279311"/>
      <w:bookmarkEnd w:id="18"/>
      <w:r>
        <w:rPr>
          <w:rFonts w:eastAsia="Segoe UI" w:cs="Segoe UI"/>
          <w:b/>
          <w:color w:val="0F4761"/>
          <w:sz w:val="26"/>
        </w:rPr>
        <w:t>5.1  How the upgrade runs</w:t>
      </w:r>
    </w:p>
    <w:p>
      <w:pPr>
        <w:pStyle w:val="Normal"/>
        <w:spacing w:lineRule="auto" w:line="276" w:before="0" w:after="120"/>
        <w:rPr/>
      </w:pPr>
      <w:r>
        <w:rPr>
          <w:rFonts w:eastAsia="Segoe UI" w:cs="Segoe UI" w:ascii="Segoe UI" w:hAnsi="Segoe UI"/>
          <w:color w:val="101820"/>
          <w:sz w:val="21"/>
        </w:rPr>
        <w:t xml:space="preserve">The API applies migrations </w:t>
      </w:r>
      <w:r>
        <w:rPr>
          <w:rFonts w:eastAsia="Consolas" w:cs="Consolas" w:ascii="Consolas" w:hAnsi="Consolas"/>
          <w:color w:val="101820"/>
          <w:sz w:val="19"/>
        </w:rPr>
        <w:t>0243</w:t>
      </w:r>
      <w:r>
        <w:rPr>
          <w:rFonts w:eastAsia="Segoe UI" w:cs="Segoe UI" w:ascii="Segoe UI" w:hAnsi="Segoe UI"/>
          <w:color w:val="101820"/>
          <w:sz w:val="21"/>
        </w:rPr>
        <w:t xml:space="preserve"> onwards and the seed by itself when it starts, under the migration lock, before it reports ready. Deploy through the release pipeline: the pre-deploy backup is taken first, one instance migrates, the smoke test runs. The previous release still runs on the newer schema, so an application rollback needs no database change. Run the environment comparison report against UAT before and after the production upgrade.</w:t>
      </w:r>
    </w:p>
    <w:p>
      <w:pPr>
        <w:pStyle w:val="Heading2"/>
        <w:rPr/>
      </w:pPr>
      <w:bookmarkStart w:id="19" w:name="__RefHeading___Toc3819_1225279311"/>
      <w:bookmarkEnd w:id="19"/>
      <w:r>
        <w:rPr>
          <w:rFonts w:eastAsia="Segoe UI" w:cs="Segoe UI"/>
          <w:b/>
          <w:color w:val="0F4761"/>
          <w:sz w:val="26"/>
        </w:rPr>
        <w:t>5.2  New environment variable: PII_ENCRYPTION_KEY</w:t>
      </w:r>
    </w:p>
    <w:p>
      <w:pPr>
        <w:pStyle w:val="Normal"/>
        <w:spacing w:lineRule="auto" w:line="276" w:before="0" w:after="120"/>
        <w:rPr/>
      </w:pPr>
      <w:r>
        <w:rPr>
          <w:rFonts w:eastAsia="Segoe UI" w:cs="Segoe UI" w:ascii="Segoe UI" w:hAnsi="Segoe UI"/>
          <w:color w:val="101820"/>
          <w:sz w:val="21"/>
        </w:rPr>
        <w:t xml:space="preserve">Package B adds </w:t>
      </w:r>
      <w:r>
        <w:rPr>
          <w:rFonts w:eastAsia="Consolas" w:cs="Consolas" w:ascii="Consolas" w:hAnsi="Consolas"/>
          <w:color w:val="101820"/>
          <w:sz w:val="19"/>
        </w:rPr>
        <w:t>PII_ENCRYPTION_KEY</w:t>
      </w:r>
      <w:r>
        <w:rPr>
          <w:rFonts w:eastAsia="Segoe UI" w:cs="Segoe UI" w:ascii="Segoe UI" w:hAnsi="Segoe UI"/>
          <w:color w:val="101820"/>
          <w:sz w:val="21"/>
        </w:rPr>
        <w:t xml:space="preserve">. Set it before deploying the release that contains migration </w:t>
      </w:r>
      <w:r>
        <w:rPr>
          <w:rFonts w:eastAsia="Consolas" w:cs="Consolas" w:ascii="Consolas" w:hAnsi="Consolas"/>
          <w:color w:val="101820"/>
          <w:sz w:val="19"/>
        </w:rPr>
        <w:t>0277</w:t>
      </w:r>
      <w:r>
        <w:rPr>
          <w:rFonts w:eastAsia="Segoe UI" w:cs="Segoe UI" w:ascii="Segoe UI" w:hAnsi="Segoe UI"/>
          <w:color w:val="101820"/>
          <w:sz w:val="21"/>
        </w:rPr>
        <w:t>:</w:t>
      </w:r>
    </w:p>
    <w:p>
      <w:pPr>
        <w:pStyle w:val="Normal"/>
        <w:numPr>
          <w:ilvl w:val="0"/>
          <w:numId w:val="4"/>
        </w:numPr>
        <w:spacing w:before="0" w:after="60"/>
        <w:rPr/>
      </w:pPr>
      <w:r>
        <w:rPr>
          <w:rFonts w:eastAsia="Segoe UI" w:cs="Segoe UI" w:ascii="Segoe UI" w:hAnsi="Segoe UI"/>
          <w:color w:val="101820"/>
          <w:sz w:val="21"/>
        </w:rPr>
        <w:t>Generate a random value of at least 32 characters (</w:t>
      </w:r>
      <w:r>
        <w:rPr>
          <w:rFonts w:eastAsia="Consolas" w:cs="Consolas" w:ascii="Consolas" w:hAnsi="Consolas"/>
          <w:color w:val="101820"/>
          <w:sz w:val="19"/>
        </w:rPr>
        <w:t>openssl rand -hex 32</w:t>
      </w:r>
      <w:r>
        <w:rPr>
          <w:rFonts w:eastAsia="Segoe UI" w:cs="Segoe UI" w:ascii="Segoe UI" w:hAnsi="Segoe UI"/>
          <w:color w:val="101820"/>
          <w:sz w:val="21"/>
        </w:rPr>
        <w:t xml:space="preserve">), different from </w:t>
      </w:r>
      <w:r>
        <w:rPr>
          <w:rFonts w:eastAsia="Consolas" w:cs="Consolas" w:ascii="Consolas" w:hAnsi="Consolas"/>
          <w:color w:val="101820"/>
          <w:sz w:val="19"/>
        </w:rPr>
        <w:t>JWT_SECRET</w:t>
      </w:r>
      <w:r>
        <w:rPr>
          <w:rFonts w:eastAsia="Segoe UI" w:cs="Segoe UI" w:ascii="Segoe UI" w:hAnsi="Segoe UI"/>
          <w:color w:val="101820"/>
          <w:sz w:val="21"/>
        </w:rPr>
        <w:t xml:space="preserve"> and </w:t>
      </w:r>
      <w:r>
        <w:rPr>
          <w:rFonts w:eastAsia="Consolas" w:cs="Consolas" w:ascii="Consolas" w:hAnsi="Consolas"/>
          <w:color w:val="101820"/>
          <w:sz w:val="19"/>
        </w:rPr>
        <w:t>DATA_ENCRYPTION_KEY</w:t>
      </w:r>
      <w:r>
        <w:rPr>
          <w:rFonts w:eastAsia="Segoe UI" w:cs="Segoe UI" w:ascii="Segoe UI" w:hAnsi="Segoe UI"/>
          <w:color w:val="101820"/>
          <w:sz w:val="21"/>
        </w:rPr>
        <w:t xml:space="preserve"> and different in every environment.</w:t>
      </w:r>
    </w:p>
    <w:p>
      <w:pPr>
        <w:pStyle w:val="Normal"/>
        <w:numPr>
          <w:ilvl w:val="0"/>
          <w:numId w:val="2"/>
        </w:numPr>
        <w:spacing w:before="0" w:after="60"/>
        <w:rPr/>
      </w:pPr>
      <w:r>
        <w:rPr>
          <w:rFonts w:eastAsia="Segoe UI" w:cs="Segoe UI" w:ascii="Segoe UI" w:hAnsi="Segoe UI"/>
          <w:color w:val="101820"/>
          <w:sz w:val="21"/>
        </w:rPr>
        <w:t>Store it in the secret store of the environment and add it to the backend environment (</w:t>
      </w:r>
      <w:r>
        <w:rPr>
          <w:rFonts w:eastAsia="Consolas" w:cs="Consolas" w:ascii="Consolas" w:hAnsi="Consolas"/>
          <w:color w:val="101820"/>
          <w:sz w:val="19"/>
        </w:rPr>
        <w:t>deploy/backend.env.example</w:t>
      </w:r>
      <w:r>
        <w:rPr>
          <w:rFonts w:eastAsia="Segoe UI" w:cs="Segoe UI" w:ascii="Segoe UI" w:hAnsi="Segoe UI"/>
          <w:color w:val="101820"/>
          <w:sz w:val="21"/>
        </w:rPr>
        <w:t>). In production the API refuses to start without it.</w:t>
      </w:r>
    </w:p>
    <w:p>
      <w:pPr>
        <w:pStyle w:val="Normal"/>
        <w:numPr>
          <w:ilvl w:val="0"/>
          <w:numId w:val="2"/>
        </w:numPr>
        <w:spacing w:before="0" w:after="60"/>
        <w:rPr/>
      </w:pPr>
      <w:r>
        <w:rPr>
          <w:rFonts w:eastAsia="Segoe UI" w:cs="Segoe UI" w:ascii="Segoe UI" w:hAnsi="Segoe UI"/>
          <w:color w:val="101820"/>
          <w:sz w:val="21"/>
        </w:rPr>
        <w:t xml:space="preserve">Keep it with the database backups under the same controls as </w:t>
      </w:r>
      <w:r>
        <w:rPr>
          <w:rFonts w:eastAsia="Consolas" w:cs="Consolas" w:ascii="Consolas" w:hAnsi="Consolas"/>
          <w:color w:val="101820"/>
          <w:sz w:val="19"/>
        </w:rPr>
        <w:t>DATA_ENCRYPTION_KEY</w:t>
      </w:r>
      <w:r>
        <w:rPr>
          <w:rFonts w:eastAsia="Segoe UI" w:cs="Segoe UI" w:ascii="Segoe UI" w:hAnsi="Segoe UI"/>
          <w:color w:val="101820"/>
          <w:sz w:val="21"/>
        </w:rPr>
        <w:t>: without it the TIN, ID and bank account numbers in the database and in every later backup cannot be read.</w:t>
      </w:r>
    </w:p>
    <w:p>
      <w:pPr>
        <w:pStyle w:val="Normal"/>
        <w:numPr>
          <w:ilvl w:val="0"/>
          <w:numId w:val="2"/>
        </w:numPr>
        <w:spacing w:before="0" w:after="60"/>
        <w:rPr/>
      </w:pPr>
      <w:r>
        <w:rPr>
          <w:rFonts w:eastAsia="Segoe UI" w:cs="Segoe UI" w:ascii="Segoe UI" w:hAnsi="Segoe UI"/>
          <w:color w:val="101820"/>
          <w:sz w:val="21"/>
        </w:rPr>
        <w:t xml:space="preserve">Migration </w:t>
      </w:r>
      <w:r>
        <w:rPr>
          <w:rFonts w:eastAsia="Consolas" w:cs="Consolas" w:ascii="Consolas" w:hAnsi="Consolas"/>
          <w:color w:val="101820"/>
          <w:sz w:val="19"/>
        </w:rPr>
        <w:t>0277</w:t>
      </w:r>
      <w:r>
        <w:rPr>
          <w:rFonts w:eastAsia="Segoe UI" w:cs="Segoe UI" w:ascii="Segoe UI" w:hAnsi="Segoe UI"/>
          <w:color w:val="101820"/>
          <w:sz w:val="21"/>
        </w:rPr>
        <w:t xml:space="preserve"> encrypts the identifiers already stored during the upgrade; allow for it in the maintenance window on a large database.</w:t>
      </w:r>
    </w:p>
    <w:p>
      <w:pPr>
        <w:pStyle w:val="Normal"/>
        <w:numPr>
          <w:ilvl w:val="0"/>
          <w:numId w:val="2"/>
        </w:numPr>
        <w:spacing w:before="0" w:after="60"/>
        <w:rPr/>
      </w:pPr>
      <w:r>
        <w:rPr>
          <w:rFonts w:eastAsia="Segoe UI" w:cs="Segoe UI" w:ascii="Segoe UI" w:hAnsi="Segoe UI"/>
          <w:color w:val="101820"/>
          <w:sz w:val="21"/>
        </w:rPr>
        <w:t xml:space="preserve">Rotation later: set the new key in </w:t>
      </w:r>
      <w:r>
        <w:rPr>
          <w:rFonts w:eastAsia="Consolas" w:cs="Consolas" w:ascii="Consolas" w:hAnsi="Consolas"/>
          <w:color w:val="101820"/>
          <w:sz w:val="19"/>
        </w:rPr>
        <w:t>PII_ENCRYPTION_KEY</w:t>
      </w:r>
      <w:r>
        <w:rPr>
          <w:rFonts w:eastAsia="Segoe UI" w:cs="Segoe UI" w:ascii="Segoe UI" w:hAnsi="Segoe UI"/>
          <w:color w:val="101820"/>
          <w:sz w:val="21"/>
        </w:rPr>
        <w:t xml:space="preserve"> and the old one in </w:t>
      </w:r>
      <w:r>
        <w:rPr>
          <w:rFonts w:eastAsia="Consolas" w:cs="Consolas" w:ascii="Consolas" w:hAnsi="Consolas"/>
          <w:color w:val="101820"/>
          <w:sz w:val="19"/>
        </w:rPr>
        <w:t>PII_ENCRYPTION_KEY_PREVIOUS</w:t>
      </w:r>
      <w:r>
        <w:rPr>
          <w:rFonts w:eastAsia="Segoe UI" w:cs="Segoe UI" w:ascii="Segoe UI" w:hAnsi="Segoe UI"/>
          <w:color w:val="101820"/>
          <w:sz w:val="21"/>
        </w:rPr>
        <w:t xml:space="preserve">, restart, run </w:t>
      </w:r>
      <w:r>
        <w:rPr>
          <w:rFonts w:eastAsia="Consolas" w:cs="Consolas" w:ascii="Consolas" w:hAnsi="Consolas"/>
          <w:color w:val="101820"/>
          <w:sz w:val="19"/>
        </w:rPr>
        <w:t>npm run pii:rotate</w:t>
      </w:r>
      <w:r>
        <w:rPr>
          <w:rFonts w:eastAsia="Segoe UI" w:cs="Segoe UI" w:ascii="Segoe UI" w:hAnsi="Segoe UI"/>
          <w:color w:val="101820"/>
          <w:sz w:val="21"/>
        </w:rPr>
        <w:t xml:space="preserve"> then </w:t>
      </w:r>
      <w:r>
        <w:rPr>
          <w:rFonts w:eastAsia="Consolas" w:cs="Consolas" w:ascii="Consolas" w:hAnsi="Consolas"/>
          <w:color w:val="101820"/>
          <w:sz w:val="19"/>
        </w:rPr>
        <w:t>npm run pii:rotate -- --execute</w:t>
      </w:r>
      <w:r>
        <w:rPr>
          <w:rFonts w:eastAsia="Segoe UI" w:cs="Segoe UI" w:ascii="Segoe UI" w:hAnsi="Segoe UI"/>
          <w:color w:val="101820"/>
          <w:sz w:val="21"/>
        </w:rPr>
        <w:t>, remove the previous key when nothing is left on it (</w:t>
      </w:r>
      <w:r>
        <w:rPr>
          <w:rFonts w:eastAsia="Consolas" w:cs="Consolas" w:ascii="Consolas" w:hAnsi="Consolas"/>
          <w:color w:val="101820"/>
          <w:sz w:val="19"/>
        </w:rPr>
        <w:t>deploy/REFERENCE.md</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color w:val="101820"/>
          <w:sz w:val="21"/>
        </w:rPr>
        <w:t xml:space="preserve">Other variables: </w:t>
      </w:r>
      <w:r>
        <w:rPr>
          <w:rFonts w:eastAsia="Consolas" w:cs="Consolas" w:ascii="Consolas" w:hAnsi="Consolas"/>
          <w:color w:val="101820"/>
          <w:sz w:val="19"/>
        </w:rPr>
        <w:t>APP_ENVIRONMENT</w:t>
      </w:r>
      <w:r>
        <w:rPr>
          <w:rFonts w:eastAsia="Segoe UI" w:cs="Segoe UI" w:ascii="Segoe UI" w:hAnsi="Segoe UI"/>
          <w:color w:val="101820"/>
          <w:sz w:val="21"/>
        </w:rPr>
        <w:t xml:space="preserve"> names the environment; integration connectors and the EIS read their credentials from environment variables named on the connector (</w:t>
      </w:r>
      <w:r>
        <w:rPr>
          <w:rFonts w:eastAsia="Consolas" w:cs="Consolas" w:ascii="Consolas" w:hAnsi="Consolas"/>
          <w:color w:val="101820"/>
          <w:sz w:val="19"/>
        </w:rPr>
        <w:t>credential_env</w:t>
      </w:r>
      <w:r>
        <w:rPr>
          <w:rFonts w:eastAsia="Segoe UI" w:cs="Segoe UI" w:ascii="Segoe UI" w:hAnsi="Segoe UI"/>
          <w:color w:val="101820"/>
          <w:sz w:val="21"/>
        </w:rPr>
        <w:t xml:space="preserve">, </w:t>
      </w:r>
      <w:r>
        <w:rPr>
          <w:rFonts w:eastAsia="Consolas" w:cs="Consolas" w:ascii="Consolas" w:hAnsi="Consolas"/>
          <w:color w:val="101820"/>
          <w:sz w:val="19"/>
        </w:rPr>
        <w:t>eis.*_env</w:t>
      </w:r>
      <w:r>
        <w:rPr>
          <w:rFonts w:eastAsia="Segoe UI" w:cs="Segoe UI" w:ascii="Segoe UI" w:hAnsi="Segoe UI"/>
          <w:color w:val="101820"/>
          <w:sz w:val="21"/>
        </w:rPr>
        <w:t>), never from the database.</w:t>
      </w:r>
    </w:p>
    <w:p>
      <w:pPr>
        <w:pStyle w:val="Heading2"/>
        <w:rPr/>
      </w:pPr>
      <w:bookmarkStart w:id="20" w:name="__RefHeading___Toc3821_1225279311"/>
      <w:bookmarkEnd w:id="20"/>
      <w:r>
        <w:rPr>
          <w:rFonts w:eastAsia="Segoe UI" w:cs="Segoe UI"/>
          <w:b/>
          <w:color w:val="0F4761"/>
          <w:sz w:val="26"/>
        </w:rPr>
        <w:t>5.3  Jobs delivered switched off</w:t>
      </w:r>
    </w:p>
    <w:p>
      <w:pPr>
        <w:pStyle w:val="Normal"/>
        <w:spacing w:lineRule="auto" w:line="276" w:before="0" w:after="120"/>
        <w:rPr/>
      </w:pPr>
      <w:r>
        <w:rPr>
          <w:rFonts w:eastAsia="Segoe UI" w:cs="Segoe UI" w:ascii="Segoe UI" w:hAnsi="Segoe UI"/>
          <w:color w:val="101820"/>
          <w:sz w:val="21"/>
        </w:rPr>
        <w:t>These jobs are installed but off. Switch each on in Master &gt; System Configuration &gt; Schedules only when its prerequisite is met.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Job</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Switch on when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recurring-journals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accrual-reversal</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period-auto-soft-close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month-end-reminder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has set up recurring journals, accruals and the close calendar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bank-auto-match</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statement formats and match rules are confirmed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remittance-schedules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schedules are agreed with each insurer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privacy-requests-due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DPO has confirmed the response period for data subject requests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lead-assignment-sla</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 assignment rules and SLA hours are set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sms-renewal-notices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sms-payment-reminders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SMS connector is live and the templates are approved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eis-outbox</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broker's EIS accreditation is granted and the EIS credentials are in the environment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campaign-dispatch</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first campaign is approved and marketing consents are recorded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aml-provider-retry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commercial screening provider is contracted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bi-extract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BI datasets and the extract folder are agreed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The new jobs delivered on are </w:t>
      </w:r>
      <w:r>
        <w:rPr>
          <w:rFonts w:eastAsia="Consolas" w:cs="Consolas" w:ascii="Consolas" w:hAnsi="Consolas"/>
          <w:color w:val="101820"/>
          <w:sz w:val="19"/>
        </w:rPr>
        <w:t>my-work-reminders</w:t>
      </w:r>
      <w:r>
        <w:rPr>
          <w:rFonts w:eastAsia="Segoe UI" w:cs="Segoe UI" w:ascii="Segoe UI" w:hAnsi="Segoe UI"/>
          <w:color w:val="101820"/>
          <w:sz w:val="21"/>
        </w:rPr>
        <w:t xml:space="preserve">, </w:t>
      </w:r>
      <w:r>
        <w:rPr>
          <w:rFonts w:eastAsia="Consolas" w:cs="Consolas" w:ascii="Consolas" w:hAnsi="Consolas"/>
          <w:color w:val="101820"/>
          <w:sz w:val="19"/>
        </w:rPr>
        <w:t>integration-outbox</w:t>
      </w:r>
      <w:r>
        <w:rPr>
          <w:rFonts w:eastAsia="Segoe UI" w:cs="Segoe UI" w:ascii="Segoe UI" w:hAnsi="Segoe UI"/>
          <w:color w:val="101820"/>
          <w:sz w:val="21"/>
        </w:rPr>
        <w:t xml:space="preserve">, </w:t>
      </w:r>
      <w:r>
        <w:rPr>
          <w:rFonts w:eastAsia="Consolas" w:cs="Consolas" w:ascii="Consolas" w:hAnsi="Consolas"/>
          <w:color w:val="101820"/>
          <w:sz w:val="19"/>
        </w:rPr>
        <w:t>cover-note-expiry</w:t>
      </w:r>
      <w:r>
        <w:rPr>
          <w:rFonts w:eastAsia="Segoe UI" w:cs="Segoe UI" w:ascii="Segoe UI" w:hAnsi="Segoe UI"/>
          <w:color w:val="101820"/>
          <w:sz w:val="21"/>
        </w:rPr>
        <w:t xml:space="preserve">, </w:t>
      </w:r>
      <w:r>
        <w:rPr>
          <w:rFonts w:eastAsia="Consolas" w:cs="Consolas" w:ascii="Consolas" w:hAnsi="Consolas"/>
          <w:color w:val="101820"/>
          <w:sz w:val="19"/>
        </w:rPr>
        <w:t>pdc-deposit-due</w:t>
      </w:r>
      <w:r>
        <w:rPr>
          <w:rFonts w:eastAsia="Segoe UI" w:cs="Segoe UI" w:ascii="Segoe UI" w:hAnsi="Segoe UI"/>
          <w:color w:val="101820"/>
          <w:sz w:val="21"/>
        </w:rPr>
        <w:t xml:space="preserve">, </w:t>
      </w:r>
      <w:r>
        <w:rPr>
          <w:rFonts w:eastAsia="Consolas" w:cs="Consolas" w:ascii="Consolas" w:hAnsi="Consolas"/>
          <w:color w:val="101820"/>
          <w:sz w:val="19"/>
        </w:rPr>
        <w:t>claim-document-reminders</w:t>
      </w:r>
      <w:r>
        <w:rPr>
          <w:rFonts w:eastAsia="Segoe UI" w:cs="Segoe UI" w:ascii="Segoe UI" w:hAnsi="Segoe UI"/>
          <w:color w:val="101820"/>
          <w:sz w:val="21"/>
        </w:rPr>
        <w:t xml:space="preserve">, </w:t>
      </w:r>
      <w:r>
        <w:rPr>
          <w:rFonts w:eastAsia="Consolas" w:cs="Consolas" w:ascii="Consolas" w:hAnsi="Consolas"/>
          <w:color w:val="101820"/>
          <w:sz w:val="19"/>
        </w:rPr>
        <w:t>aml-transaction-monitoring</w:t>
      </w:r>
      <w:r>
        <w:rPr>
          <w:rFonts w:eastAsia="Segoe UI" w:cs="Segoe UI" w:ascii="Segoe UI" w:hAnsi="Segoe UI"/>
          <w:color w:val="101820"/>
          <w:sz w:val="21"/>
        </w:rPr>
        <w:t xml:space="preserve">, </w:t>
      </w:r>
      <w:r>
        <w:rPr>
          <w:rFonts w:eastAsia="Consolas" w:cs="Consolas" w:ascii="Consolas" w:hAnsi="Consolas"/>
          <w:color w:val="101820"/>
          <w:sz w:val="19"/>
        </w:rPr>
        <w:t>aml-kyc-refresh-due</w:t>
      </w:r>
      <w:r>
        <w:rPr>
          <w:rFonts w:eastAsia="Segoe UI" w:cs="Segoe UI" w:ascii="Segoe UI" w:hAnsi="Segoe UI"/>
          <w:color w:val="101820"/>
          <w:sz w:val="21"/>
        </w:rPr>
        <w:t xml:space="preserve"> and, with package B, </w:t>
      </w:r>
      <w:r>
        <w:rPr>
          <w:rFonts w:eastAsia="Consolas" w:cs="Consolas" w:ascii="Consolas" w:hAnsi="Consolas"/>
          <w:color w:val="101820"/>
          <w:sz w:val="19"/>
        </w:rPr>
        <w:t>compliance-reminders</w:t>
      </w:r>
      <w:r>
        <w:rPr>
          <w:rFonts w:eastAsia="Segoe UI" w:cs="Segoe UI" w:ascii="Segoe UI" w:hAnsi="Segoe UI"/>
          <w:color w:val="101820"/>
          <w:sz w:val="21"/>
        </w:rPr>
        <w:t xml:space="preserve">, </w:t>
      </w:r>
      <w:r>
        <w:rPr>
          <w:rFonts w:eastAsia="Consolas" w:cs="Consolas" w:ascii="Consolas" w:hAnsi="Consolas"/>
          <w:color w:val="101820"/>
          <w:sz w:val="19"/>
        </w:rPr>
        <w:t>complaints-deadlines</w:t>
      </w:r>
      <w:r>
        <w:rPr>
          <w:rFonts w:eastAsia="Segoe UI" w:cs="Segoe UI" w:ascii="Segoe UI" w:hAnsi="Segoe UI"/>
          <w:color w:val="101820"/>
          <w:sz w:val="21"/>
        </w:rPr>
        <w:t xml:space="preserve"> and </w:t>
      </w:r>
      <w:r>
        <w:rPr>
          <w:rFonts w:eastAsia="Consolas" w:cs="Consolas" w:ascii="Consolas" w:hAnsi="Consolas"/>
          <w:color w:val="101820"/>
          <w:sz w:val="19"/>
        </w:rPr>
        <w:t>privacy-breach-deadlines</w:t>
      </w:r>
      <w:r>
        <w:rPr>
          <w:rFonts w:eastAsia="Segoe UI" w:cs="Segoe UI" w:ascii="Segoe UI" w:hAnsi="Segoe UI"/>
          <w:color w:val="101820"/>
          <w:sz w:val="21"/>
        </w:rPr>
        <w:t>.</w:t>
      </w:r>
    </w:p>
    <w:p>
      <w:pPr>
        <w:pStyle w:val="Heading2"/>
        <w:rPr/>
      </w:pPr>
      <w:bookmarkStart w:id="21" w:name="__RefHeading___Toc3823_1225279311"/>
      <w:bookmarkEnd w:id="21"/>
      <w:r>
        <w:rPr>
          <w:rFonts w:eastAsia="Segoe UI" w:cs="Segoe UI"/>
          <w:b/>
          <w:color w:val="0F4761"/>
          <w:sz w:val="26"/>
        </w:rPr>
        <w:t>5.4  Settings to review</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Group</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Review</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aml.*</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Covered transaction threshold and payment modes, risk score bands, beneficial owner threshold, KYC refresh months, block of issue pending EDD, AMLC institution code (compliance officer)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bir.*</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invoice.*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cas.*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eis.*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Registered trade name, TIN branch code, withholding agent category, percentage tax rate and ATC, ATP and CAS permit numbers, invoice serial range, EIS mode and endpoint (finance and tax adviser)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compliance.*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complaints.*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privacy.*</w:t>
            </w:r>
            <w:r>
              <w:rPr>
                <w:rFonts w:eastAsia="Segoe UI" w:cs="Segoe UI" w:ascii="Segoe UI" w:hAnsi="Segoe UI"/>
                <w:color w:val="101820"/>
                <w:kern w:val="0"/>
                <w:sz w:val="18"/>
                <w:szCs w:val="24"/>
                <w:lang w:val="en-US" w:eastAsia="ja-JP" w:bidi="ar-SA"/>
              </w:rPr>
              <w:t xml:space="preserve"> (package B)</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Licence types and reminder days, referrer licence check, insurer authority check (warn or block), IC statement mapping and minimum net worth, complaint deadlines, breach notification hours, masking and reveal mode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cover_note.*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endorsements.cancellation_*</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pdc.*</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payables.*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fixed_assets.*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motor_claims.*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claims.document_*</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Cover note validity and wording, short-period rules, PDC deposit account, input VAT code and maker-checker, depreciation start, LOA wording and participation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leads.assignment_*</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channels.*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motor_programmes.*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fleet.*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marine.*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campaigns.*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comparison.*</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report_builder.*</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bi.*</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sales_activities.*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Assignment fallback and SLA, mortgagee clause, bank letter text, fleet pro-rata basis, marine conveyances and wording, opt-out text, comparison disclaimer, report row limits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integrations.*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messaging.*</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ctpl.*</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bank_payments.*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insurer_integration.*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Inbound enabled, stuck minutes, SMS and Viber connectors and consent, CTPL authentication on issue, InstaPay limit, premium tolerance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branding.*</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signatures.*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support.*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system.environment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golive.*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Theme and logos, draft watermark, support e-mail and hours, environment marker, cutover date and go-live lock</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Review the number series of the new documents in Master &gt; Document Numbering (cover notes, sales invoices, supplier invoices, complaints and others) and the posting rules of the new events in Master &gt; Finance &gt; Posting Rules (</w:t>
      </w:r>
      <w:r>
        <w:rPr>
          <w:rFonts w:eastAsia="Consolas" w:cs="Consolas" w:ascii="Consolas" w:hAnsi="Consolas"/>
          <w:color w:val="101820"/>
          <w:sz w:val="19"/>
        </w:rPr>
        <w:t>ap.invoice</w:t>
      </w:r>
      <w:r>
        <w:rPr>
          <w:rFonts w:eastAsia="Segoe UI" w:cs="Segoe UI" w:ascii="Segoe UI" w:hAnsi="Segoe UI"/>
          <w:color w:val="101820"/>
          <w:sz w:val="21"/>
        </w:rPr>
        <w:t xml:space="preserve">, </w:t>
      </w:r>
      <w:r>
        <w:rPr>
          <w:rFonts w:eastAsia="Consolas" w:cs="Consolas" w:ascii="Consolas" w:hAnsi="Consolas"/>
          <w:color w:val="101820"/>
          <w:sz w:val="19"/>
        </w:rPr>
        <w:t>ap.payment</w:t>
      </w:r>
      <w:r>
        <w:rPr>
          <w:rFonts w:eastAsia="Segoe UI" w:cs="Segoe UI" w:ascii="Segoe UI" w:hAnsi="Segoe UI"/>
          <w:color w:val="101820"/>
          <w:sz w:val="21"/>
        </w:rPr>
        <w:t xml:space="preserve">, </w:t>
      </w:r>
      <w:r>
        <w:rPr>
          <w:rFonts w:eastAsia="Consolas" w:cs="Consolas" w:ascii="Consolas" w:hAnsi="Consolas"/>
          <w:color w:val="101820"/>
          <w:sz w:val="19"/>
        </w:rPr>
        <w:t>fa.depreciation</w:t>
      </w:r>
      <w:r>
        <w:rPr>
          <w:rFonts w:eastAsia="Segoe UI" w:cs="Segoe UI" w:ascii="Segoe UI" w:hAnsi="Segoe UI"/>
          <w:color w:val="101820"/>
          <w:sz w:val="21"/>
        </w:rPr>
        <w:t xml:space="preserve">, </w:t>
      </w:r>
      <w:r>
        <w:rPr>
          <w:rFonts w:eastAsia="Consolas" w:cs="Consolas" w:ascii="Consolas" w:hAnsi="Consolas"/>
          <w:color w:val="101820"/>
          <w:sz w:val="19"/>
        </w:rPr>
        <w:t>fa.disposal</w:t>
      </w:r>
      <w:r>
        <w:rPr>
          <w:rFonts w:eastAsia="Segoe UI" w:cs="Segoe UI" w:ascii="Segoe UI" w:hAnsi="Segoe UI"/>
          <w:color w:val="101820"/>
          <w:sz w:val="21"/>
        </w:rPr>
        <w:t xml:space="preserve">, </w:t>
      </w:r>
      <w:r>
        <w:rPr>
          <w:rFonts w:eastAsia="Consolas" w:cs="Consolas" w:ascii="Consolas" w:hAnsi="Consolas"/>
          <w:color w:val="101820"/>
          <w:sz w:val="19"/>
        </w:rPr>
        <w:t>sales_invoice.issue</w:t>
      </w:r>
      <w:r>
        <w:rPr>
          <w:rFonts w:eastAsia="Segoe UI" w:cs="Segoe UI" w:ascii="Segoe UI" w:hAnsi="Segoe UI"/>
          <w:color w:val="101820"/>
          <w:sz w:val="21"/>
        </w:rPr>
        <w:t xml:space="preserve">, </w:t>
      </w:r>
      <w:r>
        <w:rPr>
          <w:rFonts w:eastAsia="Consolas" w:cs="Consolas" w:ascii="Consolas" w:hAnsi="Consolas"/>
          <w:color w:val="101820"/>
          <w:sz w:val="19"/>
        </w:rPr>
        <w:t>sales_invoice.payment</w:t>
      </w:r>
      <w:r>
        <w:rPr>
          <w:rFonts w:eastAsia="Segoe UI" w:cs="Segoe UI" w:ascii="Segoe UI" w:hAnsi="Segoe UI"/>
          <w:color w:val="101820"/>
          <w:sz w:val="21"/>
        </w:rPr>
        <w:t xml:space="preserve">, </w:t>
      </w:r>
      <w:r>
        <w:rPr>
          <w:rFonts w:eastAsia="Consolas" w:cs="Consolas" w:ascii="Consolas" w:hAnsi="Consolas"/>
          <w:color w:val="101820"/>
          <w:sz w:val="19"/>
        </w:rPr>
        <w:t>override_commission.accrual</w:t>
      </w:r>
      <w:r>
        <w:rPr>
          <w:rFonts w:eastAsia="Segoe UI" w:cs="Segoe UI" w:ascii="Segoe UI" w:hAnsi="Segoe UI"/>
          <w:color w:val="101820"/>
          <w:sz w:val="21"/>
        </w:rPr>
        <w:t xml:space="preserve">, </w:t>
      </w:r>
      <w:r>
        <w:rPr>
          <w:rFonts w:eastAsia="Consolas" w:cs="Consolas" w:ascii="Consolas" w:hAnsi="Consolas"/>
          <w:color w:val="101820"/>
          <w:sz w:val="19"/>
        </w:rPr>
        <w:t>override_commission.settlement</w:t>
      </w:r>
      <w:r>
        <w:rPr>
          <w:rFonts w:eastAsia="Segoe UI" w:cs="Segoe UI" w:ascii="Segoe UI" w:hAnsi="Segoe UI"/>
          <w:color w:val="101820"/>
          <w:sz w:val="21"/>
        </w:rPr>
        <w:t xml:space="preserve">, </w:t>
      </w:r>
      <w:r>
        <w:rPr>
          <w:rFonts w:eastAsia="Consolas" w:cs="Consolas" w:ascii="Consolas" w:hAnsi="Consolas"/>
          <w:color w:val="101820"/>
          <w:sz w:val="19"/>
        </w:rPr>
        <w:t>ri.facultative.*</w:t>
      </w:r>
      <w:r>
        <w:rPr>
          <w:rFonts w:eastAsia="Segoe UI" w:cs="Segoe UI" w:ascii="Segoe UI" w:hAnsi="Segoe UI"/>
          <w:color w:val="101820"/>
          <w:sz w:val="21"/>
        </w:rPr>
        <w:t>).</w:t>
      </w:r>
    </w:p>
    <w:p>
      <w:pPr>
        <w:pStyle w:val="Heading2"/>
        <w:rPr/>
      </w:pPr>
      <w:bookmarkStart w:id="22" w:name="__RefHeading___Toc3825_1225279311"/>
      <w:bookmarkEnd w:id="22"/>
      <w:r>
        <w:rPr>
          <w:rFonts w:eastAsia="Segoe UI" w:cs="Segoe UI"/>
          <w:b/>
          <w:color w:val="0F4761"/>
          <w:sz w:val="26"/>
        </w:rPr>
        <w:t>5.5  Before the release is tagged</w:t>
      </w:r>
    </w:p>
    <w:p>
      <w:pPr>
        <w:pStyle w:val="Normal"/>
        <w:numPr>
          <w:ilvl w:val="0"/>
          <w:numId w:val="1"/>
        </w:numPr>
        <w:spacing w:before="0" w:after="60"/>
        <w:rPr/>
      </w:pPr>
      <w:r>
        <w:rPr>
          <w:rFonts w:eastAsia="Segoe UI" w:cs="Segoe UI" w:ascii="Segoe UI" w:hAnsi="Segoe UI"/>
          <w:color w:val="101820"/>
          <w:sz w:val="21"/>
        </w:rPr>
        <w:t>Done on 04 October 2026: packages B and G merged and the full suites run again on the merged release (1,113 backend tests, 175 front-end tests, UAT cycle of 433 steps, go-live rehearsal of 52 checks, data masking verified, environment comparison identical; Test Summary Report 1.3). The defects found in that verification, BV-DEF-009 to BV-DEF-014, are fixed and closed.</w:t>
      </w:r>
    </w:p>
    <w:p>
      <w:pPr>
        <w:pStyle w:val="Normal"/>
        <w:numPr>
          <w:ilvl w:val="0"/>
          <w:numId w:val="1"/>
        </w:numPr>
        <w:spacing w:before="0" w:after="60"/>
        <w:rPr/>
      </w:pPr>
      <w:r>
        <w:rPr>
          <w:rFonts w:eastAsia="Segoe UI" w:cs="Segoe UI" w:ascii="Segoe UI" w:hAnsi="Segoe UI"/>
          <w:color w:val="101820"/>
          <w:sz w:val="21"/>
        </w:rPr>
        <w:t xml:space="preserve">Done: the number series prefix of the complaints register (migration </w:t>
      </w:r>
      <w:r>
        <w:rPr>
          <w:rFonts w:eastAsia="Consolas" w:cs="Consolas" w:ascii="Consolas" w:hAnsi="Consolas"/>
          <w:color w:val="101820"/>
          <w:sz w:val="19"/>
        </w:rPr>
        <w:t>0272</w:t>
      </w:r>
      <w:r>
        <w:rPr>
          <w:rFonts w:eastAsia="Segoe UI" w:cs="Segoe UI" w:ascii="Segoe UI" w:hAnsi="Segoe UI"/>
          <w:color w:val="101820"/>
          <w:sz w:val="21"/>
        </w:rPr>
        <w:t xml:space="preserve"> of package B) is </w:t>
      </w:r>
      <w:r>
        <w:rPr>
          <w:rFonts w:eastAsia="Consolas" w:cs="Consolas" w:ascii="Consolas" w:hAnsi="Consolas"/>
          <w:color w:val="101820"/>
          <w:sz w:val="19"/>
        </w:rPr>
        <w:t>CPT</w:t>
      </w:r>
      <w:r>
        <w:rPr>
          <w:rFonts w:eastAsia="Segoe UI" w:cs="Segoe UI" w:ascii="Segoe UI" w:hAnsi="Segoe UI"/>
          <w:color w:val="101820"/>
          <w:sz w:val="21"/>
        </w:rPr>
        <w:t xml:space="preserve">; the comparison report series of migration </w:t>
      </w:r>
      <w:r>
        <w:rPr>
          <w:rFonts w:eastAsia="Consolas" w:cs="Consolas" w:ascii="Consolas" w:hAnsi="Consolas"/>
          <w:color w:val="101820"/>
          <w:sz w:val="19"/>
        </w:rPr>
        <w:t>0306</w:t>
      </w:r>
      <w:r>
        <w:rPr>
          <w:rFonts w:eastAsia="Segoe UI" w:cs="Segoe UI" w:ascii="Segoe UI" w:hAnsi="Segoe UI"/>
          <w:color w:val="101820"/>
          <w:sz w:val="21"/>
        </w:rPr>
        <w:t xml:space="preserve"> keeps </w:t>
      </w:r>
      <w:r>
        <w:rPr>
          <w:rFonts w:eastAsia="Consolas" w:cs="Consolas" w:ascii="Consolas" w:hAnsi="Consolas"/>
          <w:color w:val="101820"/>
          <w:sz w:val="19"/>
        </w:rPr>
        <w:t>CMP</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Add housekeeping rules for the new operational tables (integration outbox and attempts, EIS outbox, go-live workbook rows).</w:t>
      </w:r>
    </w:p>
    <w:p>
      <w:pPr>
        <w:pStyle w:val="Normal"/>
        <w:numPr>
          <w:ilvl w:val="0"/>
          <w:numId w:val="1"/>
        </w:numPr>
        <w:spacing w:before="0" w:after="60"/>
        <w:rPr/>
      </w:pPr>
      <w:r>
        <w:rPr>
          <w:rFonts w:eastAsia="Segoe UI" w:cs="Segoe UI" w:ascii="Segoe UI" w:hAnsi="Segoe UI"/>
          <w:color w:val="101820"/>
          <w:sz w:val="21"/>
        </w:rPr>
        <w:t xml:space="preserve">Add the 25 translation keys reported missing by </w:t>
      </w:r>
      <w:r>
        <w:rPr>
          <w:rFonts w:eastAsia="Consolas" w:cs="Consolas" w:ascii="Consolas" w:hAnsi="Consolas"/>
          <w:color w:val="101820"/>
          <w:sz w:val="19"/>
        </w:rPr>
        <w:t>npm run check:i18n</w:t>
      </w:r>
      <w:r>
        <w:rPr>
          <w:rFonts w:eastAsia="Segoe UI" w:cs="Segoe UI" w:ascii="Segoe UI" w:hAnsi="Segoe UI"/>
          <w:color w:val="101820"/>
          <w:sz w:val="21"/>
        </w:rPr>
        <w:t xml:space="preserve"> (audit timeline, claim audit trail, currency master, policy history).</w:t>
      </w:r>
      <w:r>
        <w:br w:type="page"/>
      </w:r>
    </w:p>
    <w:p>
      <w:pPr>
        <w:pStyle w:val="Heading1"/>
        <w:rPr/>
      </w:pPr>
      <w:bookmarkStart w:id="23" w:name="__RefHeading___Toc3827_1225279311"/>
      <w:bookmarkEnd w:id="23"/>
      <w:r>
        <w:rPr>
          <w:rFonts w:eastAsia="Segoe UI" w:cs="Segoe UI" w:ascii="Segoe UI" w:hAnsi="Segoe UI"/>
          <w:b/>
          <w:color w:val="0F4761"/>
          <w:sz w:val="32"/>
        </w:rPr>
        <w:t>6.  Release 1.0</w:t>
      </w:r>
    </w:p>
    <w:p>
      <w:pPr>
        <w:pStyle w:val="Heading2"/>
        <w:rPr/>
      </w:pPr>
      <w:bookmarkStart w:id="24" w:name="__RefHeading___Toc3829_1225279311"/>
      <w:bookmarkEnd w:id="24"/>
      <w:r>
        <w:rPr>
          <w:rFonts w:eastAsia="Segoe UI" w:cs="Segoe UI"/>
          <w:b/>
          <w:color w:val="0F4761"/>
          <w:sz w:val="26"/>
        </w:rPr>
        <w:t>6.1  What release 1.0 delivered</w:t>
      </w:r>
    </w:p>
    <w:p>
      <w:pPr>
        <w:pStyle w:val="Normal"/>
        <w:spacing w:lineRule="auto" w:line="276" w:before="0" w:after="120"/>
        <w:rPr/>
      </w:pPr>
      <w:r>
        <w:rPr>
          <w:rFonts w:eastAsia="Segoe UI" w:cs="Segoe UI" w:ascii="Segoe UI" w:hAnsi="Segoe UI"/>
          <w:color w:val="101820"/>
          <w:sz w:val="21"/>
        </w:rPr>
        <w:t xml:space="preserve">Release 1.0 (03 October 2026, tag </w:t>
      </w:r>
      <w:r>
        <w:rPr>
          <w:rFonts w:eastAsia="Consolas" w:cs="Consolas" w:ascii="Consolas" w:hAnsi="Consolas"/>
          <w:color w:val="101820"/>
          <w:sz w:val="19"/>
        </w:rPr>
        <w:t>v1.0.0</w:t>
      </w:r>
      <w:r>
        <w:rPr>
          <w:rFonts w:eastAsia="Segoe UI" w:cs="Segoe UI" w:ascii="Segoe UI" w:hAnsi="Segoe UI"/>
          <w:color w:val="101820"/>
          <w:sz w:val="21"/>
        </w:rPr>
        <w:t>) delivered the core broking cycle: prospects, quick quote and comparison of packaged products, requests for quotation to several insurers, quotations with premium taxes and commission, placement slips with co-insurance, policy issue with KYC, endorsements and cancellations, claims to settlement, renewals with notices and win-back, open items and payment capture, billing and official receipts, collections and credit control, disbursements and petty cash, remittance with approvals, commission and incentives, the general ledger from posting rules with journal vouchers and period end, bank and insurer reconciliation, reinsurance treaties and cessions, the Product Configurator, masters, user management with the authority matrix, SoD and access reviews, data privacy (consents, data subject requests, export and anonymisation), payment links and the report catalogue. Philippine rules built in: DST, VAT, LGT and FST premium taxes, CTPL tariff, KYC, commission VAT and EWT, BIR Form 2307 and the BIR working papers, Asia/Manila time and PHP.</w:t>
      </w:r>
    </w:p>
    <w:p>
      <w:pPr>
        <w:pStyle w:val="Heading2"/>
        <w:rPr/>
      </w:pPr>
      <w:bookmarkStart w:id="25" w:name="__RefHeading___Toc3831_1225279311"/>
      <w:bookmarkEnd w:id="25"/>
      <w:r>
        <w:rPr>
          <w:rFonts w:eastAsia="Segoe UI" w:cs="Segoe UI"/>
          <w:b/>
          <w:color w:val="0F4761"/>
          <w:sz w:val="26"/>
        </w:rPr>
        <w:t>6.2  Defects and observations carried forward</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42"/>
        <w:gridCol w:w="3136"/>
        <w:gridCol w:w="3135"/>
      </w:tblGrid>
      <w:tr>
        <w:trPr>
          <w:tblHeader w:val="true"/>
        </w:trPr>
        <w:tc>
          <w:tcPr>
            <w:tcW w:w="274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ID</w:t>
            </w:r>
          </w:p>
        </w:tc>
        <w:tc>
          <w:tcPr>
            <w:tcW w:w="31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31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Status in 1.1</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BV-DEF-001</w:t>
            </w:r>
          </w:p>
        </w:tc>
        <w:tc>
          <w:tcPr>
            <w:tcW w:w="31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react-router moderate security advisory (open redirect)</w:t>
            </w:r>
          </w:p>
        </w:tc>
        <w:tc>
          <w:tcPr>
            <w:tcW w:w="3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navigation targets come from the application's own routes; upgrade on the roadmap</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BV-DEF-003</w:t>
            </w:r>
          </w:p>
        </w:tc>
        <w:tc>
          <w:tcPr>
            <w:tcW w:w="31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Application-level encryption covered only two-step verification secrets</w:t>
            </w:r>
          </w:p>
        </w:tc>
        <w:tc>
          <w:tcPr>
            <w:tcW w:w="3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Closed with package B: TIN, ID and bank account numbers encrypted at rest</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BV-DEF-002, 004, 006; BV-OBS-005, 007, 008</w:t>
            </w:r>
          </w:p>
        </w:tc>
        <w:tc>
          <w:tcPr>
            <w:tcW w:w="31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privacy module, template column, charges calculator, renewal beyond grace, menu group address, incentive card</w:t>
            </w:r>
          </w:p>
        </w:tc>
        <w:tc>
          <w:tcPr>
            <w:tcW w:w="3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Closed in 1.0</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BV-DEF-009 to BV-DEF-014</w:t>
            </w:r>
          </w:p>
        </w:tc>
        <w:tc>
          <w:tcPr>
            <w:tcW w:w="31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Found in the release verification of 04 October 2026 on the merged release (UAT scenario set-up, CTPL tariff cancellation, masking of SMS recipients and key columns, rehearsal migration headers, incentive period keys, sample data in two tests)</w:t>
            </w:r>
          </w:p>
        </w:tc>
        <w:tc>
          <w:tcPr>
            <w:tcW w:w="3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Fixed and closed before the tag; see the Test Summary Report 1.3</w:t>
            </w:r>
          </w:p>
        </w:tc>
      </w:tr>
    </w:tbl>
    <w:p>
      <w:pPr>
        <w:pStyle w:val="Normal"/>
        <w:spacing w:before="0" w:after="80"/>
        <w:rPr/>
      </w:pPr>
      <w:r>
        <w:rPr/>
      </w:r>
    </w:p>
    <w:p>
      <w:pPr>
        <w:pStyle w:val="Heading2"/>
        <w:rPr/>
      </w:pPr>
      <w:bookmarkStart w:id="26" w:name="__RefHeading___Toc3833_1225279311"/>
      <w:bookmarkEnd w:id="26"/>
      <w:r>
        <w:rPr>
          <w:rFonts w:eastAsia="Segoe UI" w:cs="Segoe UI"/>
          <w:b/>
          <w:color w:val="0F4761"/>
          <w:sz w:val="26"/>
        </w:rPr>
        <w:t>6.3  Limits of release 1.0 resolved in 1.1</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85"/>
        <w:gridCol w:w="3146"/>
        <w:gridCol w:w="4083"/>
      </w:tblGrid>
      <w:tr>
        <w:trPr>
          <w:tblHeader w:val="true"/>
        </w:trPr>
        <w:tc>
          <w:tcPr>
            <w:tcW w:w="17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Topic</w:t>
            </w:r>
          </w:p>
        </w:tc>
        <w:tc>
          <w:tcPr>
            <w:tcW w:w="3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Release 1.0</w:t>
            </w:r>
          </w:p>
        </w:tc>
        <w:tc>
          <w:tcPr>
            <w:tcW w:w="408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Release 1.1</w:t>
            </w:r>
          </w:p>
        </w:tc>
      </w:tr>
      <w:tr>
        <w:trPr/>
        <w:tc>
          <w:tcPr>
            <w:tcW w:w="17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systems</w:t>
            </w:r>
          </w:p>
        </w:tc>
        <w:tc>
          <w:tcPr>
            <w:tcW w:w="3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insurer API</w:t>
            </w:r>
          </w:p>
        </w:tc>
        <w:tc>
          <w:tcPr>
            <w:tcW w:w="4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API connectors (test mode until certified)</w:t>
            </w:r>
          </w:p>
        </w:tc>
      </w:tr>
      <w:tr>
        <w:trPr/>
        <w:tc>
          <w:tcPr>
            <w:tcW w:w="17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 report formats</w:t>
            </w:r>
          </w:p>
        </w:tc>
        <w:tc>
          <w:tcPr>
            <w:tcW w:w="3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IC-format report</w:t>
            </w:r>
          </w:p>
        </w:tc>
        <w:tc>
          <w:tcPr>
            <w:tcW w:w="4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 annual statement and production report (package B)</w:t>
            </w:r>
          </w:p>
        </w:tc>
      </w:tr>
      <w:tr>
        <w:trPr/>
        <w:tc>
          <w:tcPr>
            <w:tcW w:w="17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Percentage tax</w:t>
            </w:r>
          </w:p>
        </w:tc>
        <w:tc>
          <w:tcPr>
            <w:tcW w:w="3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working paper for a non-VAT broker</w:t>
            </w:r>
          </w:p>
        </w:tc>
        <w:tc>
          <w:tcPr>
            <w:tcW w:w="4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2551Q return</w:t>
            </w:r>
          </w:p>
        </w:tc>
      </w:tr>
      <w:tr>
        <w:trPr/>
        <w:tc>
          <w:tcPr>
            <w:tcW w:w="17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Anti-money laundering</w:t>
            </w:r>
          </w:p>
        </w:tc>
        <w:tc>
          <w:tcPr>
            <w:tcW w:w="3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Outside OOTB</w:t>
            </w:r>
          </w:p>
        </w:tc>
        <w:tc>
          <w:tcPr>
            <w:tcW w:w="4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AML/CFT module</w:t>
            </w:r>
          </w:p>
        </w:tc>
      </w:tr>
      <w:tr>
        <w:trPr/>
        <w:tc>
          <w:tcPr>
            <w:tcW w:w="17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payments</w:t>
            </w:r>
          </w:p>
        </w:tc>
        <w:tc>
          <w:tcPr>
            <w:tcW w:w="3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bank payment file</w:t>
            </w:r>
          </w:p>
        </w:tc>
        <w:tc>
          <w:tcPr>
            <w:tcW w:w="4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payment files and status files</w:t>
            </w:r>
          </w:p>
        </w:tc>
      </w:tr>
      <w:tr>
        <w:trPr/>
        <w:tc>
          <w:tcPr>
            <w:tcW w:w="17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settlement cash</w:t>
            </w:r>
          </w:p>
        </w:tc>
        <w:tc>
          <w:tcPr>
            <w:tcW w:w="3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the claim screens only</w:t>
            </w:r>
          </w:p>
        </w:tc>
        <w:tc>
          <w:tcPr>
            <w:tcW w:w="4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Claims Settlements</w:t>
            </w:r>
          </w:p>
        </w:tc>
      </w:tr>
      <w:tr>
        <w:trPr/>
        <w:tc>
          <w:tcPr>
            <w:tcW w:w="17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identifiers</w:t>
            </w:r>
          </w:p>
        </w:tc>
        <w:tc>
          <w:tcPr>
            <w:tcW w:w="3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encrypted, not masked</w:t>
            </w:r>
          </w:p>
        </w:tc>
        <w:tc>
          <w:tcPr>
            <w:tcW w:w="4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Encrypted and masked by role (package B)</w:t>
            </w:r>
          </w:p>
        </w:tc>
      </w:tr>
    </w:tbl>
    <w:p>
      <w:pPr>
        <w:pStyle w:val="Heading1"/>
        <w:rPr/>
      </w:pPr>
      <w:r>
        <w:br w:type="page"/>
      </w:r>
      <w:bookmarkStart w:id="27" w:name="__RefHeading___Toc3835_1225279311"/>
      <w:bookmarkEnd w:id="27"/>
      <w:r>
        <w:rPr>
          <w:rFonts w:eastAsia="Segoe UI" w:cs="Segoe UI" w:ascii="Segoe UI" w:hAnsi="Segoe UI"/>
          <w:b/>
          <w:color w:val="0F4761"/>
          <w:sz w:val="32"/>
        </w:rPr>
        <w:t>7.  Known limitations and open items</w:t>
      </w:r>
    </w:p>
    <w:p>
      <w:pPr>
        <w:pStyle w:val="Heading2"/>
        <w:rPr/>
      </w:pPr>
      <w:bookmarkStart w:id="28" w:name="__RefHeading___Toc3837_1225279311"/>
      <w:bookmarkEnd w:id="28"/>
      <w:r>
        <w:rPr>
          <w:rFonts w:eastAsia="Segoe UI" w:cs="Segoe UI"/>
          <w:b/>
          <w:color w:val="0F4761"/>
          <w:sz w:val="26"/>
        </w:rPr>
        <w:t>7.1  Limits of the OOTB scope in release 1.1</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98"/>
        <w:gridCol w:w="3519"/>
        <w:gridCol w:w="3298"/>
      </w:tblGrid>
      <w:tr>
        <w:trPr>
          <w:tblHeader w:val="true"/>
        </w:trPr>
        <w:tc>
          <w:tcPr>
            <w:tcW w:w="219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Topic</w:t>
            </w:r>
          </w:p>
        </w:tc>
        <w:tc>
          <w:tcPr>
            <w:tcW w:w="35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Release 1.1 behaviour</w:t>
            </w:r>
          </w:p>
        </w:tc>
        <w:tc>
          <w:tcPr>
            <w:tcW w:w="329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Route</w:t>
            </w:r>
          </w:p>
        </w:tc>
      </w:tr>
      <w:tr>
        <w:trPr/>
        <w:tc>
          <w:tcPr>
            <w:tcW w:w="21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Partner connectors</w:t>
            </w:r>
          </w:p>
        </w:tc>
        <w:tc>
          <w:tcPr>
            <w:tcW w:w="35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Delivered in test mode; live use after certification with each partner</w:t>
            </w:r>
          </w:p>
        </w:tc>
        <w:tc>
          <w:tcPr>
            <w:tcW w:w="3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Roadmap and change request per partner</w:t>
            </w:r>
          </w:p>
        </w:tc>
      </w:tr>
      <w:tr>
        <w:trPr/>
        <w:tc>
          <w:tcPr>
            <w:tcW w:w="21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schedules</w:t>
            </w:r>
          </w:p>
        </w:tc>
        <w:tc>
          <w:tcPr>
            <w:tcW w:w="35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e-mail of reports exists in the API; no setup screen</w:t>
            </w:r>
          </w:p>
        </w:tc>
        <w:tc>
          <w:tcPr>
            <w:tcW w:w="3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 through the API</w:t>
            </w:r>
          </w:p>
        </w:tc>
      </w:tr>
      <w:tr>
        <w:trPr/>
        <w:tc>
          <w:tcPr>
            <w:tcW w:w="21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Two-step enrolment</w:t>
            </w:r>
          </w:p>
        </w:tc>
        <w:tc>
          <w:tcPr>
            <w:tcW w:w="35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Shows the key and a link, not a QR code</w:t>
            </w:r>
          </w:p>
        </w:tc>
        <w:tc>
          <w:tcPr>
            <w:tcW w:w="3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type the key into the authenticator app</w:t>
            </w:r>
          </w:p>
        </w:tc>
      </w:tr>
      <w:tr>
        <w:trPr/>
        <w:tc>
          <w:tcPr>
            <w:tcW w:w="21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Session tokens</w:t>
            </w:r>
          </w:p>
        </w:tc>
        <w:tc>
          <w:tcPr>
            <w:tcW w:w="35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Kept in browser local storage</w:t>
            </w:r>
          </w:p>
        </w:tc>
        <w:tc>
          <w:tcPr>
            <w:tcW w:w="3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Move to httpOnly cookie on the roadmap</w:t>
            </w:r>
          </w:p>
        </w:tc>
      </w:tr>
      <w:tr>
        <w:trPr/>
        <w:tc>
          <w:tcPr>
            <w:tcW w:w="21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Housekeeping</w:t>
            </w:r>
          </w:p>
        </w:tc>
        <w:tc>
          <w:tcPr>
            <w:tcW w:w="35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retention rule yet for the integration outbox and attempts, the EIS outbox and go-live workbook rows</w:t>
            </w:r>
          </w:p>
        </w:tc>
        <w:tc>
          <w:tcPr>
            <w:tcW w:w="3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Next minor release</w:t>
            </w:r>
          </w:p>
        </w:tc>
      </w:tr>
      <w:tr>
        <w:trPr/>
        <w:tc>
          <w:tcPr>
            <w:tcW w:w="21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Mobile</w:t>
            </w:r>
          </w:p>
        </w:tc>
        <w:tc>
          <w:tcPr>
            <w:tcW w:w="35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Web application for desktop and laptop browsers</w:t>
            </w:r>
          </w:p>
        </w:tc>
        <w:tc>
          <w:tcPr>
            <w:tcW w:w="3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See roadmap</w:t>
            </w:r>
          </w:p>
        </w:tc>
      </w:tr>
      <w:tr>
        <w:trPr/>
        <w:tc>
          <w:tcPr>
            <w:tcW w:w="21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Language</w:t>
            </w:r>
          </w:p>
        </w:tc>
        <w:tc>
          <w:tcPr>
            <w:tcW w:w="35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English screens; Thai partly translated; no Filipino translation file</w:t>
            </w:r>
          </w:p>
        </w:tc>
        <w:tc>
          <w:tcPr>
            <w:tcW w:w="3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request</w:t>
            </w:r>
          </w:p>
        </w:tc>
      </w:tr>
      <w:tr>
        <w:trPr/>
        <w:tc>
          <w:tcPr>
            <w:tcW w:w="21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Load test and penetration test</w:t>
            </w:r>
          </w:p>
        </w:tc>
        <w:tc>
          <w:tcPr>
            <w:tcW w:w="35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run on a production-sized environment</w:t>
            </w:r>
          </w:p>
        </w:tc>
        <w:tc>
          <w:tcPr>
            <w:tcW w:w="3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go-live at each broker</w:t>
            </w:r>
          </w:p>
        </w:tc>
      </w:tr>
    </w:tbl>
    <w:p>
      <w:pPr>
        <w:pStyle w:val="Normal"/>
        <w:spacing w:before="0" w:after="80"/>
        <w:rPr/>
      </w:pPr>
      <w:r>
        <w:rPr/>
      </w:r>
    </w:p>
    <w:p>
      <w:pPr>
        <w:pStyle w:val="Heading2"/>
        <w:rPr/>
      </w:pPr>
      <w:bookmarkStart w:id="29" w:name="__RefHeading___Toc3839_1225279311"/>
      <w:bookmarkEnd w:id="29"/>
      <w:r>
        <w:rPr>
          <w:rFonts w:eastAsia="Segoe UI" w:cs="Segoe UI"/>
          <w:b/>
          <w:color w:val="0F4761"/>
          <w:sz w:val="26"/>
        </w:rPr>
        <w:t>7.2  Before go-live at a broker</w:t>
      </w:r>
    </w:p>
    <w:p>
      <w:pPr>
        <w:pStyle w:val="Normal"/>
        <w:numPr>
          <w:ilvl w:val="0"/>
          <w:numId w:val="1"/>
        </w:numPr>
        <w:spacing w:before="0" w:after="60"/>
        <w:rPr/>
      </w:pPr>
      <w:r>
        <w:rPr>
          <w:rFonts w:eastAsia="Segoe UI" w:cs="Segoe UI" w:ascii="Segoe UI" w:hAnsi="Segoe UI"/>
          <w:color w:val="101820"/>
          <w:sz w:val="21"/>
        </w:rPr>
        <w:t xml:space="preserve">Set </w:t>
      </w:r>
      <w:r>
        <w:rPr>
          <w:rFonts w:eastAsia="Consolas" w:cs="Consolas" w:ascii="Consolas" w:hAnsi="Consolas"/>
          <w:color w:val="101820"/>
          <w:sz w:val="19"/>
        </w:rPr>
        <w:t>security.require_2fa_roles</w:t>
      </w:r>
      <w:r>
        <w:rPr>
          <w:rFonts w:eastAsia="Segoe UI" w:cs="Segoe UI" w:ascii="Segoe UI" w:hAnsi="Segoe UI"/>
          <w:color w:val="101820"/>
          <w:sz w:val="21"/>
        </w:rPr>
        <w:t xml:space="preserve"> to at least System Administrator, Accounting and Accounting Manager; decide who holds </w:t>
      </w:r>
      <w:r>
        <w:rPr>
          <w:rFonts w:eastAsia="Consolas" w:cs="Consolas" w:ascii="Consolas" w:hAnsi="Consolas"/>
          <w:color w:val="101820"/>
          <w:sz w:val="19"/>
        </w:rPr>
        <w:t>view:pii</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Replace the default authority limits with the board-approved signing authority; appoint the Compliance Officer.</w:t>
      </w:r>
    </w:p>
    <w:p>
      <w:pPr>
        <w:pStyle w:val="Normal"/>
        <w:numPr>
          <w:ilvl w:val="0"/>
          <w:numId w:val="1"/>
        </w:numPr>
        <w:spacing w:before="0" w:after="60"/>
        <w:rPr/>
      </w:pPr>
      <w:r>
        <w:rPr>
          <w:rFonts w:eastAsia="Segoe UI" w:cs="Segoe UI" w:ascii="Segoe UI" w:hAnsi="Segoe UI"/>
          <w:color w:val="101820"/>
          <w:sz w:val="21"/>
        </w:rPr>
        <w:t>Fill the BIR, invoice and CAS settings; confirm premium tax rules, LGU rates, ATC and GL accounts with the broker's tax adviser.</w:t>
      </w:r>
    </w:p>
    <w:p>
      <w:pPr>
        <w:pStyle w:val="Normal"/>
        <w:numPr>
          <w:ilvl w:val="0"/>
          <w:numId w:val="1"/>
        </w:numPr>
        <w:spacing w:before="0" w:after="60"/>
        <w:rPr/>
      </w:pPr>
      <w:r>
        <w:rPr>
          <w:rFonts w:eastAsia="Segoe UI" w:cs="Segoe UI" w:ascii="Segoe UI" w:hAnsi="Segoe UI"/>
          <w:color w:val="101820"/>
          <w:sz w:val="21"/>
        </w:rPr>
        <w:t>Load configuration and open business through the Go-Live Data Workbench; run the transaction reset after the smoke test, then switch on the go-live lock.</w:t>
      </w:r>
    </w:p>
    <w:p>
      <w:pPr>
        <w:pStyle w:val="Normal"/>
        <w:numPr>
          <w:ilvl w:val="0"/>
          <w:numId w:val="1"/>
        </w:numPr>
        <w:spacing w:before="0" w:after="60"/>
        <w:rPr/>
      </w:pPr>
      <w:r>
        <w:rPr>
          <w:rFonts w:eastAsia="Segoe UI" w:cs="Segoe UI" w:ascii="Segoe UI" w:hAnsi="Segoe UI"/>
          <w:color w:val="101820"/>
          <w:sz w:val="21"/>
        </w:rPr>
        <w:t>Register production for the masking tool (</w:t>
      </w:r>
      <w:r>
        <w:rPr>
          <w:rFonts w:eastAsia="Consolas" w:cs="Consolas" w:ascii="Consolas" w:hAnsi="Consolas"/>
          <w:color w:val="101820"/>
          <w:sz w:val="19"/>
        </w:rPr>
        <w:t>npm run mask:data -- --register-production</w:t>
      </w:r>
      <w:r>
        <w:rPr>
          <w:rFonts w:eastAsia="Segoe UI" w:cs="Segoe UI" w:ascii="Segoe UI" w:hAnsi="Segoe UI"/>
          <w:color w:val="101820"/>
          <w:sz w:val="21"/>
        </w:rPr>
        <w:t xml:space="preserve">) and set </w:t>
      </w:r>
      <w:r>
        <w:rPr>
          <w:rFonts w:eastAsia="Consolas" w:cs="Consolas" w:ascii="Consolas" w:hAnsi="Consolas"/>
          <w:color w:val="101820"/>
          <w:sz w:val="19"/>
        </w:rPr>
        <w:t>PII_ENCRYPTION_KEY</w:t>
      </w:r>
      <w:r>
        <w:rPr>
          <w:rFonts w:eastAsia="Segoe UI" w:cs="Segoe UI" w:ascii="Segoe UI" w:hAnsi="Segoe UI"/>
          <w:color w:val="101820"/>
          <w:sz w:val="21"/>
        </w:rPr>
        <w:t xml:space="preserve"> with its escrow copy.</w:t>
      </w:r>
    </w:p>
    <w:p>
      <w:pPr>
        <w:pStyle w:val="Normal"/>
        <w:numPr>
          <w:ilvl w:val="0"/>
          <w:numId w:val="1"/>
        </w:numPr>
        <w:spacing w:before="0" w:after="60"/>
        <w:rPr/>
      </w:pPr>
      <w:r>
        <w:rPr>
          <w:rFonts w:eastAsia="Segoe UI" w:cs="Segoe UI" w:ascii="Segoe UI" w:hAnsi="Segoe UI"/>
          <w:color w:val="101820"/>
          <w:sz w:val="21"/>
        </w:rPr>
        <w:t>Keep every integration connector in test mode until its certification is signed; switch off the Sandbox payment gateway in production.</w:t>
      </w:r>
    </w:p>
    <w:p>
      <w:pPr>
        <w:pStyle w:val="Normal"/>
        <w:numPr>
          <w:ilvl w:val="0"/>
          <w:numId w:val="1"/>
        </w:numPr>
        <w:spacing w:before="0" w:after="60"/>
        <w:rPr/>
      </w:pPr>
      <w:r>
        <w:rPr>
          <w:rFonts w:eastAsia="Segoe UI" w:cs="Segoe UI" w:ascii="Segoe UI" w:hAnsi="Segoe UI"/>
          <w:color w:val="101820"/>
          <w:sz w:val="21"/>
        </w:rPr>
        <w:t>Switch on "Send e-mails" only after the SMTP mailbox is tested.</w:t>
      </w:r>
      <w:r>
        <w:br w:type="page"/>
      </w:r>
    </w:p>
    <w:p>
      <w:pPr>
        <w:pStyle w:val="Heading1"/>
        <w:rPr/>
      </w:pPr>
      <w:bookmarkStart w:id="30" w:name="__RefHeading___Toc3841_1225279311"/>
      <w:bookmarkEnd w:id="30"/>
      <w:r>
        <w:rPr>
          <w:rFonts w:eastAsia="Segoe UI" w:cs="Segoe UI" w:ascii="Segoe UI" w:hAnsi="Segoe UI"/>
          <w:b/>
          <w:color w:val="0F4761"/>
          <w:sz w:val="32"/>
        </w:rPr>
        <w:t>8.  Upgrade and versioning policy</w:t>
      </w:r>
    </w:p>
    <w:p>
      <w:pPr>
        <w:pStyle w:val="Heading2"/>
        <w:rPr/>
      </w:pPr>
      <w:bookmarkStart w:id="31" w:name="__RefHeading___Toc3843_1225279311"/>
      <w:bookmarkEnd w:id="31"/>
      <w:r>
        <w:rPr>
          <w:rFonts w:eastAsia="Segoe UI" w:cs="Segoe UI"/>
          <w:b/>
          <w:color w:val="0F4761"/>
          <w:sz w:val="26"/>
        </w:rPr>
        <w:t>8.1  Version numbers</w:t>
      </w:r>
    </w:p>
    <w:p>
      <w:pPr>
        <w:pStyle w:val="Normal"/>
        <w:spacing w:lineRule="auto" w:line="276" w:before="0" w:after="120"/>
        <w:rPr/>
      </w:pPr>
      <w:r>
        <w:rPr>
          <w:rFonts w:eastAsia="Segoe UI" w:cs="Segoe UI" w:ascii="Segoe UI" w:hAnsi="Segoe UI"/>
          <w:color w:val="101820"/>
          <w:sz w:val="21"/>
        </w:rPr>
        <w:t xml:space="preserve">Releases are numbered MAJOR.MINOR.PATCH and tagged in the repository (for example </w:t>
      </w:r>
      <w:r>
        <w:rPr>
          <w:rFonts w:eastAsia="Consolas" w:cs="Consolas" w:ascii="Consolas" w:hAnsi="Consolas"/>
          <w:color w:val="101820"/>
          <w:sz w:val="19"/>
        </w:rPr>
        <w:t>v1.1.0</w:t>
      </w:r>
      <w:r>
        <w:rPr>
          <w:rFonts w:eastAsia="Segoe UI" w:cs="Segoe UI" w:ascii="Segoe UI" w:hAnsi="Segoe UI"/>
          <w:color w:val="101820"/>
          <w:sz w:val="21"/>
        </w:rPr>
        <w:t xml:space="preserve">); </w:t>
      </w:r>
      <w:r>
        <w:rPr>
          <w:rFonts w:eastAsia="Consolas" w:cs="Consolas" w:ascii="Consolas" w:hAnsi="Consolas"/>
          <w:color w:val="101820"/>
          <w:sz w:val="19"/>
        </w:rPr>
        <w:t>GET /api/version</w:t>
      </w:r>
      <w:r>
        <w:rPr>
          <w:rFonts w:eastAsia="Segoe UI" w:cs="Segoe UI" w:ascii="Segoe UI" w:hAnsi="Segoe UI"/>
          <w:color w:val="101820"/>
          <w:sz w:val="21"/>
        </w:rPr>
        <w:t xml:space="preserve"> shows the commit that is running.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004"/>
        <w:gridCol w:w="3540"/>
        <w:gridCol w:w="3563"/>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Type</w:t>
            </w:r>
          </w:p>
        </w:tc>
        <w:tc>
          <w:tcPr>
            <w:tcW w:w="10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Example</w:t>
            </w:r>
          </w:p>
        </w:tc>
        <w:tc>
          <w:tcPr>
            <w:tcW w:w="35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c>
          <w:tcPr>
            <w:tcW w:w="356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Frequency (standard)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Patch</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1.1.1</w:t>
            </w:r>
          </w:p>
        </w:tc>
        <w:tc>
          <w:tcPr>
            <w:tcW w:w="35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Defect fixes and security fixes; no change to how users work</w:t>
            </w:r>
          </w:p>
        </w:tc>
        <w:tc>
          <w:tcPr>
            <w:tcW w:w="35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needed; emergency release for P1 or security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Minor</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1.2.0</w:t>
            </w:r>
          </w:p>
        </w:tc>
        <w:tc>
          <w:tcPr>
            <w:tcW w:w="35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functions, new reports, regulatory form updates, upgrades of components; existing data and settings kept</w:t>
            </w:r>
          </w:p>
        </w:tc>
        <w:tc>
          <w:tcPr>
            <w:tcW w:w="35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releases, monthly when there are fixes or changes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Major</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2.0.0</w:t>
            </w:r>
          </w:p>
        </w:tc>
        <w:tc>
          <w:tcPr>
            <w:tcW w:w="35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Changes that need a migration project, retraining or a change of hosting components</w:t>
            </w:r>
          </w:p>
        </w:tc>
        <w:tc>
          <w:tcPr>
            <w:tcW w:w="35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Announced at least 6 months ahead [to confirm]</w:t>
            </w:r>
          </w:p>
        </w:tc>
      </w:tr>
    </w:tbl>
    <w:p>
      <w:pPr>
        <w:pStyle w:val="Normal"/>
        <w:spacing w:before="0" w:after="80"/>
        <w:rPr/>
      </w:pPr>
      <w:r>
        <w:rPr/>
      </w:r>
    </w:p>
    <w:p>
      <w:pPr>
        <w:pStyle w:val="Heading2"/>
        <w:rPr/>
      </w:pPr>
      <w:bookmarkStart w:id="32" w:name="__RefHeading___Toc3845_1225279311"/>
      <w:bookmarkEnd w:id="32"/>
      <w:r>
        <w:rPr>
          <w:rFonts w:eastAsia="Segoe UI" w:cs="Segoe UI"/>
          <w:b/>
          <w:color w:val="0F4761"/>
          <w:sz w:val="26"/>
        </w:rPr>
        <w:t>8.2  Rules for every release</w:t>
      </w:r>
    </w:p>
    <w:p>
      <w:pPr>
        <w:pStyle w:val="Normal"/>
        <w:numPr>
          <w:ilvl w:val="0"/>
          <w:numId w:val="1"/>
        </w:numPr>
        <w:spacing w:before="0" w:after="60"/>
        <w:rPr/>
      </w:pPr>
      <w:r>
        <w:rPr>
          <w:rFonts w:eastAsia="Segoe UI" w:cs="Segoe UI" w:ascii="Segoe UI" w:hAnsi="Segoe UI"/>
          <w:color w:val="101820"/>
          <w:sz w:val="21"/>
        </w:rPr>
        <w:t>Database changes only add to the schema; they are applied automatically when the API starts, under a lock, and recorded. The previous release runs on the newer schema, so a release can be rolled back by redeploying the previous build.</w:t>
      </w:r>
    </w:p>
    <w:p>
      <w:pPr>
        <w:pStyle w:val="Normal"/>
        <w:numPr>
          <w:ilvl w:val="0"/>
          <w:numId w:val="1"/>
        </w:numPr>
        <w:spacing w:before="0" w:after="60"/>
        <w:rPr/>
      </w:pPr>
      <w:r>
        <w:rPr>
          <w:rFonts w:eastAsia="Segoe UI" w:cs="Segoe UI" w:ascii="Segoe UI" w:hAnsi="Segoe UI"/>
          <w:color w:val="101820"/>
          <w:sz w:val="21"/>
        </w:rPr>
        <w:t>Settings and master data changed by the broker are kept: the seed inserts only what is missing.</w:t>
      </w:r>
    </w:p>
    <w:p>
      <w:pPr>
        <w:pStyle w:val="Normal"/>
        <w:numPr>
          <w:ilvl w:val="0"/>
          <w:numId w:val="1"/>
        </w:numPr>
        <w:spacing w:before="0" w:after="60"/>
        <w:rPr/>
      </w:pPr>
      <w:r>
        <w:rPr>
          <w:rFonts w:eastAsia="Segoe UI" w:cs="Segoe UI" w:ascii="Segoe UI" w:hAnsi="Segoe UI"/>
          <w:color w:val="101820"/>
          <w:sz w:val="21"/>
        </w:rPr>
        <w:t>Every release has release notes: fixes, changes, migrations, new environment variables, jobs delivered off, settings to review and anything the System Administrator must do by hand.</w:t>
      </w:r>
    </w:p>
    <w:p>
      <w:pPr>
        <w:pStyle w:val="Normal"/>
        <w:numPr>
          <w:ilvl w:val="0"/>
          <w:numId w:val="1"/>
        </w:numPr>
        <w:spacing w:before="0" w:after="60"/>
        <w:rPr/>
      </w:pPr>
      <w:r>
        <w:rPr>
          <w:rFonts w:eastAsia="Segoe UI" w:cs="Segoe UI" w:ascii="Segoe UI" w:hAnsi="Segoe UI"/>
          <w:color w:val="101820"/>
          <w:sz w:val="21"/>
        </w:rPr>
        <w:t>Each release follows the release pipeline: Dev, then SIT for a large broker, then UAT on a release candidate tag, a temporary Pre-Prod for a major release, then Production on the release tag after the CAB approval; the broker runs the UAT scripts for the changed areas; iorta TechNXT runs the regression.</w:t>
      </w:r>
    </w:p>
    <w:p>
      <w:pPr>
        <w:pStyle w:val="Normal"/>
        <w:numPr>
          <w:ilvl w:val="0"/>
          <w:numId w:val="1"/>
        </w:numPr>
        <w:spacing w:before="0" w:after="60"/>
        <w:rPr/>
      </w:pPr>
      <w:r>
        <w:rPr>
          <w:rFonts w:eastAsia="Segoe UI" w:cs="Segoe UI" w:ascii="Segoe UI" w:hAnsi="Segoe UI"/>
          <w:color w:val="101820"/>
          <w:sz w:val="21"/>
        </w:rPr>
        <w:t>A verified backup is taken before every deployment to Pre-Prod and Production; deployment happens in the agreed maintenance window, announced at least 5 business days ahead.</w:t>
      </w:r>
    </w:p>
    <w:p>
      <w:pPr>
        <w:pStyle w:val="Heading2"/>
        <w:rPr/>
      </w:pPr>
      <w:bookmarkStart w:id="33" w:name="__RefHeading___Toc3847_1225279311"/>
      <w:bookmarkEnd w:id="33"/>
      <w:r>
        <w:rPr>
          <w:rFonts w:eastAsia="Segoe UI" w:cs="Segoe UI"/>
          <w:b/>
          <w:color w:val="0F4761"/>
          <w:sz w:val="26"/>
        </w:rPr>
        <w:t>8.3  Entitlement and support of versions</w:t>
      </w:r>
    </w:p>
    <w:p>
      <w:pPr>
        <w:pStyle w:val="Normal"/>
        <w:numPr>
          <w:ilvl w:val="0"/>
          <w:numId w:val="1"/>
        </w:numPr>
        <w:spacing w:before="0" w:after="60"/>
        <w:rPr/>
      </w:pPr>
      <w:r>
        <w:rPr>
          <w:rFonts w:eastAsia="Segoe UI" w:cs="Segoe UI" w:ascii="Segoe UI" w:hAnsi="Segoe UI"/>
          <w:color w:val="101820"/>
          <w:sz w:val="21"/>
        </w:rPr>
        <w:t>Updates of the OOTB version and regulatory form updates released for all customers are included while the subscription or the AMC is in force.</w:t>
      </w:r>
    </w:p>
    <w:p>
      <w:pPr>
        <w:pStyle w:val="Normal"/>
        <w:numPr>
          <w:ilvl w:val="0"/>
          <w:numId w:val="1"/>
        </w:numPr>
        <w:spacing w:before="0" w:after="60"/>
        <w:rPr/>
      </w:pPr>
      <w:r>
        <w:rPr>
          <w:rFonts w:eastAsia="Segoe UI" w:cs="Segoe UI" w:ascii="Segoe UI" w:hAnsi="Segoe UI"/>
          <w:color w:val="101820"/>
          <w:sz w:val="21"/>
        </w:rPr>
        <w:t>Support covers the current release and the two planned releases before it (assumption in the Production Support Approach). A broker that stays further behind is asked to upgrade before a defect is fixed.</w:t>
      </w:r>
    </w:p>
    <w:p>
      <w:pPr>
        <w:pStyle w:val="Normal"/>
        <w:numPr>
          <w:ilvl w:val="0"/>
          <w:numId w:val="1"/>
        </w:numPr>
        <w:spacing w:before="0" w:after="60"/>
        <w:rPr/>
      </w:pPr>
      <w:r>
        <w:rPr>
          <w:rFonts w:eastAsia="Segoe UI" w:cs="Segoe UI" w:ascii="Segoe UI" w:hAnsi="Segoe UI"/>
          <w:color w:val="101820"/>
          <w:sz w:val="21"/>
        </w:rPr>
        <w:t>Broker-specific changes made under a change request are carried forward into later releases only where the change request says so [to confirm the standard clause].</w:t>
      </w:r>
      <w:r>
        <w:br w:type="page"/>
      </w:r>
    </w:p>
    <w:p>
      <w:pPr>
        <w:pStyle w:val="Heading1"/>
        <w:rPr/>
      </w:pPr>
      <w:bookmarkStart w:id="34" w:name="__RefHeading___Toc3849_1225279311"/>
      <w:bookmarkEnd w:id="34"/>
      <w:r>
        <w:rPr>
          <w:rFonts w:eastAsia="Segoe UI" w:cs="Segoe UI" w:ascii="Segoe UI" w:hAnsi="Segoe UI"/>
          <w:b/>
          <w:color w:val="0F4761"/>
          <w:sz w:val="32"/>
        </w:rPr>
        <w:t>9.  Product roadmap</w:t>
      </w:r>
    </w:p>
    <w:p>
      <w:pPr>
        <w:pStyle w:val="Normal"/>
        <w:shd w:val="clear" w:color="auto" w:fill="EAF2FB"/>
        <w:spacing w:before="0" w:after="160"/>
        <w:ind w:left="170"/>
        <w:rPr/>
      </w:pPr>
      <w:r>
        <w:rPr>
          <w:rFonts w:eastAsia="Segoe UI" w:cs="Segoe UI" w:ascii="Segoe UI" w:hAnsi="Segoe UI"/>
          <w:b/>
          <w:color w:val="101820"/>
          <w:sz w:val="20"/>
        </w:rPr>
        <w:t>Indicative and not contractual.</w:t>
      </w:r>
      <w:r>
        <w:rPr>
          <w:rFonts w:eastAsia="Segoe UI" w:cs="Segoe UI" w:ascii="Segoe UI" w:hAnsi="Segoe UI"/>
          <w:color w:val="101820"/>
          <w:sz w:val="20"/>
        </w:rPr>
        <w:t xml:space="preserve"> The roadmap shows iorta TechNXT's current intentions. Content, order and timing may change. It is not a commitment to deliver any function, it is not part of any licence, subscription or support agreement, and a purchase decision should be based on the functions in the release delivered. Items a broker needs by a date are agreed as change requests.</w:t>
      </w:r>
    </w:p>
    <w:p>
      <w:pPr>
        <w:pStyle w:val="Heading2"/>
        <w:rPr/>
      </w:pPr>
      <w:bookmarkStart w:id="35" w:name="__RefHeading___Toc3851_1225279311"/>
      <w:bookmarkEnd w:id="35"/>
      <w:r>
        <w:rPr>
          <w:rFonts w:eastAsia="Segoe UI" w:cs="Segoe UI"/>
          <w:b/>
          <w:color w:val="0F4761"/>
          <w:sz w:val="26"/>
        </w:rPr>
        <w:t>9.1  Partner certifications (what remains for live connectors)</w:t>
      </w:r>
    </w:p>
    <w:p>
      <w:pPr>
        <w:pStyle w:val="Normal"/>
        <w:spacing w:lineRule="auto" w:line="276" w:before="0" w:after="120"/>
        <w:rPr/>
      </w:pPr>
      <w:r>
        <w:rPr>
          <w:rFonts w:eastAsia="Segoe UI" w:cs="Segoe UI" w:ascii="Segoe UI" w:hAnsi="Segoe UI"/>
          <w:color w:val="101820"/>
          <w:sz w:val="21"/>
        </w:rPr>
        <w:t>The connectors are built and tested against the fake provider. Each needs the partner's sandbox, credentials, test cases signed by the partner and, where the partner requires it, a formal certification before it is switched to live for a broker.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06"/>
        <w:gridCol w:w="3635"/>
        <w:gridCol w:w="2273"/>
      </w:tblGrid>
      <w:tr>
        <w:trPr>
          <w:tblHeader w:val="true"/>
        </w:trPr>
        <w:tc>
          <w:tcPr>
            <w:tcW w:w="31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Partner connector</w:t>
            </w:r>
          </w:p>
        </w:tc>
        <w:tc>
          <w:tcPr>
            <w:tcW w:w="36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remains</w:t>
            </w:r>
          </w:p>
        </w:tc>
        <w:tc>
          <w:tcPr>
            <w:tcW w:w="227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Owner</w:t>
            </w:r>
          </w:p>
        </w:tc>
      </w:tr>
      <w:tr>
        <w:trPr/>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EIS</w:t>
            </w:r>
          </w:p>
        </w:tc>
        <w:tc>
          <w:tcPr>
            <w:tcW w:w="3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Broker's EIS accreditation, BIR test environment run, production credentials</w:t>
            </w:r>
          </w:p>
        </w:tc>
        <w:tc>
          <w:tcPr>
            <w:tcW w:w="22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with iorta TechNXT</w:t>
            </w:r>
          </w:p>
        </w:tc>
      </w:tr>
      <w:tr>
        <w:trPr/>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CTPL authentication provider and LTO feed</w:t>
            </w:r>
          </w:p>
        </w:tc>
        <w:tc>
          <w:tcPr>
            <w:tcW w:w="3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Provider onboarding per insurer, COC series issued by the insurer, test authentications</w:t>
            </w:r>
          </w:p>
        </w:tc>
        <w:tc>
          <w:tcPr>
            <w:tcW w:w="22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insurer, iorta TechNXT</w:t>
            </w:r>
          </w:p>
        </w:tc>
      </w:tr>
      <w:tr>
        <w:trPr/>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APIs</w:t>
            </w:r>
          </w:p>
        </w:tc>
        <w:tc>
          <w:tcPr>
            <w:tcW w:w="3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Mapping per insurer (products, codes, answers), the insurer's sandbox and sign-off, one insurer at a time</w:t>
            </w:r>
          </w:p>
        </w:tc>
        <w:tc>
          <w:tcPr>
            <w:tcW w:w="22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with iorta TechNXT</w:t>
            </w:r>
          </w:p>
        </w:tc>
      </w:tr>
      <w:tr>
        <w:trPr/>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payment files</w:t>
            </w:r>
          </w:p>
        </w:tc>
        <w:tc>
          <w:tcPr>
            <w:tcW w:w="3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Bank's file layout confirmation and test file acceptance per bank and service (bulk credit, InstaPay, PESONet)</w:t>
            </w:r>
          </w:p>
        </w:tc>
        <w:tc>
          <w:tcPr>
            <w:tcW w:w="22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Broker's bank</w:t>
            </w:r>
          </w:p>
        </w:tc>
      </w:tr>
      <w:tr>
        <w:trPr/>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SMS and Viber</w:t>
            </w:r>
          </w:p>
        </w:tc>
        <w:tc>
          <w:tcPr>
            <w:tcW w:w="3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Sender name registration, gateway account, template approval</w:t>
            </w:r>
          </w:p>
        </w:tc>
        <w:tc>
          <w:tcPr>
            <w:tcW w:w="22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w:t>
            </w:r>
          </w:p>
        </w:tc>
      </w:tr>
      <w:tr>
        <w:trPr/>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gateways (PayMongo, Dragonpay)</w:t>
            </w:r>
          </w:p>
        </w:tc>
        <w:tc>
          <w:tcPr>
            <w:tcW w:w="3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Merchant account, live keys, test in the provider's sandbox</w:t>
            </w:r>
          </w:p>
        </w:tc>
        <w:tc>
          <w:tcPr>
            <w:tcW w:w="22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w:t>
            </w:r>
          </w:p>
        </w:tc>
      </w:tr>
      <w:tr>
        <w:trPr/>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Commercial AML screening provider</w:t>
            </w:r>
          </w:p>
        </w:tc>
        <w:tc>
          <w:tcPr>
            <w:tcW w:w="3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Contract and API credentials, list coverage confirmation</w:t>
            </w:r>
          </w:p>
        </w:tc>
        <w:tc>
          <w:tcPr>
            <w:tcW w:w="22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Broker's compliance officer</w:t>
            </w:r>
          </w:p>
        </w:tc>
      </w:tr>
    </w:tbl>
    <w:p>
      <w:pPr>
        <w:pStyle w:val="Normal"/>
        <w:spacing w:before="0" w:after="80"/>
        <w:rPr/>
      </w:pPr>
      <w:r>
        <w:rPr/>
      </w:r>
    </w:p>
    <w:p>
      <w:pPr>
        <w:pStyle w:val="Heading2"/>
        <w:rPr/>
      </w:pPr>
      <w:bookmarkStart w:id="36" w:name="__RefHeading___Toc3853_1225279311"/>
      <w:bookmarkEnd w:id="36"/>
      <w:r>
        <w:rPr>
          <w:rFonts w:eastAsia="Segoe UI" w:cs="Segoe UI"/>
          <w:b/>
          <w:color w:val="0F4761"/>
          <w:sz w:val="26"/>
        </w:rPr>
        <w:t>9.2  Near term (indicative: within 3 months)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693"/>
        <w:gridCol w:w="3320"/>
      </w:tblGrid>
      <w:tr>
        <w:trPr>
          <w:tblHeader w:val="true"/>
        </w:trPr>
        <w:tc>
          <w:tcPr>
            <w:tcW w:w="569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33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Why</w:t>
            </w:r>
          </w:p>
        </w:tc>
      </w:tr>
      <w:tr>
        <w:trPr/>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Done on 04 October 2026: packages B and G merged (supplier 2307, fixed asset disposal, sales activities, quote covers and risk fields included) and verified on the final code</w:t>
            </w:r>
          </w:p>
        </w:tc>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1.1 complete</w:t>
            </w:r>
          </w:p>
        </w:tc>
      </w:tr>
      <w:tr>
        <w:trPr/>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Housekeeping rules for the integration, EIS and workbench tables</w:t>
            </w:r>
          </w:p>
        </w:tc>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 database growth</w:t>
            </w:r>
          </w:p>
        </w:tc>
      </w:tr>
      <w:tr>
        <w:trPr/>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Upgrade react-router (BV-DEF-001)</w:t>
            </w:r>
          </w:p>
        </w:tc>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 the moderate advisory</w:t>
            </w:r>
          </w:p>
        </w:tc>
      </w:tr>
      <w:tr>
        <w:trPr/>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QR code for two-step enrolment; setup screen for scheduled report e-mails</w:t>
            </w:r>
          </w:p>
        </w:tc>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Easier use</w:t>
            </w:r>
          </w:p>
        </w:tc>
      </w:tr>
      <w:tr>
        <w:trPr/>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Image scanning in the pipeline</w:t>
            </w:r>
          </w:p>
        </w:tc>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Secure development lifecycle</w:t>
            </w:r>
          </w:p>
        </w:tc>
      </w:tr>
    </w:tbl>
    <w:p>
      <w:pPr>
        <w:pStyle w:val="Normal"/>
        <w:spacing w:before="0" w:after="80"/>
        <w:rPr/>
      </w:pPr>
      <w:r>
        <w:rPr/>
      </w:r>
    </w:p>
    <w:p>
      <w:pPr>
        <w:pStyle w:val="Heading2"/>
        <w:rPr/>
      </w:pPr>
      <w:bookmarkStart w:id="37" w:name="__RefHeading___Toc3855_1225279311"/>
      <w:bookmarkEnd w:id="37"/>
      <w:r>
        <w:rPr>
          <w:rFonts w:eastAsia="Segoe UI" w:cs="Segoe UI"/>
          <w:b/>
          <w:color w:val="0F4761"/>
          <w:sz w:val="26"/>
        </w:rPr>
        <w:t>9.3  Mid term (indicative: 3 to 9 months)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Why</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Session refresh in an httpOnly cookie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Remove tokens from browser local storage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Move of the front-end build from Create React App to Vite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Maintained build tooling; clears build-time advisories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Rate limits shared across API instances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Consistent limits with several instances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Load test results and sizing confirmation on a production-sized environment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Evidence for larger brokers</w:t>
            </w:r>
          </w:p>
        </w:tc>
      </w:tr>
    </w:tbl>
    <w:p>
      <w:pPr>
        <w:pStyle w:val="Normal"/>
        <w:spacing w:before="0" w:after="80"/>
        <w:rPr/>
      </w:pPr>
      <w:r>
        <w:rPr/>
      </w:r>
    </w:p>
    <w:p>
      <w:pPr>
        <w:pStyle w:val="Heading2"/>
        <w:rPr/>
      </w:pPr>
      <w:bookmarkStart w:id="38" w:name="__RefHeading___Toc3857_1225279311"/>
      <w:bookmarkEnd w:id="38"/>
      <w:r>
        <w:rPr>
          <w:rFonts w:eastAsia="Segoe UI" w:cs="Segoe UI"/>
          <w:b/>
          <w:color w:val="0F4761"/>
          <w:sz w:val="26"/>
        </w:rPr>
        <w:t>9.4  Later (indicative: beyond 9 months)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90"/>
        <w:gridCol w:w="3923"/>
      </w:tblGrid>
      <w:tr>
        <w:trPr>
          <w:tblHeader w:val="true"/>
        </w:trPr>
        <w:tc>
          <w:tcPr>
            <w:tcW w:w="50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39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Why</w:t>
            </w:r>
          </w:p>
        </w:tc>
      </w:tr>
      <w:tr>
        <w:trPr/>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Mobile-friendly screens for sales and claims</w:t>
            </w:r>
          </w:p>
        </w:tc>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Field use</w:t>
            </w:r>
          </w:p>
        </w:tc>
      </w:tr>
      <w:tr>
        <w:trPr/>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Filipino screen translation</w:t>
            </w:r>
          </w:p>
        </w:tc>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who prefer Filipino</w:t>
            </w:r>
          </w:p>
        </w:tc>
      </w:tr>
      <w:tr>
        <w:trPr/>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Further partner connectors as brokers request them</w:t>
            </w:r>
          </w:p>
        </w:tc>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Fewer files and e-mails with partners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Brokers can propose roadmap items through their account manager. iorta TechNXT reviews the roadmap with customers at least once a year [to confirm the forum, for example a customer advisory meeting].</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39" w:name="__RefHeading___Toc3859_1225279311"/>
      <w:bookmarkStart w:id="40" w:name="_Toc233203395"/>
      <w:bookmarkEnd w:id="39"/>
      <w:r>
        <w:rPr>
          <w:rStyle w:val="BookTitle"/>
          <w:bCs w:val="false"/>
          <w:i w:val="false"/>
          <w:iCs w:val="false"/>
          <w:spacing w:val="0"/>
        </w:rPr>
        <w:t>10.  Document Sign-Off</w:t>
      </w:r>
      <w:bookmarkEnd w:id="40"/>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Release tag of the 1.1 build to be confirmed; partner certifications per broker; roadmap dates indicative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3">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2">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2">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2026-10-04T12:02:58Z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