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9.jpeg" ContentType="image/jpeg"/>
  <Override PartName="/word/media/image4.png" ContentType="image/png"/>
  <Override PartName="/word/media/image5.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5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6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5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5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5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5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Architecture, Infrastructure, Security and Data Privacy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Architecture, Infrastructure, Security and Data Privacy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6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9013_3016453686">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9015_3016453686">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9017_3016453686">
            <w:r>
              <w:rPr>
                <w:webHidden/>
                <w:rStyle w:val="IndexLink"/>
              </w:rPr>
              <w:t>3. Introduction</w:t>
              <w:tab/>
              <w:t>6</w:t>
            </w:r>
          </w:hyperlink>
        </w:p>
        <w:p>
          <w:pPr>
            <w:pStyle w:val="TOC2"/>
            <w:tabs>
              <w:tab w:val="clear" w:pos="900"/>
              <w:tab w:val="clear" w:pos="9350"/>
              <w:tab w:val="right" w:pos="9025" w:leader="dot"/>
            </w:tabs>
            <w:rPr/>
          </w:pPr>
          <w:hyperlink w:anchor="__RefHeading___Toc9019_3016453686">
            <w:r>
              <w:rPr>
                <w:webHidden/>
                <w:rStyle w:val="IndexLink"/>
              </w:rPr>
              <w:t>3.1 Purpose</w:t>
              <w:tab/>
              <w:t>6</w:t>
            </w:r>
          </w:hyperlink>
        </w:p>
        <w:p>
          <w:pPr>
            <w:pStyle w:val="TOC2"/>
            <w:tabs>
              <w:tab w:val="clear" w:pos="900"/>
              <w:tab w:val="clear" w:pos="9350"/>
              <w:tab w:val="right" w:pos="9025" w:leader="dot"/>
            </w:tabs>
            <w:rPr/>
          </w:pPr>
          <w:hyperlink w:anchor="__RefHeading___Toc9021_3016453686">
            <w:r>
              <w:rPr>
                <w:webHidden/>
                <w:rStyle w:val="IndexLink"/>
              </w:rPr>
              <w:t>3.2 Sources and conventions</w:t>
              <w:tab/>
              <w:t>6</w:t>
            </w:r>
          </w:hyperlink>
        </w:p>
        <w:p>
          <w:pPr>
            <w:pStyle w:val="TOC2"/>
            <w:tabs>
              <w:tab w:val="clear" w:pos="900"/>
              <w:tab w:val="clear" w:pos="9350"/>
              <w:tab w:val="right" w:pos="9025" w:leader="dot"/>
            </w:tabs>
            <w:rPr/>
          </w:pPr>
          <w:hyperlink w:anchor="__RefHeading___Toc9023_3016453686">
            <w:r>
              <w:rPr>
                <w:webHidden/>
                <w:rStyle w:val="IndexLink"/>
              </w:rPr>
              <w:t>3.3 Related documents</w:t>
              <w:tab/>
              <w:t>7</w:t>
            </w:r>
          </w:hyperlink>
        </w:p>
        <w:p>
          <w:pPr>
            <w:pStyle w:val="TOC1"/>
            <w:tabs>
              <w:tab w:val="clear" w:pos="900"/>
              <w:tab w:val="clear" w:pos="9350"/>
              <w:tab w:val="right" w:pos="9025" w:leader="dot"/>
            </w:tabs>
            <w:rPr/>
          </w:pPr>
          <w:hyperlink w:anchor="__RefHeading___Toc9025_3016453686">
            <w:r>
              <w:rPr>
                <w:webHidden/>
                <w:rStyle w:val="IndexLink"/>
              </w:rPr>
              <w:t>4. Solution overview and logical architecture</w:t>
              <w:tab/>
              <w:t>8</w:t>
            </w:r>
          </w:hyperlink>
        </w:p>
        <w:p>
          <w:pPr>
            <w:pStyle w:val="TOC2"/>
            <w:tabs>
              <w:tab w:val="clear" w:pos="900"/>
              <w:tab w:val="clear" w:pos="9350"/>
              <w:tab w:val="right" w:pos="9025" w:leader="dot"/>
            </w:tabs>
            <w:rPr/>
          </w:pPr>
          <w:hyperlink w:anchor="__RefHeading___Toc9027_3016453686">
            <w:r>
              <w:rPr>
                <w:webHidden/>
                <w:rStyle w:val="IndexLink"/>
              </w:rPr>
              <w:t>4.1 What BrokerVerse does</w:t>
              <w:tab/>
              <w:t>8</w:t>
            </w:r>
          </w:hyperlink>
        </w:p>
        <w:p>
          <w:pPr>
            <w:pStyle w:val="TOC2"/>
            <w:tabs>
              <w:tab w:val="clear" w:pos="900"/>
              <w:tab w:val="clear" w:pos="9350"/>
              <w:tab w:val="right" w:pos="9025" w:leader="dot"/>
            </w:tabs>
            <w:rPr/>
          </w:pPr>
          <w:hyperlink w:anchor="__RefHeading___Toc9029_3016453686">
            <w:r>
              <w:rPr>
                <w:webHidden/>
                <w:rStyle w:val="IndexLink"/>
              </w:rPr>
              <w:t>4.2 Architecture at a glance</w:t>
              <w:tab/>
              <w:t>8</w:t>
            </w:r>
          </w:hyperlink>
        </w:p>
        <w:p>
          <w:pPr>
            <w:pStyle w:val="TOC2"/>
            <w:tabs>
              <w:tab w:val="clear" w:pos="900"/>
              <w:tab w:val="clear" w:pos="9350"/>
              <w:tab w:val="right" w:pos="9025" w:leader="dot"/>
            </w:tabs>
            <w:rPr/>
          </w:pPr>
          <w:hyperlink w:anchor="__RefHeading___Toc9031_3016453686">
            <w:r>
              <w:rPr>
                <w:webHidden/>
                <w:rStyle w:val="IndexLink"/>
              </w:rPr>
              <w:t>4.3 Logical components</w:t>
              <w:tab/>
              <w:t>9</w:t>
            </w:r>
          </w:hyperlink>
        </w:p>
        <w:p>
          <w:pPr>
            <w:pStyle w:val="TOC2"/>
            <w:tabs>
              <w:tab w:val="clear" w:pos="900"/>
              <w:tab w:val="clear" w:pos="9350"/>
              <w:tab w:val="right" w:pos="9025" w:leader="dot"/>
            </w:tabs>
            <w:rPr/>
          </w:pPr>
          <w:hyperlink w:anchor="__RefHeading___Toc9033_3016453686">
            <w:r>
              <w:rPr>
                <w:webHidden/>
                <w:rStyle w:val="IndexLink"/>
              </w:rPr>
              <w:t>4.4 Business modules</w:t>
              <w:tab/>
              <w:t>9</w:t>
            </w:r>
          </w:hyperlink>
        </w:p>
        <w:p>
          <w:pPr>
            <w:pStyle w:val="TOC2"/>
            <w:tabs>
              <w:tab w:val="clear" w:pos="900"/>
              <w:tab w:val="clear" w:pos="9350"/>
              <w:tab w:val="right" w:pos="9025" w:leader="dot"/>
            </w:tabs>
            <w:rPr/>
          </w:pPr>
          <w:hyperlink w:anchor="__RefHeading___Toc9035_3016453686">
            <w:r>
              <w:rPr>
                <w:webHidden/>
                <w:rStyle w:val="IndexLink"/>
              </w:rPr>
              <w:t>4.5 Integrations</w:t>
              <w:tab/>
              <w:t>10</w:t>
            </w:r>
          </w:hyperlink>
        </w:p>
        <w:p>
          <w:pPr>
            <w:pStyle w:val="TOC1"/>
            <w:tabs>
              <w:tab w:val="clear" w:pos="900"/>
              <w:tab w:val="clear" w:pos="9350"/>
              <w:tab w:val="right" w:pos="9025" w:leader="dot"/>
            </w:tabs>
            <w:rPr/>
          </w:pPr>
          <w:hyperlink w:anchor="__RefHeading___Toc9037_3016453686">
            <w:r>
              <w:rPr>
                <w:webHidden/>
                <w:rStyle w:val="IndexLink"/>
              </w:rPr>
              <w:t>5. Technology stack and versions</w:t>
              <w:tab/>
              <w:t>13</w:t>
            </w:r>
          </w:hyperlink>
        </w:p>
        <w:p>
          <w:pPr>
            <w:pStyle w:val="TOC2"/>
            <w:tabs>
              <w:tab w:val="clear" w:pos="900"/>
              <w:tab w:val="clear" w:pos="9350"/>
              <w:tab w:val="right" w:pos="9025" w:leader="dot"/>
            </w:tabs>
            <w:rPr/>
          </w:pPr>
          <w:hyperlink w:anchor="__RefHeading___Toc9039_3016453686">
            <w:r>
              <w:rPr>
                <w:webHidden/>
                <w:rStyle w:val="IndexLink"/>
              </w:rPr>
              <w:t>5.1 Runtime and platform</w:t>
              <w:tab/>
              <w:t>13</w:t>
            </w:r>
          </w:hyperlink>
        </w:p>
        <w:p>
          <w:pPr>
            <w:pStyle w:val="TOC2"/>
            <w:tabs>
              <w:tab w:val="clear" w:pos="900"/>
              <w:tab w:val="clear" w:pos="9350"/>
              <w:tab w:val="right" w:pos="9025" w:leader="dot"/>
            </w:tabs>
            <w:rPr/>
          </w:pPr>
          <w:hyperlink w:anchor="__RefHeading___Toc9041_3016453686">
            <w:r>
              <w:rPr>
                <w:webHidden/>
                <w:rStyle w:val="IndexLink"/>
              </w:rPr>
              <w:t>5.2 Backend dependencies</w:t>
              <w:tab/>
              <w:t>13</w:t>
            </w:r>
          </w:hyperlink>
        </w:p>
        <w:p>
          <w:pPr>
            <w:pStyle w:val="TOC2"/>
            <w:tabs>
              <w:tab w:val="clear" w:pos="900"/>
              <w:tab w:val="clear" w:pos="9350"/>
              <w:tab w:val="right" w:pos="9025" w:leader="dot"/>
            </w:tabs>
            <w:rPr/>
          </w:pPr>
          <w:hyperlink w:anchor="__RefHeading___Toc9043_3016453686">
            <w:r>
              <w:rPr>
                <w:webHidden/>
                <w:rStyle w:val="IndexLink"/>
              </w:rPr>
              <w:t>5.3 Front-end dependencies</w:t>
              <w:tab/>
              <w:t>13</w:t>
            </w:r>
          </w:hyperlink>
        </w:p>
        <w:p>
          <w:pPr>
            <w:pStyle w:val="TOC1"/>
            <w:tabs>
              <w:tab w:val="clear" w:pos="900"/>
              <w:tab w:val="clear" w:pos="9350"/>
              <w:tab w:val="right" w:pos="9025" w:leader="dot"/>
            </w:tabs>
            <w:rPr/>
          </w:pPr>
          <w:hyperlink w:anchor="__RefHeading___Toc9045_3016453686">
            <w:r>
              <w:rPr>
                <w:webHidden/>
                <w:rStyle w:val="IndexLink"/>
              </w:rPr>
              <w:t>6. Deployment architecture options</w:t>
              <w:tab/>
              <w:t>15</w:t>
            </w:r>
          </w:hyperlink>
        </w:p>
        <w:p>
          <w:pPr>
            <w:pStyle w:val="TOC2"/>
            <w:tabs>
              <w:tab w:val="clear" w:pos="900"/>
              <w:tab w:val="clear" w:pos="9350"/>
              <w:tab w:val="right" w:pos="9025" w:leader="dot"/>
            </w:tabs>
            <w:rPr/>
          </w:pPr>
          <w:hyperlink w:anchor="__RefHeading___Toc9047_3016453686">
            <w:r>
              <w:rPr>
                <w:webHidden/>
                <w:rStyle w:val="IndexLink"/>
              </w:rPr>
              <w:t>6.1 Common building blocks</w:t>
              <w:tab/>
              <w:t>15</w:t>
            </w:r>
          </w:hyperlink>
        </w:p>
        <w:p>
          <w:pPr>
            <w:pStyle w:val="TOC2"/>
            <w:tabs>
              <w:tab w:val="clear" w:pos="900"/>
              <w:tab w:val="clear" w:pos="9350"/>
              <w:tab w:val="right" w:pos="9025" w:leader="dot"/>
            </w:tabs>
            <w:rPr/>
          </w:pPr>
          <w:hyperlink w:anchor="__RefHeading___Toc9049_3016453686">
            <w:r>
              <w:rPr>
                <w:webHidden/>
                <w:rStyle w:val="IndexLink"/>
              </w:rPr>
              <w:t>6.2 Environment layout</w:t>
              <w:tab/>
              <w:t>15</w:t>
            </w:r>
          </w:hyperlink>
        </w:p>
        <w:p>
          <w:pPr>
            <w:pStyle w:val="TOC2"/>
            <w:tabs>
              <w:tab w:val="clear" w:pos="900"/>
              <w:tab w:val="clear" w:pos="9350"/>
              <w:tab w:val="right" w:pos="9025" w:leader="dot"/>
            </w:tabs>
            <w:rPr/>
          </w:pPr>
          <w:hyperlink w:anchor="__RefHeading___Toc9051_3016453686">
            <w:r>
              <w:rPr>
                <w:webHidden/>
                <w:rStyle w:val="IndexLink"/>
              </w:rPr>
              <w:t>6.3 Network zones</w:t>
              <w:tab/>
              <w:t>16</w:t>
            </w:r>
          </w:hyperlink>
        </w:p>
        <w:p>
          <w:pPr>
            <w:pStyle w:val="TOC2"/>
            <w:tabs>
              <w:tab w:val="clear" w:pos="900"/>
              <w:tab w:val="clear" w:pos="9350"/>
              <w:tab w:val="right" w:pos="9025" w:leader="dot"/>
            </w:tabs>
            <w:rPr/>
          </w:pPr>
          <w:hyperlink w:anchor="__RefHeading___Toc9053_3016453686">
            <w:r>
              <w:rPr>
                <w:webHidden/>
                <w:rStyle w:val="IndexLink"/>
              </w:rPr>
              <w:t>6.4 Option A: customer cloud on AWS (Singapore)</w:t>
              <w:tab/>
              <w:t>16</w:t>
            </w:r>
          </w:hyperlink>
        </w:p>
        <w:p>
          <w:pPr>
            <w:pStyle w:val="TOC2"/>
            <w:tabs>
              <w:tab w:val="clear" w:pos="900"/>
              <w:tab w:val="clear" w:pos="9350"/>
              <w:tab w:val="right" w:pos="9025" w:leader="dot"/>
            </w:tabs>
            <w:rPr/>
          </w:pPr>
          <w:hyperlink w:anchor="__RefHeading___Toc9055_3016453686">
            <w:r>
              <w:rPr>
                <w:webHidden/>
                <w:rStyle w:val="IndexLink"/>
              </w:rPr>
              <w:t>6.5 Option B: Microsoft Azure (Southeast Asia)</w:t>
              <w:tab/>
              <w:t>18</w:t>
            </w:r>
          </w:hyperlink>
        </w:p>
        <w:p>
          <w:pPr>
            <w:pStyle w:val="TOC2"/>
            <w:tabs>
              <w:tab w:val="clear" w:pos="900"/>
              <w:tab w:val="clear" w:pos="9350"/>
              <w:tab w:val="right" w:pos="9025" w:leader="dot"/>
            </w:tabs>
            <w:rPr/>
          </w:pPr>
          <w:hyperlink w:anchor="__RefHeading___Toc9057_3016453686">
            <w:r>
              <w:rPr>
                <w:webHidden/>
                <w:rStyle w:val="IndexLink"/>
              </w:rPr>
              <w:t>6.6 Option C: local partner or on-premise data centre in the Philippines</w:t>
              <w:tab/>
              <w:t>18</w:t>
            </w:r>
          </w:hyperlink>
        </w:p>
        <w:p>
          <w:pPr>
            <w:pStyle w:val="TOC2"/>
            <w:tabs>
              <w:tab w:val="clear" w:pos="900"/>
              <w:tab w:val="clear" w:pos="9350"/>
              <w:tab w:val="right" w:pos="9025" w:leader="dot"/>
            </w:tabs>
            <w:rPr/>
          </w:pPr>
          <w:hyperlink w:anchor="__RefHeading___Toc9059_3016453686">
            <w:r>
              <w:rPr>
                <w:webHidden/>
                <w:rStyle w:val="IndexLink"/>
              </w:rPr>
              <w:t>6.7 Sizing by broker size</w:t>
              <w:tab/>
              <w:t>19</w:t>
            </w:r>
          </w:hyperlink>
        </w:p>
        <w:p>
          <w:pPr>
            <w:pStyle w:val="TOC2"/>
            <w:tabs>
              <w:tab w:val="clear" w:pos="900"/>
              <w:tab w:val="clear" w:pos="9350"/>
              <w:tab w:val="right" w:pos="9025" w:leader="dot"/>
            </w:tabs>
            <w:rPr/>
          </w:pPr>
          <w:hyperlink w:anchor="__RefHeading___Toc9061_3016453686">
            <w:r>
              <w:rPr>
                <w:webHidden/>
                <w:rStyle w:val="IndexLink"/>
              </w:rPr>
              <w:t>6.8 Indicative monthly cost</w:t>
              <w:tab/>
              <w:t>19</w:t>
            </w:r>
          </w:hyperlink>
        </w:p>
        <w:p>
          <w:pPr>
            <w:pStyle w:val="TOC1"/>
            <w:tabs>
              <w:tab w:val="clear" w:pos="900"/>
              <w:tab w:val="clear" w:pos="9350"/>
              <w:tab w:val="right" w:pos="9025" w:leader="dot"/>
            </w:tabs>
            <w:rPr/>
          </w:pPr>
          <w:hyperlink w:anchor="__RefHeading___Toc9063_3016453686">
            <w:r>
              <w:rPr>
                <w:webHidden/>
                <w:rStyle w:val="IndexLink"/>
              </w:rPr>
              <w:t>7. CI/CD and release management</w:t>
              <w:tab/>
              <w:t>21</w:t>
            </w:r>
          </w:hyperlink>
        </w:p>
        <w:p>
          <w:pPr>
            <w:pStyle w:val="TOC2"/>
            <w:tabs>
              <w:tab w:val="clear" w:pos="900"/>
              <w:tab w:val="clear" w:pos="9350"/>
              <w:tab w:val="right" w:pos="9025" w:leader="dot"/>
            </w:tabs>
            <w:rPr/>
          </w:pPr>
          <w:hyperlink w:anchor="__RefHeading___Toc9065_3016453686">
            <w:r>
              <w:rPr>
                <w:webHidden/>
                <w:rStyle w:val="IndexLink"/>
              </w:rPr>
              <w:t>7.1 Workflows in the repository</w:t>
              <w:tab/>
              <w:t>21</w:t>
            </w:r>
          </w:hyperlink>
        </w:p>
        <w:p>
          <w:pPr>
            <w:pStyle w:val="TOC2"/>
            <w:tabs>
              <w:tab w:val="clear" w:pos="900"/>
              <w:tab w:val="clear" w:pos="9350"/>
              <w:tab w:val="right" w:pos="9025" w:leader="dot"/>
            </w:tabs>
            <w:rPr/>
          </w:pPr>
          <w:hyperlink w:anchor="__RefHeading___Toc9067_3016453686">
            <w:r>
              <w:rPr>
                <w:webHidden/>
                <w:rStyle w:val="IndexLink"/>
              </w:rPr>
              <w:t>7.2 Release process</w:t>
              <w:tab/>
              <w:t>21</w:t>
            </w:r>
          </w:hyperlink>
        </w:p>
        <w:p>
          <w:pPr>
            <w:pStyle w:val="TOC2"/>
            <w:tabs>
              <w:tab w:val="clear" w:pos="900"/>
              <w:tab w:val="clear" w:pos="9350"/>
              <w:tab w:val="right" w:pos="9025" w:leader="dot"/>
            </w:tabs>
            <w:rPr/>
          </w:pPr>
          <w:hyperlink w:anchor="__RefHeading___Toc9069_3016453686">
            <w:r>
              <w:rPr>
                <w:webHidden/>
                <w:rStyle w:val="IndexLink"/>
              </w:rPr>
              <w:t>7.3 Environment configuration and secrets</w:t>
              <w:tab/>
              <w:t>22</w:t>
            </w:r>
          </w:hyperlink>
        </w:p>
        <w:p>
          <w:pPr>
            <w:pStyle w:val="TOC2"/>
            <w:tabs>
              <w:tab w:val="clear" w:pos="900"/>
              <w:tab w:val="clear" w:pos="9350"/>
              <w:tab w:val="right" w:pos="9025" w:leader="dot"/>
            </w:tabs>
            <w:rPr/>
          </w:pPr>
          <w:hyperlink w:anchor="__RefHeading___Toc9071_3016453686">
            <w:r>
              <w:rPr>
                <w:webHidden/>
                <w:rStyle w:val="IndexLink"/>
              </w:rPr>
              <w:t>7.4 Database migrations on start</w:t>
              <w:tab/>
              <w:t>23</w:t>
            </w:r>
          </w:hyperlink>
        </w:p>
        <w:p>
          <w:pPr>
            <w:pStyle w:val="TOC1"/>
            <w:tabs>
              <w:tab w:val="clear" w:pos="900"/>
              <w:tab w:val="clear" w:pos="9350"/>
              <w:tab w:val="right" w:pos="9025" w:leader="dot"/>
            </w:tabs>
            <w:rPr/>
          </w:pPr>
          <w:hyperlink w:anchor="__RefHeading___Toc9073_3016453686">
            <w:r>
              <w:rPr>
                <w:webHidden/>
                <w:rStyle w:val="IndexLink"/>
              </w:rPr>
              <w:t>8. High availability, backup and recovery</w:t>
              <w:tab/>
              <w:t>24</w:t>
            </w:r>
          </w:hyperlink>
        </w:p>
        <w:p>
          <w:pPr>
            <w:pStyle w:val="TOC2"/>
            <w:tabs>
              <w:tab w:val="clear" w:pos="900"/>
              <w:tab w:val="clear" w:pos="9350"/>
              <w:tab w:val="right" w:pos="9025" w:leader="dot"/>
            </w:tabs>
            <w:rPr/>
          </w:pPr>
          <w:hyperlink w:anchor="__RefHeading___Toc9075_3016453686">
            <w:r>
              <w:rPr>
                <w:webHidden/>
                <w:rStyle w:val="IndexLink"/>
              </w:rPr>
              <w:t>8.1 Resilience properties of the application</w:t>
              <w:tab/>
              <w:t>24</w:t>
            </w:r>
          </w:hyperlink>
        </w:p>
        <w:p>
          <w:pPr>
            <w:pStyle w:val="TOC2"/>
            <w:tabs>
              <w:tab w:val="clear" w:pos="900"/>
              <w:tab w:val="clear" w:pos="9350"/>
              <w:tab w:val="right" w:pos="9025" w:leader="dot"/>
            </w:tabs>
            <w:rPr/>
          </w:pPr>
          <w:hyperlink w:anchor="__RefHeading___Toc9077_3016453686">
            <w:r>
              <w:rPr>
                <w:webHidden/>
                <w:rStyle w:val="IndexLink"/>
              </w:rPr>
              <w:t>8.2 Recovery objectives</w:t>
              <w:tab/>
              <w:t>25</w:t>
            </w:r>
          </w:hyperlink>
        </w:p>
        <w:p>
          <w:pPr>
            <w:pStyle w:val="TOC2"/>
            <w:tabs>
              <w:tab w:val="clear" w:pos="900"/>
              <w:tab w:val="clear" w:pos="9350"/>
              <w:tab w:val="right" w:pos="9025" w:leader="dot"/>
            </w:tabs>
            <w:rPr/>
          </w:pPr>
          <w:hyperlink w:anchor="__RefHeading___Toc9079_3016453686">
            <w:r>
              <w:rPr>
                <w:webHidden/>
                <w:rStyle w:val="IndexLink"/>
              </w:rPr>
              <w:t>8.3 Backup</w:t>
              <w:tab/>
              <w:t>25</w:t>
            </w:r>
          </w:hyperlink>
        </w:p>
        <w:p>
          <w:pPr>
            <w:pStyle w:val="TOC2"/>
            <w:tabs>
              <w:tab w:val="clear" w:pos="900"/>
              <w:tab w:val="clear" w:pos="9350"/>
              <w:tab w:val="right" w:pos="9025" w:leader="dot"/>
            </w:tabs>
            <w:rPr/>
          </w:pPr>
          <w:hyperlink w:anchor="__RefHeading___Toc9081_3016453686">
            <w:r>
              <w:rPr>
                <w:webHidden/>
                <w:rStyle w:val="IndexLink"/>
              </w:rPr>
              <w:t>8.4 Archival and housekeeping</w:t>
              <w:tab/>
              <w:t>26</w:t>
            </w:r>
          </w:hyperlink>
        </w:p>
        <w:p>
          <w:pPr>
            <w:pStyle w:val="TOC2"/>
            <w:tabs>
              <w:tab w:val="clear" w:pos="900"/>
              <w:tab w:val="clear" w:pos="9350"/>
              <w:tab w:val="right" w:pos="9025" w:leader="dot"/>
            </w:tabs>
            <w:rPr/>
          </w:pPr>
          <w:hyperlink w:anchor="__RefHeading___Toc9083_3016453686">
            <w:r>
              <w:rPr>
                <w:webHidden/>
                <w:rStyle w:val="IndexLink"/>
              </w:rPr>
              <w:t>8.5 Monitoring and alerting</w:t>
              <w:tab/>
              <w:t>27</w:t>
            </w:r>
          </w:hyperlink>
        </w:p>
        <w:p>
          <w:pPr>
            <w:pStyle w:val="TOC1"/>
            <w:tabs>
              <w:tab w:val="clear" w:pos="900"/>
              <w:tab w:val="clear" w:pos="9350"/>
              <w:tab w:val="right" w:pos="9025" w:leader="dot"/>
            </w:tabs>
            <w:rPr/>
          </w:pPr>
          <w:hyperlink w:anchor="__RefHeading___Toc9085_3016453686">
            <w:r>
              <w:rPr>
                <w:webHidden/>
                <w:rStyle w:val="IndexLink"/>
              </w:rPr>
              <w:t>9. Security architecture</w:t>
              <w:tab/>
              <w:t>29</w:t>
            </w:r>
          </w:hyperlink>
        </w:p>
        <w:p>
          <w:pPr>
            <w:pStyle w:val="TOC2"/>
            <w:tabs>
              <w:tab w:val="clear" w:pos="900"/>
              <w:tab w:val="clear" w:pos="9350"/>
              <w:tab w:val="right" w:pos="9025" w:leader="dot"/>
            </w:tabs>
            <w:rPr/>
          </w:pPr>
          <w:hyperlink w:anchor="__RefHeading___Toc9087_3016453686">
            <w:r>
              <w:rPr>
                <w:webHidden/>
                <w:rStyle w:val="IndexLink"/>
              </w:rPr>
              <w:t>9.1 Identity and authentication</w:t>
              <w:tab/>
              <w:t>29</w:t>
            </w:r>
          </w:hyperlink>
        </w:p>
        <w:p>
          <w:pPr>
            <w:pStyle w:val="TOC2"/>
            <w:tabs>
              <w:tab w:val="clear" w:pos="900"/>
              <w:tab w:val="clear" w:pos="9350"/>
              <w:tab w:val="right" w:pos="9025" w:leader="dot"/>
            </w:tabs>
            <w:rPr/>
          </w:pPr>
          <w:hyperlink w:anchor="__RefHeading___Toc9089_3016453686">
            <w:r>
              <w:rPr>
                <w:webHidden/>
                <w:rStyle w:val="IndexLink"/>
              </w:rPr>
              <w:t>9.2 Authorisation, maker-checker and segregation of duties</w:t>
              <w:tab/>
              <w:t>29</w:t>
            </w:r>
          </w:hyperlink>
        </w:p>
        <w:p>
          <w:pPr>
            <w:pStyle w:val="TOC2"/>
            <w:tabs>
              <w:tab w:val="clear" w:pos="900"/>
              <w:tab w:val="clear" w:pos="9350"/>
              <w:tab w:val="right" w:pos="9025" w:leader="dot"/>
            </w:tabs>
            <w:rPr/>
          </w:pPr>
          <w:hyperlink w:anchor="__RefHeading___Toc9091_3016453686">
            <w:r>
              <w:rPr>
                <w:webHidden/>
                <w:rStyle w:val="IndexLink"/>
              </w:rPr>
              <w:t>9.3 Application security controls (OWASP Top 10, 2021)</w:t>
              <w:tab/>
              <w:t>30</w:t>
            </w:r>
          </w:hyperlink>
        </w:p>
        <w:p>
          <w:pPr>
            <w:pStyle w:val="TOC2"/>
            <w:tabs>
              <w:tab w:val="clear" w:pos="900"/>
              <w:tab w:val="clear" w:pos="9350"/>
              <w:tab w:val="right" w:pos="9025" w:leader="dot"/>
            </w:tabs>
            <w:rPr/>
          </w:pPr>
          <w:hyperlink w:anchor="__RefHeading___Toc9093_3016453686">
            <w:r>
              <w:rPr>
                <w:webHidden/>
                <w:rStyle w:val="IndexLink"/>
              </w:rPr>
              <w:t>9.4 Encryption</w:t>
              <w:tab/>
              <w:t>31</w:t>
            </w:r>
          </w:hyperlink>
        </w:p>
        <w:p>
          <w:pPr>
            <w:pStyle w:val="TOC2"/>
            <w:tabs>
              <w:tab w:val="clear" w:pos="900"/>
              <w:tab w:val="clear" w:pos="9350"/>
              <w:tab w:val="right" w:pos="9025" w:leader="dot"/>
            </w:tabs>
            <w:rPr/>
          </w:pPr>
          <w:hyperlink w:anchor="__RefHeading___Toc9095_3016453686">
            <w:r>
              <w:rPr>
                <w:webHidden/>
                <w:rStyle w:val="IndexLink"/>
              </w:rPr>
              <w:t>9.5 Audit trail and logging</w:t>
              <w:tab/>
              <w:t>32</w:t>
            </w:r>
          </w:hyperlink>
        </w:p>
        <w:p>
          <w:pPr>
            <w:pStyle w:val="TOC2"/>
            <w:tabs>
              <w:tab w:val="clear" w:pos="900"/>
              <w:tab w:val="clear" w:pos="9350"/>
              <w:tab w:val="right" w:pos="9025" w:leader="dot"/>
            </w:tabs>
            <w:rPr/>
          </w:pPr>
          <w:hyperlink w:anchor="__RefHeading___Toc9097_3016453686">
            <w:r>
              <w:rPr>
                <w:webHidden/>
                <w:rStyle w:val="IndexLink"/>
              </w:rPr>
              <w:t>9.6 Vulnerability management</w:t>
              <w:tab/>
              <w:t>32</w:t>
            </w:r>
          </w:hyperlink>
        </w:p>
        <w:p>
          <w:pPr>
            <w:pStyle w:val="TOC2"/>
            <w:tabs>
              <w:tab w:val="clear" w:pos="900"/>
              <w:tab w:val="clear" w:pos="9350"/>
              <w:tab w:val="right" w:pos="9025" w:leader="dot"/>
            </w:tabs>
            <w:rPr/>
          </w:pPr>
          <w:hyperlink w:anchor="__RefHeading___Toc9099_3016453686">
            <w:r>
              <w:rPr>
                <w:webHidden/>
                <w:rStyle w:val="IndexLink"/>
              </w:rPr>
              <w:t>9.7 Penetration testing approach</w:t>
              <w:tab/>
              <w:t>33</w:t>
            </w:r>
          </w:hyperlink>
        </w:p>
        <w:p>
          <w:pPr>
            <w:pStyle w:val="TOC2"/>
            <w:tabs>
              <w:tab w:val="clear" w:pos="900"/>
              <w:tab w:val="clear" w:pos="9350"/>
              <w:tab w:val="right" w:pos="9025" w:leader="dot"/>
            </w:tabs>
            <w:rPr/>
          </w:pPr>
          <w:hyperlink w:anchor="__RefHeading___Toc9101_3016453686">
            <w:r>
              <w:rPr>
                <w:webHidden/>
                <w:rStyle w:val="IndexLink"/>
              </w:rPr>
              <w:t>9.8 Secure development lifecycle</w:t>
              <w:tab/>
              <w:t>33</w:t>
            </w:r>
          </w:hyperlink>
        </w:p>
        <w:p>
          <w:pPr>
            <w:pStyle w:val="TOC1"/>
            <w:tabs>
              <w:tab w:val="clear" w:pos="900"/>
              <w:tab w:val="clear" w:pos="9350"/>
              <w:tab w:val="right" w:pos="9025" w:leader="dot"/>
            </w:tabs>
            <w:rPr/>
          </w:pPr>
          <w:hyperlink w:anchor="__RefHeading___Toc9103_3016453686">
            <w:r>
              <w:rPr>
                <w:webHidden/>
                <w:rStyle w:val="IndexLink"/>
              </w:rPr>
              <w:t>10. Data privacy</w:t>
              <w:tab/>
              <w:t>34</w:t>
            </w:r>
          </w:hyperlink>
        </w:p>
        <w:p>
          <w:pPr>
            <w:pStyle w:val="TOC2"/>
            <w:tabs>
              <w:tab w:val="clear" w:pos="900"/>
              <w:tab w:val="clear" w:pos="9350"/>
              <w:tab w:val="right" w:pos="9025" w:leader="dot"/>
            </w:tabs>
            <w:rPr/>
          </w:pPr>
          <w:hyperlink w:anchor="__RefHeading___Toc9105_3016453686">
            <w:r>
              <w:rPr>
                <w:webHidden/>
                <w:rStyle w:val="IndexLink"/>
              </w:rPr>
              <w:t>10.1 Legal framework</w:t>
              <w:tab/>
              <w:t>34</w:t>
            </w:r>
          </w:hyperlink>
        </w:p>
        <w:p>
          <w:pPr>
            <w:pStyle w:val="TOC2"/>
            <w:tabs>
              <w:tab w:val="clear" w:pos="900"/>
              <w:tab w:val="clear" w:pos="9350"/>
              <w:tab w:val="right" w:pos="9025" w:leader="dot"/>
            </w:tabs>
            <w:rPr/>
          </w:pPr>
          <w:hyperlink w:anchor="__RefHeading___Toc9107_3016453686">
            <w:r>
              <w:rPr>
                <w:webHidden/>
                <w:rStyle w:val="IndexLink"/>
              </w:rPr>
              <w:t>10.2 Roles under the DPA</w:t>
              <w:tab/>
              <w:t>34</w:t>
            </w:r>
          </w:hyperlink>
        </w:p>
        <w:p>
          <w:pPr>
            <w:pStyle w:val="TOC2"/>
            <w:tabs>
              <w:tab w:val="clear" w:pos="900"/>
              <w:tab w:val="clear" w:pos="9350"/>
              <w:tab w:val="right" w:pos="9025" w:leader="dot"/>
            </w:tabs>
            <w:rPr/>
          </w:pPr>
          <w:hyperlink w:anchor="__RefHeading___Toc9109_3016453686">
            <w:r>
              <w:rPr>
                <w:webHidden/>
                <w:rStyle w:val="IndexLink"/>
              </w:rPr>
              <w:t>10.3 Personal data held in BrokerVerse</w:t>
              <w:tab/>
              <w:t>34</w:t>
            </w:r>
          </w:hyperlink>
        </w:p>
        <w:p>
          <w:pPr>
            <w:pStyle w:val="TOC2"/>
            <w:tabs>
              <w:tab w:val="clear" w:pos="900"/>
              <w:tab w:val="clear" w:pos="9350"/>
              <w:tab w:val="right" w:pos="9025" w:leader="dot"/>
            </w:tabs>
            <w:rPr/>
          </w:pPr>
          <w:hyperlink w:anchor="__RefHeading___Toc9111_3016453686">
            <w:r>
              <w:rPr>
                <w:webHidden/>
                <w:rStyle w:val="IndexLink"/>
              </w:rPr>
              <w:t>10.4 Lawful basis and consent</w:t>
              <w:tab/>
              <w:t>35</w:t>
            </w:r>
          </w:hyperlink>
        </w:p>
        <w:p>
          <w:pPr>
            <w:pStyle w:val="TOC2"/>
            <w:tabs>
              <w:tab w:val="clear" w:pos="900"/>
              <w:tab w:val="clear" w:pos="9350"/>
              <w:tab w:val="right" w:pos="9025" w:leader="dot"/>
            </w:tabs>
            <w:rPr/>
          </w:pPr>
          <w:hyperlink w:anchor="__RefHeading___Toc9113_3016453686">
            <w:r>
              <w:rPr>
                <w:webHidden/>
                <w:rStyle w:val="IndexLink"/>
              </w:rPr>
              <w:t>10.5 Data subject rights</w:t>
              <w:tab/>
              <w:t>36</w:t>
            </w:r>
          </w:hyperlink>
        </w:p>
        <w:p>
          <w:pPr>
            <w:pStyle w:val="TOC2"/>
            <w:tabs>
              <w:tab w:val="clear" w:pos="900"/>
              <w:tab w:val="clear" w:pos="9350"/>
              <w:tab w:val="right" w:pos="9025" w:leader="dot"/>
            </w:tabs>
            <w:rPr/>
          </w:pPr>
          <w:hyperlink w:anchor="__RefHeading___Toc9115_3016453686">
            <w:r>
              <w:rPr>
                <w:webHidden/>
                <w:rStyle w:val="IndexLink"/>
              </w:rPr>
              <w:t>10.6 Retention and disposal</w:t>
              <w:tab/>
              <w:t>36</w:t>
            </w:r>
          </w:hyperlink>
        </w:p>
        <w:p>
          <w:pPr>
            <w:pStyle w:val="TOC2"/>
            <w:tabs>
              <w:tab w:val="clear" w:pos="900"/>
              <w:tab w:val="clear" w:pos="9350"/>
              <w:tab w:val="right" w:pos="9025" w:leader="dot"/>
            </w:tabs>
            <w:rPr/>
          </w:pPr>
          <w:hyperlink w:anchor="__RefHeading___Toc9117_3016453686">
            <w:r>
              <w:rPr>
                <w:webHidden/>
                <w:rStyle w:val="IndexLink"/>
              </w:rPr>
              <w:t>10.7 Security of personal data</w:t>
              <w:tab/>
              <w:t>37</w:t>
            </w:r>
          </w:hyperlink>
        </w:p>
        <w:p>
          <w:pPr>
            <w:pStyle w:val="TOC2"/>
            <w:tabs>
              <w:tab w:val="clear" w:pos="900"/>
              <w:tab w:val="clear" w:pos="9350"/>
              <w:tab w:val="right" w:pos="9025" w:leader="dot"/>
            </w:tabs>
            <w:rPr/>
          </w:pPr>
          <w:hyperlink w:anchor="__RefHeading___Toc9119_3016453686">
            <w:r>
              <w:rPr>
                <w:webHidden/>
                <w:rStyle w:val="IndexLink"/>
              </w:rPr>
              <w:t>10.8 Cross-border transfer</w:t>
              <w:tab/>
              <w:t>37</w:t>
            </w:r>
          </w:hyperlink>
        </w:p>
        <w:p>
          <w:pPr>
            <w:pStyle w:val="TOC2"/>
            <w:tabs>
              <w:tab w:val="clear" w:pos="900"/>
              <w:tab w:val="clear" w:pos="9350"/>
              <w:tab w:val="right" w:pos="9025" w:leader="dot"/>
            </w:tabs>
            <w:rPr/>
          </w:pPr>
          <w:hyperlink w:anchor="__RefHeading___Toc9121_3016453686">
            <w:r>
              <w:rPr>
                <w:webHidden/>
                <w:rStyle w:val="IndexLink"/>
              </w:rPr>
              <w:t>10.9 Breach management</w:t>
              <w:tab/>
              <w:t>37</w:t>
            </w:r>
          </w:hyperlink>
        </w:p>
        <w:p>
          <w:pPr>
            <w:pStyle w:val="TOC1"/>
            <w:tabs>
              <w:tab w:val="clear" w:pos="900"/>
              <w:tab w:val="clear" w:pos="9350"/>
              <w:tab w:val="right" w:pos="9025" w:leader="dot"/>
            </w:tabs>
            <w:rPr/>
          </w:pPr>
          <w:hyperlink w:anchor="__RefHeading___Toc9123_3016453686">
            <w:r>
              <w:rPr>
                <w:webHidden/>
                <w:rStyle w:val="IndexLink"/>
              </w:rPr>
              <w:t>11. Insurance Commission and records</w:t>
              <w:tab/>
              <w:t>38</w:t>
            </w:r>
          </w:hyperlink>
        </w:p>
        <w:p>
          <w:pPr>
            <w:pStyle w:val="TOC1"/>
            <w:tabs>
              <w:tab w:val="clear" w:pos="900"/>
              <w:tab w:val="clear" w:pos="9350"/>
              <w:tab w:val="right" w:pos="9025" w:leader="dot"/>
            </w:tabs>
            <w:rPr/>
          </w:pPr>
          <w:hyperlink w:anchor="__RefHeading___Toc9125_3016453686">
            <w:r>
              <w:rPr>
                <w:webHidden/>
                <w:rStyle w:val="IndexLink"/>
              </w:rPr>
              <w:t>12. Compliance checklist</w:t>
              <w:tab/>
              <w:t>39</w:t>
            </w:r>
          </w:hyperlink>
        </w:p>
        <w:p>
          <w:pPr>
            <w:pStyle w:val="TOC1"/>
            <w:tabs>
              <w:tab w:val="clear" w:pos="900"/>
              <w:tab w:val="clear" w:pos="9350"/>
              <w:tab w:val="right" w:pos="9025" w:leader="dot"/>
            </w:tabs>
            <w:rPr/>
          </w:pPr>
          <w:hyperlink w:anchor="__RefHeading___Toc9127_3016453686">
            <w:r>
              <w:rPr>
                <w:webHidden/>
                <w:rStyle w:val="IndexLink"/>
                <w:i w:val="false"/>
                <w:iCs w:val="false"/>
              </w:rPr>
              <w:t>13. Document Sign-Off</w:t>
            </w:r>
            <w:r>
              <w:rPr>
                <w:rStyle w:val="IndexLink"/>
              </w:rPr>
              <w:tab/>
              <w:t>41</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9013_3016453686"/>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1.1.1: release figures aligned (packages B and G merged on 04 October 2026; backend suite of 104 test files). Version 1.1: new modules (AML/CFT, BIR, operations and accounting, distribution, My Work, go-live workbench), integration framework and its connectors, encryption of personal identifiers at rest and masking by role, runtime theming and e-signatures, release pipeline, IC and NPC compliance registers</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9015_3016453686"/>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(Republic Act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IRR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Implementing Rules and Regulations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controller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 information processor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Single-page application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RDS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Amazon Relational Database Service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EFS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Amazon Elastic File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application firewall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Content delivery network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JSON Web Token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Segregation of duties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Development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Pre-production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Production environment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Personally identifiable information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OIDC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OpenID Connect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9017_3016453686"/>
      <w:bookmarkEnd w:id="6"/>
      <w:r>
        <w:rPr>
          <w:rFonts w:eastAsia="Segoe UI" w:cs="Segoe UI" w:ascii="Segoe UI" w:hAnsi="Segoe UI"/>
          <w:b/>
          <w:color w:val="0F4761"/>
          <w:sz w:val="32"/>
        </w:rPr>
        <w:t>3.  Introduction</w:t>
      </w:r>
    </w:p>
    <w:p>
      <w:pPr>
        <w:pStyle w:val="Heading2"/>
        <w:rPr/>
      </w:pPr>
      <w:bookmarkStart w:id="7" w:name="__RefHeading___Toc9019_3016453686"/>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describes how BrokerVerse OOTB is built, how it can be hosted for a Philippine non-life insurance broker, how it is secured and how it supports the broker's obligations under the Data Privacy Act of 2012. It is written for the broker's management, IT, compliance and data protection officer, and for the support team that takes over the system.</w:t>
      </w:r>
    </w:p>
    <w:p>
      <w:pPr>
        <w:pStyle w:val="Heading2"/>
        <w:rPr/>
      </w:pPr>
      <w:bookmarkStart w:id="8" w:name="__RefHeading___Toc9021_3016453686"/>
      <w:bookmarkEnd w:id="8"/>
      <w:r>
        <w:rPr>
          <w:rFonts w:eastAsia="Segoe UI" w:cs="Segoe UI"/>
          <w:b/>
          <w:color w:val="0F4761"/>
          <w:sz w:val="26"/>
        </w:rPr>
        <w:t>3.2  Sources and conventions</w:t>
      </w:r>
    </w:p>
    <w:p>
      <w:pPr>
        <w:pStyle w:val="Normal"/>
        <w:spacing w:lineRule="auto" w:line="276" w:before="0" w:after="120"/>
        <w:rPr/>
      </w:pPr>
      <w:r>
        <w:rPr>
          <w:rFonts w:eastAsia="Segoe UI" w:cs="Segoe UI" w:ascii="Segoe UI" w:hAnsi="Segoe UI"/>
          <w:color w:val="101820"/>
          <w:sz w:val="21"/>
        </w:rPr>
        <w:t xml:space="preserve">The facts in this document come from the source code and configuration of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on 04 October 2026 (backend in </w:t>
      </w:r>
      <w:r>
        <w:rPr>
          <w:rFonts w:eastAsia="Consolas" w:cs="Consolas" w:ascii="Consolas" w:hAnsi="Consolas"/>
          <w:color w:val="101820"/>
          <w:sz w:val="19"/>
        </w:rPr>
        <w:t>backend/</w:t>
      </w:r>
      <w:r>
        <w:rPr>
          <w:rFonts w:eastAsia="Segoe UI" w:cs="Segoe UI" w:ascii="Segoe UI" w:hAnsi="Segoe UI"/>
          <w:color w:val="101820"/>
          <w:sz w:val="21"/>
        </w:rPr>
        <w:t xml:space="preserve">, front end in </w:t>
      </w:r>
      <w:r>
        <w:rPr>
          <w:rFonts w:eastAsia="Consolas" w:cs="Consolas" w:ascii="Consolas" w:hAnsi="Consolas"/>
          <w:color w:val="101820"/>
          <w:sz w:val="19"/>
        </w:rPr>
        <w:t>brokerverse/</w:t>
      </w:r>
      <w:r>
        <w:rPr>
          <w:rFonts w:eastAsia="Segoe UI" w:cs="Segoe UI" w:ascii="Segoe UI" w:hAnsi="Segoe UI"/>
          <w:color w:val="101820"/>
          <w:sz w:val="21"/>
        </w:rPr>
        <w:t xml:space="preserve">), including the two packages merged into it that day (package B: Insurance Commission and data privacy compliance, with encryption and masking of personal data; package G: sales activities, quote covers and risk fields, supplier BIR Form 2307 and fixed asset disposal), the deployment package in </w:t>
      </w:r>
      <w:r>
        <w:rPr>
          <w:rFonts w:eastAsia="Consolas" w:cs="Consolas" w:ascii="Consolas" w:hAnsi="Consolas"/>
          <w:color w:val="101820"/>
          <w:sz w:val="19"/>
        </w:rPr>
        <w:t>deploy/</w:t>
      </w:r>
      <w:r>
        <w:rPr>
          <w:rFonts w:eastAsia="Segoe UI" w:cs="Segoe UI" w:ascii="Segoe UI" w:hAnsi="Segoe UI"/>
          <w:color w:val="101820"/>
          <w:sz w:val="21"/>
        </w:rPr>
        <w:t xml:space="preserve"> (including </w:t>
      </w:r>
      <w:r>
        <w:rPr>
          <w:rFonts w:eastAsia="Consolas" w:cs="Consolas" w:ascii="Consolas" w:hAnsi="Consolas"/>
          <w:color w:val="101820"/>
          <w:sz w:val="19"/>
        </w:rPr>
        <w:t>deploy/RELEASE_PIPELINE.md</w:t>
      </w:r>
      <w:r>
        <w:rPr>
          <w:rFonts w:eastAsia="Segoe UI" w:cs="Segoe UI" w:ascii="Segoe UI" w:hAnsi="Segoe UI"/>
          <w:color w:val="101820"/>
          <w:sz w:val="21"/>
        </w:rPr>
        <w:t xml:space="preserve">), the GitHub workflows in </w:t>
      </w:r>
      <w:r>
        <w:rPr>
          <w:rFonts w:eastAsia="Consolas" w:cs="Consolas" w:ascii="Consolas" w:hAnsi="Consolas"/>
          <w:color w:val="101820"/>
          <w:sz w:val="19"/>
        </w:rPr>
        <w:t>.github/workflows/</w:t>
      </w:r>
      <w:r>
        <w:rPr>
          <w:rFonts w:eastAsia="Segoe UI" w:cs="Segoe UI" w:ascii="Segoe UI" w:hAnsi="Segoe UI"/>
          <w:color w:val="101820"/>
          <w:sz w:val="21"/>
        </w:rPr>
        <w:t xml:space="preserve">, </w:t>
      </w:r>
      <w:r>
        <w:rPr>
          <w:rFonts w:eastAsia="Consolas" w:cs="Consolas" w:ascii="Consolas" w:hAnsi="Consolas"/>
          <w:color w:val="101820"/>
          <w:sz w:val="19"/>
        </w:rPr>
        <w:t>docker-compose.yml</w:t>
      </w:r>
      <w:r>
        <w:rPr>
          <w:rFonts w:eastAsia="Segoe UI" w:cs="Segoe UI" w:ascii="Segoe UI" w:hAnsi="Segoe UI"/>
          <w:color w:val="101820"/>
          <w:sz w:val="21"/>
        </w:rPr>
        <w:t xml:space="preserve">, the onboarding guides in </w:t>
      </w:r>
      <w:r>
        <w:rPr>
          <w:rFonts w:eastAsia="Consolas" w:cs="Consolas" w:ascii="Consolas" w:hAnsi="Consolas"/>
          <w:color w:val="101820"/>
          <w:sz w:val="19"/>
        </w:rPr>
        <w:t>docs/onboarding/</w:t>
      </w:r>
      <w:r>
        <w:rPr>
          <w:rFonts w:eastAsia="Segoe UI" w:cs="Segoe UI" w:ascii="Segoe UI" w:hAnsi="Segoe UI"/>
          <w:color w:val="101820"/>
          <w:sz w:val="21"/>
        </w:rPr>
        <w:t xml:space="preserve"> and the eleven Solution Architecture documents in </w:t>
      </w:r>
      <w:r>
        <w:rPr>
          <w:rFonts w:eastAsia="Consolas" w:cs="Consolas" w:ascii="Consolas" w:hAnsi="Consolas"/>
          <w:color w:val="101820"/>
          <w:sz w:val="19"/>
        </w:rPr>
        <w:t>docs/architecture/</w:t>
      </w:r>
      <w:r>
        <w:rPr>
          <w:rFonts w:eastAsia="Segoe UI" w:cs="Segoe UI" w:ascii="Segoe UI" w:hAnsi="Segoe UI"/>
          <w:color w:val="101820"/>
          <w:sz w:val="21"/>
        </w:rPr>
        <w:t xml:space="preserve"> (version 1.2, 04 October 2026). Where a statement depends on package B or G it says so.</w:t>
      </w:r>
    </w:p>
    <w:p>
      <w:pPr>
        <w:pStyle w:val="Normal"/>
        <w:numPr>
          <w:ilvl w:val="0"/>
          <w:numId w:val="1"/>
        </w:numPr>
        <w:spacing w:before="0" w:after="60"/>
        <w:rPr/>
      </w:pPr>
      <w:r>
        <w:rPr>
          <w:rFonts w:eastAsia="Segoe UI" w:cs="Segoe UI" w:ascii="Segoe UI" w:hAnsi="Segoe UI"/>
          <w:color w:val="101820"/>
          <w:sz w:val="21"/>
        </w:rPr>
        <w:t>Statements without a label describe what the system does today.</w:t>
      </w:r>
    </w:p>
    <w:p>
      <w:pPr>
        <w:pStyle w:val="Normal"/>
        <w:numPr>
          <w:ilvl w:val="0"/>
          <w:numId w:val="1"/>
        </w:numPr>
        <w:spacing w:before="0" w:after="60"/>
        <w:rPr/>
      </w:pPr>
      <w:r>
        <w:rPr>
          <w:rFonts w:eastAsia="Segoe UI" w:cs="Segoe UI" w:ascii="Segoe UI" w:hAnsi="Segoe UI"/>
          <w:b/>
          <w:color w:val="101820"/>
          <w:sz w:val="21"/>
        </w:rPr>
        <w:t>Recommended</w:t>
      </w:r>
      <w:r>
        <w:rPr>
          <w:rFonts w:eastAsia="Segoe UI" w:cs="Segoe UI" w:ascii="Segoe UI" w:hAnsi="Segoe UI"/>
          <w:color w:val="101820"/>
          <w:sz w:val="21"/>
        </w:rPr>
        <w:t xml:space="preserve"> marks a design choice, a size, a threshold or a procedure that iorta TechNXT advises but that is not built into the code or the deployment package. It must be confirmed by the broker and the hosting team.</w:t>
      </w:r>
    </w:p>
    <w:p>
      <w:pPr>
        <w:pStyle w:val="Normal"/>
        <w:numPr>
          <w:ilvl w:val="0"/>
          <w:numId w:val="1"/>
        </w:numPr>
        <w:spacing w:before="0" w:after="60"/>
        <w:rPr/>
      </w:pPr>
      <w:r>
        <w:rPr>
          <w:rFonts w:eastAsia="Segoe UI" w:cs="Segoe UI" w:ascii="Segoe UI" w:hAnsi="Segoe UI"/>
          <w:b/>
          <w:color w:val="101820"/>
          <w:sz w:val="21"/>
        </w:rPr>
        <w:t>Indicative</w:t>
      </w:r>
      <w:r>
        <w:rPr>
          <w:rFonts w:eastAsia="Segoe UI" w:cs="Segoe UI" w:ascii="Segoe UI" w:hAnsi="Segoe UI"/>
          <w:color w:val="101820"/>
          <w:sz w:val="21"/>
        </w:rPr>
        <w:t xml:space="preserve"> marks a cost or size estimate. Indicative figures are planning ranges, not quotations.</w:t>
      </w:r>
    </w:p>
    <w:p>
      <w:pPr>
        <w:pStyle w:val="Normal"/>
        <w:numPr>
          <w:ilvl w:val="0"/>
          <w:numId w:val="1"/>
        </w:numPr>
        <w:spacing w:before="0" w:after="60"/>
        <w:rPr/>
      </w:pPr>
      <w:r>
        <w:rPr>
          <w:rFonts w:eastAsia="Segoe UI" w:cs="Segoe UI" w:ascii="Segoe UI" w:hAnsi="Segoe UI"/>
          <w:b/>
          <w:color w:val="101820"/>
          <w:sz w:val="21"/>
        </w:rPr>
        <w:t>Gap</w:t>
      </w:r>
      <w:r>
        <w:rPr>
          <w:rFonts w:eastAsia="Segoe UI" w:cs="Segoe UI" w:ascii="Segoe UI" w:hAnsi="Segoe UI"/>
          <w:color w:val="101820"/>
          <w:sz w:val="21"/>
        </w:rPr>
        <w:t xml:space="preserve"> marks a point where the current build or pipeline falls short of good practice and needs action before or after go-live.</w:t>
      </w:r>
    </w:p>
    <w:p>
      <w:pPr>
        <w:pStyle w:val="Normal"/>
        <w:spacing w:lineRule="auto" w:line="276" w:before="0" w:after="120"/>
        <w:rPr/>
      </w:pPr>
      <w:r>
        <w:rPr>
          <w:rFonts w:eastAsia="Segoe UI" w:cs="Segoe UI" w:ascii="Segoe UI" w:hAnsi="Segoe UI"/>
          <w:color w:val="101820"/>
          <w:sz w:val="21"/>
        </w:rPr>
        <w:t>This document gives the regulatory context in general terms. It is not legal advice; the broker's compliance officer and DPO confirm how each rule applies to the broker.</w:t>
      </w:r>
    </w:p>
    <w:p>
      <w:pPr>
        <w:pStyle w:val="Heading2"/>
        <w:rPr/>
      </w:pPr>
      <w:bookmarkStart w:id="9" w:name="__RefHeading___Toc9023_3016453686"/>
      <w:bookmarkEnd w:id="9"/>
      <w:r>
        <w:rPr>
          <w:rFonts w:eastAsia="Segoe UI" w:cs="Segoe UI"/>
          <w:b/>
          <w:color w:val="0F4761"/>
          <w:sz w:val="26"/>
        </w:rPr>
        <w:t>3.3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 Solution Component Diagram and Application Architecture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Components, request pipeline, modules, integrations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 and 03 Database Design and Inventory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 keys, retention classes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Technology Stack</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Versions, licences, lifecycle notes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 Shared Service Components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settings, audit, numbering, PDF engine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 to 11</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Capacity, high availability, RTO and RPO, backup, archival, monitoring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checklist, environment variables, start-up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Getting started, go-live data set-up and workbench, smoke test and reset, data masking, branding and signatures, UAT scripts, support and escalation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deploy/RELEASE_PIPELINE.md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once and promote, environments, approvals, migrations policy, rollback, hotfix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Reference, Data Dictionary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 catalogue, engines, code review; tables, columns and personal data classification</w:t>
            </w:r>
          </w:p>
        </w:tc>
      </w:tr>
    </w:tbl>
    <w:p>
      <w:pPr>
        <w:pStyle w:val="Heading1"/>
        <w:rPr/>
      </w:pPr>
      <w:r>
        <w:br w:type="page"/>
      </w:r>
      <w:bookmarkStart w:id="10" w:name="__RefHeading___Toc9025_3016453686"/>
      <w:bookmarkEnd w:id="10"/>
      <w:r>
        <w:rPr>
          <w:rFonts w:eastAsia="Segoe UI" w:cs="Segoe UI" w:ascii="Segoe UI" w:hAnsi="Segoe UI"/>
          <w:b/>
          <w:color w:val="0F4761"/>
          <w:sz w:val="32"/>
        </w:rPr>
        <w:t>4.  Solution overview and logical architecture</w:t>
      </w:r>
    </w:p>
    <w:p>
      <w:pPr>
        <w:pStyle w:val="Heading2"/>
        <w:rPr/>
      </w:pPr>
      <w:bookmarkStart w:id="11" w:name="__RefHeading___Toc9027_3016453686"/>
      <w:bookmarkEnd w:id="11"/>
      <w:r>
        <w:rPr>
          <w:rFonts w:eastAsia="Segoe UI" w:cs="Segoe UI"/>
          <w:b/>
          <w:color w:val="0F4761"/>
          <w:sz w:val="26"/>
        </w:rPr>
        <w:t>4.1  What BrokerVerse does</w:t>
      </w:r>
    </w:p>
    <w:p>
      <w:pPr>
        <w:pStyle w:val="Normal"/>
        <w:spacing w:lineRule="auto" w:line="276" w:before="0" w:after="120"/>
        <w:rPr/>
      </w:pPr>
      <w:r>
        <w:rPr>
          <w:rFonts w:eastAsia="Segoe UI" w:cs="Segoe UI" w:ascii="Segoe UI" w:hAnsi="Segoe UI"/>
          <w:color w:val="101820"/>
          <w:sz w:val="21"/>
        </w:rPr>
        <w:t>BrokerVerse OOTB is the operating system of a non-life insurance broker. It covers the full broking cycle: leads and lead assignment, distribution channels and dealer programmes, quotations driven by the Product Configurator, broker slips to several insurers, comparison reports, placement and co-insurance, cover notes, policy issue, fleet schedules, marine open covers, endorsements and computed cancellations, claims with document checklists and motor repairs, renewals, billing with instalment invoices, receipts and post-dated cheques, collections and credit control, remittance to insurers, direct bill, commission, override commission and incentives, reinsurance including facultative placement, accounts payable and fixed assets, bank and insurer statement reconciliation, period-end close, BIR returns, sales invoices and the CAS books, AML/CFT compliance, Insurance Commission and data privacy registers (package B), marketing campaigns, My Work, reports, the report builder and dashboards. Referrers and sub-agents do not sign in; their business is entered by Sales &amp; Marketing.</w:t>
      </w:r>
    </w:p>
    <w:p>
      <w:pPr>
        <w:pStyle w:val="Heading2"/>
        <w:rPr/>
      </w:pPr>
      <w:bookmarkStart w:id="12" w:name="__RefHeading___Toc9029_3016453686"/>
      <w:bookmarkEnd w:id="12"/>
      <w:r>
        <w:rPr>
          <w:rFonts w:eastAsia="Segoe UI" w:cs="Segoe UI"/>
          <w:b/>
          <w:color w:val="0F4761"/>
          <w:sz w:val="26"/>
        </w:rPr>
        <w:t>4.2  Architecture at a glance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Aspect</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BrokerVerse OOTB</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Style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Three-tier web application: SPA, stateless REST API, relational database. The API is a modular monolith.</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Presentation tier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18 SPA (PrimeReact, Redux Toolkit), served as static files from object storage and a CDN, or from an nginx container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tier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Node.js 22 with Express 4. 70 module folders under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(73 with packages B and G), 1,291 registered routes (1,356), two health endpoints, a built-in scheduler of 32 jobs (35) in Asia/Manila time, an integration framework with an outbox and retries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tier</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database time zone Asia/Manila, 139 migration files (149) applied on start under an advisory lock; 250 tables (260)</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Persistent volume at </w:t>
            </w:r>
            <w:r>
              <w:rPr>
                <w:rFonts w:eastAsia="Consolas" w:cs="Consolas" w:ascii="Consolas" w:hAnsi="Consolas"/>
                <w:color w:val="101820"/>
                <w:kern w:val="0"/>
                <w:sz w:val="16"/>
                <w:szCs w:val="24"/>
                <w:lang w:val="en-US" w:eastAsia="ja-JP" w:bidi="ar-SA"/>
              </w:rPr>
              <w:t>UPLOAD_DIR</w:t>
            </w:r>
            <w:r>
              <w:rPr>
                <w:rFonts w:eastAsia="Segoe UI" w:cs="Segoe UI" w:ascii="Segoe UI" w:hAnsi="Segoe UI"/>
                <w:color w:val="101820"/>
                <w:kern w:val="0"/>
                <w:sz w:val="18"/>
                <w:szCs w:val="24"/>
                <w:lang w:val="en-US" w:eastAsia="ja-JP" w:bidi="ar-SA"/>
              </w:rPr>
              <w:t xml:space="preserve"> (documents, ID images, photos, generated reports)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JWT sessions with refresh-token rotation, role and permission checks on every route, maker-checker, authority matrix, SoD rules, access reviews, TOTP two-factor, audit log with source; with package B field encryption of personal identifiers and masking by role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Runtime theme (colours, logo, sign-in picture) applied to screens, documents, reports and e-mails without a rebuild; e-signatures mapped to documents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Route, module and migration counts were taken from the code on 04 October 2026; the figures in brackets include packages B and G. The diagrams come from the architecture set, version 1.2.</w:t>
      </w:r>
    </w:p>
    <w:p>
      <w:pPr>
        <w:pStyle w:val="Heading2"/>
        <w:rPr/>
      </w:pPr>
      <w:bookmarkStart w:id="13" w:name="__RefHeading___Toc9031_3016453686"/>
      <w:bookmarkEnd w:id="13"/>
      <w:r>
        <w:rPr>
          <w:rFonts w:eastAsia="Segoe UI" w:cs="Segoe UI"/>
          <w:b/>
          <w:color w:val="0F4761"/>
          <w:sz w:val="26"/>
        </w:rPr>
        <w:t>4.3  Logical components</w:t>
      </w:r>
    </w:p>
    <w:p>
      <w:pPr>
        <w:pStyle w:val="Normal"/>
        <w:jc w:val="center"/>
        <w:rPr/>
      </w:pPr>
      <w:r>
        <w:rPr/>
        <w:drawing>
          <wp:inline distT="0" distB="0" distL="0" distR="0">
            <wp:extent cx="5760085" cy="342328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3423285"/>
                    </a:xfrm>
                    <a:prstGeom prst="rect">
                      <a:avLst/>
                    </a:prstGeom>
                  </pic:spPr>
                </pic:pic>
              </a:graphicData>
            </a:graphic>
          </wp:inline>
        </w:drawing>
      </w:r>
    </w:p>
    <w:p>
      <w:pPr>
        <w:pStyle w:val="Normal"/>
        <w:jc w:val="center"/>
        <w:rPr/>
      </w:pPr>
      <w:r>
        <w:rPr>
          <w:rFonts w:eastAsia="Segoe UI" w:cs="Segoe UI" w:ascii="Segoe UI" w:hAnsi="Segoe UI"/>
          <w:i/>
          <w:color w:val="555F6D"/>
          <w:sz w:val="18"/>
        </w:rPr>
        <w:t>Logical component view of BrokerVerse OOTB (architecture document 01)</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2"/>
        <w:gridCol w:w="6271"/>
      </w:tblGrid>
      <w:tr>
        <w:trPr>
          <w:tblHeader w:val="true"/>
        </w:trPr>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Layer</w:t>
            </w:r>
          </w:p>
        </w:tc>
        <w:tc>
          <w:tcPr>
            <w:tcW w:w="62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staff in a browser; clients through public links (quotation approval, payment checkout)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Edge</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DNS, TLS, CDN or reverse proxy, WAF (recommended)</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Presentation</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SPA: Home, My Work, Operations, Accounts, Commission, Reinsurance, Compliance, Reports, Master (in sections), Product Configurator, Dashboards; help panel (F1) with the user manual section of each screen; runtime theme</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pipeline</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id, security headers (helmet), CORS, access log with redaction, rate limit, JSON size limit, signed file links, one error envelope</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modules</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backend/src/modules</w:t>
            </w:r>
            <w:r>
              <w:rPr>
                <w:rFonts w:eastAsia="Segoe UI" w:cs="Segoe UI" w:ascii="Segoe UI" w:hAnsi="Segoe UI"/>
                <w:color w:val="101820"/>
                <w:kern w:val="0"/>
                <w:sz w:val="18"/>
                <w:szCs w:val="24"/>
                <w:lang w:val="en-US" w:eastAsia="ja-JP" w:bidi="ar-SA"/>
              </w:rPr>
              <w:t>: each module owns its routes, services and tables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Shared services</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backend/src/lib</w:t>
            </w:r>
            <w:r>
              <w:rPr>
                <w:rFonts w:eastAsia="Segoe UI" w:cs="Segoe UI" w:ascii="Segoe UI" w:hAnsi="Segoe UI"/>
                <w:color w:val="101820"/>
                <w:kern w:val="0"/>
                <w:sz w:val="18"/>
                <w:szCs w:val="24"/>
                <w:lang w:val="en-US" w:eastAsia="ja-JP" w:bidi="ar-SA"/>
              </w:rPr>
              <w:t>: authentication, permissions, settings cache, audit, numbering, e-mail outbox, secrets, personal data encryption and masking (package B), PDF and Excel engines, letterhead and branding</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framework</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backend/src/modules/integrations</w:t>
            </w:r>
            <w:r>
              <w:rPr>
                <w:rFonts w:eastAsia="Segoe UI" w:cs="Segoe UI" w:ascii="Segoe UI" w:hAnsi="Segoe UI"/>
                <w:color w:val="101820"/>
                <w:kern w:val="0"/>
                <w:sz w:val="18"/>
                <w:szCs w:val="24"/>
                <w:lang w:val="en-US" w:eastAsia="ja-JP" w:bidi="ar-SA"/>
              </w:rPr>
              <w:t>: connectors (test or live), outbox with retries, inbox, adapters for SMS, Viber, CTPL and LTO, insurer APIs and bank files; fake provider for test mode</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Scheduler</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node-cron jobs with a PostgreSQL advisory lock per run, so each run executes once across instances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and the file store</w:t>
            </w:r>
          </w:p>
        </w:tc>
      </w:tr>
    </w:tbl>
    <w:p>
      <w:pPr>
        <w:pStyle w:val="Normal"/>
        <w:spacing w:before="0" w:after="80"/>
        <w:rPr/>
      </w:pPr>
      <w:r>
        <w:rPr/>
      </w:r>
    </w:p>
    <w:p>
      <w:pPr>
        <w:pStyle w:val="Heading2"/>
        <w:rPr/>
      </w:pPr>
      <w:bookmarkStart w:id="14" w:name="__RefHeading___Toc9033_3016453686"/>
      <w:bookmarkEnd w:id="14"/>
      <w:r>
        <w:rPr>
          <w:rFonts w:eastAsia="Segoe UI" w:cs="Segoe UI"/>
          <w:b/>
          <w:color w:val="0F4761"/>
          <w:sz w:val="26"/>
        </w:rPr>
        <w:t>4.4  Business modules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06"/>
        <w:gridCol w:w="5408"/>
      </w:tblGrid>
      <w:tr>
        <w:trPr>
          <w:tblHeader w:val="true"/>
        </w:trPr>
        <w:tc>
          <w:tcPr>
            <w:tcW w:w="36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5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Backend modules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operations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addresses, quotations, packages, premium-charges, placement, comparison-reports, cover-notes, policies, endorsements, cancellations, documents; sales-activities (package G)</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Distribution and specialty lines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channels, motor-programmes, fleet, marine, campaigns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and renewals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claim-documents, motor-claims, claim-payments, renewals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and collection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credit-control, pdc, payments, payment-gateway</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accounts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insurer-reconciliation, commission, commission-rates, insurer-overrides, incentive, reinsurance</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and tax</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posting-rules, journal-vouchers, disbursements, payables, fixed-assets, period-end, bank-reconciliation, bir</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privacy; ic-compliance and data-breaches (package B)</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(framework, messaging, CTPL, insurer connectors, bank payment files)</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 masters, ops-masters, document-numbering, settings, system-settings, schedules, branding, e-signatures, data-load</w:t>
            </w:r>
          </w:p>
        </w:tc>
      </w:tr>
      <w:tr>
        <w:trPr/>
        <w:tc>
          <w:tcPr>
            <w:tcW w:w="36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Administration and security</w:t>
            </w:r>
          </w:p>
        </w:tc>
        <w:tc>
          <w:tcPr>
            <w:tcW w:w="5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 users, access-control, my-work, notifications, uploads, search, audit, dashboard, reports, report-builder, system</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Technical Reference describes each module (purpose, routes, tables, jobs, posting events, settings).</w:t>
      </w:r>
    </w:p>
    <w:p>
      <w:pPr>
        <w:pStyle w:val="Heading2"/>
        <w:rPr/>
      </w:pPr>
      <w:bookmarkStart w:id="15" w:name="__RefHeading___Toc9035_3016453686"/>
      <w:bookmarkEnd w:id="15"/>
      <w:r>
        <w:rPr>
          <w:rFonts w:eastAsia="Segoe UI" w:cs="Segoe UI"/>
          <w:b/>
          <w:color w:val="0F4761"/>
          <w:sz w:val="26"/>
        </w:rPr>
        <w:t>4.5  Integrations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9"/>
        <w:gridCol w:w="3113"/>
        <w:gridCol w:w="3113"/>
      </w:tblGrid>
      <w:tr>
        <w:trPr>
          <w:tblHeader w:val="true"/>
        </w:trPr>
        <w:tc>
          <w:tcPr>
            <w:tcW w:w="2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Integration</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Direction</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works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(SMTP)</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Messages are queued in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the </w:t>
            </w:r>
            <w:r>
              <w:rPr>
                <w:rFonts w:eastAsia="Consolas" w:cs="Consolas" w:ascii="Consolas" w:hAnsi="Consolas"/>
                <w:color w:val="101820"/>
                <w:kern w:val="0"/>
                <w:sz w:val="16"/>
                <w:szCs w:val="24"/>
                <w:lang w:val="en-US" w:eastAsia="ja-JP" w:bidi="ar-SA"/>
              </w:rPr>
              <w:t>email-outbox</w:t>
            </w:r>
            <w:r>
              <w:rPr>
                <w:rFonts w:eastAsia="Segoe UI" w:cs="Segoe UI" w:ascii="Segoe UI" w:hAnsi="Segoe UI"/>
                <w:color w:val="101820"/>
                <w:kern w:val="0"/>
                <w:sz w:val="18"/>
                <w:szCs w:val="24"/>
                <w:lang w:val="en-US" w:eastAsia="ja-JP" w:bidi="ar-SA"/>
              </w:rPr>
              <w:t xml:space="preserve"> job sends up to 50 per run every 5 minutes through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(Office 365, port 587, STARTTLS), up to 5 attempts. Off until "Send e-mails" is switched on in Master &gt; Configuration.</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and outbound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w:t>
            </w:r>
            <w:r>
              <w:rPr>
                <w:rFonts w:eastAsia="Consolas" w:cs="Consolas" w:ascii="Consolas" w:hAnsi="Consolas"/>
                <w:color w:val="101820"/>
                <w:kern w:val="0"/>
                <w:sz w:val="16"/>
                <w:szCs w:val="24"/>
                <w:lang w:val="en-US" w:eastAsia="ja-JP" w:bidi="ar-SA"/>
              </w:rPr>
              <w:t>PL-</w:t>
            </w:r>
            <w:r>
              <w:rPr>
                <w:rFonts w:eastAsia="Segoe UI" w:cs="Segoe UI" w:ascii="Segoe UI" w:hAnsi="Segoe UI"/>
                <w:color w:val="101820"/>
                <w:kern w:val="0"/>
                <w:sz w:val="18"/>
                <w:szCs w:val="24"/>
                <w:lang w:val="en-US" w:eastAsia="ja-JP" w:bidi="ar-SA"/>
              </w:rPr>
              <w:t xml:space="preserve"> numbers) for a quotation, a package quotation or a policy's open premium. Providers: SANDBOX (training and UAT), PayMongo (Checkout Session) and Dragonpay (Payment Switch). Webhooks are signature-checked, logged in </w:t>
            </w:r>
            <w:r>
              <w:rPr>
                <w:rFonts w:eastAsia="Consolas" w:cs="Consolas" w:ascii="Consolas" w:hAnsi="Consolas"/>
                <w:color w:val="101820"/>
                <w:kern w:val="0"/>
                <w:sz w:val="16"/>
                <w:szCs w:val="24"/>
                <w:lang w:val="en-US" w:eastAsia="ja-JP" w:bidi="ar-SA"/>
              </w:rPr>
              <w:t>payment_events</w:t>
            </w:r>
            <w:r>
              <w:rPr>
                <w:rFonts w:eastAsia="Segoe UI" w:cs="Segoe UI" w:ascii="Segoe UI" w:hAnsi="Segoe UI"/>
                <w:color w:val="101820"/>
                <w:kern w:val="0"/>
                <w:sz w:val="18"/>
                <w:szCs w:val="24"/>
                <w:lang w:val="en-US" w:eastAsia="ja-JP" w:bidi="ar-SA"/>
              </w:rPr>
              <w:t xml:space="preserve"> and idempotent; a paid link creates the official receipt and can issue a package policy.</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 and e-mail; API through the integration framework</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placement orders, remittance statements, commission debit notes as PDF, CSV or XLSX. Insurer API connectors (</w:t>
            </w:r>
            <w:r>
              <w:rPr>
                <w:rFonts w:eastAsia="Consolas" w:cs="Consolas" w:ascii="Consolas" w:hAnsi="Consolas"/>
                <w:color w:val="101820"/>
                <w:kern w:val="0"/>
                <w:sz w:val="16"/>
                <w:szCs w:val="24"/>
                <w:lang w:val="en-US" w:eastAsia="ja-JP" w:bidi="ar-SA"/>
              </w:rPr>
              <w:t>insurer_rest</w:t>
            </w:r>
            <w:r>
              <w:rPr>
                <w:rFonts w:eastAsia="Segoe UI" w:cs="Segoe UI" w:ascii="Segoe UI" w:hAnsi="Segoe UI"/>
                <w:color w:val="101820"/>
                <w:kern w:val="0"/>
                <w:sz w:val="18"/>
                <w:szCs w:val="24"/>
                <w:lang w:val="en-US" w:eastAsia="ja-JP" w:bidi="ar-SA"/>
              </w:rPr>
              <w:t xml:space="preserve"> adapter with a mapping per insurer) send the policy issuance request and receive claim status updates; delivered in test mode until certified with each insurer.</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and Viber</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Message templates per event (renewal notices, payment reminders, claim updates) sent through an SMS gateway connector (Semaphore, Globe Labs or a generic HTTP gateway) or Viber business messages, via the integration outbox; jobs </w:t>
            </w:r>
            <w:r>
              <w:rPr>
                <w:rFonts w:eastAsia="Consolas" w:cs="Consolas" w:ascii="Consolas" w:hAnsi="Consolas"/>
                <w:color w:val="101820"/>
                <w:kern w:val="0"/>
                <w:sz w:val="16"/>
                <w:szCs w:val="24"/>
                <w:lang w:val="en-US" w:eastAsia="ja-JP" w:bidi="ar-SA"/>
              </w:rPr>
              <w:t>sms-renewal-notices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sms-payment-reminders</w:t>
            </w:r>
            <w:r>
              <w:rPr>
                <w:rFonts w:eastAsia="Segoe UI" w:cs="Segoe UI" w:ascii="Segoe UI" w:hAnsi="Segoe UI"/>
                <w:color w:val="101820"/>
                <w:kern w:val="0"/>
                <w:sz w:val="18"/>
                <w:szCs w:val="24"/>
                <w:lang w:val="en-US" w:eastAsia="ja-JP" w:bidi="ar-SA"/>
              </w:rPr>
              <w:t xml:space="preserve"> are delivered off</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authentication and LTO</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and inbound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COC numbers allocated from the insurer's series and authenticated with the CTPL provider (</w:t>
            </w:r>
            <w:r>
              <w:rPr>
                <w:rFonts w:eastAsia="Consolas" w:cs="Consolas" w:ascii="Consolas" w:hAnsi="Consolas"/>
                <w:color w:val="101820"/>
                <w:kern w:val="0"/>
                <w:sz w:val="16"/>
                <w:szCs w:val="24"/>
                <w:lang w:val="en-US" w:eastAsia="ja-JP" w:bidi="ar-SA"/>
              </w:rPr>
              <w:t>ctpl_http</w:t>
            </w:r>
            <w:r>
              <w:rPr>
                <w:rFonts w:eastAsia="Segoe UI" w:cs="Segoe UI" w:ascii="Segoe UI" w:hAnsi="Segoe UI"/>
                <w:color w:val="101820"/>
                <w:kern w:val="0"/>
                <w:sz w:val="18"/>
                <w:szCs w:val="24"/>
                <w:lang w:val="en-US" w:eastAsia="ja-JP" w:bidi="ar-SA"/>
              </w:rPr>
              <w:t>), optional LTO feed (</w:t>
            </w:r>
            <w:r>
              <w:rPr>
                <w:rFonts w:eastAsia="Consolas" w:cs="Consolas" w:ascii="Consolas" w:hAnsi="Consolas"/>
                <w:color w:val="101820"/>
                <w:kern w:val="0"/>
                <w:sz w:val="16"/>
                <w:szCs w:val="24"/>
                <w:lang w:val="en-US" w:eastAsia="ja-JP" w:bidi="ar-SA"/>
              </w:rPr>
              <w:t>lto_http</w:t>
            </w:r>
            <w:r>
              <w:rPr>
                <w:rFonts w:eastAsia="Segoe UI" w:cs="Segoe UI" w:ascii="Segoe UI" w:hAnsi="Segoe UI"/>
                <w:color w:val="101820"/>
                <w:kern w:val="0"/>
                <w:sz w:val="18"/>
                <w:szCs w:val="24"/>
                <w:lang w:val="en-US" w:eastAsia="ja-JP" w:bidi="ar-SA"/>
              </w:rPr>
              <w:t>); asynchronous results arrive on the signed inbound endpoint</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Electronic Invoicing System</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sales invoice and its cancellation queued as an e-invoice payload (</w:t>
            </w:r>
            <w:r>
              <w:rPr>
                <w:rFonts w:eastAsia="Consolas" w:cs="Consolas" w:ascii="Consolas" w:hAnsi="Consolas"/>
                <w:color w:val="101820"/>
                <w:kern w:val="0"/>
                <w:sz w:val="16"/>
                <w:szCs w:val="24"/>
                <w:lang w:val="en-US" w:eastAsia="ja-JP" w:bidi="ar-SA"/>
              </w:rPr>
              <w:t>eis_submissions</w:t>
            </w:r>
            <w:r>
              <w:rPr>
                <w:rFonts w:eastAsia="Segoe UI" w:cs="Segoe UI" w:ascii="Segoe UI" w:hAnsi="Segoe UI"/>
                <w:color w:val="101820"/>
                <w:kern w:val="0"/>
                <w:sz w:val="18"/>
                <w:szCs w:val="24"/>
                <w:lang w:val="en-US" w:eastAsia="ja-JP" w:bidi="ar-SA"/>
              </w:rPr>
              <w:t xml:space="preserve">); job </w:t>
            </w:r>
            <w:r>
              <w:rPr>
                <w:rFonts w:eastAsia="Consolas" w:cs="Consolas" w:ascii="Consolas" w:hAnsi="Consolas"/>
                <w:color w:val="101820"/>
                <w:kern w:val="0"/>
                <w:sz w:val="16"/>
                <w:szCs w:val="24"/>
                <w:lang w:val="en-US" w:eastAsia="ja-JP" w:bidi="ar-SA"/>
              </w:rPr>
              <w:t>eis-outbox</w:t>
            </w:r>
            <w:r>
              <w:rPr>
                <w:rFonts w:eastAsia="Segoe UI" w:cs="Segoe UI" w:ascii="Segoe UI" w:hAnsi="Segoe UI"/>
                <w:color w:val="101820"/>
                <w:kern w:val="0"/>
                <w:sz w:val="18"/>
                <w:szCs w:val="24"/>
                <w:lang w:val="en-US" w:eastAsia="ja-JP" w:bidi="ar-SA"/>
              </w:rPr>
              <w:t xml:space="preserve"> delivered off until the broker's EIS accreditation</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screening provider</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Optional commercial screening provider through </w:t>
            </w:r>
            <w:r>
              <w:rPr>
                <w:rFonts w:eastAsia="Consolas" w:cs="Consolas" w:ascii="Consolas" w:hAnsi="Consolas"/>
                <w:color w:val="101820"/>
                <w:kern w:val="0"/>
                <w:sz w:val="16"/>
                <w:szCs w:val="24"/>
                <w:lang w:val="en-US" w:eastAsia="ja-JP" w:bidi="ar-SA"/>
              </w:rPr>
              <w:t>aml_provider_requests</w:t>
            </w:r>
            <w:r>
              <w:rPr>
                <w:rFonts w:eastAsia="Segoe UI" w:cs="Segoe UI" w:ascii="Segoe UI" w:hAnsi="Segoe UI"/>
                <w:color w:val="101820"/>
                <w:kern w:val="0"/>
                <w:sz w:val="18"/>
                <w:szCs w:val="24"/>
                <w:lang w:val="en-US" w:eastAsia="ja-JP" w:bidi="ar-SA"/>
              </w:rPr>
              <w:t xml:space="preserve"> (job </w:t>
            </w:r>
            <w:r>
              <w:rPr>
                <w:rFonts w:eastAsia="Consolas" w:cs="Consolas" w:ascii="Consolas" w:hAnsi="Consolas"/>
                <w:color w:val="101820"/>
                <w:kern w:val="0"/>
                <w:sz w:val="16"/>
                <w:szCs w:val="24"/>
                <w:lang w:val="en-US" w:eastAsia="ja-JP" w:bidi="ar-SA"/>
              </w:rPr>
              <w:t>aml-provider-retry</w:t>
            </w:r>
            <w:r>
              <w:rPr>
                <w:rFonts w:eastAsia="Segoe UI" w:cs="Segoe UI" w:ascii="Segoe UI" w:hAnsi="Segoe UI"/>
                <w:color w:val="101820"/>
                <w:kern w:val="0"/>
                <w:sz w:val="18"/>
                <w:szCs w:val="24"/>
                <w:lang w:val="en-US" w:eastAsia="ja-JP" w:bidi="ar-SA"/>
              </w:rPr>
              <w:t>, off); the built-in screening uses the lists loaded in Compliance &gt; Screening Lists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 extract</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Job </w:t>
            </w:r>
            <w:r>
              <w:rPr>
                <w:rFonts w:eastAsia="Consolas" w:cs="Consolas" w:ascii="Consolas" w:hAnsi="Consolas"/>
                <w:color w:val="101820"/>
                <w:kern w:val="0"/>
                <w:sz w:val="16"/>
                <w:szCs w:val="24"/>
                <w:lang w:val="en-US" w:eastAsia="ja-JP" w:bidi="ar-SA"/>
              </w:rPr>
              <w:t>bi-extract</w:t>
            </w:r>
            <w:r>
              <w:rPr>
                <w:rFonts w:eastAsia="Segoe UI" w:cs="Segoe UI" w:ascii="Segoe UI" w:hAnsi="Segoe UI"/>
                <w:color w:val="101820"/>
                <w:kern w:val="0"/>
                <w:sz w:val="18"/>
                <w:szCs w:val="24"/>
                <w:lang w:val="en-US" w:eastAsia="ja-JP" w:bidi="ar-SA"/>
              </w:rPr>
              <w:t xml:space="preserve"> (off) writes one CSV per curated dataset to </w:t>
            </w:r>
            <w:r>
              <w:rPr>
                <w:rFonts w:eastAsia="Consolas" w:cs="Consolas" w:ascii="Consolas" w:hAnsi="Consolas"/>
                <w:color w:val="101820"/>
                <w:kern w:val="0"/>
                <w:sz w:val="16"/>
                <w:szCs w:val="24"/>
                <w:lang w:val="en-US" w:eastAsia="ja-JP" w:bidi="ar-SA"/>
              </w:rPr>
              <w:t>bi.extract_folder</w:t>
            </w:r>
            <w:r>
              <w:rPr>
                <w:rFonts w:eastAsia="Segoe UI" w:cs="Segoe UI" w:ascii="Segoe UI" w:hAnsi="Segoe UI"/>
                <w:color w:val="101820"/>
                <w:kern w:val="0"/>
                <w:sz w:val="18"/>
                <w:szCs w:val="24"/>
                <w:lang w:val="en-US" w:eastAsia="ja-JP" w:bidi="ar-SA"/>
              </w:rPr>
              <w:t xml:space="preserve"> for the broker's BI tool</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or XLSX statements of account read with an insurer statement format (column mapping per insurer) for Accounts &gt; Insurer Reconciliation.</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CSV or XLSX statements read with a bank statement format; BDO, BPI, Metrobank and a generic layout ship as standard.</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Electronic transfers and bank payment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 inbound status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are batched per bank account and written in the bank's bulk credit, InstaPay or PESONet layout (Accounts &gt; Bank Payment Files, layouts in Master &gt; Finance &gt; Bank File Layouts); the bank's status file marks each line paid or rejected and posts the payment. No direct bank API.</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and reconciliation files as CSV</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Uploads and go-live imports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files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10 MB per file, 50 MB decompressed, 20,000 rows; templates in </w:t>
            </w:r>
            <w:r>
              <w:rPr>
                <w:rFonts w:eastAsia="Consolas" w:cs="Consolas" w:ascii="Consolas" w:hAnsi="Consolas"/>
                <w:color w:val="101820"/>
                <w:kern w:val="0"/>
                <w:sz w:val="16"/>
                <w:szCs w:val="24"/>
                <w:lang w:val="en-US" w:eastAsia="ja-JP" w:bidi="ar-SA"/>
              </w:rPr>
              <w:t>docs/package/05_Delivery/Upload_Templates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generation</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Internal</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PDF engine (</w:t>
            </w:r>
            <w:r>
              <w:rPr>
                <w:rFonts w:eastAsia="Consolas" w:cs="Consolas" w:ascii="Consolas" w:hAnsi="Consolas"/>
                <w:color w:val="101820"/>
                <w:kern w:val="0"/>
                <w:sz w:val="16"/>
                <w:szCs w:val="24"/>
                <w:lang w:val="en-US" w:eastAsia="ja-JP" w:bidi="ar-SA"/>
              </w:rPr>
              <w:t>lib/pdf</w:t>
            </w:r>
            <w:r>
              <w:rPr>
                <w:rFonts w:eastAsia="Segoe UI" w:cs="Segoe UI" w:ascii="Segoe UI" w:hAnsi="Segoe UI"/>
                <w:color w:val="101820"/>
                <w:kern w:val="0"/>
                <w:sz w:val="18"/>
                <w:szCs w:val="24"/>
                <w:lang w:val="en-US" w:eastAsia="ja-JP" w:bidi="ar-SA"/>
              </w:rPr>
              <w:t>) with the letterhead of the primary company in the Company master; XLSX, CSV and ZIP writers. No third-party document library.</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quotation approval</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(public)</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Signed link valid for </w:t>
            </w:r>
            <w:r>
              <w:rPr>
                <w:rFonts w:eastAsia="Consolas" w:cs="Consolas" w:ascii="Consolas" w:hAnsi="Consolas"/>
                <w:color w:val="101820"/>
                <w:kern w:val="0"/>
                <w:sz w:val="16"/>
                <w:szCs w:val="24"/>
                <w:lang w:val="en-US" w:eastAsia="ja-JP" w:bidi="ar-SA"/>
              </w:rPr>
              <w:t>quotations.approval_link_ttl_hours</w:t>
            </w:r>
            <w:r>
              <w:rPr>
                <w:rFonts w:eastAsia="Segoe UI" w:cs="Segoe UI" w:ascii="Segoe UI" w:hAnsi="Segoe UI"/>
                <w:color w:val="101820"/>
                <w:kern w:val="0"/>
                <w:sz w:val="18"/>
                <w:szCs w:val="24"/>
                <w:lang w:val="en-US" w:eastAsia="ja-JP" w:bidi="ar-SA"/>
              </w:rPr>
              <w:t xml:space="preserve"> (168 hours)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Before PayMongo or Dragonpay are switched to live, obtain the merchant accounts and test against the providers' own sandboxes. The automated tests cover the SANDBOX provider and signed test payloads only. Gateway fees are recorded on the link but not journalised.</w:t>
      </w:r>
      <w:r>
        <w:br w:type="page"/>
      </w:r>
    </w:p>
    <w:p>
      <w:pPr>
        <w:pStyle w:val="Heading1"/>
        <w:rPr/>
      </w:pPr>
      <w:bookmarkStart w:id="16" w:name="__RefHeading___Toc9037_3016453686"/>
      <w:bookmarkEnd w:id="16"/>
      <w:r>
        <w:rPr>
          <w:rFonts w:eastAsia="Segoe UI" w:cs="Segoe UI" w:ascii="Segoe UI" w:hAnsi="Segoe UI"/>
          <w:b/>
          <w:color w:val="0F4761"/>
          <w:sz w:val="32"/>
        </w:rPr>
        <w:t>5.  Technology stack and versions</w:t>
      </w:r>
    </w:p>
    <w:p>
      <w:pPr>
        <w:pStyle w:val="Normal"/>
        <w:spacing w:lineRule="auto" w:line="276" w:before="0" w:after="120"/>
        <w:rPr/>
      </w:pPr>
      <w:r>
        <w:rPr>
          <w:rFonts w:eastAsia="Segoe UI" w:cs="Segoe UI" w:ascii="Segoe UI" w:hAnsi="Segoe UI"/>
          <w:color w:val="101820"/>
          <w:sz w:val="21"/>
        </w:rPr>
        <w:t xml:space="preserve">Versions are the exact versions resolved in </w:t>
      </w:r>
      <w:r>
        <w:rPr>
          <w:rFonts w:eastAsia="Consolas" w:cs="Consolas" w:ascii="Consolas" w:hAnsi="Consolas"/>
          <w:color w:val="101820"/>
          <w:sz w:val="19"/>
        </w:rPr>
        <w:t>backend/package-lock.json</w:t>
      </w:r>
      <w:r>
        <w:rPr>
          <w:rFonts w:eastAsia="Segoe UI" w:cs="Segoe UI" w:ascii="Segoe UI" w:hAnsi="Segoe UI"/>
          <w:color w:val="101820"/>
          <w:sz w:val="21"/>
        </w:rPr>
        <w:t xml:space="preserve"> and </w:t>
      </w:r>
      <w:r>
        <w:rPr>
          <w:rFonts w:eastAsia="Consolas" w:cs="Consolas" w:ascii="Consolas" w:hAnsi="Consolas"/>
          <w:color w:val="101820"/>
          <w:sz w:val="19"/>
        </w:rPr>
        <w:t>brokerverse/package-lock.json</w:t>
      </w:r>
      <w:r>
        <w:rPr>
          <w:rFonts w:eastAsia="Segoe UI" w:cs="Segoe UI" w:ascii="Segoe UI" w:hAnsi="Segoe UI"/>
          <w:color w:val="101820"/>
          <w:sz w:val="21"/>
        </w:rPr>
        <w:t xml:space="preserve"> on 03 October 2026.</w:t>
      </w:r>
    </w:p>
    <w:p>
      <w:pPr>
        <w:pStyle w:val="Heading2"/>
        <w:rPr/>
      </w:pPr>
      <w:bookmarkStart w:id="17" w:name="__RefHeading___Toc9039_3016453686"/>
      <w:bookmarkEnd w:id="17"/>
      <w:r>
        <w:rPr>
          <w:rFonts w:eastAsia="Segoe UI" w:cs="Segoe UI"/>
          <w:b/>
          <w:color w:val="0F4761"/>
          <w:sz w:val="26"/>
        </w:rPr>
        <w:t>5.1  Runtime and platform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2"/>
        <w:gridCol w:w="3576"/>
        <w:gridCol w:w="3576"/>
      </w:tblGrid>
      <w:tr>
        <w:trPr>
          <w:tblHeader w:val="true"/>
        </w:trPr>
        <w:tc>
          <w:tcPr>
            <w:tcW w:w="1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 (</w:t>
            </w:r>
            <w:r>
              <w:rPr>
                <w:rFonts w:eastAsia="Consolas" w:cs="Consolas" w:ascii="Consolas" w:hAnsi="Consolas"/>
                <w:color w:val="101820"/>
                <w:kern w:val="0"/>
                <w:sz w:val="16"/>
                <w:szCs w:val="24"/>
                <w:lang w:val="en-US" w:eastAsia="ja-JP" w:bidi="ar-SA"/>
              </w:rPr>
              <w:t>node:22-alpine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engines &gt;=22</w:t>
            </w:r>
            <w:r>
              <w:rPr>
                <w:rFonts w:eastAsia="Segoe UI" w:cs="Segoe UI" w:ascii="Segoe UI" w:hAnsi="Segoe UI"/>
                <w:color w:val="101820"/>
                <w:kern w:val="0"/>
                <w:sz w:val="18"/>
                <w:szCs w:val="24"/>
                <w:lang w:val="en-US" w:eastAsia="ja-JP" w:bidi="ar-SA"/>
              </w:rPr>
              <w: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runtime and build</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 (</w:t>
            </w:r>
            <w:r>
              <w:rPr>
                <w:rFonts w:eastAsia="Consolas" w:cs="Consolas" w:ascii="Consolas" w:hAnsi="Consolas"/>
                <w:color w:val="101820"/>
                <w:kern w:val="0"/>
                <w:sz w:val="16"/>
                <w:szCs w:val="24"/>
                <w:lang w:val="en-US" w:eastAsia="ja-JP" w:bidi="ar-SA"/>
              </w:rPr>
              <w:t>postgres:16-alpine</w:t>
            </w:r>
            <w:r>
              <w:rPr>
                <w:rFonts w:eastAsia="Segoe UI" w:cs="Segoe UI" w:ascii="Segoe UI" w:hAnsi="Segoe UI"/>
                <w:color w:val="101820"/>
                <w:kern w:val="0"/>
                <w:sz w:val="18"/>
                <w:szCs w:val="24"/>
                <w:lang w:val="en-US" w:eastAsia="ja-JP" w:bidi="ar-SA"/>
              </w:rPr>
              <w:t xml:space="preserve"> in Compose,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in CI)</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System of record, extension </w:t>
            </w:r>
            <w:r>
              <w:rPr>
                <w:rFonts w:eastAsia="Consolas" w:cs="Consolas" w:ascii="Consolas" w:hAnsi="Consolas"/>
                <w:color w:val="101820"/>
                <w:kern w:val="0"/>
                <w:sz w:val="16"/>
                <w:szCs w:val="24"/>
                <w:lang w:val="en-US" w:eastAsia="ja-JP" w:bidi="ar-SA"/>
              </w:rPr>
              <w:t>pgcrypto</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nginx</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1.27-alpine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container (Compose); reverse proxy on the EC2 host</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PM2</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Latest from npm at deployment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manager on the EC2 deployment (</w:t>
            </w:r>
            <w:r>
              <w:rPr>
                <w:rFonts w:eastAsia="Consolas" w:cs="Consolas" w:ascii="Consolas" w:hAnsi="Consolas"/>
                <w:color w:val="101820"/>
                <w:kern w:val="0"/>
                <w:sz w:val="16"/>
                <w:szCs w:val="24"/>
                <w:lang w:val="en-US" w:eastAsia="ja-JP" w:bidi="ar-SA"/>
              </w:rPr>
              <w:t>deploy/ec2/ecosystem.config.cjs</w:t>
            </w:r>
            <w:r>
              <w:rPr>
                <w:rFonts w:eastAsia="Segoe UI" w:cs="Segoe UI" w:ascii="Segoe UI" w:hAnsi="Segoe UI"/>
                <w:color w:val="101820"/>
                <w:kern w:val="0"/>
                <w:sz w:val="18"/>
                <w:szCs w:val="24"/>
                <w:lang w:val="en-US" w:eastAsia="ja-JP" w:bidi="ar-SA"/>
              </w:rPr>
              <w:t>)</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Docker and Docker Compose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Compose file without a version key</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Single-server, test and trial installations</w:t>
            </w:r>
          </w:p>
        </w:tc>
      </w:tr>
      <w:tr>
        <w:trPr/>
        <w:tc>
          <w:tcPr>
            <w:tcW w:w="1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GitHub Actions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checkout, setup-node, upload and download-artifact, configure-aws-credentials v4; appleboy/ssh-action 1.2.0</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and deployment</w:t>
            </w:r>
          </w:p>
        </w:tc>
      </w:tr>
    </w:tbl>
    <w:p>
      <w:pPr>
        <w:pStyle w:val="Normal"/>
        <w:spacing w:before="0" w:after="80"/>
        <w:rPr/>
      </w:pPr>
      <w:r>
        <w:rPr/>
      </w:r>
    </w:p>
    <w:p>
      <w:pPr>
        <w:pStyle w:val="Heading2"/>
        <w:rPr/>
      </w:pPr>
      <w:bookmarkStart w:id="18" w:name="__RefHeading___Toc9041_3016453686"/>
      <w:bookmarkEnd w:id="18"/>
      <w:r>
        <w:rPr>
          <w:rFonts w:eastAsia="Segoe UI" w:cs="Segoe UI"/>
          <w:b/>
          <w:color w:val="0F4761"/>
          <w:sz w:val="26"/>
        </w:rPr>
        <w:t>5.2  Backend dependencies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93"/>
        <w:gridCol w:w="1827"/>
        <w:gridCol w:w="4994"/>
      </w:tblGrid>
      <w:tr>
        <w:trPr>
          <w:tblHeader w:val="true"/>
        </w:trPr>
        <w:tc>
          <w:tcPr>
            <w:tcW w:w="21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Package</w:t>
            </w:r>
          </w:p>
        </w:tc>
        <w:tc>
          <w:tcPr>
            <w:tcW w:w="18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49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express</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4.22.3</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server and routing</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pg</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8.23.0</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client, pool of 10 connections</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zod</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3.25.76</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validation</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pino / pino-http</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9.14.0 / 10.5.0</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 logs with redaction</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helmet</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8.3.0</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headers</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cors</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2.8.6</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Cross-origin policy</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jsonwebtoken</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9.0.3</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refresh and link tokens (HS256)</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bcryptjs</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2.4.3</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hashing</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multer</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1.4.5-lts.2</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Multipart uploads in memory with limits</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nodemailer</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10.0.12</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delivery</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node-cron</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4.6.0</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schedules</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dotenv</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16.6.1</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.env</w:t>
            </w:r>
            <w:r>
              <w:rPr>
                <w:rFonts w:eastAsia="Segoe UI" w:cs="Segoe UI" w:ascii="Segoe UI" w:hAnsi="Segoe UI"/>
                <w:color w:val="101820"/>
                <w:kern w:val="0"/>
                <w:sz w:val="18"/>
                <w:szCs w:val="24"/>
                <w:lang w:val="en-US" w:eastAsia="ja-JP" w:bidi="ar-SA"/>
              </w:rPr>
              <w:t xml:space="preserve"> loading</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 supertest</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2.1.9 / 7.3.0</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tests against PostgreSQL</w:t>
            </w:r>
          </w:p>
        </w:tc>
      </w:tr>
      <w:tr>
        <w:trPr/>
        <w:tc>
          <w:tcPr>
            <w:tcW w:w="21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eslint</w:t>
            </w:r>
          </w:p>
        </w:tc>
        <w:tc>
          <w:tcPr>
            <w:tcW w:w="18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9.39.5</w:t>
            </w:r>
          </w:p>
        </w:tc>
        <w:tc>
          <w:tcPr>
            <w:tcW w:w="49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w:t>
            </w:r>
          </w:p>
        </w:tc>
      </w:tr>
    </w:tbl>
    <w:p>
      <w:pPr>
        <w:pStyle w:val="Normal"/>
        <w:spacing w:before="0" w:after="80"/>
        <w:rPr/>
      </w:pPr>
      <w:r>
        <w:rPr/>
      </w:r>
    </w:p>
    <w:p>
      <w:pPr>
        <w:pStyle w:val="Heading2"/>
        <w:rPr/>
      </w:pPr>
      <w:bookmarkStart w:id="19" w:name="__RefHeading___Toc9043_3016453686"/>
      <w:bookmarkEnd w:id="19"/>
      <w:r>
        <w:rPr>
          <w:rFonts w:eastAsia="Segoe UI" w:cs="Segoe UI"/>
          <w:b/>
          <w:color w:val="0F4761"/>
          <w:sz w:val="26"/>
        </w:rPr>
        <w:t>5.3  Front-end dependencies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69"/>
        <w:gridCol w:w="1980"/>
        <w:gridCol w:w="3765"/>
      </w:tblGrid>
      <w:tr>
        <w:trPr>
          <w:tblHeader w:val="true"/>
        </w:trPr>
        <w:tc>
          <w:tcPr>
            <w:tcW w:w="326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Package</w:t>
            </w:r>
          </w:p>
        </w:tc>
        <w:tc>
          <w:tcPr>
            <w:tcW w:w="19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37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 react-dom</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18.2.0</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UI library</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react-scripts / @craco/craco</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5.0.1 / 7.1.0</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Build tool chain</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primereact, primeflex, primeicons</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10.3.1, 3.3.1, 6.0.1</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Components, layout, icons</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@reduxjs/toolkit, react-redux</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2.0.1, 9.0.4</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state</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react-router-dom</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6.30.6</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Routing</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axios</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1.20.0</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client with token refresh</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formik</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2.4.5</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Forms</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i18next, react-i18next</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25.8.13, 16.5.4</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English (complete), Thai (partial)</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chart.js, @fullcalendar</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4.5.1, 6.1.x</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Charts and calendars</w:t>
            </w:r>
          </w:p>
        </w:tc>
      </w:tr>
      <w:tr>
        <w:trPr/>
        <w:tc>
          <w:tcPr>
            <w:tcW w:w="326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@fontsource/nunito</w:t>
            </w:r>
          </w:p>
        </w:tc>
        <w:tc>
          <w:tcPr>
            <w:tcW w:w="1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5.3.0</w:t>
            </w:r>
          </w:p>
        </w:tc>
        <w:tc>
          <w:tcPr>
            <w:tcW w:w="37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Bundled font, no external font service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backend has 13 direct runtime dependencies. PDF, XLSX, ZIP, CSV (with formula-injection guarding), TOTP, AES-256-GCM encryption, HMAC link signing and rate limiting are part of the code base. All direct dependencies use permissive licences (MIT, MIT-0, ISC, BSD-2-Clause, Apache-2.0, OFL-1.1).</w:t>
      </w:r>
      <w:r>
        <w:br w:type="page"/>
      </w:r>
    </w:p>
    <w:p>
      <w:pPr>
        <w:pStyle w:val="Heading1"/>
        <w:rPr/>
      </w:pPr>
      <w:bookmarkStart w:id="20" w:name="__RefHeading___Toc9045_3016453686"/>
      <w:bookmarkEnd w:id="20"/>
      <w:r>
        <w:rPr>
          <w:rFonts w:eastAsia="Segoe UI" w:cs="Segoe UI" w:ascii="Segoe UI" w:hAnsi="Segoe UI"/>
          <w:b/>
          <w:color w:val="0F4761"/>
          <w:sz w:val="32"/>
        </w:rPr>
        <w:t>6.  Deployment architecture options</w:t>
      </w:r>
    </w:p>
    <w:p>
      <w:pPr>
        <w:pStyle w:val="Heading2"/>
        <w:rPr/>
      </w:pPr>
      <w:bookmarkStart w:id="21" w:name="__RefHeading___Toc9047_3016453686"/>
      <w:bookmarkEnd w:id="21"/>
      <w:r>
        <w:rPr>
          <w:rFonts w:eastAsia="Segoe UI" w:cs="Segoe UI"/>
          <w:b/>
          <w:color w:val="0F4761"/>
          <w:sz w:val="26"/>
        </w:rPr>
        <w:t>6.1  Common building blocks</w:t>
      </w:r>
    </w:p>
    <w:p>
      <w:pPr>
        <w:pStyle w:val="Normal"/>
        <w:spacing w:lineRule="auto" w:line="276" w:before="0" w:after="120"/>
        <w:rPr/>
      </w:pPr>
      <w:r>
        <w:rPr>
          <w:rFonts w:eastAsia="Segoe UI" w:cs="Segoe UI" w:ascii="Segoe UI" w:hAnsi="Segoe UI"/>
          <w:color w:val="101820"/>
          <w:sz w:val="21"/>
        </w:rPr>
        <w:t>Whatever the hosting option, BrokerVerse needs the same components.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Requirement</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Static files of the SPA (</w:t>
            </w:r>
            <w:r>
              <w:rPr>
                <w:rFonts w:eastAsia="Consolas" w:cs="Consolas" w:ascii="Consolas" w:hAnsi="Consolas"/>
                <w:color w:val="101820"/>
                <w:kern w:val="0"/>
                <w:sz w:val="16"/>
                <w:szCs w:val="24"/>
                <w:lang w:val="en-US" w:eastAsia="ja-JP" w:bidi="ar-SA"/>
              </w:rPr>
              <w:t>npm run build</w:t>
            </w:r>
            <w:r>
              <w:rPr>
                <w:rFonts w:eastAsia="Segoe UI" w:cs="Segoe UI" w:ascii="Segoe UI" w:hAnsi="Segoe UI"/>
                <w:color w:val="101820"/>
                <w:kern w:val="0"/>
                <w:sz w:val="18"/>
                <w:szCs w:val="24"/>
                <w:lang w:val="en-US" w:eastAsia="ja-JP" w:bidi="ar-SA"/>
              </w:rPr>
              <w:t xml:space="preserve">, the same build for every environment), with a fallback of every path to </w:t>
            </w:r>
            <w:r>
              <w:rPr>
                <w:rFonts w:eastAsia="Consolas" w:cs="Consolas" w:ascii="Consolas" w:hAnsi="Consolas"/>
                <w:color w:val="101820"/>
                <w:kern w:val="0"/>
                <w:sz w:val="16"/>
                <w:szCs w:val="24"/>
                <w:lang w:val="en-US" w:eastAsia="ja-JP" w:bidi="ar-SA"/>
              </w:rPr>
              <w:t>index.html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/env-config.js</w:t>
            </w:r>
            <w:r>
              <w:rPr>
                <w:rFonts w:eastAsia="Segoe UI" w:cs="Segoe UI" w:ascii="Segoe UI" w:hAnsi="Segoe UI"/>
                <w:color w:val="101820"/>
                <w:kern w:val="0"/>
                <w:sz w:val="18"/>
                <w:szCs w:val="24"/>
                <w:lang w:val="en-US" w:eastAsia="ja-JP" w:bidi="ar-SA"/>
              </w:rPr>
              <w:t xml:space="preserve"> per environment (API address, environment name) and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forwarded to the backend</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runtime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Container from </w:t>
            </w:r>
            <w:r>
              <w:rPr>
                <w:rFonts w:eastAsia="Consolas" w:cs="Consolas" w:ascii="Consolas" w:hAnsi="Consolas"/>
                <w:color w:val="101820"/>
                <w:kern w:val="0"/>
                <w:sz w:val="16"/>
                <w:szCs w:val="24"/>
                <w:lang w:val="en-US" w:eastAsia="ja-JP" w:bidi="ar-SA"/>
              </w:rPr>
              <w:t>backend/Dockerfile</w:t>
            </w:r>
            <w:r>
              <w:rPr>
                <w:rFonts w:eastAsia="Segoe UI" w:cs="Segoe UI" w:ascii="Segoe UI" w:hAnsi="Segoe UI"/>
                <w:color w:val="101820"/>
                <w:kern w:val="0"/>
                <w:sz w:val="18"/>
                <w:szCs w:val="24"/>
                <w:lang w:val="en-US" w:eastAsia="ja-JP" w:bidi="ar-SA"/>
              </w:rPr>
              <w:t xml:space="preserve"> (runs as user </w:t>
            </w:r>
            <w:r>
              <w:rPr>
                <w:rFonts w:eastAsia="Consolas" w:cs="Consolas" w:ascii="Consolas" w:hAnsi="Consolas"/>
                <w:color w:val="101820"/>
                <w:kern w:val="0"/>
                <w:sz w:val="16"/>
                <w:szCs w:val="24"/>
                <w:lang w:val="en-US" w:eastAsia="ja-JP" w:bidi="ar-SA"/>
              </w:rPr>
              <w:t>node</w:t>
            </w:r>
            <w:r>
              <w:rPr>
                <w:rFonts w:eastAsia="Segoe UI" w:cs="Segoe UI" w:ascii="Segoe UI" w:hAnsi="Segoe UI"/>
                <w:color w:val="101820"/>
                <w:kern w:val="0"/>
                <w:sz w:val="18"/>
                <w:szCs w:val="24"/>
                <w:lang w:val="en-US" w:eastAsia="ja-JP" w:bidi="ar-SA"/>
              </w:rPr>
              <w:t xml:space="preserve">, port 8000, health check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or Node.js 22 under a process manager</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empty database and a login that may create tables; time zone Asia/Manila; TLS on the connection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Persistent volume at </w:t>
            </w:r>
            <w:r>
              <w:rPr>
                <w:rFonts w:eastAsia="Consolas" w:cs="Consolas" w:ascii="Consolas" w:hAnsi="Consolas"/>
                <w:color w:val="101820"/>
                <w:kern w:val="0"/>
                <w:sz w:val="16"/>
                <w:szCs w:val="24"/>
                <w:lang w:val="en-US" w:eastAsia="ja-JP" w:bidi="ar-SA"/>
              </w:rPr>
              <w:t>UPLOAD_DIR</w:t>
            </w:r>
            <w:r>
              <w:rPr>
                <w:rFonts w:eastAsia="Segoe UI" w:cs="Segoe UI" w:ascii="Segoe UI" w:hAnsi="Segoe UI"/>
                <w:color w:val="101820"/>
                <w:kern w:val="0"/>
                <w:sz w:val="18"/>
                <w:szCs w:val="24"/>
                <w:lang w:val="en-US" w:eastAsia="ja-JP" w:bidi="ar-SA"/>
              </w:rPr>
              <w:t>, shared between instances when there is more than one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xml:space="preserve"> (package B), </w:t>
            </w:r>
            <w:r>
              <w:rPr>
                <w:rFonts w:eastAsia="Consolas" w:cs="Consolas" w:ascii="Consolas" w:hAnsi="Consolas"/>
                <w:color w:val="101820"/>
                <w:kern w:val="0"/>
                <w:sz w:val="16"/>
                <w:szCs w:val="24"/>
                <w:lang w:val="en-US" w:eastAsia="ja-JP" w:bidi="ar-SA"/>
              </w:rPr>
              <w:t>ADMIN_PASSWORD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DATABASE_URL</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payment gateway keys, integration connector credentials (variables named in each connector), in a secret store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at the CDN, load balancer or reverse proxy</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Outbound</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(port 587) and, when used, the payment gateways, SMS and Viber gateways, the CTPL provider and LTO feed, insurer APIs, the BIR EIS and a screening provider over HTTPS; the addresses are the connector endpoints set by an administrator</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Inbound public paths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Quotation approval, payment checkout and gateway webhooks under </w:t>
            </w:r>
            <w:r>
              <w:rPr>
                <w:rFonts w:eastAsia="Consolas" w:cs="Consolas" w:ascii="Consolas" w:hAnsi="Consolas"/>
                <w:color w:val="101820"/>
                <w:kern w:val="0"/>
                <w:sz w:val="16"/>
                <w:szCs w:val="24"/>
                <w:lang w:val="en-US" w:eastAsia="ja-JP" w:bidi="ar-SA"/>
              </w:rPr>
              <w:t>/api/public/...</w:t>
            </w:r>
            <w:r>
              <w:rPr>
                <w:rFonts w:eastAsia="Segoe UI" w:cs="Segoe UI" w:ascii="Segoe UI" w:hAnsi="Segoe UI"/>
                <w:color w:val="101820"/>
                <w:kern w:val="0"/>
                <w:sz w:val="18"/>
                <w:szCs w:val="24"/>
                <w:lang w:val="en-US" w:eastAsia="ja-JP" w:bidi="ar-SA"/>
              </w:rPr>
              <w:t>, signed integration callbacks (</w:t>
            </w:r>
            <w:r>
              <w:rPr>
                <w:rFonts w:eastAsia="Consolas" w:cs="Consolas" w:ascii="Consolas" w:hAnsi="Consolas"/>
                <w:color w:val="101820"/>
                <w:kern w:val="0"/>
                <w:sz w:val="16"/>
                <w:szCs w:val="24"/>
                <w:lang w:val="en-US" w:eastAsia="ja-JP" w:bidi="ar-SA"/>
              </w:rPr>
              <w:t>/api/public/integrations/inbound/:connector</w:t>
            </w:r>
            <w:r>
              <w:rPr>
                <w:rFonts w:eastAsia="Segoe UI" w:cs="Segoe UI" w:ascii="Segoe UI" w:hAnsi="Segoe UI"/>
                <w:color w:val="101820"/>
                <w:kern w:val="0"/>
                <w:sz w:val="18"/>
                <w:szCs w:val="24"/>
                <w:lang w:val="en-US" w:eastAsia="ja-JP" w:bidi="ar-SA"/>
              </w:rPr>
              <w:t>), campaign opt-out links, the branding of the sign-in page</w:t>
            </w:r>
          </w:p>
        </w:tc>
      </w:tr>
    </w:tbl>
    <w:p>
      <w:pPr>
        <w:pStyle w:val="Normal"/>
        <w:spacing w:before="0" w:after="80"/>
        <w:rPr/>
      </w:pPr>
      <w:r>
        <w:rPr/>
      </w:r>
    </w:p>
    <w:p>
      <w:pPr>
        <w:pStyle w:val="Heading2"/>
        <w:rPr/>
      </w:pPr>
      <w:bookmarkStart w:id="22" w:name="__RefHeading___Toc9049_3016453686"/>
      <w:bookmarkEnd w:id="22"/>
      <w:r>
        <w:rPr>
          <w:rFonts w:eastAsia="Segoe UI" w:cs="Segoe UI"/>
          <w:b/>
          <w:color w:val="0F4761"/>
          <w:sz w:val="26"/>
        </w:rPr>
        <w:t>6.2  Environment layout</w:t>
      </w:r>
    </w:p>
    <w:p>
      <w:pPr>
        <w:pStyle w:val="Normal"/>
        <w:spacing w:lineRule="auto" w:line="276" w:before="0" w:after="120"/>
        <w:rPr/>
      </w:pPr>
      <w:r>
        <w:rPr>
          <w:rFonts w:eastAsia="Segoe UI" w:cs="Segoe UI" w:ascii="Segoe UI" w:hAnsi="Segoe UI"/>
          <w:b/>
          <w:color w:val="101820"/>
          <w:sz w:val="21"/>
        </w:rPr>
        <w:t>Decision (product owner, 04 October 2026):</w:t>
      </w:r>
      <w:r>
        <w:rPr>
          <w:rFonts w:eastAsia="Segoe UI" w:cs="Segoe UI" w:ascii="Segoe UI" w:hAnsi="Segoe UI"/>
          <w:color w:val="101820"/>
          <w:sz w:val="21"/>
        </w:rPr>
        <w:t xml:space="preserve"> the environment set follows the broker size. Small and medium brokers have DEV, UAT and PROD: integration is done in DEV and the release is pushed to UAT for testing, then to PROD. Large brokers have DEV, SIT, UAT and PROD, with SIT and UAT separate. PRE-PROD is temporary for every size.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2498"/>
        <w:gridCol w:w="2531"/>
        <w:gridCol w:w="2505"/>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4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25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Recommended form</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Development and integration by iorta TechNXT; for small and medium brokers also configuration and the system integration test</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Sample and synthetic data (</w:t>
            </w:r>
            <w:r>
              <w:rPr>
                <w:rFonts w:eastAsia="Consolas" w:cs="Consolas" w:ascii="Consolas" w:hAnsi="Consolas"/>
                <w:color w:val="101820"/>
                <w:kern w:val="0"/>
                <w:sz w:val="16"/>
                <w:szCs w:val="24"/>
                <w:lang w:val="en-US" w:eastAsia="ja-JP" w:bidi="ar-SA"/>
              </w:rPr>
              <w:t>SEED_SAMPLE_DATA=true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never client data</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single-zone environment: one API instance, small managed PostgreSQL without standby</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(large broker)</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integration test, configuration build and first mock loads</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data; client data during mock loads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Single-zone environment, medium size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acceptance, training, mock loads, performance test</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Mock-load data from the broker's extracts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components as PROD at a smaller size, single zone (small size for small and medium brokers, medium size for large)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 (temporary)</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 rehearsal before go-live; rehearsal of each major release</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Restored from a PROD backup; masked when used by people without production access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topology and size as PROD; removed after use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operations</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data only, then go-live imports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API instances and managed PostgreSQL sized by tier (sizing below); high availability with a standby database required for large brokers</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after a regional or site disaster</w:t>
            </w:r>
          </w:p>
        </w:tc>
        <w:tc>
          <w:tcPr>
            <w:tcW w:w="25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Restored from cross-region or off-site backups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Pilot light or warm standby (chapter on resilience); included for the Enterprise size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Never copy production personal data into DEV, SIT or UAT. A PRE-PROD restored from a production backup is masked with the data masking tool before anyone without production access uses it (</w:t>
      </w:r>
      <w:r>
        <w:rPr>
          <w:rFonts w:eastAsia="Consolas" w:cs="Consolas" w:ascii="Consolas" w:hAnsi="Consolas"/>
          <w:color w:val="101820"/>
          <w:sz w:val="18"/>
        </w:rPr>
        <w:t>npm run mask:data</w:t>
      </w:r>
      <w:r>
        <w:rPr>
          <w:rFonts w:eastAsia="Segoe UI" w:cs="Segoe UI" w:ascii="Segoe UI" w:hAnsi="Segoe UI"/>
          <w:color w:val="101820"/>
          <w:sz w:val="20"/>
        </w:rPr>
        <w:t xml:space="preserve">, </w:t>
      </w:r>
      <w:r>
        <w:rPr>
          <w:rFonts w:eastAsia="Consolas" w:cs="Consolas" w:ascii="Consolas" w:hAnsi="Consolas"/>
          <w:color w:val="101820"/>
          <w:sz w:val="18"/>
        </w:rPr>
        <w:t>docs/onboarding/DATA_MASKING.md</w:t>
      </w:r>
      <w:r>
        <w:rPr>
          <w:rFonts w:eastAsia="Segoe UI" w:cs="Segoe UI" w:ascii="Segoe UI" w:hAnsi="Segoe UI"/>
          <w:color w:val="101820"/>
          <w:sz w:val="20"/>
        </w:rPr>
        <w:t xml:space="preserve">: it refuses on a database marked production, </w:t>
      </w:r>
      <w:r>
        <w:rPr>
          <w:rFonts w:eastAsia="Consolas" w:cs="Consolas" w:ascii="Consolas" w:hAnsi="Consolas"/>
          <w:color w:val="101820"/>
          <w:sz w:val="18"/>
        </w:rPr>
        <w:t>--remark-copy</w:t>
      </w:r>
      <w:r>
        <w:rPr>
          <w:rFonts w:eastAsia="Segoe UI" w:cs="Segoe UI" w:ascii="Segoe UI" w:hAnsi="Segoe UI"/>
          <w:color w:val="101820"/>
          <w:sz w:val="20"/>
        </w:rPr>
        <w:t xml:space="preserve"> re-marks a restored copy, </w:t>
      </w:r>
      <w:r>
        <w:rPr>
          <w:rFonts w:eastAsia="Consolas" w:cs="Consolas" w:ascii="Consolas" w:hAnsi="Consolas"/>
          <w:color w:val="101820"/>
          <w:sz w:val="18"/>
        </w:rPr>
        <w:t>--register-production</w:t>
      </w:r>
      <w:r>
        <w:rPr>
          <w:rFonts w:eastAsia="Segoe UI" w:cs="Segoe UI" w:ascii="Segoe UI" w:hAnsi="Segoe UI"/>
          <w:color w:val="101820"/>
          <w:sz w:val="20"/>
        </w:rPr>
        <w:t xml:space="preserve"> records where production lives). Each environment has its own secrets; </w:t>
      </w:r>
      <w:r>
        <w:rPr>
          <w:rFonts w:eastAsia="Consolas" w:cs="Consolas" w:ascii="Consolas" w:hAnsi="Consolas"/>
          <w:color w:val="101820"/>
          <w:sz w:val="18"/>
        </w:rPr>
        <w:t>DATA_ENCRYPTION_KEY</w:t>
      </w:r>
      <w:r>
        <w:rPr>
          <w:rFonts w:eastAsia="Segoe UI" w:cs="Segoe UI" w:ascii="Segoe UI" w:hAnsi="Segoe UI"/>
          <w:color w:val="101820"/>
          <w:sz w:val="20"/>
        </w:rPr>
        <w:t xml:space="preserve">, </w:t>
      </w:r>
      <w:r>
        <w:rPr>
          <w:rFonts w:eastAsia="Consolas" w:cs="Consolas" w:ascii="Consolas" w:hAnsi="Consolas"/>
          <w:color w:val="101820"/>
          <w:sz w:val="18"/>
        </w:rPr>
        <w:t>JWT_SECRET</w:t>
      </w:r>
      <w:r>
        <w:rPr>
          <w:rFonts w:eastAsia="Segoe UI" w:cs="Segoe UI" w:ascii="Segoe UI" w:hAnsi="Segoe UI"/>
          <w:color w:val="101820"/>
          <w:sz w:val="20"/>
        </w:rPr>
        <w:t xml:space="preserve"> and </w:t>
      </w:r>
      <w:r>
        <w:rPr>
          <w:rFonts w:eastAsia="Consolas" w:cs="Consolas" w:ascii="Consolas" w:hAnsi="Consolas"/>
          <w:color w:val="101820"/>
          <w:sz w:val="18"/>
        </w:rPr>
        <w:t>PII_ENCRYPTION_KEY</w:t>
      </w:r>
      <w:r>
        <w:rPr>
          <w:rFonts w:eastAsia="Segoe UI" w:cs="Segoe UI" w:ascii="Segoe UI" w:hAnsi="Segoe UI"/>
          <w:color w:val="101820"/>
          <w:sz w:val="20"/>
        </w:rPr>
        <w:t xml:space="preserve"> differ between environments (a restored copy is masked with production's personal data key, then rotated to its own). The environment marker </w:t>
      </w:r>
      <w:r>
        <w:rPr>
          <w:rFonts w:eastAsia="Consolas" w:cs="Consolas" w:ascii="Consolas" w:hAnsi="Consolas"/>
          <w:color w:val="101820"/>
          <w:sz w:val="18"/>
        </w:rPr>
        <w:t>system.environment</w:t>
      </w:r>
      <w:r>
        <w:rPr>
          <w:rFonts w:eastAsia="Segoe UI" w:cs="Segoe UI" w:ascii="Segoe UI" w:hAnsi="Segoe UI"/>
          <w:color w:val="101820"/>
          <w:sz w:val="20"/>
        </w:rPr>
        <w:t xml:space="preserve"> and the label next to the logo (</w:t>
      </w:r>
      <w:r>
        <w:rPr>
          <w:rFonts w:eastAsia="Consolas" w:cs="Consolas" w:ascii="Consolas" w:hAnsi="Consolas"/>
          <w:color w:val="101820"/>
          <w:sz w:val="18"/>
        </w:rPr>
        <w:t>ENVIRONMENT_NAME</w:t>
      </w:r>
      <w:r>
        <w:rPr>
          <w:rFonts w:eastAsia="Segoe UI" w:cs="Segoe UI" w:ascii="Segoe UI" w:hAnsi="Segoe UI"/>
          <w:color w:val="101820"/>
          <w:sz w:val="20"/>
        </w:rPr>
        <w:t>) show which environment a user is in.</w:t>
      </w:r>
    </w:p>
    <w:p>
      <w:pPr>
        <w:pStyle w:val="Heading2"/>
        <w:rPr/>
      </w:pPr>
      <w:bookmarkStart w:id="23" w:name="__RefHeading___Toc9051_3016453686"/>
      <w:bookmarkEnd w:id="23"/>
      <w:r>
        <w:rPr>
          <w:rFonts w:eastAsia="Segoe UI" w:cs="Segoe UI"/>
          <w:b/>
          <w:color w:val="0F4761"/>
          <w:sz w:val="26"/>
        </w:rPr>
        <w:t>6.3  Network zones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1"/>
        <w:gridCol w:w="3546"/>
        <w:gridCol w:w="3548"/>
      </w:tblGrid>
      <w:tr>
        <w:trPr>
          <w:tblHeader w:val="true"/>
        </w:trPr>
        <w:tc>
          <w:tcPr>
            <w:tcW w:w="19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Zone</w:t>
            </w:r>
          </w:p>
        </w:tc>
        <w:tc>
          <w:tcPr>
            <w:tcW w:w="3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Contents</w:t>
            </w:r>
          </w:p>
        </w:tc>
        <w:tc>
          <w:tcPr>
            <w:tcW w:w="3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Allowed traffic</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edge</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DNS, CDN, WAF, public load balancer or reverse proxy</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443 from the internet</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zone (private)</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From the load balancer only, on the API port; outbound to SMTP, the payment gateways and the enabled integration endpoints only (allow-list)</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zone (private)</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file store</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5432 and NFS from the application zone only</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Management zone</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Bastion or session manager, CI/CD runner access</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Administrator access with multi-factor sign-in, logged</w:t>
            </w:r>
          </w:p>
        </w:tc>
      </w:tr>
    </w:tbl>
    <w:p>
      <w:pPr>
        <w:pStyle w:val="Normal"/>
        <w:spacing w:before="0" w:after="80"/>
        <w:rPr/>
      </w:pPr>
      <w:r>
        <w:rPr/>
      </w:r>
    </w:p>
    <w:p>
      <w:pPr>
        <w:pStyle w:val="Heading2"/>
        <w:rPr/>
      </w:pPr>
      <w:bookmarkStart w:id="24" w:name="__RefHeading___Toc9053_3016453686"/>
      <w:bookmarkEnd w:id="24"/>
      <w:r>
        <w:rPr>
          <w:rFonts w:eastAsia="Segoe UI" w:cs="Segoe UI"/>
          <w:b/>
          <w:color w:val="0F4761"/>
          <w:sz w:val="26"/>
        </w:rPr>
        <w:t>6.4  Option A: customer cloud on AWS (Singapore)</w:t>
      </w:r>
    </w:p>
    <w:p>
      <w:pPr>
        <w:pStyle w:val="Normal"/>
        <w:spacing w:lineRule="auto" w:line="276" w:before="0" w:after="120"/>
        <w:rPr/>
      </w:pPr>
      <w:r>
        <w:rPr>
          <w:rFonts w:eastAsia="Segoe UI" w:cs="Segoe UI" w:ascii="Segoe UI" w:hAnsi="Segoe UI"/>
          <w:color w:val="101820"/>
          <w:sz w:val="21"/>
        </w:rPr>
        <w:t xml:space="preserve">This is the reference deployment of </w:t>
      </w:r>
      <w:r>
        <w:rPr>
          <w:rFonts w:eastAsia="Consolas" w:cs="Consolas" w:ascii="Consolas" w:hAnsi="Consolas"/>
          <w:color w:val="101820"/>
          <w:sz w:val="19"/>
        </w:rPr>
        <w:t>deploy/README.md</w:t>
      </w:r>
      <w:r>
        <w:rPr>
          <w:rFonts w:eastAsia="Segoe UI" w:cs="Segoe UI" w:ascii="Segoe UI" w:hAnsi="Segoe UI"/>
          <w:color w:val="101820"/>
          <w:sz w:val="21"/>
        </w:rPr>
        <w:t xml:space="preserve"> and architecture documents 01 and 07. The region is ap-southeast-1 (Singapore).</w:t>
      </w:r>
    </w:p>
    <w:p>
      <w:pPr>
        <w:pStyle w:val="Normal"/>
        <w:jc w:val="center"/>
        <w:rPr/>
      </w:pPr>
      <w:r>
        <w:rPr/>
        <w:drawing>
          <wp:inline distT="0" distB="0" distL="0" distR="0">
            <wp:extent cx="5760085" cy="387223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3872230"/>
                    </a:xfrm>
                    <a:prstGeom prst="rect">
                      <a:avLst/>
                    </a:prstGeom>
                  </pic:spPr>
                </pic:pic>
              </a:graphicData>
            </a:graphic>
          </wp:inline>
        </w:drawing>
      </w:r>
    </w:p>
    <w:p>
      <w:pPr>
        <w:pStyle w:val="Normal"/>
        <w:jc w:val="center"/>
        <w:rPr/>
      </w:pPr>
      <w:r>
        <w:rPr>
          <w:rFonts w:eastAsia="Segoe UI" w:cs="Segoe UI" w:ascii="Segoe UI" w:hAnsi="Segoe UI"/>
          <w:i/>
          <w:color w:val="555F6D"/>
          <w:sz w:val="18"/>
        </w:rPr>
        <w:t>Production deployment on AWS ap-southeast-1 (architecture document 01)</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AWS service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 and CDN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S3 bucket and CloudFront; custom error responses 403 and 404 return </w:t>
            </w:r>
            <w:r>
              <w:rPr>
                <w:rFonts w:eastAsia="Consolas" w:cs="Consolas" w:ascii="Consolas" w:hAnsi="Consolas"/>
                <w:color w:val="101820"/>
                <w:kern w:val="0"/>
                <w:sz w:val="16"/>
                <w:szCs w:val="24"/>
                <w:lang w:val="en-US" w:eastAsia="ja-JP" w:bidi="ar-SA"/>
              </w:rPr>
              <w:t>/index.html</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address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Same-domain option: CloudFront behaviour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to the load balancer, no caching</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ECS Fargate (recommended), App Runner or EC2, behind an Application Load Balancer with HTTPS (ACM certificate)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RDS for PostgreSQL 16, Multi-AZ, encrypted with KMS, </w:t>
            </w:r>
            <w:r>
              <w:rPr>
                <w:rFonts w:eastAsia="Consolas" w:cs="Consolas" w:ascii="Consolas" w:hAnsi="Consolas"/>
                <w:color w:val="101820"/>
                <w:kern w:val="0"/>
                <w:sz w:val="16"/>
                <w:szCs w:val="24"/>
                <w:lang w:val="en-US" w:eastAsia="ja-JP" w:bidi="ar-SA"/>
              </w:rPr>
              <w:t>sslmode=require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Amazon EFS mounted at </w:t>
            </w:r>
            <w:r>
              <w:rPr>
                <w:rFonts w:eastAsia="Consolas" w:cs="Consolas" w:ascii="Consolas" w:hAnsi="Consolas"/>
                <w:color w:val="101820"/>
                <w:kern w:val="0"/>
                <w:sz w:val="16"/>
                <w:szCs w:val="24"/>
                <w:lang w:val="en-US" w:eastAsia="ja-JP" w:bidi="ar-SA"/>
              </w:rPr>
              <w:t>/app/uploads</w:t>
            </w:r>
            <w:r>
              <w:rPr>
                <w:rFonts w:eastAsia="Segoe UI" w:cs="Segoe UI" w:ascii="Segoe UI" w:hAnsi="Segoe UI"/>
                <w:color w:val="101820"/>
                <w:kern w:val="0"/>
                <w:sz w:val="18"/>
                <w:szCs w:val="24"/>
                <w:lang w:val="en-US" w:eastAsia="ja-JP" w:bidi="ar-SA"/>
              </w:rPr>
              <w:t>, encrypted at rest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RDS automated backups (35 days, PITR), AWS Backup plans for RDS and EFS, cross-region copies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 Secrets Manager or SSM Parameter Store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CloudWatch Logs, metrics, alarms, Synthetics; SNS for notifications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WAF</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AWS WAF on CloudFront with managed rule groups and rate-based rules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Image registry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Amazon ECR, replicated to the recovery region</w:t>
            </w:r>
          </w:p>
        </w:tc>
      </w:tr>
    </w:tbl>
    <w:p>
      <w:pPr>
        <w:pStyle w:val="Normal"/>
        <w:spacing w:before="0" w:after="80"/>
        <w:rPr/>
      </w:pPr>
      <w:r>
        <w:rPr/>
      </w:r>
    </w:p>
    <w:p>
      <w:pPr>
        <w:pStyle w:val="Normal"/>
        <w:spacing w:lineRule="auto" w:line="276" w:before="0" w:after="120"/>
        <w:rPr/>
      </w:pPr>
      <w:r>
        <w:rPr>
          <w:rFonts w:eastAsia="Segoe UI" w:cs="Segoe UI" w:ascii="Segoe UI" w:hAnsi="Segoe UI"/>
          <w:b/>
          <w:color w:val="101820"/>
          <w:sz w:val="21"/>
        </w:rPr>
        <w:t>Philippine data residency.</w:t>
      </w:r>
      <w:r>
        <w:rPr>
          <w:rFonts w:eastAsia="Segoe UI" w:cs="Segoe UI" w:ascii="Segoe UI" w:hAnsi="Segoe UI"/>
          <w:color w:val="101820"/>
          <w:sz w:val="21"/>
        </w:rPr>
        <w:t xml:space="preserve"> The Data Privacy Act does not require personal data to be stored in the Philippines; it makes the broker accountable for personal data transferred abroad (DPA section 21). Hosting in Singapore is therefore a cross-border transfer that the broker documents and covers by contract (chapter on data privacy). AWS has a Local Zone in Manila with a limited set of services (compute and block storage); managed RDS, EFS and the other services above run in the Singapore parent region. A broker that must keep the system of record in the Philippines uses option C, or confirms with AWS which services are available in Manila at the time of the decision.</w:t>
      </w:r>
    </w:p>
    <w:p>
      <w:pPr>
        <w:pStyle w:val="Heading3"/>
        <w:rPr/>
      </w:pPr>
      <w:r>
        <w:rPr>
          <w:rFonts w:eastAsia="Segoe UI" w:cs="Segoe UI"/>
          <w:b/>
          <w:color w:val="0F4761"/>
          <w:sz w:val="23"/>
        </w:rPr>
        <w:t>6.4.1  Current demo deployment</w:t>
      </w:r>
    </w:p>
    <w:p>
      <w:pPr>
        <w:pStyle w:val="Normal"/>
        <w:spacing w:lineRule="auto" w:line="276" w:before="0" w:after="120"/>
        <w:rPr/>
      </w:pPr>
      <w:r>
        <w:rPr>
          <w:rFonts w:eastAsia="Segoe UI" w:cs="Segoe UI" w:ascii="Segoe UI" w:hAnsi="Segoe UI"/>
          <w:color w:val="101820"/>
          <w:sz w:val="21"/>
        </w:rPr>
        <w:t>The repository also deploys a demo system: the release pipeline (</w:t>
      </w:r>
      <w:r>
        <w:rPr>
          <w:rFonts w:eastAsia="Consolas" w:cs="Consolas" w:ascii="Consolas" w:hAnsi="Consolas"/>
          <w:color w:val="101820"/>
          <w:sz w:val="19"/>
        </w:rPr>
        <w:t>.github/workflows/deploy.yml</w:t>
      </w:r>
      <w:r>
        <w:rPr>
          <w:rFonts w:eastAsia="Segoe UI" w:cs="Segoe UI" w:ascii="Segoe UI" w:hAnsi="Segoe UI"/>
          <w:color w:val="101820"/>
          <w:sz w:val="21"/>
        </w:rPr>
        <w:t xml:space="preserve">, environment </w:t>
      </w:r>
      <w:r>
        <w:rPr>
          <w:rFonts w:eastAsia="Consolas" w:cs="Consolas" w:ascii="Consolas" w:hAnsi="Consolas"/>
          <w:color w:val="101820"/>
          <w:sz w:val="19"/>
        </w:rPr>
        <w:t>dev</w:t>
      </w:r>
      <w:r>
        <w:rPr>
          <w:rFonts w:eastAsia="Segoe UI" w:cs="Segoe UI" w:ascii="Segoe UI" w:hAnsi="Segoe UI"/>
          <w:color w:val="101820"/>
          <w:sz w:val="21"/>
        </w:rPr>
        <w:t>) publishes the front end to S3 and CloudFront and switches the API on one EC2 host with PM2 (</w:t>
      </w:r>
      <w:r>
        <w:rPr>
          <w:rFonts w:eastAsia="Consolas" w:cs="Consolas" w:ascii="Consolas" w:hAnsi="Consolas"/>
          <w:color w:val="101820"/>
          <w:sz w:val="19"/>
        </w:rPr>
        <w:t>deploy/ec2/release.sh</w:t>
      </w:r>
      <w:r>
        <w:rPr>
          <w:rFonts w:eastAsia="Segoe UI" w:cs="Segoe UI" w:ascii="Segoe UI" w:hAnsi="Segoe UI"/>
          <w:color w:val="101820"/>
          <w:sz w:val="21"/>
        </w:rPr>
        <w:t xml:space="preserve">). The API runs as one PM2 process (fork mode, restart above 700 MB) on port 8001 behind an nginx site that only forwards </w:t>
      </w:r>
      <w:r>
        <w:rPr>
          <w:rFonts w:eastAsia="Consolas" w:cs="Consolas" w:ascii="Consolas" w:hAnsi="Consolas"/>
          <w:color w:val="101820"/>
          <w:sz w:val="19"/>
        </w:rPr>
        <w:t>/api/</w:t>
      </w:r>
      <w:r>
        <w:rPr>
          <w:rFonts w:eastAsia="Segoe UI" w:cs="Segoe UI" w:ascii="Segoe UI" w:hAnsi="Segoe UI"/>
          <w:color w:val="101820"/>
          <w:sz w:val="21"/>
        </w:rPr>
        <w:t>. This is a single-instance set-up with no redundancy; it is suitable for demonstration and UAT, not as the production form of option A.</w:t>
      </w:r>
    </w:p>
    <w:p>
      <w:pPr>
        <w:pStyle w:val="Heading2"/>
        <w:rPr/>
      </w:pPr>
      <w:bookmarkStart w:id="25" w:name="__RefHeading___Toc9055_3016453686"/>
      <w:bookmarkEnd w:id="25"/>
      <w:r>
        <w:rPr>
          <w:rFonts w:eastAsia="Segoe UI" w:cs="Segoe UI"/>
          <w:b/>
          <w:color w:val="0F4761"/>
          <w:sz w:val="26"/>
        </w:rPr>
        <w:t>6.5  Option B: Microsoft Azure (Southeast Asia)</w:t>
      </w:r>
    </w:p>
    <w:p>
      <w:pPr>
        <w:pStyle w:val="Normal"/>
        <w:spacing w:lineRule="auto" w:line="276" w:before="0" w:after="120"/>
        <w:rPr/>
      </w:pPr>
      <w:r>
        <w:rPr>
          <w:rFonts w:eastAsia="Segoe UI" w:cs="Segoe UI" w:ascii="Segoe UI" w:hAnsi="Segoe UI"/>
          <w:color w:val="101820"/>
          <w:sz w:val="21"/>
        </w:rPr>
        <w:t>The Azure region Southeast Asia is in Singapore, so the data residency position is the same as for option A. The application needs no code change on Azure: it uses a container, PostgreSQL and a mounted file system.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Azure service (recommended mapping)</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 and CDN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Azure Storage static website with Azure Front Door (CDN and routing of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WAF</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Front Door WAF policy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Container Apps or App Service for Containers, two or more replicas across availability zones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Database for PostgreSQL Flexible Server 16, zone-redundant high availability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Azure Files (SMB or NFS share) mounted at </w:t>
            </w:r>
            <w:r>
              <w:rPr>
                <w:rFonts w:eastAsia="Consolas" w:cs="Consolas" w:ascii="Consolas" w:hAnsi="Consolas"/>
                <w:color w:val="101820"/>
                <w:kern w:val="0"/>
                <w:sz w:val="16"/>
                <w:szCs w:val="24"/>
                <w:lang w:val="en-US" w:eastAsia="ja-JP" w:bidi="ar-SA"/>
              </w:rPr>
              <w:t>/app/uploads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Flexible Server automated backups with PITR (up to 35 days), geo-redundant backup storage; Azure Backup for Azure Files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Key Vault, referenced by the container app</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Monitor, Log Analytics, Application Insights availability tests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Azure Container Registry</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Network</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network with separate subnets for the application and the database (private access)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GitHub workflows in the repository target AWS. For Azure, the deployment steps (registry push, container app revision, static website upload, Front Door purge) must be added to the pipeline. Set the database time zone to Asia/Manila (server parameter </w:t>
      </w:r>
      <w:r>
        <w:rPr>
          <w:rFonts w:eastAsia="Consolas" w:cs="Consolas" w:ascii="Consolas" w:hAnsi="Consolas"/>
          <w:color w:val="101820"/>
          <w:sz w:val="18"/>
        </w:rPr>
        <w:t>timezone</w:t>
      </w:r>
      <w:r>
        <w:rPr>
          <w:rFonts w:eastAsia="Segoe UI" w:cs="Segoe UI" w:ascii="Segoe UI" w:hAnsi="Segoe UI"/>
          <w:color w:val="101820"/>
          <w:sz w:val="20"/>
        </w:rPr>
        <w:t xml:space="preserve">) or add the time zone option to </w:t>
      </w:r>
      <w:r>
        <w:rPr>
          <w:rFonts w:eastAsia="Consolas" w:cs="Consolas" w:ascii="Consolas" w:hAnsi="Consolas"/>
          <w:color w:val="101820"/>
          <w:sz w:val="18"/>
        </w:rPr>
        <w:t>DATABASE_URL</w:t>
      </w:r>
      <w:r>
        <w:rPr>
          <w:rFonts w:eastAsia="Segoe UI" w:cs="Segoe UI" w:ascii="Segoe UI" w:hAnsi="Segoe UI"/>
          <w:color w:val="101820"/>
          <w:sz w:val="20"/>
        </w:rPr>
        <w:t>, as done for Railway.</w:t>
      </w:r>
    </w:p>
    <w:p>
      <w:pPr>
        <w:pStyle w:val="Heading2"/>
        <w:rPr/>
      </w:pPr>
      <w:bookmarkStart w:id="26" w:name="__RefHeading___Toc9057_3016453686"/>
      <w:bookmarkEnd w:id="26"/>
      <w:r>
        <w:rPr>
          <w:rFonts w:eastAsia="Segoe UI" w:cs="Segoe UI"/>
          <w:b/>
          <w:color w:val="0F4761"/>
          <w:sz w:val="26"/>
        </w:rPr>
        <w:t>6.6  Option C: local partner or on-premise data centre in the Philippines</w:t>
      </w:r>
    </w:p>
    <w:p>
      <w:pPr>
        <w:pStyle w:val="Normal"/>
        <w:spacing w:lineRule="auto" w:line="276" w:before="0" w:after="120"/>
        <w:rPr/>
      </w:pPr>
      <w:r>
        <w:rPr>
          <w:rFonts w:eastAsia="Segoe UI" w:cs="Segoe UI" w:ascii="Segoe UI" w:hAnsi="Segoe UI"/>
          <w:color w:val="101820"/>
          <w:sz w:val="21"/>
        </w:rPr>
        <w:t>For a broker that wants the data held in the Philippines, BrokerVerse runs on virtual machines in a local data centre or with a Philippine hosting partner. The Docker Compose file and the EC2 scripts show both ways to run it without cloud managed services.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2"/>
        <w:gridCol w:w="6271"/>
      </w:tblGrid>
      <w:tr>
        <w:trPr>
          <w:tblHeader w:val="true"/>
        </w:trPr>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62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On-premise or partner form</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hosting</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nginx serving the SPA build (the </w:t>
            </w:r>
            <w:r>
              <w:rPr>
                <w:rFonts w:eastAsia="Consolas" w:cs="Consolas" w:ascii="Consolas" w:hAnsi="Consolas"/>
                <w:color w:val="101820"/>
                <w:kern w:val="0"/>
                <w:sz w:val="16"/>
                <w:szCs w:val="24"/>
                <w:lang w:val="en-US" w:eastAsia="ja-JP" w:bidi="ar-SA"/>
              </w:rPr>
              <w:t>web</w:t>
            </w:r>
            <w:r>
              <w:rPr>
                <w:rFonts w:eastAsia="Segoe UI" w:cs="Segoe UI" w:ascii="Segoe UI" w:hAnsi="Segoe UI"/>
                <w:color w:val="101820"/>
                <w:kern w:val="0"/>
                <w:sz w:val="18"/>
                <w:szCs w:val="24"/>
                <w:lang w:val="en-US" w:eastAsia="ja-JP" w:bidi="ar-SA"/>
              </w:rPr>
              <w:t xml:space="preserve"> image of Docker Compose), behind the TLS reverse proxy</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Reverse proxy and WAF</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nginx or HAProxy nodes with a virtual IP, TLS certificate; WAF appliance or ModSecurity with the OWASP Core Rule Set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VMs running the API container (or Node.js 22 with PM2)</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primary and streaming-replica standby on separate hosts; failover with Patroni or a manual runbook</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NFS share on redundant storage (or a clustered file system) mounted on both API VMs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Daily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 xml:space="preserve"> and WAL archiving (pgBackRest or WAL-G) to a backup server; daily archive of the upload share; an off-site copy in a second Philippine site</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HashiCorp Vault, or an encrypted environment file readable only by the service account, with an escrow copy under dual control</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Prometheus and Grafana or Zabbix, log shipping to a central log server or SIEM, external uptime check</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w:t>
            </w:r>
          </w:p>
        </w:tc>
        <w:tc>
          <w:tcPr>
            <w:tcW w:w="62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data centre in another Philippine city with replicated backups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Ask the partner for evidence of physical security, power and cooling redundancy, and an ISO/IEC 27001 certificate or equivalent. Agree in the contract who patches the operating system, PostgreSQL and the reverse proxy.</w:t>
      </w:r>
    </w:p>
    <w:p>
      <w:pPr>
        <w:pStyle w:val="Heading2"/>
        <w:rPr/>
      </w:pPr>
      <w:bookmarkStart w:id="27" w:name="__RefHeading___Toc9059_3016453686"/>
      <w:bookmarkEnd w:id="27"/>
      <w:r>
        <w:rPr>
          <w:rFonts w:eastAsia="Segoe UI" w:cs="Segoe UI"/>
          <w:b/>
          <w:color w:val="0F4761"/>
          <w:sz w:val="26"/>
        </w:rPr>
        <w:t>6.7  Sizing by broker size</w:t>
      </w:r>
    </w:p>
    <w:p>
      <w:pPr>
        <w:pStyle w:val="Normal"/>
        <w:spacing w:lineRule="auto" w:line="276" w:before="0" w:after="120"/>
        <w:rPr/>
      </w:pPr>
      <w:r>
        <w:rPr>
          <w:rFonts w:eastAsia="Segoe UI" w:cs="Segoe UI" w:ascii="Segoe UI" w:hAnsi="Segoe UI"/>
          <w:color w:val="101820"/>
          <w:sz w:val="21"/>
        </w:rPr>
        <w:t>The sizes below extend the recommendation of architecture document 06 (200 named users, 80 concurrent, 50,000 policies a year: two API instances of 1 vCPU and 2 GB, database of 2 vCPU and 8 GB Multi-AZ). They apply to PROD and must be confirmed with the UAT performance test.</w:t>
      </w:r>
    </w:p>
    <w:p>
      <w:pPr>
        <w:pStyle w:val="Normal"/>
        <w:shd w:val="clear" w:color="auto" w:fill="EAF2FB"/>
        <w:spacing w:before="0" w:after="160"/>
        <w:ind w:left="170"/>
        <w:rPr/>
      </w:pPr>
      <w:r>
        <w:rPr>
          <w:rFonts w:eastAsia="Segoe UI" w:cs="Segoe UI" w:ascii="Segoe UI" w:hAnsi="Segoe UI"/>
          <w:b/>
          <w:color w:val="101820"/>
          <w:sz w:val="20"/>
        </w:rPr>
        <w:t>Recommended / Indicative:</w:t>
      </w:r>
      <w:r>
        <w:rPr>
          <w:rFonts w:eastAsia="Segoe UI" w:cs="Segoe UI" w:ascii="Segoe UI" w:hAnsi="Segoe UI"/>
          <w:color w:val="101820"/>
          <w:sz w:val="20"/>
        </w:rPr>
        <w:t xml:space="preserve"> Assumptions per broker size: small up to 25 named users and about 5,000 policies a year; medium 26 to 100 users and about 20,000 policies; large 101 to 300 users and about 60,000 policies. Uploaded documents average 2 MB per policy. Replace these with the broker's own forecast.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31"/>
        <w:gridCol w:w="2228"/>
        <w:gridCol w:w="2126"/>
        <w:gridCol w:w="2228"/>
      </w:tblGrid>
      <w:tr>
        <w:trPr>
          <w:tblHeader w:val="true"/>
        </w:trPr>
        <w:tc>
          <w:tcPr>
            <w:tcW w:w="24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(up to 25 users)</w:t>
            </w:r>
          </w:p>
        </w:tc>
        <w:tc>
          <w:tcPr>
            <w:tcW w:w="2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(26 to 100)</w:t>
            </w:r>
          </w:p>
        </w:tc>
        <w:tc>
          <w:tcPr>
            <w:tcW w:w="2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(101 to 300)</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instances</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to 4 x 2 vCPU, 4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4 GB, standby</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8 GB, standby</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vCPU, 16 GB, standby</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storage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(year 1)</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storage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Concurrent users at peak</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w:t>
            </w:r>
          </w:p>
        </w:tc>
      </w:tr>
    </w:tbl>
    <w:p>
      <w:pPr>
        <w:pStyle w:val="Normal"/>
        <w:spacing w:before="0" w:after="80"/>
        <w:rPr/>
      </w:pPr>
      <w:r>
        <w:rPr/>
      </w:r>
    </w:p>
    <w:p>
      <w:pPr>
        <w:pStyle w:val="Heading2"/>
        <w:rPr/>
      </w:pPr>
      <w:bookmarkStart w:id="28" w:name="__RefHeading___Toc9061_3016453686"/>
      <w:bookmarkEnd w:id="28"/>
      <w:r>
        <w:rPr>
          <w:rFonts w:eastAsia="Segoe UI" w:cs="Segoe UI"/>
          <w:b/>
          <w:color w:val="0F4761"/>
          <w:sz w:val="26"/>
        </w:rPr>
        <w:t>6.8  Indicative monthly cost</w:t>
      </w:r>
    </w:p>
    <w:p>
      <w:pPr>
        <w:pStyle w:val="Normal"/>
        <w:shd w:val="clear" w:color="auto" w:fill="EAF2FB"/>
        <w:spacing w:before="0" w:after="160"/>
        <w:ind w:left="170"/>
        <w:rPr/>
      </w:pPr>
      <w:r>
        <w:rPr>
          <w:rFonts w:eastAsia="Segoe UI" w:cs="Segoe UI" w:ascii="Segoe UI" w:hAnsi="Segoe UI"/>
          <w:b/>
          <w:color w:val="101820"/>
          <w:sz w:val="20"/>
        </w:rPr>
        <w:t>Indicative:</w:t>
      </w:r>
      <w:r>
        <w:rPr>
          <w:rFonts w:eastAsia="Segoe UI" w:cs="Segoe UI" w:ascii="Segoe UI" w:hAnsi="Segoe UI"/>
          <w:color w:val="101820"/>
          <w:sz w:val="20"/>
        </w:rPr>
        <w:t xml:space="preserve"> Hosting prices when iorta TechNXT hosts, from the commercials and pricing workbook (Infrastructure sheet) and the Rate Card: estimates of on-demand list prices at PHP 62.75 to USD 1.00 plus a 20% margin for exchange rate movement and operations, excluding VAT. Reserved capacity or savings plans reduce the cloud cost by roughly 20% to 40%. Obtain a quotation from the provider or partner before ordering.</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82"/>
        <w:gridCol w:w="1036"/>
        <w:gridCol w:w="1038"/>
        <w:gridCol w:w="1134"/>
        <w:gridCol w:w="2823"/>
      </w:tblGrid>
      <w:tr>
        <w:trPr>
          <w:tblHeader w:val="true"/>
        </w:trPr>
        <w:tc>
          <w:tcPr>
            <w:tcW w:w="29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Environment (AWS Singapore, PHP a month)</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1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28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used</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23,000.00</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199,000.00 (with cross-region backups)</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Standing set</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43,000.00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69,000.00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143,000.00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256,000.00</w:t>
            </w:r>
          </w:p>
        </w:tc>
      </w:tr>
      <w:tr>
        <w:trPr/>
        <w:tc>
          <w:tcPr>
            <w:tcW w:w="29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per month of use</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21,000.00</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47,000.00</w:t>
            </w:r>
          </w:p>
        </w:tc>
        <w:tc>
          <w:tcPr>
            <w:tcW w:w="11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86,000.00</w:t>
            </w:r>
          </w:p>
        </w:tc>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169,000.00</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37"/>
        <w:gridCol w:w="1038"/>
        <w:gridCol w:w="1036"/>
        <w:gridCol w:w="1141"/>
        <w:gridCol w:w="1362"/>
      </w:tblGrid>
      <w:tr>
        <w:trPr>
          <w:tblHeader w:val="true"/>
        </w:trPr>
        <w:tc>
          <w:tcPr>
            <w:tcW w:w="44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Standing set, other options (PHP a month)</w:t>
            </w:r>
          </w:p>
        </w:tc>
        <w:tc>
          <w:tcPr>
            <w:tcW w:w="103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1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44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 Azure Southeast Asia</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73,000.00</w:t>
            </w:r>
          </w:p>
        </w:tc>
        <w:tc>
          <w:tcPr>
            <w:tcW w:w="1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150,000.00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269,000.00</w:t>
            </w:r>
          </w:p>
        </w:tc>
      </w:tr>
      <w:tr>
        <w:trPr/>
        <w:tc>
          <w:tcPr>
            <w:tcW w:w="44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 Philippine partner</w:t>
            </w:r>
          </w:p>
        </w:tc>
        <w:tc>
          <w:tcPr>
            <w:tcW w:w="103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42,000.00</w:t>
            </w:r>
          </w:p>
        </w:tc>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67,000.00</w:t>
            </w:r>
          </w:p>
        </w:tc>
        <w:tc>
          <w:tcPr>
            <w:tcW w:w="11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135,000.00</w:t>
            </w:r>
          </w:p>
        </w:tc>
        <w:tc>
          <w:tcPr>
            <w:tcW w:w="1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242,000.00</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341"/>
        <w:gridCol w:w="3672"/>
      </w:tblGrid>
      <w:tr>
        <w:trPr>
          <w:tblHeader w:val="true"/>
        </w:trPr>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DR option</w:t>
            </w:r>
          </w:p>
        </w:tc>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Indicative share of the PROD cost</w:t>
            </w:r>
          </w:p>
        </w:tc>
      </w:tr>
      <w:tr>
        <w:trPr/>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as pilot light (backups and images in the second region or site, nothing running)</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 to 10%</w:t>
            </w:r>
          </w:p>
        </w:tc>
      </w:tr>
      <w:tr>
        <w:trPr/>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as warm standby (small database replica and one API instance running)</w:t>
            </w:r>
          </w:p>
        </w:tc>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to 50%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largest cost items are the database with its standby, the load balancer or reverse proxy, the WAF and the log volume. The file store and the backups grow with the number of uploaded documents. PRE-PROD is billed only for the months it exists: the workbook budgets 2 months around go-live and 1 month per major release.</w:t>
      </w:r>
      <w:r>
        <w:br w:type="page"/>
      </w:r>
    </w:p>
    <w:p>
      <w:pPr>
        <w:pStyle w:val="Heading1"/>
        <w:rPr/>
      </w:pPr>
      <w:bookmarkStart w:id="29" w:name="__RefHeading___Toc9063_3016453686"/>
      <w:bookmarkEnd w:id="29"/>
      <w:r>
        <w:rPr>
          <w:rFonts w:eastAsia="Segoe UI" w:cs="Segoe UI" w:ascii="Segoe UI" w:hAnsi="Segoe UI"/>
          <w:b/>
          <w:color w:val="0F4761"/>
          <w:sz w:val="32"/>
        </w:rPr>
        <w:t>7.  CI/CD and release management</w:t>
      </w:r>
    </w:p>
    <w:p>
      <w:pPr>
        <w:pStyle w:val="Heading2"/>
        <w:rPr/>
      </w:pPr>
      <w:bookmarkStart w:id="30" w:name="__RefHeading___Toc9065_3016453686"/>
      <w:bookmarkEnd w:id="30"/>
      <w:r>
        <w:rPr>
          <w:rFonts w:eastAsia="Segoe UI" w:cs="Segoe UI"/>
          <w:b/>
          <w:color w:val="0F4761"/>
          <w:sz w:val="26"/>
        </w:rPr>
        <w:t>7.1  Workflows in the repository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9"/>
        <w:gridCol w:w="3113"/>
        <w:gridCol w:w="3113"/>
      </w:tblGrid>
      <w:tr>
        <w:trPr>
          <w:tblHeader w:val="true"/>
        </w:trPr>
        <w:tc>
          <w:tcPr>
            <w:tcW w:w="27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Workflow</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.github/workflows/ci.yml</w:t>
            </w:r>
            <w:r>
              <w:rPr>
                <w:rFonts w:eastAsia="Segoe UI" w:cs="Segoe UI" w:ascii="Segoe UI" w:hAnsi="Segoe UI"/>
                <w:color w:val="101820"/>
                <w:kern w:val="0"/>
                <w:sz w:val="18"/>
                <w:szCs w:val="24"/>
                <w:lang w:val="en-US" w:eastAsia="ja-JP" w:bidi="ar-SA"/>
              </w:rPr>
              <w:t xml:space="preserve"> (CI)</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pull request and push; tags </w:t>
            </w:r>
            <w:r>
              <w:rPr>
                <w:rFonts w:eastAsia="Consolas" w:cs="Consolas" w:ascii="Consolas" w:hAnsi="Consolas"/>
                <w:color w:val="101820"/>
                <w:kern w:val="0"/>
                <w:sz w:val="16"/>
                <w:szCs w:val="24"/>
                <w:lang w:val="en-US" w:eastAsia="ja-JP" w:bidi="ar-SA"/>
              </w:rPr>
              <w:t>v*.*.*</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Backend: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against a </w:t>
            </w:r>
            <w:r>
              <w:rPr>
                <w:rFonts w:eastAsia="Consolas" w:cs="Consolas" w:ascii="Consolas" w:hAnsi="Consolas"/>
                <w:color w:val="101820"/>
                <w:kern w:val="0"/>
                <w:sz w:val="16"/>
                <w:szCs w:val="24"/>
                <w:lang w:val="en-US" w:eastAsia="ja-JP" w:bidi="ar-SA"/>
              </w:rPr>
              <w:t>postgres:16</w:t>
            </w:r>
            <w:r>
              <w:rPr>
                <w:rFonts w:eastAsia="Segoe UI" w:cs="Segoe UI" w:ascii="Segoe UI" w:hAnsi="Segoe UI"/>
                <w:color w:val="101820"/>
                <w:kern w:val="0"/>
                <w:sz w:val="18"/>
                <w:szCs w:val="24"/>
                <w:lang w:val="en-US" w:eastAsia="ja-JP" w:bidi="ar-SA"/>
              </w:rPr>
              <w:t xml:space="preserve"> service. Front end: </w:t>
            </w:r>
            <w:r>
              <w:rPr>
                <w:rFonts w:eastAsia="Consolas" w:cs="Consolas" w:ascii="Consolas" w:hAnsi="Consolas"/>
                <w:color w:val="101820"/>
                <w:kern w:val="0"/>
                <w:sz w:val="16"/>
                <w:szCs w:val="24"/>
                <w:lang w:val="en-US" w:eastAsia="ja-JP" w:bidi="ar-SA"/>
              </w:rPr>
              <w:t>npm ci --legacy-peer-deps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run lint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craco test</w:t>
            </w:r>
            <w:r>
              <w:rPr>
                <w:rFonts w:eastAsia="Segoe UI" w:cs="Segoe UI" w:ascii="Segoe UI" w:hAnsi="Segoe UI"/>
                <w:color w:val="101820"/>
                <w:kern w:val="0"/>
                <w:sz w:val="18"/>
                <w:szCs w:val="24"/>
                <w:lang w:val="en-US" w:eastAsia="ja-JP" w:bidi="ar-SA"/>
              </w:rPr>
              <w:t xml:space="preserve">, one environment-neutral build. Dependency audit (production dependencies, high and critical fail). Artefacts </w:t>
            </w:r>
            <w:r>
              <w:rPr>
                <w:rFonts w:eastAsia="Consolas" w:cs="Consolas" w:ascii="Consolas" w:hAnsi="Consolas"/>
                <w:color w:val="101820"/>
                <w:kern w:val="0"/>
                <w:sz w:val="16"/>
                <w:szCs w:val="24"/>
                <w:lang w:val="en-US" w:eastAsia="ja-JP" w:bidi="ar-SA"/>
              </w:rPr>
              <w:t>web-&lt;sha&gt;</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backend-&lt;sha&gt;</w:t>
            </w:r>
            <w:r>
              <w:rPr>
                <w:rFonts w:eastAsia="Segoe UI" w:cs="Segoe UI" w:ascii="Segoe UI" w:hAnsi="Segoe UI"/>
                <w:color w:val="101820"/>
                <w:kern w:val="0"/>
                <w:sz w:val="18"/>
                <w:szCs w:val="24"/>
                <w:lang w:val="en-US" w:eastAsia="ja-JP" w:bidi="ar-SA"/>
              </w:rPr>
              <w:t xml:space="preserve">. Then deploys: </w:t>
            </w:r>
            <w:r>
              <w:rPr>
                <w:rFonts w:eastAsia="Consolas" w:cs="Consolas" w:ascii="Consolas" w:hAnsi="Consolas"/>
                <w:color w:val="101820"/>
                <w:kern w:val="0"/>
                <w:sz w:val="16"/>
                <w:szCs w:val="24"/>
                <w:lang w:val="en-US" w:eastAsia="ja-JP" w:bidi="ar-SA"/>
              </w:rPr>
              <w:t>brokerverse-platform</w:t>
            </w:r>
            <w:r>
              <w:rPr>
                <w:rFonts w:eastAsia="Segoe UI" w:cs="Segoe UI" w:ascii="Segoe UI" w:hAnsi="Segoe UI"/>
                <w:color w:val="101820"/>
                <w:kern w:val="0"/>
                <w:sz w:val="18"/>
                <w:szCs w:val="24"/>
                <w:lang w:val="en-US" w:eastAsia="ja-JP" w:bidi="ar-SA"/>
              </w:rPr>
              <w:t xml:space="preserve"> to dev, </w:t>
            </w:r>
            <w:r>
              <w:rPr>
                <w:rFonts w:eastAsia="Consolas" w:cs="Consolas" w:ascii="Consolas" w:hAnsi="Consolas"/>
                <w:color w:val="101820"/>
                <w:kern w:val="0"/>
                <w:sz w:val="16"/>
                <w:szCs w:val="24"/>
                <w:lang w:val="en-US" w:eastAsia="ja-JP" w:bidi="ar-SA"/>
              </w:rPr>
              <w:t>vX.Y.Z-rc.N</w:t>
            </w:r>
            <w:r>
              <w:rPr>
                <w:rFonts w:eastAsia="Segoe UI" w:cs="Segoe UI" w:ascii="Segoe UI" w:hAnsi="Segoe UI"/>
                <w:color w:val="101820"/>
                <w:kern w:val="0"/>
                <w:sz w:val="18"/>
                <w:szCs w:val="24"/>
                <w:lang w:val="en-US" w:eastAsia="ja-JP" w:bidi="ar-SA"/>
              </w:rPr>
              <w:t xml:space="preserve"> to UAT, </w:t>
            </w:r>
            <w:r>
              <w:rPr>
                <w:rFonts w:eastAsia="Consolas" w:cs="Consolas" w:ascii="Consolas" w:hAnsi="Consolas"/>
                <w:color w:val="101820"/>
                <w:kern w:val="0"/>
                <w:sz w:val="16"/>
                <w:szCs w:val="24"/>
                <w:lang w:val="en-US" w:eastAsia="ja-JP" w:bidi="ar-SA"/>
              </w:rPr>
              <w:t>vX.Y.Z</w:t>
            </w:r>
            <w:r>
              <w:rPr>
                <w:rFonts w:eastAsia="Segoe UI" w:cs="Segoe UI" w:ascii="Segoe UI" w:hAnsi="Segoe UI"/>
                <w:color w:val="101820"/>
                <w:kern w:val="0"/>
                <w:sz w:val="18"/>
                <w:szCs w:val="24"/>
                <w:lang w:val="en-US" w:eastAsia="ja-JP" w:bidi="ar-SA"/>
              </w:rPr>
              <w:t xml:space="preserve"> to Production (GitHub Environments with approvals).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.github/workflows/deploy.yml</w:t>
            </w:r>
            <w:r>
              <w:rPr>
                <w:rFonts w:eastAsia="Segoe UI" w:cs="Segoe UI" w:ascii="Segoe UI" w:hAnsi="Segoe UI"/>
                <w:color w:val="101820"/>
                <w:kern w:val="0"/>
                <w:sz w:val="18"/>
                <w:szCs w:val="24"/>
                <w:lang w:val="en-US" w:eastAsia="ja-JP" w:bidi="ar-SA"/>
              </w:rPr>
              <w:t xml:space="preserve"> (Deploy)</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Called by CI, or by hand to promote a commit or tag</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artefacts in every environment: pre-deploy backup (Pre-Prod, Production), migrations then seeds, API switch on the EC2 host (</w:t>
            </w:r>
            <w:r>
              <w:rPr>
                <w:rFonts w:eastAsia="Consolas" w:cs="Consolas" w:ascii="Consolas" w:hAnsi="Consolas"/>
                <w:color w:val="101820"/>
                <w:kern w:val="0"/>
                <w:sz w:val="16"/>
                <w:szCs w:val="24"/>
                <w:lang w:val="en-US" w:eastAsia="ja-JP" w:bidi="ar-SA"/>
              </w:rPr>
              <w:t>deploy/ec2/release.sh</w:t>
            </w:r>
            <w:r>
              <w:rPr>
                <w:rFonts w:eastAsia="Segoe UI" w:cs="Segoe UI" w:ascii="Segoe UI" w:hAnsi="Segoe UI"/>
                <w:color w:val="101820"/>
                <w:kern w:val="0"/>
                <w:sz w:val="18"/>
                <w:szCs w:val="24"/>
                <w:lang w:val="en-US" w:eastAsia="ja-JP" w:bidi="ar-SA"/>
              </w:rPr>
              <w:t xml:space="preserve">), front end to S3 + CloudFront with </w:t>
            </w:r>
            <w:r>
              <w:rPr>
                <w:rFonts w:eastAsia="Consolas" w:cs="Consolas" w:ascii="Consolas" w:hAnsi="Consolas"/>
                <w:color w:val="101820"/>
                <w:kern w:val="0"/>
                <w:sz w:val="16"/>
                <w:szCs w:val="24"/>
                <w:lang w:val="en-US" w:eastAsia="ja-JP" w:bidi="ar-SA"/>
              </w:rPr>
              <w:t>/env-config.js</w:t>
            </w:r>
            <w:r>
              <w:rPr>
                <w:rFonts w:eastAsia="Segoe UI" w:cs="Segoe UI" w:ascii="Segoe UI" w:hAnsi="Segoe UI"/>
                <w:color w:val="101820"/>
                <w:kern w:val="0"/>
                <w:sz w:val="18"/>
                <w:szCs w:val="24"/>
                <w:lang w:val="en-US" w:eastAsia="ja-JP" w:bidi="ar-SA"/>
              </w:rPr>
              <w:t>, smoke test, automatic rollback. Skipped with a notice when the environment is not configured.</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.github/workflows/rollback.yml</w:t>
            </w:r>
            <w:r>
              <w:rPr>
                <w:rFonts w:eastAsia="Segoe UI" w:cs="Segoe UI" w:ascii="Segoe UI" w:hAnsi="Segoe UI"/>
                <w:color w:val="101820"/>
                <w:kern w:val="0"/>
                <w:sz w:val="18"/>
                <w:szCs w:val="24"/>
                <w:lang w:val="en-US" w:eastAsia="ja-JP" w:bidi="ar-SA"/>
              </w:rPr>
              <w:t xml:space="preserve"> (Rollback)</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By hand</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Switches an environment back to an earlier build, without migrations</w:t>
            </w:r>
          </w:p>
        </w:tc>
      </w:tr>
      <w:tr>
        <w:trPr/>
        <w:tc>
          <w:tcPr>
            <w:tcW w:w="27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brokerverse/.github/workflows/deploy.yml</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Push or pull request, when the front end is its own repository</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Front-end lint, tests and environment-neutral build; </w:t>
            </w:r>
            <w:r>
              <w:rPr>
                <w:rFonts w:eastAsia="Consolas" w:cs="Consolas" w:ascii="Consolas" w:hAnsi="Consolas"/>
                <w:color w:val="101820"/>
                <w:kern w:val="0"/>
                <w:sz w:val="16"/>
                <w:szCs w:val="24"/>
                <w:lang w:val="en-US" w:eastAsia="ja-JP" w:bidi="ar-SA"/>
              </w:rPr>
              <w:t>/env-config.js</w:t>
            </w:r>
            <w:r>
              <w:rPr>
                <w:rFonts w:eastAsia="Segoe UI" w:cs="Segoe UI" w:ascii="Segoe UI" w:hAnsi="Segoe UI"/>
                <w:color w:val="101820"/>
                <w:kern w:val="0"/>
                <w:sz w:val="18"/>
                <w:szCs w:val="24"/>
                <w:lang w:val="en-US" w:eastAsia="ja-JP" w:bidi="ar-SA"/>
              </w:rPr>
              <w:t xml:space="preserve"> from repository variables; the publish job runs only for a push to </w:t>
            </w:r>
            <w:r>
              <w:rPr>
                <w:rFonts w:eastAsia="Consolas" w:cs="Consolas" w:ascii="Consolas" w:hAnsi="Consolas"/>
                <w:color w:val="101820"/>
                <w:kern w:val="0"/>
                <w:sz w:val="16"/>
                <w:szCs w:val="24"/>
                <w:lang w:val="en-US" w:eastAsia="ja-JP" w:bidi="ar-SA"/>
              </w:rPr>
              <w:t>dev</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Details, approvals and the GitHub settings: </w:t>
      </w:r>
      <w:r>
        <w:rPr>
          <w:rFonts w:eastAsia="Consolas" w:cs="Consolas" w:ascii="Consolas" w:hAnsi="Consolas"/>
          <w:color w:val="101820"/>
          <w:sz w:val="19"/>
        </w:rPr>
        <w:t>deploy/RELEASE_PIPELINE.md</w:t>
      </w:r>
      <w:r>
        <w:rPr>
          <w:rFonts w:eastAsia="Segoe UI" w:cs="Segoe UI" w:ascii="Segoe UI" w:hAnsi="Segoe UI"/>
          <w:color w:val="101820"/>
          <w:sz w:val="21"/>
        </w:rPr>
        <w:t xml:space="preserve">. The earlier git-checkout script </w:t>
      </w:r>
      <w:r>
        <w:rPr>
          <w:rFonts w:eastAsia="Consolas" w:cs="Consolas" w:ascii="Consolas" w:hAnsi="Consolas"/>
          <w:color w:val="101820"/>
          <w:sz w:val="19"/>
        </w:rPr>
        <w:t>deploy/ec2/deploy.sh</w:t>
      </w:r>
      <w:r>
        <w:rPr>
          <w:rFonts w:eastAsia="Segoe UI" w:cs="Segoe UI" w:ascii="Segoe UI" w:hAnsi="Segoe UI"/>
          <w:color w:val="101820"/>
          <w:sz w:val="21"/>
        </w:rPr>
        <w:t xml:space="preserve"> (checks out the branch, </w:t>
      </w:r>
      <w:r>
        <w:rPr>
          <w:rFonts w:eastAsia="Consolas" w:cs="Consolas" w:ascii="Consolas" w:hAnsi="Consolas"/>
          <w:color w:val="101820"/>
          <w:sz w:val="19"/>
        </w:rPr>
        <w:t>npm ci --omit=dev</w:t>
      </w:r>
      <w:r>
        <w:rPr>
          <w:rFonts w:eastAsia="Segoe UI" w:cs="Segoe UI" w:ascii="Segoe UI" w:hAnsi="Segoe UI"/>
          <w:color w:val="101820"/>
          <w:sz w:val="21"/>
        </w:rPr>
        <w:t xml:space="preserve">, creates the database if missing, installs the nginx site after </w:t>
      </w:r>
      <w:r>
        <w:rPr>
          <w:rFonts w:eastAsia="Consolas" w:cs="Consolas" w:ascii="Consolas" w:hAnsi="Consolas"/>
          <w:color w:val="101820"/>
          <w:sz w:val="19"/>
        </w:rPr>
        <w:t>nginx -t</w:t>
      </w:r>
      <w:r>
        <w:rPr>
          <w:rFonts w:eastAsia="Segoe UI" w:cs="Segoe UI" w:ascii="Segoe UI" w:hAnsi="Segoe UI"/>
          <w:color w:val="101820"/>
          <w:sz w:val="21"/>
        </w:rPr>
        <w:t xml:space="preserve">, starts the API under PM2 and waits for </w:t>
      </w:r>
      <w:r>
        <w:rPr>
          <w:rFonts w:eastAsia="Consolas" w:cs="Consolas" w:ascii="Consolas" w:hAnsi="Consolas"/>
          <w:color w:val="101820"/>
          <w:sz w:val="19"/>
        </w:rPr>
        <w:t>/api/health</w:t>
      </w:r>
      <w:r>
        <w:rPr>
          <w:rFonts w:eastAsia="Segoe UI" w:cs="Segoe UI" w:ascii="Segoe UI" w:hAnsi="Segoe UI"/>
          <w:color w:val="101820"/>
          <w:sz w:val="21"/>
        </w:rPr>
        <w:t>) remains for manual use.</w:t>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The deploy workflow accepts an IAM role through GitHub OIDC (</w:t>
      </w:r>
      <w:r>
        <w:rPr>
          <w:rFonts w:eastAsia="Consolas" w:cs="Consolas" w:ascii="Consolas" w:hAnsi="Consolas"/>
          <w:color w:val="101820"/>
          <w:sz w:val="18"/>
        </w:rPr>
        <w:t>AWS_ROLE_ARN</w:t>
      </w:r>
      <w:r>
        <w:rPr>
          <w:rFonts w:eastAsia="Segoe UI" w:cs="Segoe UI" w:ascii="Segoe UI" w:hAnsi="Segoe UI"/>
          <w:color w:val="101820"/>
          <w:sz w:val="20"/>
        </w:rPr>
        <w:t xml:space="preserve">) but falls back to long-lived AWS access keys, and reaches the EC2 host with an SSH key stored per environment. </w:t>
      </w:r>
      <w:r>
        <w:rPr>
          <w:rFonts w:eastAsia="Segoe UI" w:cs="Segoe UI" w:ascii="Segoe UI" w:hAnsi="Segoe UI"/>
          <w:b/>
          <w:color w:val="101820"/>
          <w:sz w:val="20"/>
        </w:rPr>
        <w:t>Recommended:</w:t>
      </w:r>
      <w:r>
        <w:rPr>
          <w:rFonts w:eastAsia="Segoe UI" w:cs="Segoe UI" w:ascii="Segoe UI" w:hAnsi="Segoe UI"/>
          <w:color w:val="101820"/>
          <w:sz w:val="20"/>
        </w:rPr>
        <w:t xml:space="preserve"> use the OIDC role in every environment, limited to the bucket and the distribution; for container platforms push the versioned backend image (</w:t>
      </w:r>
      <w:r>
        <w:rPr>
          <w:rFonts w:eastAsia="Consolas" w:cs="Consolas" w:ascii="Consolas" w:hAnsi="Consolas"/>
          <w:color w:val="101820"/>
          <w:sz w:val="18"/>
        </w:rPr>
        <w:t>backend/Dockerfile</w:t>
      </w:r>
      <w:r>
        <w:rPr>
          <w:rFonts w:eastAsia="Segoe UI" w:cs="Segoe UI" w:ascii="Segoe UI" w:hAnsi="Segoe UI"/>
          <w:color w:val="101820"/>
          <w:sz w:val="20"/>
        </w:rPr>
        <w:t xml:space="preserve">, build arguments </w:t>
      </w:r>
      <w:r>
        <w:rPr>
          <w:rFonts w:eastAsia="Consolas" w:cs="Consolas" w:ascii="Consolas" w:hAnsi="Consolas"/>
          <w:color w:val="101820"/>
          <w:sz w:val="18"/>
        </w:rPr>
        <w:t>GIT_COMMIT</w:t>
      </w:r>
      <w:r>
        <w:rPr>
          <w:rFonts w:eastAsia="Segoe UI" w:cs="Segoe UI" w:ascii="Segoe UI" w:hAnsi="Segoe UI"/>
          <w:color w:val="101820"/>
          <w:sz w:val="20"/>
        </w:rPr>
        <w:t xml:space="preserve">, </w:t>
      </w:r>
      <w:r>
        <w:rPr>
          <w:rFonts w:eastAsia="Consolas" w:cs="Consolas" w:ascii="Consolas" w:hAnsi="Consolas"/>
          <w:color w:val="101820"/>
          <w:sz w:val="18"/>
        </w:rPr>
        <w:t>BUILD_TIME</w:t>
      </w:r>
      <w:r>
        <w:rPr>
          <w:rFonts w:eastAsia="Segoe UI" w:cs="Segoe UI" w:ascii="Segoe UI" w:hAnsi="Segoe UI"/>
          <w:color w:val="101820"/>
          <w:sz w:val="20"/>
        </w:rPr>
        <w:t xml:space="preserve">, </w:t>
      </w:r>
      <w:r>
        <w:rPr>
          <w:rFonts w:eastAsia="Consolas" w:cs="Consolas" w:ascii="Consolas" w:hAnsi="Consolas"/>
          <w:color w:val="101820"/>
          <w:sz w:val="18"/>
        </w:rPr>
        <w:t>GIT_REF</w:t>
      </w:r>
      <w:r>
        <w:rPr>
          <w:rFonts w:eastAsia="Segoe UI" w:cs="Segoe UI" w:ascii="Segoe UI" w:hAnsi="Segoe UI"/>
          <w:color w:val="101820"/>
          <w:sz w:val="20"/>
        </w:rPr>
        <w:t>) to a registry and scan it.</w:t>
      </w:r>
    </w:p>
    <w:p>
      <w:pPr>
        <w:pStyle w:val="Normal"/>
        <w:shd w:val="clear" w:color="auto" w:fill="EAF2FB"/>
        <w:spacing w:before="0" w:after="160"/>
        <w:ind w:left="170"/>
        <w:rPr/>
      </w:pPr>
      <w:r>
        <w:rPr>
          <w:rFonts w:eastAsia="Segoe UI" w:cs="Segoe UI" w:ascii="Segoe UI" w:hAnsi="Segoe UI"/>
          <w:b/>
          <w:color w:val="101820"/>
          <w:sz w:val="20"/>
        </w:rPr>
        <w:t>Note:</w:t>
      </w:r>
      <w:r>
        <w:rPr>
          <w:rFonts w:eastAsia="Segoe UI" w:cs="Segoe UI" w:ascii="Segoe UI" w:hAnsi="Segoe UI"/>
          <w:color w:val="101820"/>
          <w:sz w:val="20"/>
        </w:rPr>
        <w:t xml:space="preserve"> In </w:t>
      </w:r>
      <w:r>
        <w:rPr>
          <w:rFonts w:eastAsia="Consolas" w:cs="Consolas" w:ascii="Consolas" w:hAnsi="Consolas"/>
          <w:color w:val="101820"/>
          <w:sz w:val="18"/>
        </w:rPr>
        <w:t>brokerverse/.github/workflows/deploy.yml</w:t>
      </w:r>
      <w:r>
        <w:rPr>
          <w:rFonts w:eastAsia="Segoe UI" w:cs="Segoe UI" w:ascii="Segoe UI" w:hAnsi="Segoe UI"/>
          <w:color w:val="101820"/>
          <w:sz w:val="20"/>
        </w:rPr>
        <w:t xml:space="preserve"> the publish job requires the branch </w:t>
      </w:r>
      <w:r>
        <w:rPr>
          <w:rFonts w:eastAsia="Consolas" w:cs="Consolas" w:ascii="Consolas" w:hAnsi="Consolas"/>
          <w:color w:val="101820"/>
          <w:sz w:val="18"/>
        </w:rPr>
        <w:t>dev</w:t>
      </w:r>
      <w:r>
        <w:rPr>
          <w:rFonts w:eastAsia="Segoe UI" w:cs="Segoe UI" w:ascii="Segoe UI" w:hAnsi="Segoe UI"/>
          <w:color w:val="101820"/>
          <w:sz w:val="20"/>
        </w:rPr>
        <w:t xml:space="preserve"> while the trigger is </w:t>
      </w:r>
      <w:r>
        <w:rPr>
          <w:rFonts w:eastAsia="Consolas" w:cs="Consolas" w:ascii="Consolas" w:hAnsi="Consolas"/>
          <w:color w:val="101820"/>
          <w:sz w:val="18"/>
        </w:rPr>
        <w:t>brokerverse-platform</w:t>
      </w:r>
      <w:r>
        <w:rPr>
          <w:rFonts w:eastAsia="Segoe UI" w:cs="Segoe UI" w:ascii="Segoe UI" w:hAnsi="Segoe UI"/>
          <w:color w:val="101820"/>
          <w:sz w:val="20"/>
        </w:rPr>
        <w:t>; as written it tests and builds but does not publish. Align the branch names when the front end is moved to its own repository.</w:t>
      </w:r>
    </w:p>
    <w:p>
      <w:pPr>
        <w:pStyle w:val="Heading2"/>
        <w:rPr/>
      </w:pPr>
      <w:bookmarkStart w:id="31" w:name="__RefHeading___Toc9067_3016453686"/>
      <w:bookmarkEnd w:id="31"/>
      <w:r>
        <w:rPr>
          <w:rFonts w:eastAsia="Segoe UI" w:cs="Segoe UI"/>
          <w:b/>
          <w:color w:val="0F4761"/>
          <w:sz w:val="26"/>
        </w:rPr>
        <w:t>7.2  Release process</w:t>
      </w:r>
    </w:p>
    <w:p>
      <w:pPr>
        <w:pStyle w:val="Normal"/>
        <w:spacing w:lineRule="auto" w:line="276" w:before="0" w:after="120"/>
        <w:rPr/>
      </w:pPr>
      <w:r>
        <w:rPr>
          <w:rFonts w:eastAsia="Segoe UI" w:cs="Segoe UI" w:ascii="Segoe UI" w:hAnsi="Segoe UI"/>
          <w:color w:val="101820"/>
          <w:sz w:val="21"/>
        </w:rPr>
        <w:t>The release pipeline (</w:t>
      </w:r>
      <w:r>
        <w:rPr>
          <w:rFonts w:eastAsia="Consolas" w:cs="Consolas" w:ascii="Consolas" w:hAnsi="Consolas"/>
          <w:color w:val="101820"/>
          <w:sz w:val="19"/>
        </w:rPr>
        <w:t>deploy/RELEASE_PIPELINE.md</w:t>
      </w:r>
      <w:r>
        <w:rPr>
          <w:rFonts w:eastAsia="Segoe UI" w:cs="Segoe UI" w:ascii="Segoe UI" w:hAnsi="Segoe UI"/>
          <w:color w:val="101820"/>
          <w:sz w:val="21"/>
        </w:rPr>
        <w:t>) builds once and promotes the same artefacts:</w:t>
      </w:r>
    </w:p>
    <w:p>
      <w:pPr>
        <w:pStyle w:val="Normal"/>
        <w:numPr>
          <w:ilvl w:val="0"/>
          <w:numId w:val="5"/>
        </w:numPr>
        <w:spacing w:before="0" w:after="60"/>
        <w:rPr/>
      </w:pPr>
      <w:r>
        <w:rPr>
          <w:rFonts w:eastAsia="Segoe UI" w:cs="Segoe UI" w:ascii="Segoe UI" w:hAnsi="Segoe UI"/>
          <w:color w:val="101820"/>
          <w:sz w:val="21"/>
        </w:rPr>
        <w:t xml:space="preserve">Merge to </w:t>
      </w:r>
      <w:r>
        <w:rPr>
          <w:rFonts w:eastAsia="Consolas" w:cs="Consolas" w:ascii="Consolas" w:hAnsi="Consolas"/>
          <w:color w:val="101820"/>
          <w:sz w:val="19"/>
        </w:rPr>
        <w:t>brokerverse-platform</w:t>
      </w:r>
      <w:r>
        <w:rPr>
          <w:rFonts w:eastAsia="Segoe UI" w:cs="Segoe UI" w:ascii="Segoe UI" w:hAnsi="Segoe UI"/>
          <w:color w:val="101820"/>
          <w:sz w:val="21"/>
        </w:rPr>
        <w:t xml:space="preserve"> through a reviewed pull request with the four required checks green; dev deploys automatically.</w:t>
      </w:r>
    </w:p>
    <w:p>
      <w:pPr>
        <w:pStyle w:val="Normal"/>
        <w:numPr>
          <w:ilvl w:val="0"/>
          <w:numId w:val="2"/>
        </w:numPr>
        <w:spacing w:before="0" w:after="60"/>
        <w:rPr/>
      </w:pPr>
      <w:r>
        <w:rPr>
          <w:rFonts w:eastAsia="Segoe UI" w:cs="Segoe UI" w:ascii="Segoe UI" w:hAnsi="Segoe UI"/>
          <w:color w:val="101820"/>
          <w:sz w:val="21"/>
        </w:rPr>
        <w:t xml:space="preserve">Tag a release candidate </w:t>
      </w:r>
      <w:r>
        <w:rPr>
          <w:rFonts w:eastAsia="Consolas" w:cs="Consolas" w:ascii="Consolas" w:hAnsi="Consolas"/>
          <w:color w:val="101820"/>
          <w:sz w:val="19"/>
        </w:rPr>
        <w:t>vX.Y.Z-rc.N</w:t>
      </w:r>
      <w:r>
        <w:rPr>
          <w:rFonts w:eastAsia="Segoe UI" w:cs="Segoe UI" w:ascii="Segoe UI" w:hAnsi="Segoe UI"/>
          <w:color w:val="101820"/>
          <w:sz w:val="21"/>
        </w:rPr>
        <w:t>: UAT deploys after the iorta TechNXT delivery lead approves (SIT by hand for a large broker). Run the UAT scripts for the changed areas and obtain business sign-off.</w:t>
      </w:r>
    </w:p>
    <w:p>
      <w:pPr>
        <w:pStyle w:val="Normal"/>
        <w:numPr>
          <w:ilvl w:val="0"/>
          <w:numId w:val="2"/>
        </w:numPr>
        <w:spacing w:before="0" w:after="60"/>
        <w:rPr/>
      </w:pPr>
      <w:r>
        <w:rPr>
          <w:rFonts w:eastAsia="Segoe UI" w:cs="Segoe UI" w:ascii="Segoe UI" w:hAnsi="Segoe UI"/>
          <w:color w:val="101820"/>
          <w:sz w:val="21"/>
        </w:rPr>
        <w:t>For a major release or go-live, deploy the release tag to a PRE-PROD restored from a PROD backup (masked where required), rehearse, run the environment comparison against PROD, then remove PRE-PROD.</w:t>
      </w:r>
    </w:p>
    <w:p>
      <w:pPr>
        <w:pStyle w:val="Normal"/>
        <w:numPr>
          <w:ilvl w:val="0"/>
          <w:numId w:val="2"/>
        </w:numPr>
        <w:spacing w:before="0" w:after="60"/>
        <w:rPr/>
      </w:pPr>
      <w:r>
        <w:rPr>
          <w:rFonts w:eastAsia="Segoe UI" w:cs="Segoe UI" w:ascii="Segoe UI" w:hAnsi="Segoe UI"/>
          <w:color w:val="101820"/>
          <w:sz w:val="21"/>
        </w:rPr>
        <w:t xml:space="preserve">Tag the release </w:t>
      </w:r>
      <w:r>
        <w:rPr>
          <w:rFonts w:eastAsia="Consolas" w:cs="Consolas" w:ascii="Consolas" w:hAnsi="Consolas"/>
          <w:color w:val="101820"/>
          <w:sz w:val="19"/>
        </w:rPr>
        <w:t>vX.Y.Z</w:t>
      </w:r>
      <w:r>
        <w:rPr>
          <w:rFonts w:eastAsia="Segoe UI" w:cs="Segoe UI" w:ascii="Segoe UI" w:hAnsi="Segoe UI"/>
          <w:color w:val="101820"/>
          <w:sz w:val="21"/>
        </w:rPr>
        <w:t>: PROD deploys after two reviewers approve (DevOps lead and the broker's release approver or CAB), inside the maintenance window.</w:t>
      </w:r>
    </w:p>
    <w:p>
      <w:pPr>
        <w:pStyle w:val="Normal"/>
        <w:numPr>
          <w:ilvl w:val="0"/>
          <w:numId w:val="2"/>
        </w:numPr>
        <w:spacing w:before="0" w:after="60"/>
        <w:rPr/>
      </w:pPr>
      <w:r>
        <w:rPr>
          <w:rFonts w:eastAsia="Segoe UI" w:cs="Segoe UI" w:ascii="Segoe UI" w:hAnsi="Segoe UI"/>
          <w:color w:val="101820"/>
          <w:sz w:val="21"/>
        </w:rPr>
        <w:t>Every deployment takes a verified pre-deploy backup (always for PRE-PROD and PROD), migrates forward only, switches the API, publishes the front end, runs the smoke test and rolls the application back by itself when the switch or the smoke test fails.</w:t>
      </w:r>
    </w:p>
    <w:p>
      <w:pPr>
        <w:pStyle w:val="Normal"/>
        <w:numPr>
          <w:ilvl w:val="0"/>
          <w:numId w:val="2"/>
        </w:numPr>
        <w:spacing w:before="0" w:after="60"/>
        <w:rPr/>
      </w:pPr>
      <w:r>
        <w:rPr>
          <w:rFonts w:eastAsia="Consolas" w:cs="Consolas" w:ascii="Consolas" w:hAnsi="Consolas"/>
          <w:color w:val="101820"/>
          <w:sz w:val="19"/>
        </w:rPr>
        <w:t>rollback.yml</w:t>
      </w:r>
      <w:r>
        <w:rPr>
          <w:rFonts w:eastAsia="Segoe UI" w:cs="Segoe UI" w:ascii="Segoe UI" w:hAnsi="Segoe UI"/>
          <w:color w:val="101820"/>
          <w:sz w:val="21"/>
        </w:rPr>
        <w:t xml:space="preserve"> switches an environment back to an earlier build; a database restore is a CAB decision.</w:t>
      </w:r>
    </w:p>
    <w:p>
      <w:pPr>
        <w:pStyle w:val="Heading2"/>
        <w:rPr/>
      </w:pPr>
      <w:bookmarkStart w:id="32" w:name="__RefHeading___Toc9069_3016453686"/>
      <w:bookmarkEnd w:id="32"/>
      <w:r>
        <w:rPr>
          <w:rFonts w:eastAsia="Segoe UI" w:cs="Segoe UI"/>
          <w:b/>
          <w:color w:val="0F4761"/>
          <w:sz w:val="26"/>
        </w:rPr>
        <w:t>7.3  Environment configuration and secrets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Variable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Rule enforced at production start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NODE_ENV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production</w:t>
            </w:r>
            <w:r>
              <w:rPr>
                <w:rFonts w:eastAsia="Segoe UI" w:cs="Segoe UI" w:ascii="Segoe UI" w:hAnsi="Segoe UI"/>
                <w:color w:val="101820"/>
                <w:kern w:val="0"/>
                <w:sz w:val="18"/>
                <w:szCs w:val="24"/>
                <w:lang w:val="en-US" w:eastAsia="ja-JP" w:bidi="ar-SA"/>
              </w:rPr>
              <w:t xml:space="preserve"> turns on the start-up checks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DATABASE_URL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PostgreSQL connection, </w:t>
            </w:r>
            <w:r>
              <w:rPr>
                <w:rFonts w:eastAsia="Consolas" w:cs="Consolas" w:ascii="Consolas" w:hAnsi="Consolas"/>
                <w:color w:val="101820"/>
                <w:kern w:val="0"/>
                <w:sz w:val="16"/>
                <w:szCs w:val="24"/>
                <w:lang w:val="en-US" w:eastAsia="ja-JP" w:bidi="ar-SA"/>
              </w:rPr>
              <w:t>sslmode=require</w:t>
            </w:r>
            <w:r>
              <w:rPr>
                <w:rFonts w:eastAsia="Segoe UI" w:cs="Segoe UI" w:ascii="Segoe UI" w:hAnsi="Segoe UI"/>
                <w:color w:val="101820"/>
                <w:kern w:val="0"/>
                <w:sz w:val="18"/>
                <w:szCs w:val="24"/>
                <w:lang w:val="en-US" w:eastAsia="ja-JP" w:bidi="ar-SA"/>
              </w:rPr>
              <w:t xml:space="preserve"> on managed databases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JWT_SECRET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sessions, file links and approval tokens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not a placeholder, at least 32 characters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DATA_ENCRYPTION_KEY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Encrypts TOTP secrets, keys reset-code hashes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Required, at least 32 characters, different from </w:t>
            </w:r>
            <w:r>
              <w:rPr>
                <w:rFonts w:eastAsia="Consolas" w:cs="Consolas" w:ascii="Consolas" w:hAnsi="Consolas"/>
                <w:color w:val="101820"/>
                <w:kern w:val="0"/>
                <w:sz w:val="16"/>
                <w:szCs w:val="24"/>
                <w:lang w:val="en-US" w:eastAsia="ja-JP" w:bidi="ar-SA"/>
              </w:rPr>
              <w:t>JWT_SECRET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xml:space="preserve"> (package B)</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Encrypts TIN, government ID and bank account numbers at rest and keys their blind indexes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Required, at least 32 characters, different from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DATA_ENCRYPTION_KEY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PII_ENCRYPTION_KEY_PREVIOUS</w:t>
            </w:r>
            <w:r>
              <w:rPr>
                <w:rFonts w:eastAsia="Segoe UI" w:cs="Segoe UI" w:ascii="Segoe UI" w:hAnsi="Segoe UI"/>
                <w:color w:val="101820"/>
                <w:kern w:val="0"/>
                <w:sz w:val="18"/>
                <w:szCs w:val="24"/>
                <w:lang w:val="en-US" w:eastAsia="ja-JP" w:bidi="ar-SA"/>
              </w:rPr>
              <w:t xml:space="preserve"> (package B)</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only during a key rotation (</w:t>
            </w:r>
            <w:r>
              <w:rPr>
                <w:rFonts w:eastAsia="Consolas" w:cs="Consolas" w:ascii="Consolas" w:hAnsi="Consolas"/>
                <w:color w:val="101820"/>
                <w:kern w:val="0"/>
                <w:sz w:val="16"/>
                <w:szCs w:val="24"/>
                <w:lang w:val="en-US" w:eastAsia="ja-JP" w:bidi="ar-SA"/>
              </w:rPr>
              <w:t>npm run pii:rotate</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APP_ENVIRONMENT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of the deployment (dev, sit, uat, preprod, production)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ADMIN_PASSWORD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First password of the </w:t>
            </w:r>
            <w:r>
              <w:rPr>
                <w:rFonts w:eastAsia="Consolas" w:cs="Consolas" w:ascii="Consolas" w:hAnsi="Consolas"/>
                <w:color w:val="101820"/>
                <w:kern w:val="0"/>
                <w:sz w:val="16"/>
                <w:szCs w:val="24"/>
                <w:lang w:val="en-US" w:eastAsia="ja-JP" w:bidi="ar-SA"/>
              </w:rPr>
              <w:t>BrokerVerse</w:t>
            </w:r>
            <w:r>
              <w:rPr>
                <w:rFonts w:eastAsia="Segoe UI" w:cs="Segoe UI" w:ascii="Segoe UI" w:hAnsi="Segoe UI"/>
                <w:color w:val="101820"/>
                <w:kern w:val="0"/>
                <w:sz w:val="18"/>
                <w:szCs w:val="24"/>
                <w:lang w:val="en-US" w:eastAsia="ja-JP" w:bidi="ar-SA"/>
              </w:rPr>
              <w:t xml:space="preserve"> administrator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Must meet the password policy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CORS_ORIGINS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Allowed web origins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t>
            </w:r>
            <w:r>
              <w:rPr>
                <w:rFonts w:eastAsia="Segoe UI" w:cs="Segoe UI" w:ascii="Segoe UI" w:hAnsi="Segoe UI"/>
                <w:color w:val="101820"/>
                <w:kern w:val="0"/>
                <w:sz w:val="18"/>
                <w:szCs w:val="24"/>
                <w:lang w:val="en-US" w:eastAsia="ja-JP" w:bidi="ar-SA"/>
              </w:rPr>
              <w:t xml:space="preserve"> refused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PUBLIC_BASE_URL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Public API address for links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localhost refused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UPLOAD_DIR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path</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SMTP_URL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Mail account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SEED_SAMPLE_DATA</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Demo data on or off (off by default in production)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SCHEDULER_ENABLED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Runs scheduled jobs on this instance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&lt;prefix&gt;_SECRET_KEY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&lt;prefix&gt;_WEBHOOK_SECRET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&lt;prefix&gt;_MERCHANT_ID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&lt;prefix&gt;_PASSWORD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credentials, read only from the environment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gateway cannot go live without them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Variables named in each integration connector (</w:t>
            </w:r>
            <w:r>
              <w:rPr>
                <w:rFonts w:eastAsia="Consolas" w:cs="Consolas" w:ascii="Consolas" w:hAnsi="Consolas"/>
                <w:color w:val="101820"/>
                <w:kern w:val="0"/>
                <w:sz w:val="16"/>
                <w:szCs w:val="24"/>
                <w:lang w:val="en-US" w:eastAsia="ja-JP" w:bidi="ar-SA"/>
              </w:rPr>
              <w:t>credential_env</w:t>
            </w:r>
            <w:r>
              <w:rPr>
                <w:rFonts w:eastAsia="Segoe UI" w:cs="Segoe UI" w:ascii="Segoe UI" w:hAnsi="Segoe UI"/>
                <w:color w:val="101820"/>
                <w:kern w:val="0"/>
                <w:sz w:val="18"/>
                <w:szCs w:val="24"/>
                <w:lang w:val="en-US" w:eastAsia="ja-JP" w:bidi="ar-SA"/>
              </w:rPr>
              <w:t xml:space="preserve">) and in </w:t>
            </w:r>
            <w:r>
              <w:rPr>
                <w:rFonts w:eastAsia="Consolas" w:cs="Consolas" w:ascii="Consolas" w:hAnsi="Consolas"/>
                <w:color w:val="101820"/>
                <w:kern w:val="0"/>
                <w:sz w:val="16"/>
                <w:szCs w:val="24"/>
                <w:lang w:val="en-US" w:eastAsia="ja-JP" w:bidi="ar-SA"/>
              </w:rPr>
              <w:t>eis.client_id_env</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eis.client_secret_env</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eis.signing_key_env</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Credentials of SMS, Viber, CTPL, LTO, insurer APIs, bank file drop and the BIR EIS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connector cannot be switched to live while a variable is missing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If a rule fails, the API logs </w:t>
      </w:r>
      <w:r>
        <w:rPr>
          <w:rFonts w:eastAsia="Consolas" w:cs="Consolas" w:ascii="Consolas" w:hAnsi="Consolas"/>
          <w:color w:val="101820"/>
          <w:sz w:val="19"/>
        </w:rPr>
        <w:t>Refusing to start in production: ...</w:t>
      </w:r>
      <w:r>
        <w:rPr>
          <w:rFonts w:eastAsia="Segoe UI" w:cs="Segoe UI" w:ascii="Segoe UI" w:hAnsi="Segoe UI"/>
          <w:color w:val="101820"/>
          <w:sz w:val="21"/>
        </w:rPr>
        <w:t xml:space="preserve"> with the reason and exits. Secrets are never stored in the repository; </w:t>
      </w:r>
      <w:r>
        <w:rPr>
          <w:rFonts w:eastAsia="Consolas" w:cs="Consolas" w:ascii="Consolas" w:hAnsi="Consolas"/>
          <w:color w:val="101820"/>
          <w:sz w:val="19"/>
        </w:rPr>
        <w:t>deploy/backend.env.example</w:t>
      </w:r>
      <w:r>
        <w:rPr>
          <w:rFonts w:eastAsia="Segoe UI" w:cs="Segoe UI" w:ascii="Segoe UI" w:hAnsi="Segoe UI"/>
          <w:color w:val="101820"/>
          <w:sz w:val="21"/>
        </w:rPr>
        <w:t xml:space="preserve"> holds placeholders only.</w:t>
      </w:r>
    </w:p>
    <w:p>
      <w:pPr>
        <w:pStyle w:val="Heading2"/>
        <w:rPr/>
      </w:pPr>
      <w:bookmarkStart w:id="33" w:name="__RefHeading___Toc9071_3016453686"/>
      <w:bookmarkEnd w:id="33"/>
      <w:r>
        <w:rPr>
          <w:rFonts w:eastAsia="Segoe UI" w:cs="Segoe UI"/>
          <w:b/>
          <w:color w:val="0F4761"/>
          <w:sz w:val="26"/>
        </w:rPr>
        <w:t>7.4  Database migrations on start</w:t>
      </w:r>
    </w:p>
    <w:p>
      <w:pPr>
        <w:pStyle w:val="Normal"/>
        <w:numPr>
          <w:ilvl w:val="0"/>
          <w:numId w:val="6"/>
        </w:numPr>
        <w:spacing w:before="0" w:after="60"/>
        <w:rPr/>
      </w:pPr>
      <w:r>
        <w:rPr>
          <w:rFonts w:eastAsia="Segoe UI" w:cs="Segoe UI" w:ascii="Segoe UI" w:hAnsi="Segoe UI"/>
          <w:color w:val="101820"/>
          <w:sz w:val="21"/>
        </w:rPr>
        <w:t>The server checks the production configuration.</w:t>
      </w:r>
    </w:p>
    <w:p>
      <w:pPr>
        <w:pStyle w:val="Normal"/>
        <w:numPr>
          <w:ilvl w:val="0"/>
          <w:numId w:val="7"/>
        </w:numPr>
        <w:spacing w:before="0" w:after="60"/>
        <w:rPr/>
      </w:pPr>
      <w:r>
        <w:rPr>
          <w:rFonts w:eastAsia="Segoe UI" w:cs="Segoe UI" w:ascii="Segoe UI" w:hAnsi="Segoe UI"/>
          <w:color w:val="101820"/>
          <w:sz w:val="21"/>
        </w:rPr>
        <w:t>It reports not ready (</w:t>
      </w:r>
      <w:r>
        <w:rPr>
          <w:rFonts w:eastAsia="Consolas" w:cs="Consolas" w:ascii="Consolas" w:hAnsi="Consolas"/>
          <w:color w:val="101820"/>
          <w:sz w:val="19"/>
        </w:rPr>
        <w:t>/api/health</w:t>
      </w:r>
      <w:r>
        <w:rPr>
          <w:rFonts w:eastAsia="Segoe UI" w:cs="Segoe UI" w:ascii="Segoe UI" w:hAnsi="Segoe UI"/>
          <w:color w:val="101820"/>
          <w:sz w:val="21"/>
        </w:rPr>
        <w:t xml:space="preserve"> answers 503) and takes a PostgreSQL advisory lock. Other instances starting at the same time wait (up to 10 minutes).</w:t>
      </w:r>
    </w:p>
    <w:p>
      <w:pPr>
        <w:pStyle w:val="Normal"/>
        <w:numPr>
          <w:ilvl w:val="0"/>
          <w:numId w:val="8"/>
        </w:numPr>
        <w:spacing w:before="0" w:after="60"/>
        <w:rPr/>
      </w:pPr>
      <w:r>
        <w:rPr>
          <w:rFonts w:eastAsia="Segoe UI" w:cs="Segoe UI" w:ascii="Segoe UI" w:hAnsi="Segoe UI"/>
          <w:color w:val="101820"/>
          <w:sz w:val="21"/>
        </w:rPr>
        <w:t xml:space="preserve">It applies each pending migration in its own transaction and records it in </w:t>
      </w:r>
      <w:r>
        <w:rPr>
          <w:rFonts w:eastAsia="Consolas" w:cs="Consolas" w:ascii="Consolas" w:hAnsi="Consolas"/>
          <w:color w:val="101820"/>
          <w:sz w:val="19"/>
        </w:rPr>
        <w:t>schema_migrations</w:t>
      </w:r>
      <w:r>
        <w:rPr>
          <w:rFonts w:eastAsia="Segoe UI" w:cs="Segoe UI" w:ascii="Segoe UI" w:hAnsi="Segoe UI"/>
          <w:color w:val="101820"/>
          <w:sz w:val="21"/>
        </w:rPr>
        <w:t>, then runs the idempotent seed (roles, permissions, settings, chart of accounts, product templates, jobs, masters, administrator).</w:t>
      </w:r>
    </w:p>
    <w:p>
      <w:pPr>
        <w:pStyle w:val="Normal"/>
        <w:numPr>
          <w:ilvl w:val="0"/>
          <w:numId w:val="9"/>
        </w:numPr>
        <w:spacing w:before="0" w:after="60"/>
        <w:rPr/>
      </w:pPr>
      <w:r>
        <w:rPr>
          <w:rFonts w:eastAsia="Segoe UI" w:cs="Segoe UI" w:ascii="Segoe UI" w:hAnsi="Segoe UI"/>
          <w:color w:val="101820"/>
          <w:sz w:val="21"/>
        </w:rPr>
        <w:t>It starts HTTP and the scheduler and reports ready.</w:t>
      </w:r>
    </w:p>
    <w:p>
      <w:pPr>
        <w:pStyle w:val="Normal"/>
        <w:spacing w:lineRule="auto" w:line="276" w:before="0" w:after="120"/>
        <w:rPr/>
      </w:pPr>
      <w:r>
        <w:rPr>
          <w:rFonts w:eastAsia="Segoe UI" w:cs="Segoe UI" w:ascii="Segoe UI" w:hAnsi="Segoe UI"/>
          <w:color w:val="101820"/>
          <w:sz w:val="21"/>
        </w:rPr>
        <w:t xml:space="preserve">Migrations only add to the schema (project convention), so the previous release normally runs on the newer schema. A failed migration stops the start-up; the release is not rolled back automatically. </w:t>
      </w:r>
      <w:r>
        <w:rPr>
          <w:rFonts w:eastAsia="Segoe UI" w:cs="Segoe UI" w:ascii="Segoe UI" w:hAnsi="Segoe UI"/>
          <w:b/>
          <w:color w:val="101820"/>
          <w:sz w:val="21"/>
        </w:rPr>
        <w:t>Recommended:</w:t>
      </w:r>
      <w:r>
        <w:rPr>
          <w:rFonts w:eastAsia="Segoe UI" w:cs="Segoe UI" w:ascii="Segoe UI" w:hAnsi="Segoe UI"/>
          <w:color w:val="101820"/>
          <w:sz w:val="21"/>
        </w:rPr>
        <w:t xml:space="preserve"> test every migration in DEV, SIT (large broker) and UAT, and for a major release in PRE-PROD, and keep a pre-release snapshot.</w:t>
      </w:r>
      <w:r>
        <w:br w:type="page"/>
      </w:r>
    </w:p>
    <w:p>
      <w:pPr>
        <w:pStyle w:val="Heading1"/>
        <w:rPr/>
      </w:pPr>
      <w:bookmarkStart w:id="34" w:name="__RefHeading___Toc9073_3016453686"/>
      <w:bookmarkEnd w:id="34"/>
      <w:r>
        <w:rPr>
          <w:rFonts w:eastAsia="Segoe UI" w:cs="Segoe UI" w:ascii="Segoe UI" w:hAnsi="Segoe UI"/>
          <w:b/>
          <w:color w:val="0F4761"/>
          <w:sz w:val="32"/>
        </w:rPr>
        <w:t>8.  High availability, backup and recovery</w:t>
      </w:r>
    </w:p>
    <w:p>
      <w:pPr>
        <w:pStyle w:val="Heading2"/>
        <w:rPr/>
      </w:pPr>
      <w:bookmarkStart w:id="35" w:name="__RefHeading___Toc9075_3016453686"/>
      <w:bookmarkEnd w:id="35"/>
      <w:r>
        <w:rPr>
          <w:rFonts w:eastAsia="Segoe UI" w:cs="Segoe UI"/>
          <w:b/>
          <w:color w:val="0F4761"/>
          <w:sz w:val="26"/>
        </w:rPr>
        <w:t>8.1  Resilience properties of the application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83"/>
        <w:gridCol w:w="5030"/>
      </w:tblGrid>
      <w:tr>
        <w:trPr>
          <w:tblHeader w:val="true"/>
        </w:trPr>
        <w:tc>
          <w:tcPr>
            <w:tcW w:w="3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Property</w:t>
            </w:r>
          </w:p>
        </w:tc>
        <w:tc>
          <w:tcPr>
            <w:tcW w:w="5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instance serves any request; no sticky sessions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Readiness and liveness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checks the database (2,000 ms timeout) and pending migrations; </w:t>
            </w:r>
            <w:r>
              <w:rPr>
                <w:rFonts w:eastAsia="Consolas" w:cs="Consolas" w:ascii="Consolas" w:hAnsi="Consolas"/>
                <w:color w:val="101820"/>
                <w:kern w:val="0"/>
                <w:sz w:val="16"/>
                <w:szCs w:val="24"/>
                <w:lang w:val="en-US" w:eastAsia="ja-JP" w:bidi="ar-SA"/>
              </w:rPr>
              <w:t>/api/health/live</w:t>
            </w:r>
            <w:r>
              <w:rPr>
                <w:rFonts w:eastAsia="Segoe UI" w:cs="Segoe UI" w:ascii="Segoe UI" w:hAnsi="Segoe UI"/>
                <w:color w:val="101820"/>
                <w:kern w:val="0"/>
                <w:sz w:val="18"/>
                <w:szCs w:val="24"/>
                <w:lang w:val="en-US" w:eastAsia="ja-JP" w:bidi="ar-SA"/>
              </w:rPr>
              <w:t xml:space="preserve"> checks the process only</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Graceful shutdown</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 SIGTERM: not ready, scheduler stopped, requests drained, forced exit after 25 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Jobs on several instances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Advisory lock per run; a job runs once even with several schedulers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transaction per business operation</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failure rolls back the whole operation including the document number</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SMTP outages delay e-mail without failing transactions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outbox</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Messages to third parties are queued in the business transaction and sent with retries and exponential backoff; a provider outage never fails or blocks a policy issue; stuck messages are queued again</w:t>
            </w:r>
          </w:p>
        </w:tc>
      </w:tr>
    </w:tbl>
    <w:p>
      <w:pPr>
        <w:pStyle w:val="Normal"/>
        <w:spacing w:before="0" w:after="80"/>
        <w:rPr/>
      </w:pPr>
      <w:r>
        <w:rPr/>
      </w:r>
    </w:p>
    <w:p>
      <w:pPr>
        <w:pStyle w:val="Normal"/>
        <w:jc w:val="center"/>
        <w:rPr/>
      </w:pPr>
      <w:r>
        <w:rPr/>
        <w:drawing>
          <wp:inline distT="0" distB="0" distL="0" distR="0">
            <wp:extent cx="5760085" cy="434467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4344670"/>
                    </a:xfrm>
                    <a:prstGeom prst="rect">
                      <a:avLst/>
                    </a:prstGeom>
                  </pic:spPr>
                </pic:pic>
              </a:graphicData>
            </a:graphic>
          </wp:inline>
        </w:drawing>
      </w:r>
    </w:p>
    <w:p>
      <w:pPr>
        <w:pStyle w:val="Normal"/>
        <w:jc w:val="center"/>
        <w:rPr/>
      </w:pPr>
      <w:r>
        <w:rPr>
          <w:rFonts w:eastAsia="Segoe UI" w:cs="Segoe UI" w:ascii="Segoe UI" w:hAnsi="Segoe UI"/>
          <w:i/>
          <w:color w:val="555F6D"/>
          <w:sz w:val="18"/>
        </w:rPr>
        <w:t>High-availability topology (architecture document 07, recommended)</w:t>
      </w:r>
    </w:p>
    <w:p>
      <w:pPr>
        <w:pStyle w:val="Normal"/>
        <w:spacing w:lineRule="auto" w:line="276" w:before="0" w:after="120"/>
        <w:rPr/>
      </w:pPr>
      <w:r>
        <w:rPr>
          <w:rFonts w:eastAsia="Segoe UI" w:cs="Segoe UI" w:ascii="Segoe UI" w:hAnsi="Segoe UI"/>
          <w:b/>
          <w:color w:val="101820"/>
          <w:sz w:val="21"/>
        </w:rPr>
        <w:t>Recommended</w:t>
      </w:r>
      <w:r>
        <w:rPr>
          <w:rFonts w:eastAsia="Segoe UI" w:cs="Segoe UI" w:ascii="Segoe UI" w:hAnsi="Segoe UI"/>
          <w:color w:val="101820"/>
          <w:sz w:val="21"/>
        </w:rPr>
        <w:t xml:space="preserve"> production topology: at least two API instances in two availability zones, rolling deployment with 100% minimum healthy, managed PostgreSQL with a synchronous standby, a shared file store across zones, container stop timeout 30 s and load balancer deregistration delay 30 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6094"/>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Single point of failure</w:t>
            </w:r>
          </w:p>
        </w:tc>
        <w:tc>
          <w:tcPr>
            <w:tcW w:w="60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Mitigation</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Standby with automatic failover; PITR</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Shared, zone-redundant store with daily backup</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Single API instance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or more instances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Versioned secret store and sealed escrow copy of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JWT_SECRET</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 or site</w:t>
            </w:r>
          </w:p>
        </w:tc>
        <w:tc>
          <w:tcPr>
            <w:tcW w:w="60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Cross-region or off-site copies and a documented recovery</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Known limitation:</w:t>
      </w:r>
      <w:r>
        <w:rPr>
          <w:rFonts w:eastAsia="Segoe UI" w:cs="Segoe UI" w:ascii="Segoe UI" w:hAnsi="Segoe UI"/>
          <w:color w:val="101820"/>
          <w:sz w:val="20"/>
        </w:rPr>
        <w:t xml:space="preserve"> Rate limits are counted per API process, so with N instances the effective limit is N times the setting. </w:t>
      </w:r>
      <w:r>
        <w:rPr>
          <w:rFonts w:eastAsia="Segoe UI" w:cs="Segoe UI" w:ascii="Segoe UI" w:hAnsi="Segoe UI"/>
          <w:b/>
          <w:color w:val="101820"/>
          <w:sz w:val="20"/>
        </w:rPr>
        <w:t>Recommended:</w:t>
      </w:r>
      <w:r>
        <w:rPr>
          <w:rFonts w:eastAsia="Segoe UI" w:cs="Segoe UI" w:ascii="Segoe UI" w:hAnsi="Segoe UI"/>
          <w:color w:val="101820"/>
          <w:sz w:val="20"/>
        </w:rPr>
        <w:t xml:space="preserve"> enforce rate limits at the WAF as well.</w:t>
      </w:r>
    </w:p>
    <w:p>
      <w:pPr>
        <w:pStyle w:val="Heading2"/>
        <w:rPr/>
      </w:pPr>
      <w:bookmarkStart w:id="36" w:name="__RefHeading___Toc9077_3016453686"/>
      <w:bookmarkEnd w:id="36"/>
      <w:r>
        <w:rPr>
          <w:rFonts w:eastAsia="Segoe UI" w:cs="Segoe UI"/>
          <w:b/>
          <w:color w:val="0F4761"/>
          <w:sz w:val="26"/>
        </w:rPr>
        <w:t>8.2  Recovery objectives</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objectives below are the proposal of architecture document 08. Nothing in the code sets an RTO or RPO; the broker confirms them.</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31"/>
        <w:gridCol w:w="3150"/>
        <w:gridCol w:w="2932"/>
      </w:tblGrid>
      <w:tr>
        <w:trPr>
          <w:tblHeader w:val="true"/>
        </w:trPr>
        <w:tc>
          <w:tcPr>
            <w:tcW w:w="29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3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RPO</w:t>
            </w:r>
          </w:p>
        </w:tc>
        <w:tc>
          <w:tcPr>
            <w:tcW w:w="29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RTO</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 failure</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5 minutes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zone failure</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instance failure (with standby)</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corruption or wrong mass change</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minutes or less (5 achievable with PITR)</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uploaded files</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Regional outage</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 (warm standby: 8 hours)</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deleted</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r>
        <w:trPr/>
        <w:tc>
          <w:tcPr>
            <w:tcW w:w="29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secrets</w:t>
            </w:r>
          </w:p>
        </w:tc>
        <w:tc>
          <w:tcPr>
            <w:tcW w:w="3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applicable</w:t>
            </w:r>
          </w:p>
        </w:tc>
        <w:tc>
          <w:tcPr>
            <w:tcW w:w="2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 hour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Service tiers: Tier 1 core transactions in PostgreSQL; Tier 2 documents in the file store; Tier 3 derived data (notifications, outbox, generated reports); Tier 4 code and configuration as code, rebuilt from Git.</w:t>
      </w:r>
    </w:p>
    <w:p>
      <w:pPr>
        <w:pStyle w:val="Heading2"/>
        <w:rPr/>
      </w:pPr>
      <w:bookmarkStart w:id="37" w:name="__RefHeading___Toc9079_3016453686"/>
      <w:bookmarkEnd w:id="37"/>
      <w:r>
        <w:rPr>
          <w:rFonts w:eastAsia="Segoe UI" w:cs="Segoe UI"/>
          <w:b/>
          <w:color w:val="0F4761"/>
          <w:sz w:val="26"/>
        </w:rPr>
        <w:t>8.3  Backup</w:t>
      </w:r>
    </w:p>
    <w:p>
      <w:pPr>
        <w:pStyle w:val="Normal"/>
        <w:jc w:val="center"/>
        <w:rPr/>
      </w:pPr>
      <w:r>
        <w:rPr/>
        <w:drawing>
          <wp:inline distT="0" distB="0" distL="0" distR="0">
            <wp:extent cx="5760085" cy="2881630"/>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2881630"/>
                    </a:xfrm>
                    <a:prstGeom prst="rect">
                      <a:avLst/>
                    </a:prstGeom>
                  </pic:spPr>
                </pic:pic>
              </a:graphicData>
            </a:graphic>
          </wp:inline>
        </w:drawing>
      </w:r>
    </w:p>
    <w:p>
      <w:pPr>
        <w:pStyle w:val="Normal"/>
        <w:jc w:val="center"/>
        <w:rPr/>
      </w:pPr>
      <w:r>
        <w:rPr>
          <w:rFonts w:eastAsia="Segoe UI" w:cs="Segoe UI" w:ascii="Segoe UI" w:hAnsi="Segoe UI"/>
          <w:i/>
          <w:color w:val="555F6D"/>
          <w:sz w:val="18"/>
        </w:rPr>
        <w:t>Backup and recovery data flows (architecture document 09, recommended)</w:t>
      </w:r>
    </w:p>
    <w:p>
      <w:pPr>
        <w:pStyle w:val="Normal"/>
        <w:spacing w:lineRule="auto" w:line="276" w:before="0" w:after="120"/>
        <w:rPr/>
      </w:pPr>
      <w:r>
        <w:rPr>
          <w:rFonts w:eastAsia="Consolas" w:cs="Consolas" w:ascii="Consolas" w:hAnsi="Consolas"/>
          <w:color w:val="101820"/>
          <w:sz w:val="19"/>
        </w:rPr>
        <w:t>deploy/README.md</w:t>
      </w:r>
      <w:r>
        <w:rPr>
          <w:rFonts w:eastAsia="Segoe UI" w:cs="Segoe UI" w:ascii="Segoe UI" w:hAnsi="Segoe UI"/>
          <w:color w:val="101820"/>
          <w:sz w:val="21"/>
        </w:rPr>
        <w:t xml:space="preserve"> requires daily automated database snapshots kept at least 30 days, a backup of the upload volume and of </w:t>
      </w:r>
      <w:r>
        <w:rPr>
          <w:rFonts w:eastAsia="Consolas" w:cs="Consolas" w:ascii="Consolas" w:hAnsi="Consolas"/>
          <w:color w:val="101820"/>
          <w:sz w:val="19"/>
        </w:rPr>
        <w:t>DATA_ENCRYPTION_KEY</w:t>
      </w:r>
      <w:r>
        <w:rPr>
          <w:rFonts w:eastAsia="Segoe UI" w:cs="Segoe UI" w:ascii="Segoe UI" w:hAnsi="Segoe UI"/>
          <w:color w:val="101820"/>
          <w:sz w:val="21"/>
        </w:rPr>
        <w:t xml:space="preserve"> (and, with package B, </w:t>
      </w:r>
      <w:r>
        <w:rPr>
          <w:rFonts w:eastAsia="Consolas" w:cs="Consolas" w:ascii="Consolas" w:hAnsi="Consolas"/>
          <w:color w:val="101820"/>
          <w:sz w:val="19"/>
        </w:rPr>
        <w:t>PII_ENCRYPTION_KEY</w:t>
      </w:r>
      <w:r>
        <w:rPr>
          <w:rFonts w:eastAsia="Segoe UI" w:cs="Segoe UI" w:ascii="Segoe UI" w:hAnsi="Segoe UI"/>
          <w:color w:val="101820"/>
          <w:sz w:val="21"/>
        </w:rPr>
        <w:t xml:space="preserve">, without which the encrypted identifiers in a backup cannot be read), and one restore test before go-live. The release pipeline takes a verified </w:t>
      </w:r>
      <w:r>
        <w:rPr>
          <w:rFonts w:eastAsia="Consolas" w:cs="Consolas" w:ascii="Consolas" w:hAnsi="Consolas"/>
          <w:color w:val="101820"/>
          <w:sz w:val="19"/>
        </w:rPr>
        <w:t>pg_dump</w:t>
      </w:r>
      <w:r>
        <w:rPr>
          <w:rFonts w:eastAsia="Segoe UI" w:cs="Segoe UI" w:ascii="Segoe UI" w:hAnsi="Segoe UI"/>
          <w:color w:val="101820"/>
          <w:sz w:val="21"/>
        </w:rPr>
        <w:t xml:space="preserve"> before every deployment to PRE-PROD and PROD (</w:t>
      </w:r>
      <w:r>
        <w:rPr>
          <w:rFonts w:eastAsia="Consolas" w:cs="Consolas" w:ascii="Consolas" w:hAnsi="Consolas"/>
          <w:color w:val="101820"/>
          <w:sz w:val="19"/>
        </w:rPr>
        <w:t>release.sh backup</w:t>
      </w:r>
      <w:r>
        <w:rPr>
          <w:rFonts w:eastAsia="Segoe UI" w:cs="Segoe UI" w:ascii="Segoe UI" w:hAnsi="Segoe UI"/>
          <w:color w:val="101820"/>
          <w:sz w:val="21"/>
        </w:rPr>
        <w:t xml:space="preserve">, newest ten kept, copy to </w:t>
      </w:r>
      <w:r>
        <w:rPr>
          <w:rFonts w:eastAsia="Consolas" w:cs="Consolas" w:ascii="Consolas" w:hAnsi="Consolas"/>
          <w:color w:val="101820"/>
          <w:sz w:val="19"/>
        </w:rPr>
        <w:t>BACKUP_S3_URI</w:t>
      </w:r>
      <w:r>
        <w:rPr>
          <w:rFonts w:eastAsia="Segoe UI" w:cs="Segoe UI" w:ascii="Segoe UI" w:hAnsi="Segoe UI"/>
          <w:color w:val="101820"/>
          <w:sz w:val="21"/>
        </w:rPr>
        <w:t>); these are restore points for a release, not the backup plan. Document 09 recommends: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Backup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 (recommended)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PITR, window 02:00 to 03:00 Manila time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monthly snapshots; monthly copy to a second region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 yearly 10 years for year-end records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before each release with migrations, before go-live imports and before each year-end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30 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logical dump (</w:t>
            </w:r>
            <w:r>
              <w:rPr>
                <w:rFonts w:eastAsia="Consolas" w:cs="Consolas" w:ascii="Consolas" w:hAnsi="Consolas"/>
                <w:color w:val="101820"/>
                <w:kern w:val="0"/>
                <w:sz w:val="16"/>
                <w:szCs w:val="24"/>
                <w:lang w:val="en-US" w:eastAsia="ja-JP" w:bidi="ar-SA"/>
              </w:rPr>
              <w:t>pg_dump -Fc</w:t>
            </w:r>
            <w:r>
              <w:rPr>
                <w:rFonts w:eastAsia="Segoe UI" w:cs="Segoe UI" w:ascii="Segoe UI" w:hAnsi="Segoe UI"/>
                <w:color w:val="101820"/>
                <w:kern w:val="0"/>
                <w:sz w:val="18"/>
                <w:szCs w:val="24"/>
                <w:lang w:val="en-US" w:eastAsia="ja-JP" w:bidi="ar-SA"/>
              </w:rPr>
              <w:t>) to write-once storage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daily, weekly copy to the second region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bucket versioning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Container images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10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Restore procedures for PITR, snapshots, dumps, files, the front end, secrets and release rollback are in document 09. </w:t>
      </w:r>
      <w:r>
        <w:rPr>
          <w:rFonts w:eastAsia="Segoe UI" w:cs="Segoe UI" w:ascii="Segoe UI" w:hAnsi="Segoe UI"/>
          <w:b/>
          <w:color w:val="101820"/>
          <w:sz w:val="21"/>
        </w:rPr>
        <w:t>Recommended</w:t>
      </w:r>
      <w:r>
        <w:rPr>
          <w:rFonts w:eastAsia="Segoe UI" w:cs="Segoe UI" w:ascii="Segoe UI" w:hAnsi="Segoe UI"/>
          <w:color w:val="101820"/>
          <w:sz w:val="21"/>
        </w:rPr>
        <w:t xml:space="preserve"> restore tests: PITR quarterly and before go-live; dump restore twice a year; file restore quarterly; secret escrow check yearly; full DR exercise yearly as a tabletop and every two years in full.</w:t>
      </w:r>
    </w:p>
    <w:p>
      <w:pPr>
        <w:pStyle w:val="Heading2"/>
        <w:rPr/>
      </w:pPr>
      <w:bookmarkStart w:id="38" w:name="__RefHeading___Toc9081_3016453686"/>
      <w:bookmarkEnd w:id="38"/>
      <w:r>
        <w:rPr>
          <w:rFonts w:eastAsia="Segoe UI" w:cs="Segoe UI"/>
          <w:b/>
          <w:color w:val="0F4761"/>
          <w:sz w:val="26"/>
        </w:rPr>
        <w:t>8.4  Archival and housekeeping</w:t>
      </w:r>
    </w:p>
    <w:p>
      <w:pPr>
        <w:pStyle w:val="Normal"/>
        <w:spacing w:lineRule="auto" w:line="276" w:before="0" w:after="120"/>
        <w:rPr/>
      </w:pPr>
      <w:r>
        <w:rPr>
          <w:rFonts w:eastAsia="Segoe UI" w:cs="Segoe UI" w:ascii="Segoe UI" w:hAnsi="Segoe UI"/>
          <w:color w:val="101820"/>
          <w:sz w:val="21"/>
        </w:rPr>
        <w:t xml:space="preserve">The daily </w:t>
      </w:r>
      <w:r>
        <w:rPr>
          <w:rFonts w:eastAsia="Consolas" w:cs="Consolas" w:ascii="Consolas" w:hAnsi="Consolas"/>
          <w:color w:val="101820"/>
          <w:sz w:val="19"/>
        </w:rPr>
        <w:t>housekeeping</w:t>
      </w:r>
      <w:r>
        <w:rPr>
          <w:rFonts w:eastAsia="Segoe UI" w:cs="Segoe UI" w:ascii="Segoe UI" w:hAnsi="Segoe UI"/>
          <w:color w:val="101820"/>
          <w:sz w:val="21"/>
        </w:rPr>
        <w:t xml:space="preserve"> job (02:45 Manila time) deletes operational rows past the periods set in System Settings &gt; Housekeeping, in batches of 5,000.</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1"/>
        <w:gridCol w:w="4702"/>
      </w:tblGrid>
      <w:tr>
        <w:trPr>
          <w:tblHeader w:val="true"/>
        </w:trPr>
        <w:tc>
          <w:tcPr>
            <w:tcW w:w="4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4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Default retention</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sent / failed</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 730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r>
              <w:rPr>
                <w:rFonts w:eastAsia="Segoe UI" w:cs="Segoe UI" w:ascii="Segoe UI" w:hAnsi="Segoe UI"/>
                <w:color w:val="101820"/>
                <w:kern w:val="0"/>
                <w:sz w:val="18"/>
                <w:szCs w:val="24"/>
                <w:lang w:val="en-US" w:eastAsia="ja-JP" w:bidi="ar-SA"/>
              </w:rPr>
              <w:t xml:space="preserve"> expired or revoked</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Completed </w:t>
            </w:r>
            <w:r>
              <w:rPr>
                <w:rFonts w:eastAsia="Consolas" w:cs="Consolas" w:ascii="Consolas" w:hAnsi="Consolas"/>
                <w:color w:val="101820"/>
                <w:kern w:val="0"/>
                <w:sz w:val="16"/>
                <w:szCs w:val="24"/>
                <w:lang w:val="en-US" w:eastAsia="ja-JP" w:bidi="ar-SA"/>
              </w:rPr>
              <w:t>job_queue</w:t>
            </w:r>
            <w:r>
              <w:rPr>
                <w:rFonts w:eastAsia="Segoe UI" w:cs="Segoe UI" w:ascii="Segoe UI" w:hAnsi="Segoe UI"/>
                <w:color w:val="101820"/>
                <w:kern w:val="0"/>
                <w:sz w:val="18"/>
                <w:szCs w:val="24"/>
                <w:lang w:val="en-US" w:eastAsia="ja-JP" w:bidi="ar-SA"/>
              </w:rPr>
              <w:t xml:space="preserve"> items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reports (</w:t>
            </w:r>
            <w:r>
              <w:rPr>
                <w:rFonts w:eastAsia="Consolas" w:cs="Consolas" w:ascii="Consolas" w:hAnsi="Consolas"/>
                <w:color w:val="101820"/>
                <w:kern w:val="0"/>
                <w:sz w:val="16"/>
                <w:szCs w:val="24"/>
                <w:lang w:val="en-US" w:eastAsia="ja-JP" w:bidi="ar-SA"/>
              </w:rPr>
              <w:t>reports.retention_days</w:t>
            </w:r>
            <w:r>
              <w:rPr>
                <w:rFonts w:eastAsia="Segoe UI" w:cs="Segoe UI" w:ascii="Segoe UI" w:hAnsi="Segoe UI"/>
                <w:color w:val="101820"/>
                <w:kern w:val="0"/>
                <w:sz w:val="18"/>
                <w:szCs w:val="24"/>
                <w:lang w:val="en-US" w:eastAsia="ja-JP" w:bidi="ar-SA"/>
              </w:rPr>
              <w: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Kept (0); never purged below 2,557 days (seven years) if a period is set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Business and financial records are kept; financial documents are cancelled or reversed, not deleted. The </w:t>
      </w:r>
      <w:r>
        <w:rPr>
          <w:rFonts w:eastAsia="Consolas" w:cs="Consolas" w:ascii="Consolas" w:hAnsi="Consolas"/>
          <w:color w:val="101820"/>
          <w:sz w:val="19"/>
        </w:rPr>
        <w:t>dormant-users</w:t>
      </w:r>
      <w:r>
        <w:rPr>
          <w:rFonts w:eastAsia="Segoe UI" w:cs="Segoe UI" w:ascii="Segoe UI" w:hAnsi="Segoe UI"/>
          <w:color w:val="101820"/>
          <w:sz w:val="21"/>
        </w:rPr>
        <w:t xml:space="preserve"> job (01:45 daily) deactivates accounts without a sign-in for </w:t>
      </w:r>
      <w:r>
        <w:rPr>
          <w:rFonts w:eastAsia="Consolas" w:cs="Consolas" w:ascii="Consolas" w:hAnsi="Consolas"/>
          <w:color w:val="101820"/>
          <w:sz w:val="19"/>
        </w:rPr>
        <w:t>access.dormant_days</w:t>
      </w:r>
      <w:r>
        <w:rPr>
          <w:rFonts w:eastAsia="Segoe UI" w:cs="Segoe UI" w:ascii="Segoe UI" w:hAnsi="Segoe UI"/>
          <w:color w:val="101820"/>
          <w:sz w:val="21"/>
        </w:rPr>
        <w:t xml:space="preserve"> (90 days).</w:t>
      </w:r>
    </w:p>
    <w:p>
      <w:pPr>
        <w:pStyle w:val="Normal"/>
        <w:shd w:val="clear" w:color="auto" w:fill="EAF2FB"/>
        <w:spacing w:before="0" w:after="160"/>
        <w:ind w:left="170"/>
        <w:rPr/>
      </w:pPr>
      <w:r>
        <w:rPr>
          <w:rFonts w:eastAsia="Segoe UI" w:cs="Segoe UI" w:ascii="Segoe UI" w:hAnsi="Segoe UI"/>
          <w:b/>
          <w:color w:val="101820"/>
          <w:sz w:val="20"/>
        </w:rPr>
        <w:t>Gap:</w:t>
      </w:r>
      <w:r>
        <w:rPr>
          <w:rFonts w:eastAsia="Segoe UI" w:cs="Segoe UI" w:ascii="Segoe UI" w:hAnsi="Segoe UI"/>
          <w:color w:val="101820"/>
          <w:sz w:val="20"/>
        </w:rPr>
        <w:t xml:space="preserve"> Housekeeping does not yet purge the operational tables added with the new modules: </w:t>
      </w:r>
      <w:r>
        <w:rPr>
          <w:rFonts w:eastAsia="Consolas" w:cs="Consolas" w:ascii="Consolas" w:hAnsi="Consolas"/>
          <w:color w:val="101820"/>
          <w:sz w:val="18"/>
        </w:rPr>
        <w:t>integration_outbox</w:t>
      </w:r>
      <w:r>
        <w:rPr>
          <w:rFonts w:eastAsia="Segoe UI" w:cs="Segoe UI" w:ascii="Segoe UI" w:hAnsi="Segoe UI"/>
          <w:color w:val="101820"/>
          <w:sz w:val="20"/>
        </w:rPr>
        <w:t xml:space="preserve"> and </w:t>
      </w:r>
      <w:r>
        <w:rPr>
          <w:rFonts w:eastAsia="Consolas" w:cs="Consolas" w:ascii="Consolas" w:hAnsi="Consolas"/>
          <w:color w:val="101820"/>
          <w:sz w:val="18"/>
        </w:rPr>
        <w:t>integration_attempts</w:t>
      </w:r>
      <w:r>
        <w:rPr>
          <w:rFonts w:eastAsia="Segoe UI" w:cs="Segoe UI" w:ascii="Segoe UI" w:hAnsi="Segoe UI"/>
          <w:color w:val="101820"/>
          <w:sz w:val="20"/>
        </w:rPr>
        <w:t xml:space="preserve">, </w:t>
      </w:r>
      <w:r>
        <w:rPr>
          <w:rFonts w:eastAsia="Consolas" w:cs="Consolas" w:ascii="Consolas" w:hAnsi="Consolas"/>
          <w:color w:val="101820"/>
          <w:sz w:val="18"/>
        </w:rPr>
        <w:t>integration_inbox</w:t>
      </w:r>
      <w:r>
        <w:rPr>
          <w:rFonts w:eastAsia="Segoe UI" w:cs="Segoe UI" w:ascii="Segoe UI" w:hAnsi="Segoe UI"/>
          <w:color w:val="101820"/>
          <w:sz w:val="20"/>
        </w:rPr>
        <w:t xml:space="preserve">, </w:t>
      </w:r>
      <w:r>
        <w:rPr>
          <w:rFonts w:eastAsia="Consolas" w:cs="Consolas" w:ascii="Consolas" w:hAnsi="Consolas"/>
          <w:color w:val="101820"/>
          <w:sz w:val="18"/>
        </w:rPr>
        <w:t>eis_submissions</w:t>
      </w:r>
      <w:r>
        <w:rPr>
          <w:rFonts w:eastAsia="Segoe UI" w:cs="Segoe UI" w:ascii="Segoe UI" w:hAnsi="Segoe UI"/>
          <w:color w:val="101820"/>
          <w:sz w:val="20"/>
        </w:rPr>
        <w:t xml:space="preserve">, </w:t>
      </w:r>
      <w:r>
        <w:rPr>
          <w:rFonts w:eastAsia="Consolas" w:cs="Consolas" w:ascii="Consolas" w:hAnsi="Consolas"/>
          <w:color w:val="101820"/>
          <w:sz w:val="18"/>
        </w:rPr>
        <w:t>aml_provider_requests</w:t>
      </w:r>
      <w:r>
        <w:rPr>
          <w:rFonts w:eastAsia="Segoe UI" w:cs="Segoe UI" w:ascii="Segoe UI" w:hAnsi="Segoe UI"/>
          <w:color w:val="101820"/>
          <w:sz w:val="20"/>
        </w:rPr>
        <w:t xml:space="preserve"> and the rows of loaded go-live workbooks (</w:t>
      </w:r>
      <w:r>
        <w:rPr>
          <w:rFonts w:eastAsia="Consolas" w:cs="Consolas" w:ascii="Consolas" w:hAnsi="Consolas"/>
          <w:color w:val="101820"/>
          <w:sz w:val="18"/>
        </w:rPr>
        <w:t>data_load_rows</w:t>
      </w:r>
      <w:r>
        <w:rPr>
          <w:rFonts w:eastAsia="Segoe UI" w:cs="Segoe UI" w:ascii="Segoe UI" w:hAnsi="Segoe UI"/>
          <w:color w:val="101820"/>
          <w:sz w:val="20"/>
        </w:rPr>
        <w:t xml:space="preserve">). </w:t>
      </w:r>
      <w:r>
        <w:rPr>
          <w:rFonts w:eastAsia="Segoe UI" w:cs="Segoe UI" w:ascii="Segoe UI" w:hAnsi="Segoe UI"/>
          <w:b/>
          <w:color w:val="101820"/>
          <w:sz w:val="20"/>
        </w:rPr>
        <w:t>Recommended:</w:t>
      </w:r>
      <w:r>
        <w:rPr>
          <w:rFonts w:eastAsia="Segoe UI" w:cs="Segoe UI" w:ascii="Segoe UI" w:hAnsi="Segoe UI"/>
          <w:color w:val="101820"/>
          <w:sz w:val="20"/>
        </w:rPr>
        <w:t xml:space="preserve"> add retention rules for them before volumes grow (for example 180 days for sent messages and attempts, 730 days for failed ones, 90 days for workbook rows after the load), keeping AML records for </w:t>
      </w:r>
      <w:r>
        <w:rPr>
          <w:rFonts w:eastAsia="Consolas" w:cs="Consolas" w:ascii="Consolas" w:hAnsi="Consolas"/>
          <w:color w:val="101820"/>
          <w:sz w:val="18"/>
        </w:rPr>
        <w:t>aml.record_retention_years</w:t>
      </w:r>
      <w:r>
        <w:rPr>
          <w:rFonts w:eastAsia="Segoe UI" w:cs="Segoe UI" w:ascii="Segoe UI" w:hAnsi="Segoe UI"/>
          <w:color w:val="101820"/>
          <w:sz w:val="20"/>
        </w:rPr>
        <w:t>.</w:t>
      </w:r>
    </w:p>
    <w:p>
      <w:pPr>
        <w:pStyle w:val="Normal"/>
        <w:jc w:val="center"/>
        <w:rPr/>
      </w:pPr>
      <w:r>
        <w:rPr/>
        <w:drawing>
          <wp:inline distT="0" distB="0" distL="0" distR="0">
            <wp:extent cx="5760085" cy="373126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3731260"/>
                    </a:xfrm>
                    <a:prstGeom prst="rect">
                      <a:avLst/>
                    </a:prstGeom>
                  </pic:spPr>
                </pic:pic>
              </a:graphicData>
            </a:graphic>
          </wp:inline>
        </w:drawing>
      </w:r>
    </w:p>
    <w:p>
      <w:pPr>
        <w:pStyle w:val="Normal"/>
        <w:jc w:val="center"/>
        <w:rPr/>
      </w:pPr>
      <w:r>
        <w:rPr>
          <w:rFonts w:eastAsia="Segoe UI" w:cs="Segoe UI" w:ascii="Segoe UI" w:hAnsi="Segoe UI"/>
          <w:i/>
          <w:color w:val="555F6D"/>
          <w:sz w:val="18"/>
        </w:rPr>
        <w:t>Data lifecycle: online, archive, purge (architecture document 10, recommended)</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Document 10 proposes keeping financial and policy records 10 years after the financial year end or policy expiry, unconverted leads and quotations 3 years then anonymised or deleted, and an annual export of closed years to write-once archive storage. The application anonymises the personal data of a client or prospect on request (Master &gt; Data Privacy &gt; Data Subject Requests, Anonymise, with a dry run first); it refuses while the records must still be kept (</w:t>
      </w:r>
      <w:r>
        <w:rPr>
          <w:rFonts w:eastAsia="Consolas" w:cs="Consolas" w:ascii="Consolas" w:hAnsi="Consolas"/>
          <w:color w:val="101820"/>
          <w:sz w:val="18"/>
        </w:rPr>
        <w:t>privacy.retention_years</w:t>
      </w:r>
      <w:r>
        <w:rPr>
          <w:rFonts w:eastAsia="Segoe UI" w:cs="Segoe UI" w:ascii="Segoe UI" w:hAnsi="Segoe UI"/>
          <w:color w:val="101820"/>
          <w:sz w:val="20"/>
        </w:rPr>
        <w:t>, 10 years after the last policy expiry). There is no archive function: the annual export of closed years is a database procedure run by the hosting team under change control.</w:t>
      </w:r>
    </w:p>
    <w:p>
      <w:pPr>
        <w:pStyle w:val="Heading2"/>
        <w:rPr/>
      </w:pPr>
      <w:bookmarkStart w:id="39" w:name="__RefHeading___Toc9083_3016453686"/>
      <w:bookmarkEnd w:id="39"/>
      <w:r>
        <w:rPr>
          <w:rFonts w:eastAsia="Segoe UI" w:cs="Segoe UI"/>
          <w:b/>
          <w:color w:val="0F4761"/>
          <w:sz w:val="26"/>
        </w:rPr>
        <w:t>8.5  Monitoring and alerting</w:t>
      </w:r>
    </w:p>
    <w:p>
      <w:pPr>
        <w:pStyle w:val="Normal"/>
        <w:spacing w:lineRule="auto" w:line="276" w:before="0" w:after="120"/>
        <w:rPr/>
      </w:pPr>
      <w:r>
        <w:rPr>
          <w:rFonts w:eastAsia="Segoe UI" w:cs="Segoe UI" w:ascii="Segoe UI" w:hAnsi="Segoe UI"/>
          <w:color w:val="101820"/>
          <w:sz w:val="21"/>
        </w:rPr>
        <w:t>The application produces JSON logs on standard output (pino) with a request id on every line and response, redaction of authorization headers, passwords, tokens and signatures, the health and version endpoints, and operational tables (</w:t>
      </w:r>
      <w:r>
        <w:rPr>
          <w:rFonts w:eastAsia="Consolas" w:cs="Consolas" w:ascii="Consolas" w:hAnsi="Consolas"/>
          <w:color w:val="101820"/>
          <w:sz w:val="19"/>
        </w:rPr>
        <w:t>job_runs</w:t>
      </w:r>
      <w:r>
        <w:rPr>
          <w:rFonts w:eastAsia="Segoe UI" w:cs="Segoe UI" w:ascii="Segoe UI" w:hAnsi="Segoe UI"/>
          <w:color w:val="101820"/>
          <w:sz w:val="21"/>
        </w:rPr>
        <w:t xml:space="preserve">, </w:t>
      </w:r>
      <w:r>
        <w:rPr>
          <w:rFonts w:eastAsia="Consolas" w:cs="Consolas" w:ascii="Consolas" w:hAnsi="Consolas"/>
          <w:color w:val="101820"/>
          <w:sz w:val="19"/>
        </w:rPr>
        <w:t>email_outbox</w:t>
      </w:r>
      <w:r>
        <w:rPr>
          <w:rFonts w:eastAsia="Segoe UI" w:cs="Segoe UI" w:ascii="Segoe UI" w:hAnsi="Segoe UI"/>
          <w:color w:val="101820"/>
          <w:sz w:val="21"/>
        </w:rPr>
        <w:t xml:space="preserve">,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audit_log</w:t>
      </w:r>
      <w:r>
        <w:rPr>
          <w:rFonts w:eastAsia="Segoe UI" w:cs="Segoe UI" w:ascii="Segoe UI" w:hAnsi="Segoe UI"/>
          <w:color w:val="101820"/>
          <w:sz w:val="21"/>
        </w:rPr>
        <w:t xml:space="preserve">, </w:t>
      </w:r>
      <w:r>
        <w:rPr>
          <w:rFonts w:eastAsia="Consolas" w:cs="Consolas" w:ascii="Consolas" w:hAnsi="Consolas"/>
          <w:color w:val="101820"/>
          <w:sz w:val="19"/>
        </w:rPr>
        <w:t>generated_reports</w:t>
      </w:r>
      <w:r>
        <w:rPr>
          <w:rFonts w:eastAsia="Segoe UI" w:cs="Segoe UI" w:ascii="Segoe UI" w:hAnsi="Segoe UI"/>
          <w:color w:val="101820"/>
          <w:sz w:val="21"/>
        </w:rPr>
        <w:t>). The deployment package contains no monitoring configuration.</w:t>
      </w:r>
    </w:p>
    <w:p>
      <w:pPr>
        <w:pStyle w:val="Normal"/>
        <w:jc w:val="center"/>
        <w:rPr/>
      </w:pPr>
      <w:r>
        <w:rPr/>
        <w:drawing>
          <wp:inline distT="0" distB="0" distL="0" distR="0">
            <wp:extent cx="5760085" cy="2964180"/>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2964180"/>
                    </a:xfrm>
                    <a:prstGeom prst="rect">
                      <a:avLst/>
                    </a:prstGeom>
                  </pic:spPr>
                </pic:pic>
              </a:graphicData>
            </a:graphic>
          </wp:inline>
        </w:drawing>
      </w:r>
    </w:p>
    <w:p>
      <w:pPr>
        <w:pStyle w:val="Normal"/>
        <w:jc w:val="center"/>
        <w:rPr/>
      </w:pPr>
      <w:r>
        <w:rPr>
          <w:rFonts w:eastAsia="Segoe UI" w:cs="Segoe UI" w:ascii="Segoe UI" w:hAnsi="Segoe UI"/>
          <w:i/>
          <w:color w:val="555F6D"/>
          <w:sz w:val="18"/>
        </w:rPr>
        <w:t>Monitoring and alerting (architecture document 11, recommended)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5"/>
        <w:gridCol w:w="4025"/>
        <w:gridCol w:w="1124"/>
      </w:tblGrid>
      <w:tr>
        <w:trPr>
          <w:tblHeader w:val="true"/>
        </w:trPr>
        <w:tc>
          <w:tcPr>
            <w:tcW w:w="38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Alarm (recommended)</w:t>
            </w:r>
          </w:p>
        </w:tc>
        <w:tc>
          <w:tcPr>
            <w:tcW w:w="40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Threshold</w:t>
            </w:r>
          </w:p>
        </w:tc>
        <w:tc>
          <w:tcPr>
            <w:tcW w:w="11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health check</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consecutive failures, check every 5 minutes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healthy API instance</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 minute</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5xx</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2% for 5 minutes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p95 response time</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2 s for 10 minutes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CPU / memory</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80% for 15 min / over 85% for 10 min</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CPU, free storage, connections</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80% / under 20% / over 80% of maximum</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Scheduled job failed or not run</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failure of a daily job; over 26 hours since success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messages failed or stuck</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any message </w:t>
            </w:r>
            <w:r>
              <w:rPr>
                <w:rFonts w:eastAsia="Consolas" w:cs="Consolas" w:ascii="Consolas" w:hAnsi="Consolas"/>
                <w:color w:val="101820"/>
                <w:kern w:val="0"/>
                <w:sz w:val="16"/>
                <w:szCs w:val="24"/>
                <w:lang w:val="en-US" w:eastAsia="ja-JP" w:bidi="ar-SA"/>
              </w:rPr>
              <w:t>failed</w:t>
            </w:r>
            <w:r>
              <w:rPr>
                <w:rFonts w:eastAsia="Segoe UI" w:cs="Segoe UI" w:ascii="Segoe UI" w:hAnsi="Segoe UI"/>
                <w:color w:val="101820"/>
                <w:kern w:val="0"/>
                <w:sz w:val="18"/>
                <w:szCs w:val="24"/>
                <w:lang w:val="en-US" w:eastAsia="ja-JP" w:bidi="ar-SA"/>
              </w:rPr>
              <w:t xml:space="preserve">, or messages queued over 30 minutes (integration monitor, </w:t>
            </w:r>
            <w:r>
              <w:rPr>
                <w:rFonts w:eastAsia="Consolas" w:cs="Consolas" w:ascii="Consolas" w:hAnsi="Consolas"/>
                <w:color w:val="101820"/>
                <w:kern w:val="0"/>
                <w:sz w:val="16"/>
                <w:szCs w:val="24"/>
                <w:lang w:val="en-US" w:eastAsia="ja-JP" w:bidi="ar-SA"/>
              </w:rPr>
              <w:t>integration_outbox</w:t>
            </w:r>
            <w:r>
              <w:rPr>
                <w:rFonts w:eastAsia="Segoe UI" w:cs="Segoe UI" w:ascii="Segoe UI" w:hAnsi="Segoe UI"/>
                <w:color w:val="101820"/>
                <w:kern w:val="0"/>
                <w:sz w:val="18"/>
                <w:szCs w:val="24"/>
                <w:lang w:val="en-US" w:eastAsia="ja-JP" w:bidi="ar-SA"/>
              </w:rPr>
              <w: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 submission rejected or failed</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 (</w:t>
            </w:r>
            <w:r>
              <w:rPr>
                <w:rFonts w:eastAsia="Consolas" w:cs="Consolas" w:ascii="Consolas" w:hAnsi="Consolas"/>
                <w:color w:val="101820"/>
                <w:kern w:val="0"/>
                <w:sz w:val="16"/>
                <w:szCs w:val="24"/>
                <w:lang w:val="en-US" w:eastAsia="ja-JP" w:bidi="ar-SA"/>
              </w:rPr>
              <w:t>eis_submissions</w:t>
            </w:r>
            <w:r>
              <w:rPr>
                <w:rFonts w:eastAsia="Segoe UI" w:cs="Segoe UI" w:ascii="Segoe UI" w:hAnsi="Segoe UI"/>
                <w:color w:val="101820"/>
                <w:kern w:val="0"/>
                <w:sz w:val="18"/>
                <w:szCs w:val="24"/>
                <w:lang w:val="en-US" w:eastAsia="ja-JP" w:bidi="ar-SA"/>
              </w:rPr>
              <w:t>)</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monitoring or breach deadline jobs not run</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26 hours since success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sign-ins</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 50 in 5 minutes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Refresh-token reuse</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failure or PITR older than 15 minutes</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any</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w:t>
            </w:r>
          </w:p>
        </w:tc>
      </w:tr>
      <w:tr>
        <w:trPr/>
        <w:tc>
          <w:tcPr>
            <w:tcW w:w="38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Certificate expiry</w:t>
            </w:r>
          </w:p>
        </w:tc>
        <w:tc>
          <w:tcPr>
            <w:tcW w:w="4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30 days</w:t>
            </w:r>
          </w:p>
        </w:tc>
        <w:tc>
          <w:tcPr>
            <w:tcW w:w="11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Severity P1 is a 24 x 7 response, P2 the same business day and P3 the next business day, to be aligned with the support agreement in </w:t>
      </w:r>
      <w:r>
        <w:rPr>
          <w:rFonts w:eastAsia="Consolas" w:cs="Consolas" w:ascii="Consolas" w:hAnsi="Consolas"/>
          <w:color w:val="101820"/>
          <w:sz w:val="19"/>
        </w:rPr>
        <w:t>docs/onboarding/SUPPORT_AND_ESCALATION.md</w:t>
      </w:r>
      <w:r>
        <w:rPr>
          <w:rFonts w:eastAsia="Segoe UI" w:cs="Segoe UI" w:ascii="Segoe UI" w:hAnsi="Segoe UI"/>
          <w:color w:val="101820"/>
          <w:sz w:val="21"/>
        </w:rPr>
        <w:t>.</w:t>
      </w:r>
      <w:r>
        <w:br w:type="page"/>
      </w:r>
    </w:p>
    <w:p>
      <w:pPr>
        <w:pStyle w:val="Heading1"/>
        <w:rPr/>
      </w:pPr>
      <w:bookmarkStart w:id="40" w:name="__RefHeading___Toc9085_3016453686"/>
      <w:bookmarkEnd w:id="40"/>
      <w:r>
        <w:rPr>
          <w:rFonts w:eastAsia="Segoe UI" w:cs="Segoe UI" w:ascii="Segoe UI" w:hAnsi="Segoe UI"/>
          <w:b/>
          <w:color w:val="0F4761"/>
          <w:sz w:val="32"/>
        </w:rPr>
        <w:t>9.  Security architecture</w:t>
      </w:r>
    </w:p>
    <w:p>
      <w:pPr>
        <w:pStyle w:val="Heading2"/>
        <w:rPr/>
      </w:pPr>
      <w:bookmarkStart w:id="41" w:name="__RefHeading___Toc9087_3016453686"/>
      <w:bookmarkEnd w:id="41"/>
      <w:r>
        <w:rPr>
          <w:rFonts w:eastAsia="Segoe UI" w:cs="Segoe UI"/>
          <w:b/>
          <w:color w:val="0F4761"/>
          <w:sz w:val="26"/>
        </w:rPr>
        <w:t>9.1  Identity and authentication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Named users only; no shared or agent sign-in. Users are created in Master &gt; User Management or from a CSV with </w:t>
            </w:r>
            <w:r>
              <w:rPr>
                <w:rFonts w:eastAsia="Consolas" w:cs="Consolas" w:ascii="Consolas" w:hAnsi="Consolas"/>
                <w:color w:val="101820"/>
                <w:kern w:val="0"/>
                <w:sz w:val="16"/>
                <w:szCs w:val="24"/>
                <w:lang w:val="en-US" w:eastAsia="ja-JP" w:bidi="ar-SA"/>
              </w:rPr>
              <w:t>scripts/provision-users.js</w:t>
            </w:r>
            <w:r>
              <w:rPr>
                <w:rFonts w:eastAsia="Segoe UI" w:cs="Segoe UI" w:ascii="Segoe UI" w:hAnsi="Segoe UI"/>
                <w:color w:val="101820"/>
                <w:kern w:val="0"/>
                <w:sz w:val="18"/>
                <w:szCs w:val="24"/>
                <w:lang w:val="en-US" w:eastAsia="ja-JP" w:bidi="ar-SA"/>
              </w:rPr>
              <w:t>; each must change the initial password at first sign-in.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storage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 (cost 10); reset codes stored only as keyed HMAC hashes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8 characters, upper and lower case, digit and symbol, history of 5, maximum age 90 days (</w:t>
            </w:r>
            <w:r>
              <w:rPr>
                <w:rFonts w:eastAsia="Consolas" w:cs="Consolas" w:ascii="Consolas" w:hAnsi="Consolas"/>
                <w:color w:val="101820"/>
                <w:kern w:val="0"/>
                <w:sz w:val="16"/>
                <w:szCs w:val="24"/>
                <w:lang w:val="en-US" w:eastAsia="ja-JP" w:bidi="ar-SA"/>
              </w:rPr>
              <w:t>security.password_*</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Lockout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locked after 5 wrong passwords (</w:t>
            </w:r>
            <w:r>
              <w:rPr>
                <w:rFonts w:eastAsia="Consolas" w:cs="Consolas" w:ascii="Consolas" w:hAnsi="Consolas"/>
                <w:color w:val="101820"/>
                <w:kern w:val="0"/>
                <w:sz w:val="16"/>
                <w:szCs w:val="24"/>
                <w:lang w:val="en-US" w:eastAsia="ja-JP" w:bidi="ar-SA"/>
              </w:rPr>
              <w:t>limits.max_login_attempts</w:t>
            </w:r>
            <w:r>
              <w:rPr>
                <w:rFonts w:eastAsia="Segoe UI" w:cs="Segoe UI" w:ascii="Segoe UI" w:hAnsi="Segoe UI"/>
                <w:color w:val="101820"/>
                <w:kern w:val="0"/>
                <w:sz w:val="18"/>
                <w:szCs w:val="24"/>
                <w:lang w:val="en-US" w:eastAsia="ja-JP" w:bidi="ar-SA"/>
              </w:rPr>
              <w:t>); 10 attempts per 5 minutes per IP and per username (</w:t>
            </w:r>
            <w:r>
              <w:rPr>
                <w:rFonts w:eastAsia="Consolas" w:cs="Consolas" w:ascii="Consolas" w:hAnsi="Consolas"/>
                <w:color w:val="101820"/>
                <w:kern w:val="0"/>
                <w:sz w:val="16"/>
                <w:szCs w:val="24"/>
                <w:lang w:val="en-US" w:eastAsia="ja-JP" w:bidi="ar-SA"/>
              </w:rPr>
              <w:t>security.login_rate_limit</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TOTP (RFC 6238); secrets encrypted with AES-256-GCM; compulsory for the roles in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xml:space="preserve"> (empty by default)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token 30 minutes, refresh token 30 days rotated on each use; reuse of a rotated token revokes the token family and is logged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Revocation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change or reset, deactivation, role or permission change raise the token version and end sessions at once; Master &gt; User Management can end every session of a user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Idle sign-out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 minutes (</w:t>
            </w:r>
            <w:r>
              <w:rPr>
                <w:rFonts w:eastAsia="Consolas" w:cs="Consolas" w:ascii="Consolas" w:hAnsi="Consolas"/>
                <w:color w:val="101820"/>
                <w:kern w:val="0"/>
                <w:sz w:val="16"/>
                <w:szCs w:val="24"/>
                <w:lang w:val="en-US" w:eastAsia="ja-JP" w:bidi="ar-SA"/>
              </w:rPr>
              <w:t>limits.session_idle_minutes</w:t>
            </w:r>
            <w:r>
              <w:rPr>
                <w:rFonts w:eastAsia="Segoe UI" w:cs="Segoe UI" w:ascii="Segoe UI" w:hAnsi="Segoe UI"/>
                <w:color w:val="101820"/>
                <w:kern w:val="0"/>
                <w:sz w:val="18"/>
                <w:szCs w:val="24"/>
                <w:lang w:val="en-US" w:eastAsia="ja-JP" w:bidi="ar-SA"/>
              </w:rPr>
              <w:t>) with a one-minute warning</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history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attempt in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with result, reason, IP and user agent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Before go-live set </w:t>
      </w:r>
      <w:r>
        <w:rPr>
          <w:rFonts w:eastAsia="Consolas" w:cs="Consolas" w:ascii="Consolas" w:hAnsi="Consolas"/>
          <w:color w:val="101820"/>
          <w:sz w:val="18"/>
        </w:rPr>
        <w:t>security.require_2fa_roles</w:t>
      </w:r>
      <w:r>
        <w:rPr>
          <w:rFonts w:eastAsia="Segoe UI" w:cs="Segoe UI" w:ascii="Segoe UI" w:hAnsi="Segoe UI"/>
          <w:color w:val="101820"/>
          <w:sz w:val="20"/>
        </w:rPr>
        <w:t xml:space="preserve"> to at least </w:t>
      </w:r>
      <w:r>
        <w:rPr>
          <w:rFonts w:eastAsia="Consolas" w:cs="Consolas" w:ascii="Consolas" w:hAnsi="Consolas"/>
          <w:color w:val="101820"/>
          <w:sz w:val="18"/>
        </w:rPr>
        <w:t>system-admin</w:t>
      </w:r>
      <w:r>
        <w:rPr>
          <w:rFonts w:eastAsia="Segoe UI" w:cs="Segoe UI" w:ascii="Segoe UI" w:hAnsi="Segoe UI"/>
          <w:color w:val="101820"/>
          <w:sz w:val="20"/>
        </w:rPr>
        <w:t xml:space="preserve">, </w:t>
      </w:r>
      <w:r>
        <w:rPr>
          <w:rFonts w:eastAsia="Consolas" w:cs="Consolas" w:ascii="Consolas" w:hAnsi="Consolas"/>
          <w:color w:val="101820"/>
          <w:sz w:val="18"/>
        </w:rPr>
        <w:t>accounting</w:t>
      </w:r>
      <w:r>
        <w:rPr>
          <w:rFonts w:eastAsia="Segoe UI" w:cs="Segoe UI" w:ascii="Segoe UI" w:hAnsi="Segoe UI"/>
          <w:color w:val="101820"/>
          <w:sz w:val="20"/>
        </w:rPr>
        <w:t xml:space="preserve"> and </w:t>
      </w:r>
      <w:r>
        <w:rPr>
          <w:rFonts w:eastAsia="Consolas" w:cs="Consolas" w:ascii="Consolas" w:hAnsi="Consolas"/>
          <w:color w:val="101820"/>
          <w:sz w:val="18"/>
        </w:rPr>
        <w:t>accounting-manager</w:t>
      </w:r>
      <w:r>
        <w:rPr>
          <w:rFonts w:eastAsia="Segoe UI" w:cs="Segoe UI" w:ascii="Segoe UI" w:hAnsi="Segoe UI"/>
          <w:color w:val="101820"/>
          <w:sz w:val="20"/>
        </w:rPr>
        <w:t>, as the deployment checklist suggests.</w:t>
      </w:r>
    </w:p>
    <w:p>
      <w:pPr>
        <w:pStyle w:val="Normal"/>
        <w:shd w:val="clear" w:color="auto" w:fill="EAF2FB"/>
        <w:spacing w:before="0" w:after="160"/>
        <w:ind w:left="170"/>
        <w:rPr/>
      </w:pPr>
      <w:r>
        <w:rPr>
          <w:rFonts w:eastAsia="Segoe UI" w:cs="Segoe UI" w:ascii="Segoe UI" w:hAnsi="Segoe UI"/>
          <w:b/>
          <w:color w:val="101820"/>
          <w:sz w:val="20"/>
        </w:rPr>
        <w:t>Known limitation:</w:t>
      </w:r>
      <w:r>
        <w:rPr>
          <w:rFonts w:eastAsia="Segoe UI" w:cs="Segoe UI" w:ascii="Segoe UI" w:hAnsi="Segoe UI"/>
          <w:color w:val="101820"/>
          <w:sz w:val="20"/>
        </w:rPr>
        <w:t xml:space="preserve"> Tokens are kept in the browser's local storage (accepted for go-live in </w:t>
      </w:r>
      <w:r>
        <w:rPr>
          <w:rFonts w:eastAsia="Consolas" w:cs="Consolas" w:ascii="Consolas" w:hAnsi="Consolas"/>
          <w:color w:val="101820"/>
          <w:sz w:val="18"/>
        </w:rPr>
        <w:t>deploy/README.md</w:t>
      </w:r>
      <w:r>
        <w:rPr>
          <w:rFonts w:eastAsia="Segoe UI" w:cs="Segoe UI" w:ascii="Segoe UI" w:hAnsi="Segoe UI"/>
          <w:color w:val="101820"/>
          <w:sz w:val="20"/>
        </w:rPr>
        <w:t xml:space="preserve"> section 9). A change to an httpOnly refresh cookie is planned. Two-factor enrolment shows the key and a link, not a QR code.</w:t>
      </w:r>
    </w:p>
    <w:p>
      <w:pPr>
        <w:pStyle w:val="Heading2"/>
        <w:rPr/>
      </w:pPr>
      <w:bookmarkStart w:id="42" w:name="__RefHeading___Toc9089_3016453686"/>
      <w:bookmarkEnd w:id="42"/>
      <w:r>
        <w:rPr>
          <w:rFonts w:eastAsia="Segoe UI" w:cs="Segoe UI"/>
          <w:b/>
          <w:color w:val="0F4761"/>
          <w:sz w:val="26"/>
        </w:rPr>
        <w:t>9.2  Authorisation, maker-checker and segregation of duties</w:t>
      </w:r>
    </w:p>
    <w:p>
      <w:pPr>
        <w:pStyle w:val="Normal"/>
        <w:spacing w:lineRule="auto" w:line="276" w:before="0" w:after="120"/>
        <w:rPr/>
      </w:pPr>
      <w:r>
        <w:rPr>
          <w:rFonts w:eastAsia="Segoe UI" w:cs="Segoe UI" w:ascii="Segoe UI" w:hAnsi="Segoe UI"/>
          <w:color w:val="101820"/>
          <w:sz w:val="21"/>
        </w:rPr>
        <w:t xml:space="preserve">Permissions are </w:t>
      </w:r>
      <w:r>
        <w:rPr>
          <w:rFonts w:eastAsia="Consolas" w:cs="Consolas" w:ascii="Consolas" w:hAnsi="Consolas"/>
          <w:color w:val="101820"/>
          <w:sz w:val="19"/>
        </w:rPr>
        <w:t>read:&lt;module&gt;</w:t>
      </w:r>
      <w:r>
        <w:rPr>
          <w:rFonts w:eastAsia="Segoe UI" w:cs="Segoe UI" w:ascii="Segoe UI" w:hAnsi="Segoe UI"/>
          <w:color w:val="101820"/>
          <w:sz w:val="21"/>
        </w:rPr>
        <w:t xml:space="preserve">, </w:t>
      </w:r>
      <w:r>
        <w:rPr>
          <w:rFonts w:eastAsia="Consolas" w:cs="Consolas" w:ascii="Consolas" w:hAnsi="Consolas"/>
          <w:color w:val="101820"/>
          <w:sz w:val="19"/>
        </w:rPr>
        <w:t>write:&lt;module&gt;</w:t>
      </w:r>
      <w:r>
        <w:rPr>
          <w:rFonts w:eastAsia="Segoe UI" w:cs="Segoe UI" w:ascii="Segoe UI" w:hAnsi="Segoe UI"/>
          <w:color w:val="101820"/>
          <w:sz w:val="21"/>
        </w:rPr>
        <w:t xml:space="preserve"> and </w:t>
      </w:r>
      <w:r>
        <w:rPr>
          <w:rFonts w:eastAsia="Consolas" w:cs="Consolas" w:ascii="Consolas" w:hAnsi="Consolas"/>
          <w:color w:val="101820"/>
          <w:sz w:val="19"/>
        </w:rPr>
        <w:t>approve:&lt;area&gt;</w:t>
      </w:r>
      <w:r>
        <w:rPr>
          <w:rFonts w:eastAsia="Segoe UI" w:cs="Segoe UI" w:ascii="Segoe UI" w:hAnsi="Segoe UI"/>
          <w:color w:val="101820"/>
          <w:sz w:val="21"/>
        </w:rPr>
        <w:t xml:space="preserve"> codes (98 with packages B and G), plus </w:t>
      </w:r>
      <w:r>
        <w:rPr>
          <w:rFonts w:eastAsia="Consolas" w:cs="Consolas" w:ascii="Consolas" w:hAnsi="Consolas"/>
          <w:color w:val="101820"/>
          <w:sz w:val="19"/>
        </w:rPr>
        <w:t>view:pii</w:t>
      </w:r>
      <w:r>
        <w:rPr>
          <w:rFonts w:eastAsia="Segoe UI" w:cs="Segoe UI" w:ascii="Segoe UI" w:hAnsi="Segoe UI"/>
          <w:color w:val="101820"/>
          <w:sz w:val="21"/>
        </w:rPr>
        <w:t xml:space="preserve"> for full personal identifiers (package B), checked by the server on every route (</w:t>
      </w:r>
      <w:r>
        <w:rPr>
          <w:rFonts w:eastAsia="Consolas" w:cs="Consolas" w:ascii="Consolas" w:hAnsi="Consolas"/>
          <w:color w:val="101820"/>
          <w:sz w:val="19"/>
        </w:rPr>
        <w:t>requirePermission</w:t>
      </w:r>
      <w:r>
        <w:rPr>
          <w:rFonts w:eastAsia="Segoe UI" w:cs="Segoe UI" w:ascii="Segoe UI" w:hAnsi="Segoe UI"/>
          <w:color w:val="101820"/>
          <w:sz w:val="21"/>
        </w:rPr>
        <w:t xml:space="preserve">, </w:t>
      </w:r>
      <w:r>
        <w:rPr>
          <w:rFonts w:eastAsia="Consolas" w:cs="Consolas" w:ascii="Consolas" w:hAnsi="Consolas"/>
          <w:color w:val="101820"/>
          <w:sz w:val="19"/>
        </w:rPr>
        <w:t>requireRole</w:t>
      </w:r>
      <w:r>
        <w:rPr>
          <w:rFonts w:eastAsia="Segoe UI" w:cs="Segoe UI" w:ascii="Segoe UI" w:hAnsi="Segoe UI"/>
          <w:color w:val="101820"/>
          <w:sz w:val="21"/>
        </w:rPr>
        <w:t>); the route registry adds the sign-in check to every route that is not explicitly public. The front end also hides menus by role (deny by default).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53"/>
        <w:gridCol w:w="4861"/>
      </w:tblGrid>
      <w:tr>
        <w:trPr>
          <w:tblHeader w:val="true"/>
        </w:trPr>
        <w:tc>
          <w:tcPr>
            <w:tcW w:w="41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(seeded)</w:t>
            </w:r>
          </w:p>
        </w:tc>
        <w:tc>
          <w:tcPr>
            <w:tcW w:w="48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access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w:t>
            </w:r>
            <w:r>
              <w:rPr>
                <w:rFonts w:eastAsia="Consolas" w:cs="Consolas" w:ascii="Consolas" w:hAnsi="Consolas"/>
                <w:color w:val="101820"/>
                <w:kern w:val="0"/>
                <w:sz w:val="16"/>
                <w:szCs w:val="24"/>
                <w:lang w:val="en-US" w:eastAsia="ja-JP" w:bidi="ar-SA"/>
              </w:rPr>
              <w:t>system-admin</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permission; configuration, users and roles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 (</w:t>
            </w:r>
            <w:r>
              <w:rPr>
                <w:rFonts w:eastAsia="Consolas" w:cs="Consolas" w:ascii="Consolas" w:hAnsi="Consolas"/>
                <w:color w:val="101820"/>
                <w:kern w:val="0"/>
                <w:sz w:val="16"/>
                <w:szCs w:val="24"/>
                <w:lang w:val="en-US" w:eastAsia="ja-JP" w:bidi="ar-SA"/>
              </w:rPr>
              <w:t>sales</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quotations, policies, endorsements, renewals, reports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 (</w:t>
            </w:r>
            <w:r>
              <w:rPr>
                <w:rFonts w:eastAsia="Consolas" w:cs="Consolas" w:ascii="Consolas" w:hAnsi="Consolas"/>
                <w:color w:val="101820"/>
                <w:kern w:val="0"/>
                <w:sz w:val="16"/>
                <w:szCs w:val="24"/>
                <w:lang w:val="en-US" w:eastAsia="ja-JP" w:bidi="ar-SA"/>
              </w:rPr>
              <w:t>processing</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and placement, policies, endorsements, renewals, reinsurance, products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w:t>
            </w:r>
            <w:r>
              <w:rPr>
                <w:rFonts w:eastAsia="Consolas" w:cs="Consolas" w:ascii="Consolas" w:hAnsi="Consolas"/>
                <w:color w:val="101820"/>
                <w:kern w:val="0"/>
                <w:sz w:val="16"/>
                <w:szCs w:val="24"/>
                <w:lang w:val="en-US" w:eastAsia="ja-JP" w:bidi="ar-SA"/>
              </w:rPr>
              <w:t>operations</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 quotations, policies, endorsements, renewals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w:t>
            </w: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read clients and policies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w:t>
            </w:r>
            <w:r>
              <w:rPr>
                <w:rFonts w:eastAsia="Consolas" w:cs="Consolas" w:ascii="Consolas" w:hAnsi="Consolas"/>
                <w:color w:val="101820"/>
                <w:kern w:val="0"/>
                <w:sz w:val="16"/>
                <w:szCs w:val="24"/>
                <w:lang w:val="en-US" w:eastAsia="ja-JP" w:bidi="ar-SA"/>
              </w:rPr>
              <w:t>accounting</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disbursements, commission, remittance, incentive, journals, period end, bank reconciliation</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 (</w:t>
            </w:r>
            <w:r>
              <w:rPr>
                <w:rFonts w:eastAsia="Consolas" w:cs="Consolas" w:ascii="Consolas" w:hAnsi="Consolas"/>
                <w:color w:val="101820"/>
                <w:kern w:val="0"/>
                <w:sz w:val="16"/>
                <w:szCs w:val="24"/>
                <w:lang w:val="en-US" w:eastAsia="ja-JP" w:bidi="ar-SA"/>
              </w:rPr>
              <w:t>accounting-manager</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Inherits Accounting; approves period close, bank and insurer reconciliations, credit control, payables, posting rule changes</w:t>
            </w:r>
          </w:p>
        </w:tc>
      </w:tr>
      <w:tr>
        <w:trPr/>
        <w:tc>
          <w:tcPr>
            <w:tcW w:w="41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Officer (</w:t>
            </w:r>
            <w:r>
              <w:rPr>
                <w:rFonts w:eastAsia="Consolas" w:cs="Consolas" w:ascii="Consolas" w:hAnsi="Consolas"/>
                <w:color w:val="101820"/>
                <w:kern w:val="0"/>
                <w:sz w:val="16"/>
                <w:szCs w:val="24"/>
                <w:lang w:val="en-US" w:eastAsia="ja-JP" w:bidi="ar-SA"/>
              </w:rPr>
              <w:t>compliance-officer</w:t>
            </w:r>
            <w:r>
              <w:rPr>
                <w:rFonts w:eastAsia="Segoe UI" w:cs="Segoe UI" w:ascii="Segoe UI" w:hAnsi="Segoe UI"/>
                <w:color w:val="101820"/>
                <w:kern w:val="0"/>
                <w:sz w:val="18"/>
                <w:szCs w:val="24"/>
                <w:lang w:val="en-US" w:eastAsia="ja-JP" w:bidi="ar-SA"/>
              </w:rPr>
              <w:t>)</w:t>
            </w:r>
          </w:p>
        </w:tc>
        <w:tc>
          <w:tcPr>
            <w:tcW w:w="48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customer risk rating and EDD approval, screening decisions, transaction monitoring, AML cases and AMLC reports; read of clients, policies, claims and payments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With package B, Sales, Operations and Accounting hold </w:t>
      </w:r>
      <w:r>
        <w:rPr>
          <w:rFonts w:eastAsia="Consolas" w:cs="Consolas" w:ascii="Consolas" w:hAnsi="Consolas"/>
          <w:color w:val="101820"/>
          <w:sz w:val="19"/>
        </w:rPr>
        <w:t>view:pii</w:t>
      </w:r>
      <w:r>
        <w:rPr>
          <w:rFonts w:eastAsia="Segoe UI" w:cs="Segoe UI" w:ascii="Segoe UI" w:hAnsi="Segoe UI"/>
          <w:color w:val="101820"/>
          <w:sz w:val="21"/>
        </w:rPr>
        <w:t xml:space="preserve"> and see full TIN, ID, mobile, e-mail, bank account and birth date values; Processing and Claims see them masked unless the broker grants it. Operations also keeps the Insurance Commission registers and the complaints register; Claims works complaints.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Implementation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Administrator protection</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Only a System Administrator can grant that role or change an administrator; nobody can change their own roles or status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scope</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Roles listed in </w:t>
            </w:r>
            <w:r>
              <w:rPr>
                <w:rFonts w:eastAsia="Consolas" w:cs="Consolas" w:ascii="Consolas" w:hAnsi="Consolas"/>
                <w:color w:val="101820"/>
                <w:kern w:val="0"/>
                <w:sz w:val="16"/>
                <w:szCs w:val="24"/>
                <w:lang w:val="en-US" w:eastAsia="ja-JP" w:bidi="ar-SA"/>
              </w:rPr>
              <w:t>security.scoped_roles</w:t>
            </w:r>
            <w:r>
              <w:rPr>
                <w:rFonts w:eastAsia="Segoe UI" w:cs="Segoe UI" w:ascii="Segoe UI" w:hAnsi="Segoe UI"/>
                <w:color w:val="101820"/>
                <w:kern w:val="0"/>
                <w:sz w:val="18"/>
                <w:szCs w:val="24"/>
                <w:lang w:val="en-US" w:eastAsia="ja-JP" w:bidi="ar-SA"/>
              </w:rPr>
              <w:t xml:space="preserve"> see only their own records and clients (empty by default)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different user approves journal vouchers, payment vouchers and cheques, commission payouts, remittances and settlements, debit notes, claim settlements, incentive calculations, treaties, petty cash, period closes, reconciliations, quotation and renewal approvals, authority limits and posting rule changes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limits per transaction type and role or user (Master &gt; User Management &gt; Authority Matrix); a new limit applies only after another administrator approves it; default limits in PHP are seeded and replaced by the board-approved signing authority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Delegation of authority</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Time-bound delegation of approval authority (leave, travel), revocable (Master &gt; User Management &gt; Delegations)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 of duties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 on pairs of roles, checked when roles are assigned (</w:t>
            </w:r>
            <w:r>
              <w:rPr>
                <w:rFonts w:eastAsia="Consolas" w:cs="Consolas" w:ascii="Consolas" w:hAnsi="Consolas"/>
                <w:color w:val="101820"/>
                <w:kern w:val="0"/>
                <w:sz w:val="16"/>
                <w:szCs w:val="24"/>
                <w:lang w:val="en-US" w:eastAsia="ja-JP" w:bidi="ar-SA"/>
              </w:rPr>
              <w:t>access.sod_enforced</w:t>
            </w:r>
            <w:r>
              <w:rPr>
                <w:rFonts w:eastAsia="Segoe UI" w:cs="Segoe UI" w:ascii="Segoe UI" w:hAnsi="Segoe UI"/>
                <w:color w:val="101820"/>
                <w:kern w:val="0"/>
                <w:sz w:val="18"/>
                <w:szCs w:val="24"/>
                <w:lang w:val="en-US" w:eastAsia="ja-JP" w:bidi="ar-SA"/>
              </w:rPr>
              <w:t>). Seeded: placement and payment, placement and payment approval, claims and payment (block); sales and collection, sales and claims (warn)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Recertification campaigns over every active user; "revoke" deactivates the account and signs it out (Master &gt; User Management &gt; Access Reviews)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reports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Access Matrix and Role Permissions, downloadable as XLSX or CSV</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control</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Postings refused in closed or locked periods; soft-closed periods only with </w:t>
            </w:r>
            <w:r>
              <w:rPr>
                <w:rFonts w:eastAsia="Consolas" w:cs="Consolas" w:ascii="Consolas" w:hAnsi="Consolas"/>
                <w:color w:val="101820"/>
                <w:kern w:val="0"/>
                <w:sz w:val="16"/>
                <w:szCs w:val="24"/>
                <w:lang w:val="en-US" w:eastAsia="ja-JP" w:bidi="ar-SA"/>
              </w:rPr>
              <w:t>approve:period-end</w:t>
            </w:r>
          </w:p>
        </w:tc>
      </w:tr>
    </w:tbl>
    <w:p>
      <w:pPr>
        <w:pStyle w:val="Normal"/>
        <w:spacing w:before="0" w:after="80"/>
        <w:rPr/>
      </w:pPr>
      <w:r>
        <w:rPr/>
      </w:r>
    </w:p>
    <w:p>
      <w:pPr>
        <w:pStyle w:val="Heading2"/>
        <w:rPr/>
      </w:pPr>
      <w:bookmarkStart w:id="43" w:name="__RefHeading___Toc9091_3016453686"/>
      <w:bookmarkEnd w:id="43"/>
      <w:r>
        <w:rPr>
          <w:rFonts w:eastAsia="Segoe UI" w:cs="Segoe UI"/>
          <w:b/>
          <w:color w:val="0F4761"/>
          <w:sz w:val="26"/>
        </w:rPr>
        <w:t>9.3  Application security controls (OWASP Top 10, 2021)</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OWASP risk</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Controls in BrokerVerse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A01 Broken access control</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 by default on every route; permission check per route; record scope; maker-checker; signed, expiring file links (30 minutes); masking of personal identifiers by role (package B)</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A02 Cryptographic failures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in transit; bcrypt passwords; AES-256-GCM for TOTP secrets; AES-256-CBC with an HMAC-SHA256 tag for personal identifiers (package B); HMAC-SHA256 for links, reset codes and webhooks; JWT limited to HS256</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A03 Injection</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only, dynamic identifiers from white lists; zod validation; CSV formula-injection guarding</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A04 Insecure design</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limits, SoD, one transaction per operation, idempotent payment webhooks with amount check</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A05 Security misconfiguration</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Production start refuses unsafe secrets,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and localhost URLs; helmet headers; </w:t>
            </w:r>
            <w:r>
              <w:rPr>
                <w:rFonts w:eastAsia="Consolas" w:cs="Consolas" w:ascii="Consolas" w:hAnsi="Consolas"/>
                <w:color w:val="101820"/>
                <w:kern w:val="0"/>
                <w:sz w:val="16"/>
                <w:szCs w:val="24"/>
                <w:lang w:val="en-US" w:eastAsia="ja-JP" w:bidi="ar-SA"/>
              </w:rPr>
              <w:t>x-powered-by</w:t>
            </w:r>
            <w:r>
              <w:rPr>
                <w:rFonts w:eastAsia="Segoe UI" w:cs="Segoe UI" w:ascii="Segoe UI" w:hAnsi="Segoe UI"/>
                <w:color w:val="101820"/>
                <w:kern w:val="0"/>
                <w:sz w:val="18"/>
                <w:szCs w:val="24"/>
                <w:lang w:val="en-US" w:eastAsia="ja-JP" w:bidi="ar-SA"/>
              </w:rPr>
              <w:t xml:space="preserve"> off; sample data off in production</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A06 Vulnerable components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Lock files with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at review (see vulnerability management)</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A07 Identification and authentication failures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 lockout, rate limits, TOTP, refresh-token rotation with reuse detection, idle sign-out</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A08 Software and data integrity failures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Webhook signatures verified on the raw body; uploads checked by file signature; lock files; reviewed pull requests (recommended)</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A09 Security logging and monitoring failures</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log, sign-in history, request ids, redacted JSON logs; alarms recommended in the monitoring chapter</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A10 Server-side request forgery</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API calls only configured provider addresses (SMTP, payment gateways, integration connector endpoints set by an administrator with </w:t>
            </w:r>
            <w:r>
              <w:rPr>
                <w:rFonts w:eastAsia="Consolas" w:cs="Consolas" w:ascii="Consolas" w:hAnsi="Consolas"/>
                <w:color w:val="101820"/>
                <w:kern w:val="0"/>
                <w:sz w:val="16"/>
                <w:szCs w:val="24"/>
                <w:lang w:val="en-US" w:eastAsia="ja-JP" w:bidi="ar-SA"/>
              </w:rPr>
              <w:t>write:integrations</w:t>
            </w:r>
            <w:r>
              <w:rPr>
                <w:rFonts w:eastAsia="Segoe UI" w:cs="Segoe UI" w:ascii="Segoe UI" w:hAnsi="Segoe UI"/>
                <w:color w:val="101820"/>
                <w:kern w:val="0"/>
                <w:sz w:val="18"/>
                <w:szCs w:val="24"/>
                <w:lang w:val="en-US" w:eastAsia="ja-JP" w:bidi="ar-SA"/>
              </w:rPr>
              <w:t>); no address taken from a request is fetched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Further controls: uploads limited by type (</w:t>
      </w:r>
      <w:r>
        <w:rPr>
          <w:rFonts w:eastAsia="Consolas" w:cs="Consolas" w:ascii="Consolas" w:hAnsi="Consolas"/>
          <w:color w:val="101820"/>
          <w:sz w:val="19"/>
        </w:rPr>
        <w:t>uploads.allowed_types</w:t>
      </w:r>
      <w:r>
        <w:rPr>
          <w:rFonts w:eastAsia="Segoe UI" w:cs="Segoe UI" w:ascii="Segoe UI" w:hAnsi="Segoe UI"/>
          <w:color w:val="101820"/>
          <w:sz w:val="21"/>
        </w:rPr>
        <w:t xml:space="preserve">, checked by file signature), size (10 MB, 10 files) and decompressed size (50 MB); stored files served with </w:t>
      </w:r>
      <w:r>
        <w:rPr>
          <w:rFonts w:eastAsia="Consolas" w:cs="Consolas" w:ascii="Consolas" w:hAnsi="Consolas"/>
          <w:color w:val="101820"/>
          <w:sz w:val="19"/>
        </w:rPr>
        <w:t>nosniff</w:t>
      </w:r>
      <w:r>
        <w:rPr>
          <w:rFonts w:eastAsia="Segoe UI" w:cs="Segoe UI" w:ascii="Segoe UI" w:hAnsi="Segoe UI"/>
          <w:color w:val="101820"/>
          <w:sz w:val="21"/>
        </w:rPr>
        <w:t xml:space="preserve"> and a sandbox content security policy, and anything other than images and PDF as a download; 5xx responses return a generic message with the request id.</w:t>
      </w:r>
    </w:p>
    <w:p>
      <w:pPr>
        <w:pStyle w:val="Heading2"/>
        <w:rPr/>
      </w:pPr>
      <w:bookmarkStart w:id="44" w:name="__RefHeading___Toc9093_3016453686"/>
      <w:bookmarkEnd w:id="44"/>
      <w:r>
        <w:rPr>
          <w:rFonts w:eastAsia="Segoe UI" w:cs="Segoe UI"/>
          <w:b/>
          <w:color w:val="0F4761"/>
          <w:sz w:val="26"/>
        </w:rPr>
        <w:t>9.4  Encryption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2"/>
        <w:gridCol w:w="2790"/>
        <w:gridCol w:w="3113"/>
      </w:tblGrid>
      <w:tr>
        <w:trPr>
          <w:tblHeader w:val="true"/>
        </w:trPr>
        <w:tc>
          <w:tcPr>
            <w:tcW w:w="31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27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 transit</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At rest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Browser to edge</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(CDN, load balancer or reverse proxy)</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Edge to API</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or private network</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to database</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w:t>
            </w:r>
            <w:r>
              <w:rPr>
                <w:rFonts w:eastAsia="Consolas" w:cs="Consolas" w:ascii="Consolas" w:hAnsi="Consolas"/>
                <w:color w:val="101820"/>
                <w:kern w:val="0"/>
                <w:sz w:val="16"/>
                <w:szCs w:val="24"/>
                <w:lang w:val="en-US" w:eastAsia="ja-JP" w:bidi="ar-SA"/>
              </w:rPr>
              <w:t>sslmode=require</w:t>
            </w:r>
            <w:r>
              <w:rPr>
                <w:rFonts w:eastAsia="Segoe UI" w:cs="Segoe UI" w:ascii="Segoe UI" w:hAnsi="Segoe UI"/>
                <w:color w:val="101820"/>
                <w:kern w:val="0"/>
                <w:sz w:val="18"/>
                <w:szCs w:val="24"/>
                <w:lang w:val="en-US" w:eastAsia="ja-JP" w:bidi="ar-SA"/>
              </w:rPr>
              <w:t>)</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encryption of the managed database (KMS or provider key), recommended on every option</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to SMTP</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STARTTLS on port 587</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encryption of EFS, Azure Files or the partner's storage (recommended)</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Encrypted snapshots and write-once storage (recommended)</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secrets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AES-256-GCM, key derived from </w:t>
            </w:r>
            <w:r>
              <w:rPr>
                <w:rFonts w:eastAsia="Consolas" w:cs="Consolas" w:ascii="Consolas" w:hAnsi="Consolas"/>
                <w:color w:val="101820"/>
                <w:kern w:val="0"/>
                <w:sz w:val="16"/>
                <w:szCs w:val="24"/>
                <w:lang w:val="en-US" w:eastAsia="ja-JP" w:bidi="ar-SA"/>
              </w:rPr>
              <w:t>DATA_ENCRYPTION_KEY</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TIN, government ID and bank account numbers (package B)</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AES-256-CBC with an HMAC-SHA256 tag, keys derived from </w:t>
            </w: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encrypted by database triggers on every write; blind indexes for exact search</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 credentials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stored: the connector keeps only the names of the environment variables</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reset codes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HMAC-SHA256 keyed from </w:t>
            </w:r>
            <w:r>
              <w:rPr>
                <w:rFonts w:eastAsia="Consolas" w:cs="Consolas" w:ascii="Consolas" w:hAnsi="Consolas"/>
                <w:color w:val="101820"/>
                <w:kern w:val="0"/>
                <w:sz w:val="16"/>
                <w:szCs w:val="24"/>
                <w:lang w:val="en-US" w:eastAsia="ja-JP" w:bidi="ar-SA"/>
              </w:rPr>
              <w:t>DATA_ENCRYPTION_KEY</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Sandbox gateway webhook secret</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Derived from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when no secret is set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Passwords</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 hash</w:t>
            </w:r>
          </w:p>
        </w:tc>
      </w:tr>
    </w:tbl>
    <w:p>
      <w:pPr>
        <w:pStyle w:val="Normal"/>
        <w:spacing w:before="0" w:after="80"/>
        <w:rPr/>
      </w:pPr>
      <w:r>
        <w:rPr/>
      </w:r>
    </w:p>
    <w:p>
      <w:pPr>
        <w:pStyle w:val="Normal"/>
        <w:spacing w:lineRule="auto" w:line="276" w:before="0" w:after="120"/>
        <w:rPr/>
      </w:pPr>
      <w:r>
        <w:rPr>
          <w:rFonts w:eastAsia="Consolas" w:cs="Consolas" w:ascii="Consolas" w:hAnsi="Consolas"/>
          <w:color w:val="101820"/>
          <w:sz w:val="19"/>
        </w:rPr>
        <w:t>DATA_ENCRYPTION_KEY</w:t>
      </w:r>
      <w:r>
        <w:rPr>
          <w:rFonts w:eastAsia="Segoe UI" w:cs="Segoe UI" w:ascii="Segoe UI" w:hAnsi="Segoe UI"/>
          <w:color w:val="101820"/>
          <w:sz w:val="21"/>
        </w:rPr>
        <w:t xml:space="preserve"> is not used to encrypt client records or uploaded documents. Losing it makes two-factor secrets unreadable (administrators reset two-factor and users enrol again); no business data is lost. With package B, TIN, government ID and bank account numbers of clients, prospects, referrers and payees, the identifier keys inside quotation, placement and policy documents and the same values in the audit trail are encrypted with </w:t>
      </w:r>
      <w:r>
        <w:rPr>
          <w:rFonts w:eastAsia="Consolas" w:cs="Consolas" w:ascii="Consolas" w:hAnsi="Consolas"/>
          <w:color w:val="101820"/>
          <w:sz w:val="19"/>
        </w:rPr>
        <w:t>PII_ENCRYPTION_KEY</w:t>
      </w:r>
      <w:r>
        <w:rPr>
          <w:rFonts w:eastAsia="Segoe UI" w:cs="Segoe UI" w:ascii="Segoe UI" w:hAnsi="Segoe UI"/>
          <w:color w:val="101820"/>
          <w:sz w:val="21"/>
        </w:rPr>
        <w:t>; losing that key makes those identifiers unreadable in the database and in every backup. Other client data and uploaded documents rely on storage encryption of the database, file store and backups.</w:t>
      </w:r>
    </w:p>
    <w:p>
      <w:pPr>
        <w:pStyle w:val="Normal"/>
        <w:spacing w:lineRule="auto" w:line="276" w:before="0" w:after="120"/>
        <w:rPr/>
      </w:pPr>
      <w:r>
        <w:rPr>
          <w:rFonts w:eastAsia="Segoe UI" w:cs="Segoe UI" w:ascii="Segoe UI" w:hAnsi="Segoe UI"/>
          <w:b/>
          <w:color w:val="101820"/>
          <w:sz w:val="21"/>
        </w:rPr>
        <w:t>Key rotation (package B).</w:t>
      </w:r>
      <w:r>
        <w:rPr>
          <w:rFonts w:eastAsia="Segoe UI" w:cs="Segoe UI" w:ascii="Segoe UI" w:hAnsi="Segoe UI"/>
          <w:color w:val="101820"/>
          <w:sz w:val="21"/>
        </w:rPr>
        <w:t xml:space="preserve"> Set the new key in </w:t>
      </w:r>
      <w:r>
        <w:rPr>
          <w:rFonts w:eastAsia="Consolas" w:cs="Consolas" w:ascii="Consolas" w:hAnsi="Consolas"/>
          <w:color w:val="101820"/>
          <w:sz w:val="19"/>
        </w:rPr>
        <w:t>PII_ENCRYPTION_KEY</w:t>
      </w:r>
      <w:r>
        <w:rPr>
          <w:rFonts w:eastAsia="Segoe UI" w:cs="Segoe UI" w:ascii="Segoe UI" w:hAnsi="Segoe UI"/>
          <w:color w:val="101820"/>
          <w:sz w:val="21"/>
        </w:rPr>
        <w:t xml:space="preserve"> and the old one in </w:t>
      </w:r>
      <w:r>
        <w:rPr>
          <w:rFonts w:eastAsia="Consolas" w:cs="Consolas" w:ascii="Consolas" w:hAnsi="Consolas"/>
          <w:color w:val="101820"/>
          <w:sz w:val="19"/>
        </w:rPr>
        <w:t>PII_ENCRYPTION_KEY_PREVIOUS</w:t>
      </w:r>
      <w:r>
        <w:rPr>
          <w:rFonts w:eastAsia="Segoe UI" w:cs="Segoe UI" w:ascii="Segoe UI" w:hAnsi="Segoe UI"/>
          <w:color w:val="101820"/>
          <w:sz w:val="21"/>
        </w:rPr>
        <w:t xml:space="preserve">, restart, run </w:t>
      </w:r>
      <w:r>
        <w:rPr>
          <w:rFonts w:eastAsia="Consolas" w:cs="Consolas" w:ascii="Consolas" w:hAnsi="Consolas"/>
          <w:color w:val="101820"/>
          <w:sz w:val="19"/>
        </w:rPr>
        <w:t>npm run pii:rotate</w:t>
      </w:r>
      <w:r>
        <w:rPr>
          <w:rFonts w:eastAsia="Segoe UI" w:cs="Segoe UI" w:ascii="Segoe UI" w:hAnsi="Segoe UI"/>
          <w:color w:val="101820"/>
          <w:sz w:val="21"/>
        </w:rPr>
        <w:t xml:space="preserve"> (dry run) and </w:t>
      </w:r>
      <w:r>
        <w:rPr>
          <w:rFonts w:eastAsia="Consolas" w:cs="Consolas" w:ascii="Consolas" w:hAnsi="Consolas"/>
          <w:color w:val="101820"/>
          <w:sz w:val="19"/>
        </w:rPr>
        <w:t>npm run pii:rotate -- --execute</w:t>
      </w:r>
      <w:r>
        <w:rPr>
          <w:rFonts w:eastAsia="Segoe UI" w:cs="Segoe UI" w:ascii="Segoe UI" w:hAnsi="Segoe UI"/>
          <w:color w:val="101820"/>
          <w:sz w:val="21"/>
        </w:rPr>
        <w:t>, then remove the previous key when nothing is left on it. Keep the old key with the backups taken before the rotation.</w:t>
      </w:r>
    </w:p>
    <w:p>
      <w:pPr>
        <w:pStyle w:val="Normal"/>
        <w:spacing w:lineRule="auto" w:line="276" w:before="0" w:after="120"/>
        <w:rPr/>
      </w:pPr>
      <w:r>
        <w:rPr>
          <w:rFonts w:eastAsia="Segoe UI" w:cs="Segoe UI" w:ascii="Segoe UI" w:hAnsi="Segoe UI"/>
          <w:b/>
          <w:color w:val="101820"/>
          <w:sz w:val="21"/>
        </w:rPr>
        <w:t>Masking by role (package B).</w:t>
      </w:r>
      <w:r>
        <w:rPr>
          <w:rFonts w:eastAsia="Segoe UI" w:cs="Segoe UI" w:ascii="Segoe UI" w:hAnsi="Segoe UI"/>
          <w:color w:val="101820"/>
          <w:sz w:val="21"/>
        </w:rPr>
        <w:t xml:space="preserve"> Users without </w:t>
      </w:r>
      <w:r>
        <w:rPr>
          <w:rFonts w:eastAsia="Consolas" w:cs="Consolas" w:ascii="Consolas" w:hAnsi="Consolas"/>
          <w:color w:val="101820"/>
          <w:sz w:val="19"/>
        </w:rPr>
        <w:t>view:pii</w:t>
      </w:r>
      <w:r>
        <w:rPr>
          <w:rFonts w:eastAsia="Segoe UI" w:cs="Segoe UI" w:ascii="Segoe UI" w:hAnsi="Segoe UI"/>
          <w:color w:val="101820"/>
          <w:sz w:val="21"/>
        </w:rPr>
        <w:t xml:space="preserve"> receive personal identifiers partially masked in every screen, export and report file (</w:t>
      </w:r>
      <w:r>
        <w:rPr>
          <w:rFonts w:eastAsia="Consolas" w:cs="Consolas" w:ascii="Consolas" w:hAnsi="Consolas"/>
          <w:color w:val="101820"/>
          <w:sz w:val="19"/>
        </w:rPr>
        <w:t>privacy.masking_enabled</w:t>
      </w:r>
      <w:r>
        <w:rPr>
          <w:rFonts w:eastAsia="Segoe UI" w:cs="Segoe UI" w:ascii="Segoe UI" w:hAnsi="Segoe UI"/>
          <w:color w:val="101820"/>
          <w:sz w:val="21"/>
        </w:rPr>
        <w:t xml:space="preserve">). With </w:t>
      </w:r>
      <w:r>
        <w:rPr>
          <w:rFonts w:eastAsia="Consolas" w:cs="Consolas" w:ascii="Consolas" w:hAnsi="Consolas"/>
          <w:color w:val="101820"/>
          <w:sz w:val="19"/>
        </w:rPr>
        <w:t>privacy.pii_reveal_mode</w:t>
      </w:r>
      <w:r>
        <w:rPr>
          <w:rFonts w:eastAsia="Segoe UI" w:cs="Segoe UI" w:ascii="Segoe UI" w:hAnsi="Segoe UI"/>
          <w:color w:val="101820"/>
          <w:sz w:val="21"/>
        </w:rPr>
        <w:t xml:space="preserve"> set to </w:t>
      </w:r>
      <w:r>
        <w:rPr>
          <w:rFonts w:eastAsia="Consolas" w:cs="Consolas" w:ascii="Consolas" w:hAnsi="Consolas"/>
          <w:color w:val="101820"/>
          <w:sz w:val="19"/>
        </w:rPr>
        <w:t>on-request</w:t>
      </w:r>
      <w:r>
        <w:rPr>
          <w:rFonts w:eastAsia="Segoe UI" w:cs="Segoe UI" w:ascii="Segoe UI" w:hAnsi="Segoe UI"/>
          <w:color w:val="101820"/>
          <w:sz w:val="21"/>
        </w:rPr>
        <w:t>, even holders see masked values until they switch on "Show full identifiers", and each answer given in full is recorded in the audit trail. Before package B, these values are shown to every user who can open the record.</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Keep </w:t>
      </w:r>
      <w:r>
        <w:rPr>
          <w:rFonts w:eastAsia="Consolas" w:cs="Consolas" w:ascii="Consolas" w:hAnsi="Consolas"/>
          <w:color w:val="101820"/>
          <w:sz w:val="18"/>
        </w:rPr>
        <w:t>DATA_ENCRYPTION_KEY</w:t>
      </w:r>
      <w:r>
        <w:rPr>
          <w:rFonts w:eastAsia="Segoe UI" w:cs="Segoe UI" w:ascii="Segoe UI" w:hAnsi="Segoe UI"/>
          <w:color w:val="101820"/>
          <w:sz w:val="20"/>
        </w:rPr>
        <w:t xml:space="preserve">, </w:t>
      </w:r>
      <w:r>
        <w:rPr>
          <w:rFonts w:eastAsia="Consolas" w:cs="Consolas" w:ascii="Consolas" w:hAnsi="Consolas"/>
          <w:color w:val="101820"/>
          <w:sz w:val="18"/>
        </w:rPr>
        <w:t>PII_ENCRYPTION_KEY</w:t>
      </w:r>
      <w:r>
        <w:rPr>
          <w:rFonts w:eastAsia="Segoe UI" w:cs="Segoe UI" w:ascii="Segoe UI" w:hAnsi="Segoe UI"/>
          <w:color w:val="101820"/>
          <w:sz w:val="20"/>
        </w:rPr>
        <w:t xml:space="preserve"> and </w:t>
      </w:r>
      <w:r>
        <w:rPr>
          <w:rFonts w:eastAsia="Consolas" w:cs="Consolas" w:ascii="Consolas" w:hAnsi="Consolas"/>
          <w:color w:val="101820"/>
          <w:sz w:val="18"/>
        </w:rPr>
        <w:t>JWT_SECRET</w:t>
      </w:r>
      <w:r>
        <w:rPr>
          <w:rFonts w:eastAsia="Segoe UI" w:cs="Segoe UI" w:ascii="Segoe UI" w:hAnsi="Segoe UI"/>
          <w:color w:val="101820"/>
          <w:sz w:val="20"/>
        </w:rPr>
        <w:t xml:space="preserve"> in the secret store with versioning and an escrow copy under dual control. Turn on storage encryption for the database, file store and backups in every option; on premises use encrypted volumes (LUKS or the storage array's encryption).</w:t>
      </w:r>
    </w:p>
    <w:p>
      <w:pPr>
        <w:pStyle w:val="Heading2"/>
        <w:rPr/>
      </w:pPr>
      <w:bookmarkStart w:id="45" w:name="__RefHeading___Toc9095_3016453686"/>
      <w:bookmarkEnd w:id="45"/>
      <w:r>
        <w:rPr>
          <w:rFonts w:eastAsia="Segoe UI" w:cs="Segoe UI"/>
          <w:b/>
          <w:color w:val="0F4761"/>
          <w:sz w:val="26"/>
        </w:rPr>
        <w:t>9.5  Audit trail and logging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entity, record id, action, before and after JSON, IP, time and source (screen, API or job), written by every mutating handler; kept by default; shown as business events with old and new values per field</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and status history</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period status, bank reconciliation history, remittance approvals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attempts, two-factor results, token reuse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gateway notification with signature result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integration_attempts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integration_inbox</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call to a third party and every message received, with result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log</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JSON on standard output with request id; secrets redacted</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Master &gt; System Configuration &gt; Audit Trail filters by record type, record, user, action and date and exports to Excel or CSV; the History panel of a record shows its own events. </w:t>
      </w:r>
      <w:r>
        <w:rPr>
          <w:rFonts w:eastAsia="Segoe UI" w:cs="Segoe UI" w:ascii="Segoe UI" w:hAnsi="Segoe UI"/>
          <w:b/>
          <w:color w:val="101820"/>
          <w:sz w:val="21"/>
        </w:rPr>
        <w:t>Recommended</w:t>
      </w:r>
      <w:r>
        <w:rPr>
          <w:rFonts w:eastAsia="Segoe UI" w:cs="Segoe UI" w:ascii="Segoe UI" w:hAnsi="Segoe UI"/>
          <w:color w:val="101820"/>
          <w:sz w:val="21"/>
        </w:rPr>
        <w:t xml:space="preserve"> reviews (document 11): monthly access reviews of administrators and new or dormant users; weekly review of changes to settings, posting rules, number series, tax codes and the Company master; monthly review of maker-checker exceptions; weekly review of security events. Ship application logs to central storage kept at least one year.</w:t>
      </w:r>
    </w:p>
    <w:p>
      <w:pPr>
        <w:pStyle w:val="Heading2"/>
        <w:rPr/>
      </w:pPr>
      <w:bookmarkStart w:id="46" w:name="__RefHeading___Toc9097_3016453686"/>
      <w:bookmarkEnd w:id="46"/>
      <w:r>
        <w:rPr>
          <w:rFonts w:eastAsia="Segoe UI" w:cs="Segoe UI"/>
          <w:b/>
          <w:color w:val="0F4761"/>
          <w:sz w:val="26"/>
        </w:rPr>
        <w:t>9.6  Vulnerability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dependencies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audit</w:t>
            </w:r>
            <w:r>
              <w:rPr>
                <w:rFonts w:eastAsia="Segoe UI" w:cs="Segoe UI" w:ascii="Segoe UI" w:hAnsi="Segoe UI"/>
                <w:color w:val="101820"/>
                <w:kern w:val="0"/>
                <w:sz w:val="18"/>
                <w:szCs w:val="24"/>
                <w:lang w:val="en-US" w:eastAsia="ja-JP" w:bidi="ar-SA"/>
              </w:rPr>
              <w:t xml:space="preserve"> reported no advisories on 29 September 2026 (document 04); CI runs </w:t>
            </w:r>
            <w:r>
              <w:rPr>
                <w:rFonts w:eastAsia="Consolas" w:cs="Consolas" w:ascii="Consolas" w:hAnsi="Consolas"/>
                <w:color w:val="101820"/>
                <w:kern w:val="0"/>
                <w:sz w:val="16"/>
                <w:szCs w:val="24"/>
                <w:lang w:val="en-US" w:eastAsia="ja-JP" w:bidi="ar-SA"/>
              </w:rPr>
              <w:t>npm audit --omit=dev --audit-level=high</w:t>
            </w:r>
            <w:r>
              <w:rPr>
                <w:rFonts w:eastAsia="Segoe UI" w:cs="Segoe UI" w:ascii="Segoe UI" w:hAnsi="Segoe UI"/>
                <w:color w:val="101820"/>
                <w:kern w:val="0"/>
                <w:sz w:val="18"/>
                <w:szCs w:val="24"/>
                <w:lang w:val="en-US" w:eastAsia="ja-JP" w:bidi="ar-SA"/>
              </w:rPr>
              <w:t xml:space="preserve"> on every pull request and fails on a high or critical advisory in a production dependency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dependencies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71 advisories at the review, almost all build-time dependencies of react-scripts 5.0.1; Create React App is no longer maintained. Move to Vite is the planned remedy.</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Unused packages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js-cookie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react-pro-sidebar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web-vitals</w:t>
            </w:r>
            <w:r>
              <w:rPr>
                <w:rFonts w:eastAsia="Segoe UI" w:cs="Segoe UI" w:ascii="Segoe UI" w:hAnsi="Segoe UI"/>
                <w:color w:val="101820"/>
                <w:kern w:val="0"/>
                <w:sz w:val="18"/>
                <w:szCs w:val="24"/>
                <w:lang w:val="en-US" w:eastAsia="ja-JP" w:bidi="ar-SA"/>
              </w:rPr>
              <w:t xml:space="preserve"> to be removed</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Base images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node:22-alpine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nginx:1.27-alpine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postgres:16-alpine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Add an image scan (for example Trivy or the registry's scanner) to the CI audit job; enable GitHub Dependabot alerts and secret scanning; patch critical findings within 14 days and high within 30 days; patch the operating system, PostgreSQL and nginx monthly.</w:t>
      </w:r>
    </w:p>
    <w:p>
      <w:pPr>
        <w:pStyle w:val="Heading2"/>
        <w:rPr/>
      </w:pPr>
      <w:bookmarkStart w:id="47" w:name="__RefHeading___Toc9099_3016453686"/>
      <w:bookmarkEnd w:id="47"/>
      <w:r>
        <w:rPr>
          <w:rFonts w:eastAsia="Segoe UI" w:cs="Segoe UI"/>
          <w:b/>
          <w:color w:val="0F4761"/>
          <w:sz w:val="26"/>
        </w:rPr>
        <w:t>9.7  Penetration testing approach</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No penetration test report is part of the repository. Commission an independent test before go-live and yearly, and after major changes.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23"/>
        <w:gridCol w:w="7590"/>
      </w:tblGrid>
      <w:tr>
        <w:trPr>
          <w:tblHeader w:val="true"/>
        </w:trPr>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75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Scope</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and API on UAT with production configuration, public paths (approval, payment checkout, webhooks), the hosting perimeter</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OWASP Web Security Testing Guide and OWASP API Security Top 10; authenticated tests with one user per role</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Focus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control between roles and scoped users, maker-checker bypass, file link signatures, upload handling, token handling, rate limits, webhook forgery</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Rules</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Written authorisation by the broker and the hosting provider; test data only; no production personal data</w:t>
            </w:r>
          </w:p>
        </w:tc>
      </w:tr>
      <w:tr>
        <w:trPr/>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w:t>
            </w:r>
          </w:p>
        </w:tc>
        <w:tc>
          <w:tcPr>
            <w:tcW w:w="75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Findings rated, fixed and retested; summary kept as evidence for the NPC and auditors</w:t>
            </w:r>
          </w:p>
        </w:tc>
      </w:tr>
    </w:tbl>
    <w:p>
      <w:pPr>
        <w:pStyle w:val="Normal"/>
        <w:spacing w:before="0" w:after="80"/>
        <w:rPr/>
      </w:pPr>
      <w:r>
        <w:rPr/>
      </w:r>
    </w:p>
    <w:p>
      <w:pPr>
        <w:pStyle w:val="Heading2"/>
        <w:rPr/>
      </w:pPr>
      <w:bookmarkStart w:id="48" w:name="__RefHeading___Toc9101_3016453686"/>
      <w:bookmarkEnd w:id="48"/>
      <w:r>
        <w:rPr>
          <w:rFonts w:eastAsia="Segoe UI" w:cs="Segoe UI"/>
          <w:b/>
          <w:color w:val="0F4761"/>
          <w:sz w:val="26"/>
        </w:rPr>
        <w:t>9.8  Secure development lifecycle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Practice</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Current state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review</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Pull requests run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xml:space="preserve"> (lint, the backend suite of 104 test files against PostgreSQL 16, front-end lint, tests and build, dependency audit); branch protection requires one approving review and the four checks; the Technical Reference gives the reviewer's checklist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integration tests with vitest and supertest on a real database; front-end tests with Jest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 rules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no-console</w:t>
            </w:r>
            <w:r>
              <w:rPr>
                <w:rFonts w:eastAsia="Segoe UI" w:cs="Segoe UI" w:ascii="Segoe UI" w:hAnsi="Segoe UI"/>
                <w:color w:val="101820"/>
                <w:kern w:val="0"/>
                <w:sz w:val="18"/>
                <w:szCs w:val="24"/>
                <w:lang w:val="en-US" w:eastAsia="ja-JP" w:bidi="ar-SA"/>
              </w:rPr>
              <w:t xml:space="preserve"> outside scripts, </w:t>
            </w:r>
            <w:r>
              <w:rPr>
                <w:rFonts w:eastAsia="Consolas" w:cs="Consolas" w:ascii="Consolas" w:hAnsi="Consolas"/>
                <w:color w:val="101820"/>
                <w:kern w:val="0"/>
                <w:sz w:val="16"/>
                <w:szCs w:val="24"/>
                <w:lang w:val="en-US" w:eastAsia="ja-JP" w:bidi="ar-SA"/>
              </w:rPr>
              <w:t>no-unused-vars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eqeqeq</w:t>
            </w:r>
            <w:r>
              <w:rPr>
                <w:rFonts w:eastAsia="Segoe UI" w:cs="Segoe UI" w:ascii="Segoe UI" w:hAnsi="Segoe UI"/>
                <w:color w:val="101820"/>
                <w:kern w:val="0"/>
                <w:sz w:val="18"/>
                <w:szCs w:val="24"/>
                <w:lang w:val="en-US" w:eastAsia="ja-JP" w:bidi="ar-SA"/>
              </w:rPr>
              <w:t xml:space="preserve"> as errors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Secure defaults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checks; sample data off in production; routes authenticated unless declared public</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inventory</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export:api</w:t>
            </w:r>
            <w:r>
              <w:rPr>
                <w:rFonts w:eastAsia="Segoe UI" w:cs="Segoe UI" w:ascii="Segoe UI" w:hAnsi="Segoe UI"/>
                <w:color w:val="101820"/>
                <w:kern w:val="0"/>
                <w:sz w:val="18"/>
                <w:szCs w:val="24"/>
                <w:lang w:val="en-US" w:eastAsia="ja-JP" w:bidi="ar-SA"/>
              </w:rPr>
              <w:t xml:space="preserve"> writes OpenAPI, Postman and Excel lists of every route and its permission</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Never in the repository; placeholders in </w:t>
            </w:r>
            <w:r>
              <w:rPr>
                <w:rFonts w:eastAsia="Consolas" w:cs="Consolas" w:ascii="Consolas" w:hAnsi="Consolas"/>
                <w:color w:val="101820"/>
                <w:kern w:val="0"/>
                <w:sz w:val="16"/>
                <w:szCs w:val="24"/>
                <w:lang w:val="en-US" w:eastAsia="ja-JP" w:bidi="ar-SA"/>
              </w:rPr>
              <w:t>deploy/*.env.example</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classification</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table classified for the transaction reset and every personal column in the personal data catalogue; tests fail otherwise</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Image scanning; a short threat review for changes to authentication, payments, integrations and personal data.</w:t>
      </w:r>
      <w:r>
        <w:br w:type="page"/>
      </w:r>
    </w:p>
    <w:p>
      <w:pPr>
        <w:pStyle w:val="Heading1"/>
        <w:rPr/>
      </w:pPr>
      <w:bookmarkStart w:id="49" w:name="__RefHeading___Toc9103_3016453686"/>
      <w:bookmarkEnd w:id="49"/>
      <w:r>
        <w:rPr>
          <w:rFonts w:eastAsia="Segoe UI" w:cs="Segoe UI" w:ascii="Segoe UI" w:hAnsi="Segoe UI"/>
          <w:b/>
          <w:color w:val="0F4761"/>
          <w:sz w:val="32"/>
        </w:rPr>
        <w:t>10.  Data privacy</w:t>
      </w:r>
    </w:p>
    <w:p>
      <w:pPr>
        <w:pStyle w:val="Heading2"/>
        <w:rPr/>
      </w:pPr>
      <w:bookmarkStart w:id="50" w:name="__RefHeading___Toc9105_3016453686"/>
      <w:bookmarkEnd w:id="50"/>
      <w:r>
        <w:rPr>
          <w:rFonts w:eastAsia="Segoe UI" w:cs="Segoe UI"/>
          <w:b/>
          <w:color w:val="0F4761"/>
          <w:sz w:val="26"/>
        </w:rPr>
        <w:t>10.1  Legal framework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Instrument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Relevance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Privacy Act of 2012 (Republic Act 10173)</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Principles of transparency, legitimate purpose and proportionality; lawful criteria for processing; rights of data subjects; security of personal data; accountability for transfers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Implementing Rules and Regulations of the DPA (2016)</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Detailed duties of controllers and processors, organisational, physical and technical security measures, outsourcing and subcontracting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Circular 16-03, Personal Data Breach Management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response team, notification to the NPC and to affected data subjects within 72 hours of knowledge, breach records and annual report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Circular 2022-04</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Registration of personal data processing systems and of the DPO with the NPC</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Other NPC circulars and advisories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of personal data, consent, privacy impact assessment and administrative fines; the DPO confirms the current issuances</w:t>
            </w:r>
          </w:p>
        </w:tc>
      </w:tr>
    </w:tbl>
    <w:p>
      <w:pPr>
        <w:pStyle w:val="Normal"/>
        <w:spacing w:before="0" w:after="80"/>
        <w:rPr/>
      </w:pPr>
      <w:r>
        <w:rPr/>
      </w:r>
    </w:p>
    <w:p>
      <w:pPr>
        <w:pStyle w:val="Heading2"/>
        <w:rPr/>
      </w:pPr>
      <w:bookmarkStart w:id="51" w:name="__RefHeading___Toc9107_3016453686"/>
      <w:bookmarkEnd w:id="51"/>
      <w:r>
        <w:rPr>
          <w:rFonts w:eastAsia="Segoe UI" w:cs="Segoe UI"/>
          <w:b/>
          <w:color w:val="0F4761"/>
          <w:sz w:val="26"/>
        </w:rPr>
        <w:t>10.2  Roles under the DPA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3229"/>
        <w:gridCol w:w="3229"/>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Party</w:t>
            </w:r>
          </w:p>
        </w:tc>
        <w:tc>
          <w:tcPr>
            <w:tcW w:w="3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duties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controller</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Decides the purposes and means; appoints the DPO; registers with the NPC where required; answers data subjects; notifies breaches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 processor (when it hosts, supports or accesses production data)</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Processes only on the broker's documented instructions; confidentiality; security; assists with rights requests and breaches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 or hosting partner</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Sub-processor</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Infrastructure security under its contract</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reinsurers, payment gateways</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Separate controllers or processors for their own processing</w:t>
            </w:r>
          </w:p>
        </w:tc>
        <w:tc>
          <w:tcPr>
            <w:tcW w:w="3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by the broker's agreements with them</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Sign a Data Processing Agreement between the broker and iorta TechNXT covering the subject matter and duration, the instructions, confidentiality, security measures (this document), sub-processors (the hosting provider), assistance with rights requests and breaches (notice to the broker without undue delay so the 72-hour deadline can be met), return or deletion of data at the end of the contract, and audit rights.</w:t>
      </w:r>
    </w:p>
    <w:p>
      <w:pPr>
        <w:pStyle w:val="Heading2"/>
        <w:rPr/>
      </w:pPr>
      <w:bookmarkStart w:id="52" w:name="__RefHeading___Toc9109_3016453686"/>
      <w:bookmarkEnd w:id="52"/>
      <w:r>
        <w:rPr>
          <w:rFonts w:eastAsia="Segoe UI" w:cs="Segoe UI"/>
          <w:b/>
          <w:color w:val="0F4761"/>
          <w:sz w:val="26"/>
        </w:rPr>
        <w:t>10.3  Personal data held in BrokerVerse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subject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and prospects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company, e-mail, phone, birth date, gender, address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persons and companies)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e-mail, phone, TIN, birth date, gender, address, credit limit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risks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plate, chassis and engine numbers; property locations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policies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Government ID type and number (PhilSys ID, UMID, passport, driver's licence and others in </w:t>
            </w:r>
            <w:r>
              <w:rPr>
                <w:rFonts w:eastAsia="Consolas" w:cs="Consolas" w:ascii="Consolas" w:hAnsi="Consolas"/>
                <w:color w:val="101820"/>
                <w:kern w:val="0"/>
                <w:sz w:val="16"/>
                <w:szCs w:val="24"/>
                <w:lang w:val="en-US" w:eastAsia="ja-JP" w:bidi="ar-SA"/>
              </w:rPr>
              <w:t>policy.kyc_id_types</w:t>
            </w:r>
            <w:r>
              <w:rPr>
                <w:rFonts w:eastAsia="Segoe UI" w:cs="Segoe UI" w:ascii="Segoe UI" w:hAnsi="Segoe UI"/>
                <w:color w:val="101820"/>
                <w:kern w:val="0"/>
                <w:sz w:val="18"/>
                <w:szCs w:val="24"/>
                <w:lang w:val="en-US" w:eastAsia="ja-JP" w:bidi="ar-SA"/>
              </w:rPr>
              <w:t>), ID image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uploaded documents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Claimants and payees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details, description, settlement amounts, payee and bank details, claim documents and photos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claim cash, documents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references, amounts, gateway notifications (no card numbers: card entry happens on the gateway's page)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payment_events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bank account, withholding tax data</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master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Staff users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username, e-mail, roles, sign-in history with IP and browser, signature image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e_signatures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Juridical clients' signatories and beneficial owners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Names, IDs, ownership share, board resolutions, due diligence documents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client_signatories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client_beneficial_owners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client_kyc_documents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rating, screening matches, transaction alerts, case notes, CTR and STR files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aml_*</w:t>
            </w:r>
            <w:r>
              <w:rPr>
                <w:rFonts w:eastAsia="Segoe UI" w:cs="Segoe UI" w:ascii="Segoe UI" w:hAnsi="Segoe UI"/>
                <w:color w:val="101820"/>
                <w:kern w:val="0"/>
                <w:sz w:val="18"/>
                <w:szCs w:val="24"/>
                <w:lang w:val="en-US" w:eastAsia="ja-JP" w:bidi="ar-SA"/>
              </w:rPr>
              <w:t xml:space="preserve"> tables (Compliance Officer only)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Campaign recipients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e-mail, consent checked, opt-out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campaign_recipients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Complainants and breach records (package B)</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Complainant name and contact, complaint details; breach description and affected data subjects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complaints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personal_data_breaches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Government-issued identifiers and some claim information (for example injury details in a personal accident claim) are sensitive personal information under the DPA and need the stricter protection the DPA requires. The system holds no structured beneficiary register for policies; named beneficiaries, where captured, sit in policy details or documents.</w:t>
      </w:r>
    </w:p>
    <w:p>
      <w:pPr>
        <w:pStyle w:val="Heading2"/>
        <w:rPr/>
      </w:pPr>
      <w:bookmarkStart w:id="53" w:name="__RefHeading___Toc9111_3016453686"/>
      <w:bookmarkEnd w:id="53"/>
      <w:r>
        <w:rPr>
          <w:rFonts w:eastAsia="Segoe UI" w:cs="Segoe UI"/>
          <w:b/>
          <w:color w:val="0F4761"/>
          <w:sz w:val="26"/>
        </w:rPr>
        <w:t>10.4  Lawful basis and consent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Usual basis under the DPA (to be confirmed by the DPO)</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placement, policy issue, endorsements, claims, renewals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Necessary for a contract with the data subject or steps at their request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tax records, BIR forms, IC examination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with a legal obligation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KYC identification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Legal obligation and the insurers' underwriting requirements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Marketing to leads, win-back campaigns, marketing campaigns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or legitimate interest where the DPO concludes it applies; the campaign module sends only to parties with a marketing consent and every e-mail carries an opt-out link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 customer due diligence, screening, covered and suspicious transaction 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with a legal obligation (AMLA and its rules)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Consent is recorded per client or prospect and per purpose (processing, that is the privacy notice acknowledged; marketing; sharing with insurers and reinsurers) on the Data privacy tab of the client and on the prospect view, with the channel, the evidence and the notice version in force (</w:t>
      </w:r>
      <w:r>
        <w:rPr>
          <w:rFonts w:eastAsia="Consolas" w:cs="Consolas" w:ascii="Consolas" w:hAnsi="Consolas"/>
          <w:color w:val="101820"/>
          <w:sz w:val="19"/>
        </w:rPr>
        <w:t>privacy.notice_version</w:t>
      </w:r>
      <w:r>
        <w:rPr>
          <w:rFonts w:eastAsia="Segoe UI" w:cs="Segoe UI" w:ascii="Segoe UI" w:hAnsi="Segoe UI"/>
          <w:color w:val="101820"/>
          <w:sz w:val="21"/>
        </w:rPr>
        <w:t>). A withdrawal is stamped on the consent it ends; records are never deleted. Master &gt; Data Privacy &gt; Consent Register lists every consent across clients and prospects.</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broker keeps the wording of its privacy notice in its own forms and proposal documents, raises </w:t>
      </w:r>
      <w:r>
        <w:rPr>
          <w:rFonts w:eastAsia="Consolas" w:cs="Consolas" w:ascii="Consolas" w:hAnsi="Consolas"/>
          <w:color w:val="101820"/>
          <w:sz w:val="18"/>
        </w:rPr>
        <w:t>privacy.notice_version</w:t>
      </w:r>
      <w:r>
        <w:rPr>
          <w:rFonts w:eastAsia="Segoe UI" w:cs="Segoe UI" w:ascii="Segoe UI" w:hAnsi="Segoe UI"/>
          <w:color w:val="101820"/>
          <w:sz w:val="20"/>
        </w:rPr>
        <w:t xml:space="preserve"> when the notice changes, and checks the marketing consent before a campaign.</w:t>
      </w:r>
    </w:p>
    <w:p>
      <w:pPr>
        <w:pStyle w:val="Heading2"/>
        <w:rPr/>
      </w:pPr>
      <w:bookmarkStart w:id="54" w:name="__RefHeading___Toc9113_3016453686"/>
      <w:bookmarkEnd w:id="54"/>
      <w:r>
        <w:rPr>
          <w:rFonts w:eastAsia="Segoe UI" w:cs="Segoe UI"/>
          <w:b/>
          <w:color w:val="0F4761"/>
          <w:sz w:val="26"/>
        </w:rPr>
        <w:t>10.5  Data subject rights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3"/>
        <w:gridCol w:w="5150"/>
      </w:tblGrid>
      <w:tr>
        <w:trPr>
          <w:tblHeader w:val="true"/>
        </w:trPr>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Right (DPA section 16 and following)</w:t>
            </w:r>
          </w:p>
        </w:tc>
        <w:tc>
          <w:tcPr>
            <w:tcW w:w="5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is handled with BrokerVerse</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 be informed</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privacy notice; acknowledgement recorded as the processing consent with the notice version</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personal data (JSON or Excel) from the data subject request; client view with its policies; documents in the document viewers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Rectification</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Edit the client or lead (Operations screens); every change is in the audit log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Object and withdraw consent</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Withdraw the consent on the client or prospect; the request is logged with type Objection or Withdraw consent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Erasure or blocking</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Anonymise from the data subject request (dry run first); refused while policy, claim and accounting records must be kept (</w:t>
            </w:r>
            <w:r>
              <w:rPr>
                <w:rFonts w:eastAsia="Consolas" w:cs="Consolas" w:ascii="Consolas" w:hAnsi="Consolas"/>
                <w:color w:val="101820"/>
                <w:kern w:val="0"/>
                <w:sz w:val="16"/>
                <w:szCs w:val="24"/>
                <w:lang w:val="en-US" w:eastAsia="ja-JP" w:bidi="ar-SA"/>
              </w:rPr>
              <w:t>privacy.retention_years</w:t>
            </w:r>
            <w:r>
              <w:rPr>
                <w:rFonts w:eastAsia="Segoe UI" w:cs="Segoe UI" w:ascii="Segoe UI" w:hAnsi="Segoe UI"/>
                <w:color w:val="101820"/>
                <w:kern w:val="0"/>
                <w:sz w:val="18"/>
                <w:szCs w:val="24"/>
                <w:lang w:val="en-US" w:eastAsia="ja-JP" w:bidi="ar-SA"/>
              </w:rPr>
              <w:t>). Leads can also be deleted (soft delete). Amounts, numbers and dates stay for the books.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portability</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personal data in JSON or Excel</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Damages and complaints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 and complaints procedure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Master &gt; Data Privacy &gt; Data Subject Requests is the register of requests: number from the DSR series, requester, type (Access, Rectification, Erasure or blocking, Objection, Data portability, Withdraw consent), date received and a due date </w:t>
      </w:r>
      <w:r>
        <w:rPr>
          <w:rFonts w:eastAsia="Consolas" w:cs="Consolas" w:ascii="Consolas" w:hAnsi="Consolas"/>
          <w:color w:val="101820"/>
          <w:sz w:val="19"/>
        </w:rPr>
        <w:t>privacy.request_due_days</w:t>
      </w:r>
      <w:r>
        <w:rPr>
          <w:rFonts w:eastAsia="Segoe UI" w:cs="Segoe UI" w:ascii="Segoe UI" w:hAnsi="Segoe UI"/>
          <w:color w:val="101820"/>
          <w:sz w:val="21"/>
        </w:rPr>
        <w:t xml:space="preserve"> (15 calendar days) later, status, assignee, outcome and the exports and anonymisation done for it. The </w:t>
      </w:r>
      <w:r>
        <w:rPr>
          <w:rFonts w:eastAsia="Consolas" w:cs="Consolas" w:ascii="Consolas" w:hAnsi="Consolas"/>
          <w:color w:val="101820"/>
          <w:sz w:val="19"/>
        </w:rPr>
        <w:t>privacy-requests-due</w:t>
      </w:r>
      <w:r>
        <w:rPr>
          <w:rFonts w:eastAsia="Segoe UI" w:cs="Segoe UI" w:ascii="Segoe UI" w:hAnsi="Segoe UI"/>
          <w:color w:val="101820"/>
          <w:sz w:val="21"/>
        </w:rPr>
        <w:t xml:space="preserve"> job (07:00 daily, delivered switched off) notifies the holders of </w:t>
      </w:r>
      <w:r>
        <w:rPr>
          <w:rFonts w:eastAsia="Consolas" w:cs="Consolas" w:ascii="Consolas" w:hAnsi="Consolas"/>
          <w:color w:val="101820"/>
          <w:sz w:val="19"/>
        </w:rPr>
        <w:t>read:privacy</w:t>
      </w:r>
      <w:r>
        <w:rPr>
          <w:rFonts w:eastAsia="Segoe UI" w:cs="Segoe UI" w:ascii="Segoe UI" w:hAnsi="Segoe UI"/>
          <w:color w:val="101820"/>
          <w:sz w:val="21"/>
        </w:rPr>
        <w:t xml:space="preserve"> of open requests past their due date.</w:t>
      </w:r>
    </w:p>
    <w:p>
      <w:pPr>
        <w:pStyle w:val="Normal"/>
        <w:shd w:val="clear" w:color="auto" w:fill="EAF2FB"/>
        <w:spacing w:before="0" w:after="160"/>
        <w:ind w:left="170"/>
        <w:rPr/>
      </w:pPr>
      <w:r>
        <w:rPr>
          <w:rFonts w:eastAsia="Segoe UI" w:cs="Segoe UI" w:ascii="Segoe UI" w:hAnsi="Segoe UI"/>
          <w:b/>
          <w:color w:val="101820"/>
          <w:sz w:val="20"/>
        </w:rPr>
        <w:t>Recommended:</w:t>
      </w:r>
      <w:r>
        <w:rPr>
          <w:rFonts w:eastAsia="Segoe UI" w:cs="Segoe UI" w:ascii="Segoe UI" w:hAnsi="Segoe UI"/>
          <w:color w:val="101820"/>
          <w:sz w:val="20"/>
        </w:rPr>
        <w:t xml:space="preserve"> the DPO confirms the response period and switches on the </w:t>
      </w:r>
      <w:r>
        <w:rPr>
          <w:rFonts w:eastAsia="Consolas" w:cs="Consolas" w:ascii="Consolas" w:hAnsi="Consolas"/>
          <w:color w:val="101820"/>
          <w:sz w:val="18"/>
        </w:rPr>
        <w:t>privacy-requests-due</w:t>
      </w:r>
      <w:r>
        <w:rPr>
          <w:rFonts w:eastAsia="Segoe UI" w:cs="Segoe UI" w:ascii="Segoe UI" w:hAnsi="Segoe UI"/>
          <w:color w:val="101820"/>
          <w:sz w:val="20"/>
        </w:rPr>
        <w:t xml:space="preserve"> job at go-live (Master &gt; Schedules).</w:t>
      </w:r>
    </w:p>
    <w:p>
      <w:pPr>
        <w:pStyle w:val="Heading2"/>
        <w:rPr/>
      </w:pPr>
      <w:bookmarkStart w:id="55" w:name="__RefHeading___Toc9115_3016453686"/>
      <w:bookmarkEnd w:id="55"/>
      <w:r>
        <w:rPr>
          <w:rFonts w:eastAsia="Segoe UI" w:cs="Segoe UI"/>
          <w:b/>
          <w:color w:val="0F4761"/>
          <w:sz w:val="26"/>
        </w:rPr>
        <w:t>10.6  Retention and disposal</w:t>
      </w:r>
    </w:p>
    <w:p>
      <w:pPr>
        <w:pStyle w:val="Normal"/>
        <w:spacing w:lineRule="auto" w:line="276" w:before="0" w:after="120"/>
        <w:rPr/>
      </w:pPr>
      <w:r>
        <w:rPr>
          <w:rFonts w:eastAsia="Segoe UI" w:cs="Segoe UI" w:ascii="Segoe UI" w:hAnsi="Segoe UI"/>
          <w:color w:val="101820"/>
          <w:sz w:val="21"/>
        </w:rPr>
        <w:t>Retention follows the recommendation of architecture document 10 until the compliance officer confirms it: financial and policy records 10 years, audit trail 10 years, unconverted leads and quotations 3 years then anonymised or deleted, security logs 2 years. Housekeeping already removes temporary data automatically (see the archival chapter). Disposal of media follows the hosting provider's certified destruction; on premises, use secure wipe or physical destruction with a certificate.</w:t>
      </w:r>
    </w:p>
    <w:p>
      <w:pPr>
        <w:pStyle w:val="Heading2"/>
        <w:rPr/>
      </w:pPr>
      <w:bookmarkStart w:id="56" w:name="__RefHeading___Toc9117_3016453686"/>
      <w:bookmarkEnd w:id="56"/>
      <w:r>
        <w:rPr>
          <w:rFonts w:eastAsia="Segoe UI" w:cs="Segoe UI"/>
          <w:b/>
          <w:color w:val="0F4761"/>
          <w:sz w:val="26"/>
        </w:rPr>
        <w:t>10.7  Security of personal data</w:t>
      </w:r>
    </w:p>
    <w:p>
      <w:pPr>
        <w:pStyle w:val="Normal"/>
        <w:spacing w:lineRule="auto" w:line="276" w:before="0" w:after="120"/>
        <w:rPr/>
      </w:pPr>
      <w:r>
        <w:rPr>
          <w:rFonts w:eastAsia="Segoe UI" w:cs="Segoe UI" w:ascii="Segoe UI" w:hAnsi="Segoe UI"/>
          <w:color w:val="101820"/>
          <w:sz w:val="21"/>
        </w:rPr>
        <w:t>The organisational, physical and technical measures required by the DPA and its IRR map to this document as follows.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55"/>
        <w:gridCol w:w="4459"/>
      </w:tblGrid>
      <w:tr>
        <w:trPr>
          <w:tblHeader w:val="true"/>
        </w:trPr>
        <w:tc>
          <w:tcPr>
            <w:tcW w:w="45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Measure</w:t>
            </w:r>
          </w:p>
        </w:tc>
        <w:tc>
          <w:tcPr>
            <w:tcW w:w="4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addressed</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Organisational: DPO, policies, training, contracts with processors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Data Processing Agreement (recommended)</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Physical: data centre controls</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 provider or partner certifications</w:t>
            </w:r>
          </w:p>
        </w:tc>
      </w:tr>
      <w:tr>
        <w:trPr/>
        <w:tc>
          <w:tcPr>
            <w:tcW w:w="45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access control, encryption, audit, monitoring, backup, vulnerability management</w:t>
            </w:r>
          </w:p>
        </w:tc>
        <w:tc>
          <w:tcPr>
            <w:tcW w:w="4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architecture and resilience chapters</w:t>
            </w:r>
          </w:p>
        </w:tc>
      </w:tr>
    </w:tbl>
    <w:p>
      <w:pPr>
        <w:pStyle w:val="Normal"/>
        <w:spacing w:before="0" w:after="80"/>
        <w:rPr/>
      </w:pPr>
      <w:r>
        <w:rPr/>
      </w:r>
    </w:p>
    <w:p>
      <w:pPr>
        <w:pStyle w:val="Heading2"/>
        <w:rPr/>
      </w:pPr>
      <w:bookmarkStart w:id="57" w:name="__RefHeading___Toc9119_3016453686"/>
      <w:bookmarkEnd w:id="57"/>
      <w:r>
        <w:rPr>
          <w:rFonts w:eastAsia="Segoe UI" w:cs="Segoe UI"/>
          <w:b/>
          <w:color w:val="0F4761"/>
          <w:sz w:val="26"/>
        </w:rPr>
        <w:t>10.8  Cross-border transfer</w:t>
      </w:r>
    </w:p>
    <w:p>
      <w:pPr>
        <w:pStyle w:val="Normal"/>
        <w:spacing w:lineRule="auto" w:line="276" w:before="0" w:after="120"/>
        <w:rPr/>
      </w:pPr>
      <w:r>
        <w:rPr>
          <w:rFonts w:eastAsia="Segoe UI" w:cs="Segoe UI" w:ascii="Segoe UI" w:hAnsi="Segoe UI"/>
          <w:color w:val="101820"/>
          <w:sz w:val="21"/>
        </w:rPr>
        <w:t xml:space="preserve">When BrokerVerse is hosted in Singapore (options A and B), personal data is stored and processed outside the Philippines. The DPA allows this; the broker remains responsible and must use contractual or other reasonable means to give comparable protection. </w:t>
      </w:r>
      <w:r>
        <w:rPr>
          <w:rFonts w:eastAsia="Segoe UI" w:cs="Segoe UI" w:ascii="Segoe UI" w:hAnsi="Segoe UI"/>
          <w:b/>
          <w:color w:val="101820"/>
          <w:sz w:val="21"/>
        </w:rPr>
        <w:t>Recommended:</w:t>
      </w:r>
      <w:r>
        <w:rPr>
          <w:rFonts w:eastAsia="Segoe UI" w:cs="Segoe UI" w:ascii="Segoe UI" w:hAnsi="Segoe UI"/>
          <w:color w:val="101820"/>
          <w:sz w:val="21"/>
        </w:rPr>
        <w:t xml:space="preserve"> record the transfer in the broker's privacy notice and processing records, rely on the provider's data processing terms and certifications, keep encryption keys under the broker's account, and document the decision in a privacy impact assessment. Option C keeps the data in the Philippines.</w:t>
      </w:r>
    </w:p>
    <w:p>
      <w:pPr>
        <w:pStyle w:val="Heading2"/>
        <w:rPr/>
      </w:pPr>
      <w:bookmarkStart w:id="58" w:name="__RefHeading___Toc9121_3016453686"/>
      <w:bookmarkEnd w:id="58"/>
      <w:r>
        <w:rPr>
          <w:rFonts w:eastAsia="Segoe UI" w:cs="Segoe UI"/>
          <w:b/>
          <w:color w:val="0F4761"/>
          <w:sz w:val="26"/>
        </w:rPr>
        <w:t>10.9  Breach management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46"/>
        <w:gridCol w:w="7867"/>
      </w:tblGrid>
      <w:tr>
        <w:trPr>
          <w:tblHeader w:val="true"/>
        </w:trPr>
        <w:tc>
          <w:tcPr>
            <w:tcW w:w="1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78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Practice with BrokerVerse</w:t>
            </w:r>
          </w:p>
        </w:tc>
      </w:tr>
      <w:tr>
        <w:trPr/>
        <w:tc>
          <w:tcPr>
            <w:tcW w:w="1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w:t>
            </w:r>
          </w:p>
        </w:tc>
        <w:tc>
          <w:tcPr>
            <w:tcW w:w="7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Alarms on failed sign-ins, token reuse, 5xx spikes; audit and sign-in history; WAF logs</w:t>
            </w:r>
          </w:p>
        </w:tc>
      </w:tr>
      <w:tr>
        <w:trPr/>
        <w:tc>
          <w:tcPr>
            <w:tcW w:w="1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w:t>
            </w:r>
          </w:p>
        </w:tc>
        <w:tc>
          <w:tcPr>
            <w:tcW w:w="7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End user sessions (Master &gt; Generals &gt; User Management), deactivate accounts, rotate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to sign everyone out, block addresses at the WAF</w:t>
            </w:r>
          </w:p>
        </w:tc>
      </w:tr>
      <w:tr>
        <w:trPr/>
        <w:tc>
          <w:tcPr>
            <w:tcW w:w="1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w:t>
            </w:r>
          </w:p>
        </w:tc>
        <w:tc>
          <w:tcPr>
            <w:tcW w:w="7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Use the audit log,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and request ids to find which records were affected; with package B record the assessment against the NPC criteria in Compliance &gt; Data Privacy (NPC) &gt; Breach Register</w:t>
            </w:r>
          </w:p>
        </w:tc>
      </w:tr>
      <w:tr>
        <w:trPr/>
        <w:tc>
          <w:tcPr>
            <w:tcW w:w="1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Notify</w:t>
            </w:r>
          </w:p>
        </w:tc>
        <w:tc>
          <w:tcPr>
            <w:tcW w:w="7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DPO notifies the NPC and affected data subjects within 72 hours of knowledge where NPC Circular 16-03 requires it; with package B the Breach Register tracks the 72-hour deadline (</w:t>
            </w:r>
            <w:r>
              <w:rPr>
                <w:rFonts w:eastAsia="Consolas" w:cs="Consolas" w:ascii="Consolas" w:hAnsi="Consolas"/>
                <w:color w:val="101820"/>
                <w:kern w:val="0"/>
                <w:sz w:val="16"/>
                <w:szCs w:val="24"/>
                <w:lang w:val="en-US" w:eastAsia="ja-JP" w:bidi="ar-SA"/>
              </w:rPr>
              <w:t>privacy.breach_notify_hours</w:t>
            </w:r>
            <w:r>
              <w:rPr>
                <w:rFonts w:eastAsia="Segoe UI" w:cs="Segoe UI" w:ascii="Segoe UI" w:hAnsi="Segoe UI"/>
                <w:color w:val="101820"/>
                <w:kern w:val="0"/>
                <w:sz w:val="18"/>
                <w:szCs w:val="24"/>
                <w:lang w:val="en-US" w:eastAsia="ja-JP" w:bidi="ar-SA"/>
              </w:rPr>
              <w:t xml:space="preserve">) and the </w:t>
            </w:r>
            <w:r>
              <w:rPr>
                <w:rFonts w:eastAsia="Consolas" w:cs="Consolas" w:ascii="Consolas" w:hAnsi="Consolas"/>
                <w:color w:val="101820"/>
                <w:kern w:val="0"/>
                <w:sz w:val="16"/>
                <w:szCs w:val="24"/>
                <w:lang w:val="en-US" w:eastAsia="ja-JP" w:bidi="ar-SA"/>
              </w:rPr>
              <w:t>privacy-breach-deadlines</w:t>
            </w:r>
            <w:r>
              <w:rPr>
                <w:rFonts w:eastAsia="Segoe UI" w:cs="Segoe UI" w:ascii="Segoe UI" w:hAnsi="Segoe UI"/>
                <w:color w:val="101820"/>
                <w:kern w:val="0"/>
                <w:sz w:val="18"/>
                <w:szCs w:val="24"/>
                <w:lang w:val="en-US" w:eastAsia="ja-JP" w:bidi="ar-SA"/>
              </w:rPr>
              <w:t xml:space="preserve"> job reminds the team; iorta TechNXT informs the broker without undue delay</w:t>
            </w:r>
          </w:p>
        </w:tc>
      </w:tr>
      <w:tr>
        <w:trPr/>
        <w:tc>
          <w:tcPr>
            <w:tcW w:w="1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w:t>
            </w:r>
          </w:p>
        </w:tc>
        <w:tc>
          <w:tcPr>
            <w:tcW w:w="78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Incident and breach records kept for the annual report to the NPC (package B: annual security incident report from the Breach Register)</w:t>
            </w:r>
          </w:p>
        </w:tc>
      </w:tr>
    </w:tbl>
    <w:p>
      <w:pPr>
        <w:pStyle w:val="Heading1"/>
        <w:rPr/>
      </w:pPr>
      <w:r>
        <w:br w:type="page"/>
      </w:r>
      <w:bookmarkStart w:id="59" w:name="__RefHeading___Toc9123_3016453686"/>
      <w:bookmarkEnd w:id="59"/>
      <w:r>
        <w:rPr>
          <w:rFonts w:eastAsia="Segoe UI" w:cs="Segoe UI" w:ascii="Segoe UI" w:hAnsi="Segoe UI"/>
          <w:b/>
          <w:color w:val="0F4761"/>
          <w:sz w:val="32"/>
        </w:rPr>
        <w:t>11.  Insurance Commission and records</w:t>
      </w:r>
    </w:p>
    <w:p>
      <w:pPr>
        <w:pStyle w:val="Normal"/>
        <w:spacing w:lineRule="auto" w:line="276" w:before="0" w:after="120"/>
        <w:rPr/>
      </w:pPr>
      <w:r>
        <w:rPr>
          <w:rFonts w:eastAsia="Segoe UI" w:cs="Segoe UI" w:ascii="Segoe UI" w:hAnsi="Segoe UI"/>
          <w:color w:val="101820"/>
          <w:sz w:val="21"/>
        </w:rPr>
        <w:t>The Amended Insurance Code (Republic Act 10607) and the circulars of the Insurance Commission require licensed brokers to keep complete and accurate books and records of the business they transact, to keep premiums received for insurers apart from their own funds and remit them on time, and to make their records available for examination by the Commission. The IC also expects regulated entities to manage information technology and cyber risk. BrokerVerse supports these expectations as follows; the compliance officer confirms the applicable circulars.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Expectation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Support in BrokerVerse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 records of policies placed, premiums, commissions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billing, receipt, remittance and commission registers with journals from posting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Premiums held for insurers and remitted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trust bank account in the masters; remittance with multi-level approval; remittance ageing on the insurer's terms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available for examination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in XLSX, CSV and PDF; audit trail; retention as recommended above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with insurers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reconciliation with approval and adjustment journals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 over changes and approvals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authority matrix, SoD, period locks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Licensed persons and payouts (package B)</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register of the firm, officers and referrers with expiry reminders; payouts to a referrer with a lapsed licence are blocked (</w:t>
            </w:r>
            <w:r>
              <w:rPr>
                <w:rFonts w:eastAsia="Consolas" w:cs="Consolas" w:ascii="Consolas" w:hAnsi="Consolas"/>
                <w:color w:val="101820"/>
                <w:kern w:val="0"/>
                <w:sz w:val="16"/>
                <w:szCs w:val="24"/>
                <w:lang w:val="en-US" w:eastAsia="ja-JP" w:bidi="ar-SA"/>
              </w:rPr>
              <w:t>compliance.referrer_licence_check</w:t>
            </w:r>
            <w:r>
              <w:rPr>
                <w:rFonts w:eastAsia="Segoe UI" w:cs="Segoe UI" w:ascii="Segoe UI" w:hAnsi="Segoe UI"/>
                <w:color w:val="101820"/>
                <w:kern w:val="0"/>
                <w:sz w:val="18"/>
                <w:szCs w:val="24"/>
                <w:lang w:val="en-US" w:eastAsia="ja-JP" w:bidi="ar-SA"/>
              </w:rPr>
              <w:t>); fit and proper records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only with authorised insurers (package B)</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certificate of authority checked at placement and policy issue (</w:t>
            </w:r>
            <w:r>
              <w:rPr>
                <w:rFonts w:eastAsia="Consolas" w:cs="Consolas" w:ascii="Consolas" w:hAnsi="Consolas"/>
                <w:color w:val="101820"/>
                <w:kern w:val="0"/>
                <w:sz w:val="16"/>
                <w:szCs w:val="24"/>
                <w:lang w:val="en-US" w:eastAsia="ja-JP" w:bidi="ar-SA"/>
              </w:rPr>
              <w:t>compliance.insurer_authority_check</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annual statement and production report (package B)</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GL accounts mapped to the statement lines; production by line of business and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 handling, RA 11765 (package B)</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 register with acknowledgement and resolution deadlines, escalation and the regulator reference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due diligence and onboarding before the first policy, beneficial owners, risk rating and EDD, screening, covered and suspicious transaction monitoring, cases and AMLC report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resilience and security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recovery objectives, monitoring and security controls in this document</w:t>
            </w:r>
          </w:p>
        </w:tc>
      </w:tr>
    </w:tbl>
    <w:p>
      <w:pPr>
        <w:pStyle w:val="Heading1"/>
        <w:rPr/>
      </w:pPr>
      <w:r>
        <w:br w:type="page"/>
      </w:r>
      <w:bookmarkStart w:id="60" w:name="__RefHeading___Toc9125_3016453686"/>
      <w:bookmarkEnd w:id="60"/>
      <w:r>
        <w:rPr>
          <w:rFonts w:eastAsia="Segoe UI" w:cs="Segoe UI" w:ascii="Segoe UI" w:hAnsi="Segoe UI"/>
          <w:b/>
          <w:color w:val="0F4761"/>
          <w:sz w:val="32"/>
        </w:rPr>
        <w:t>12.  Compliance checklist</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35"/>
        <w:gridCol w:w="3489"/>
        <w:gridCol w:w="3489"/>
      </w:tblGrid>
      <w:tr>
        <w:trPr>
          <w:tblHeader w:val="true"/>
        </w:trPr>
        <w:tc>
          <w:tcPr>
            <w:tcW w:w="2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BrokerVerse meets it</w:t>
            </w:r>
          </w:p>
        </w:tc>
        <w:tc>
          <w:tcPr>
            <w:tcW w:w="3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Customer responsibility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 accounts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created per person; initial password changed at first sign-in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 approve and remove access through a joiner-mover-leaver process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Strong passwords and lockout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of 8 characters with four classes, 5-password history, 90-day age, lockout after 5 failures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the settings before go-live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Two-factor authentication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built in, compulsory per role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Set </w:t>
            </w:r>
            <w:r>
              <w:rPr>
                <w:rFonts w:eastAsia="Consolas" w:cs="Consolas" w:ascii="Consolas" w:hAnsi="Consolas"/>
                <w:color w:val="101820"/>
                <w:kern w:val="0"/>
                <w:sz w:val="16"/>
                <w:szCs w:val="24"/>
                <w:lang w:val="en-US" w:eastAsia="ja-JP" w:bidi="ar-SA"/>
              </w:rPr>
              <w:t>security.require_2fa_roles</w:t>
            </w:r>
            <w:r>
              <w:rPr>
                <w:rFonts w:eastAsia="Segoe UI" w:cs="Segoe UI" w:ascii="Segoe UI" w:hAnsi="Segoe UI"/>
                <w:color w:val="101820"/>
                <w:kern w:val="0"/>
                <w:sz w:val="18"/>
                <w:szCs w:val="24"/>
                <w:lang w:val="en-US" w:eastAsia="ja-JP" w:bidi="ar-SA"/>
              </w:rPr>
              <w:t>; reset two-factor when a phone is lost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Least privilege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Eight roles with read, write and approve permissions; deny by default; personal identifiers masked without </w:t>
            </w:r>
            <w:r>
              <w:rPr>
                <w:rFonts w:eastAsia="Consolas" w:cs="Consolas" w:ascii="Consolas" w:hAnsi="Consolas"/>
                <w:color w:val="101820"/>
                <w:kern w:val="0"/>
                <w:sz w:val="16"/>
                <w:szCs w:val="24"/>
                <w:lang w:val="en-US" w:eastAsia="ja-JP" w:bidi="ar-SA"/>
              </w:rPr>
              <w:t>view:pii</w:t>
            </w:r>
            <w:r>
              <w:rPr>
                <w:rFonts w:eastAsia="Segoe UI" w:cs="Segoe UI" w:ascii="Segoe UI" w:hAnsi="Segoe UI"/>
                <w:color w:val="101820"/>
                <w:kern w:val="0"/>
                <w:sz w:val="18"/>
                <w:szCs w:val="24"/>
                <w:lang w:val="en-US" w:eastAsia="ja-JP" w:bidi="ar-SA"/>
              </w:rPr>
              <w:t xml:space="preserve"> (package B)</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Assign roles by job; keep few System Administrators; decide who holds </w:t>
            </w:r>
            <w:r>
              <w:rPr>
                <w:rFonts w:eastAsia="Consolas" w:cs="Consolas" w:ascii="Consolas" w:hAnsi="Consolas"/>
                <w:color w:val="101820"/>
                <w:kern w:val="0"/>
                <w:sz w:val="16"/>
                <w:szCs w:val="24"/>
                <w:lang w:val="en-US" w:eastAsia="ja-JP" w:bidi="ar-SA"/>
              </w:rPr>
              <w:t>view:pii</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 of duties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SoD rules checked on role assignment; maker-checker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the rule set; act on conflicts in the User Access Matrix</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limits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with approved limits and delegations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Replace default limits with the board-approved signing authority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recertification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 dormant accounts deactivated after 90 days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a review at least twice a year (recommended)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with before and after values, kept by default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sensitive changes; set the retention period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in transit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HTTPS; TLS to the database; STARTTLS to SMTP</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certificates; refuse plain HTTP</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at rest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TOTP secrets encrypted; passwords hashed; TIN, ID and bank account numbers encrypted (package B)</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Turn on storage encryption for database, files and backups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 management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 refuses weak or missing secrets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Store secrets in a vault; escrow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PII_ENCRYPTION_KEY</w:t>
            </w:r>
            <w:r>
              <w:rPr>
                <w:rFonts w:eastAsia="Segoe UI" w:cs="Segoe UI" w:ascii="Segoe UI" w:hAnsi="Segoe UI"/>
                <w:color w:val="101820"/>
                <w:kern w:val="0"/>
                <w:sz w:val="18"/>
                <w:szCs w:val="24"/>
                <w:lang w:val="en-US" w:eastAsia="ja-JP" w:bidi="ar-SA"/>
              </w:rPr>
              <w:t>; rotate the personal data key on schedule</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and restore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Transactional database; health checks after restore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Configure backups; test restores quarterly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availability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Stateless API, single job execution, graceful shutdown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two instances and a database standby</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Health and version endpoints, JSON logs, operational tables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up dashboards, alarms and on-call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Vulnerability management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 files; backend audit clean at review</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Scan in CI; patch OS and middleware; yearly penetration test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management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Pull request CI with required checks; one artefact promoted with approvals per environment; pre-deploy backup; forward-only migrations; automatic rollback</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the release approvers and CAB; UAT sign-off</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Non-production data</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masking tool; environment marker; go-live lock</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Mask every copy of production before people without production access use it</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DPO and registration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 a system function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Appoint the DPO; register with the NPC where required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 notice and consent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per purpose with notice version; Consent Register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 the notice; record consent; act on withdrawals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rights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Subject Requests register with due dates; export; anonymisation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 every request; respond within the agreed period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Retention and disposal</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 of temporary data; financial records kept; anonymisation after the retention period</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 retention periods; run archival</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Cross-border transfer</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choice of Singapore or the Philippines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the transfer; sign the provider's data processing terms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processing agreement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acts on instructions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the agreement with iorta TechNXT and the hosting partner</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notification</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Logs and audit data to assess a breach; Breach Register with the 72-hour tracker (package B)</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response team; notify NPC and data subjects within 72 hours</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AML/CFT</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 module and the Compliance Officer role</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Appoint the compliance officer; approve the risk factors and thresholds; file CTRs and STRs with the AMLC</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 (RA 11765)</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Complaints register (package B)</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 the deadlines and the escalation; report to the IC as required</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and IC records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Registers, reconciliations, reports</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records available for IC examination</w:t>
            </w:r>
          </w:p>
        </w:tc>
      </w:tr>
      <w:tr>
        <w:trPr/>
        <w:tc>
          <w:tcPr>
            <w:tcW w:w="2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card data</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Card details entered on the gateway's page only</w:t>
            </w:r>
          </w:p>
        </w:tc>
        <w:tc>
          <w:tcPr>
            <w:tcW w:w="3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gateways that hold the card industry certification</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61" w:name="__RefHeading___Toc9127_3016453686"/>
      <w:bookmarkStart w:id="62" w:name="_Toc233203395"/>
      <w:bookmarkEnd w:id="61"/>
      <w:r>
        <w:rPr>
          <w:rStyle w:val="BookTitle"/>
          <w:bCs w:val="false"/>
          <w:i w:val="false"/>
          <w:iCs w:val="false"/>
          <w:spacing w:val="0"/>
        </w:rPr>
        <w:t>13.  Document Sign-Off</w:t>
      </w:r>
      <w:bookmarkEnd w:id="6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9">
            <wp:simplePos x="0" y="0"/>
            <wp:positionH relativeFrom="margin">
              <wp:align>center</wp:align>
            </wp:positionH>
            <wp:positionV relativeFrom="margin">
              <wp:align>center</wp:align>
            </wp:positionV>
            <wp:extent cx="7548245" cy="10677525"/>
            <wp:effectExtent l="0" t="0" r="0" b="0"/>
            <wp:wrapNone/>
            <wp:docPr id="14"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descr=""/>
                    <pic:cNvPicPr>
                      <a:picLocks noChangeAspect="1" noChangeArrowheads="1"/>
                    </pic:cNvPicPr>
                  </pic:nvPicPr>
                  <pic:blipFill>
                    <a:blip r:embed="rId10"/>
                    <a:stretch>
                      <a:fillRect/>
                    </a:stretch>
                  </pic:blipFill>
                  <pic:spPr bwMode="auto">
                    <a:xfrm>
                      <a:off x="0" y="0"/>
                      <a:ext cx="7548245" cy="10677525"/>
                    </a:xfrm>
                    <a:prstGeom prst="rect">
                      <a:avLst/>
                    </a:prstGeom>
                  </pic:spPr>
                </pic:pic>
              </a:graphicData>
            </a:graphic>
          </wp:anchor>
        </w:drawing>
      </w:r>
    </w:p>
    <w:sectPr>
      <w:footerReference w:type="default" r:id="rId11"/>
      <w:footerReference w:type="first" r:id="rId12"/>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8">
          <wp:simplePos x="0" y="0"/>
          <wp:positionH relativeFrom="page">
            <wp:align>left</wp:align>
          </wp:positionH>
          <wp:positionV relativeFrom="paragraph">
            <wp:posOffset>-708025</wp:posOffset>
          </wp:positionV>
          <wp:extent cx="8778240" cy="885190"/>
          <wp:effectExtent l="0" t="0" r="0" b="0"/>
          <wp:wrapNone/>
          <wp:docPr id="15"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8">
          <wp:simplePos x="0" y="0"/>
          <wp:positionH relativeFrom="page">
            <wp:align>left</wp:align>
          </wp:positionH>
          <wp:positionV relativeFrom="paragraph">
            <wp:posOffset>-708025</wp:posOffset>
          </wp:positionV>
          <wp:extent cx="8778240" cy="885190"/>
          <wp:effectExtent l="0" t="0" r="0" b="0"/>
          <wp:wrapNone/>
          <wp:docPr id="16"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0.png"/>
</Relationships>
</file>

<file path=word/_rels/footer2.xml.rels><?xml version="1.0" encoding="UTF-8"?>
<Relationships xmlns="http://schemas.openxmlformats.org/package/2006/relationships"><Relationship Id="rId1" Type="http://schemas.openxmlformats.org/officeDocument/2006/relationships/image" Target="media/image10.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2026-10-04T12:02:47Z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