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4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018_55023446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020_55023446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022_550234468">
            <w:r>
              <w:rPr>
                <w:webHidden/>
                <w:rStyle w:val="IndexLink"/>
              </w:rPr>
              <w:t>3. Purpose and how to use this playbook</w:t>
              <w:tab/>
              <w:t>6</w:t>
            </w:r>
          </w:hyperlink>
        </w:p>
        <w:p>
          <w:pPr>
            <w:pStyle w:val="TOC2"/>
            <w:tabs>
              <w:tab w:val="clear" w:pos="900"/>
              <w:tab w:val="clear" w:pos="9350"/>
              <w:tab w:val="right" w:pos="9025" w:leader="dot"/>
            </w:tabs>
            <w:rPr/>
          </w:pPr>
          <w:hyperlink w:anchor="__RefHeading___Toc8024_550234468">
            <w:r>
              <w:rPr>
                <w:webHidden/>
                <w:rStyle w:val="IndexLink"/>
              </w:rPr>
              <w:t>3.1 Purpose</w:t>
              <w:tab/>
              <w:t>6</w:t>
            </w:r>
          </w:hyperlink>
        </w:p>
        <w:p>
          <w:pPr>
            <w:pStyle w:val="TOC2"/>
            <w:tabs>
              <w:tab w:val="clear" w:pos="900"/>
              <w:tab w:val="clear" w:pos="9350"/>
              <w:tab w:val="right" w:pos="9025" w:leader="dot"/>
            </w:tabs>
            <w:rPr/>
          </w:pPr>
          <w:hyperlink w:anchor="__RefHeading___Toc8026_550234468">
            <w:r>
              <w:rPr>
                <w:webHidden/>
                <w:rStyle w:val="IndexLink"/>
              </w:rPr>
              <w:t>3.2 Sources and assumptions</w:t>
              <w:tab/>
              <w:t>6</w:t>
            </w:r>
          </w:hyperlink>
        </w:p>
        <w:p>
          <w:pPr>
            <w:pStyle w:val="TOC1"/>
            <w:tabs>
              <w:tab w:val="clear" w:pos="900"/>
              <w:tab w:val="clear" w:pos="9350"/>
              <w:tab w:val="right" w:pos="9025" w:leader="dot"/>
            </w:tabs>
            <w:rPr/>
          </w:pPr>
          <w:hyperlink w:anchor="__RefHeading___Toc8028_550234468">
            <w:r>
              <w:rPr>
                <w:webHidden/>
                <w:rStyle w:val="IndexLink"/>
              </w:rPr>
              <w:t>4. What OOTB means</w:t>
              <w:tab/>
              <w:t>8</w:t>
            </w:r>
          </w:hyperlink>
        </w:p>
        <w:p>
          <w:pPr>
            <w:pStyle w:val="TOC2"/>
            <w:tabs>
              <w:tab w:val="clear" w:pos="900"/>
              <w:tab w:val="clear" w:pos="9350"/>
              <w:tab w:val="right" w:pos="9025" w:leader="dot"/>
            </w:tabs>
            <w:rPr/>
          </w:pPr>
          <w:hyperlink w:anchor="__RefHeading___Toc8030_550234468">
            <w:r>
              <w:rPr>
                <w:webHidden/>
                <w:rStyle w:val="IndexLink"/>
              </w:rPr>
              <w:t>4.1 Definition</w:t>
              <w:tab/>
              <w:t>8</w:t>
            </w:r>
          </w:hyperlink>
        </w:p>
        <w:p>
          <w:pPr>
            <w:pStyle w:val="TOC2"/>
            <w:tabs>
              <w:tab w:val="clear" w:pos="900"/>
              <w:tab w:val="clear" w:pos="9350"/>
              <w:tab w:val="right" w:pos="9025" w:leader="dot"/>
            </w:tabs>
            <w:rPr/>
          </w:pPr>
          <w:hyperlink w:anchor="__RefHeading___Toc8032_550234468">
            <w:r>
              <w:rPr>
                <w:webHidden/>
                <w:rStyle w:val="IndexLink"/>
              </w:rPr>
              <w:t>4.2 The product at a glance</w:t>
              <w:tab/>
              <w:t>8</w:t>
            </w:r>
          </w:hyperlink>
        </w:p>
        <w:p>
          <w:pPr>
            <w:pStyle w:val="TOC2"/>
            <w:tabs>
              <w:tab w:val="clear" w:pos="900"/>
              <w:tab w:val="clear" w:pos="9350"/>
              <w:tab w:val="right" w:pos="9025" w:leader="dot"/>
            </w:tabs>
            <w:rPr/>
          </w:pPr>
          <w:hyperlink w:anchor="__RefHeading___Toc8034_550234468">
            <w:r>
              <w:rPr>
                <w:webHidden/>
                <w:rStyle w:val="IndexLink"/>
              </w:rPr>
              <w:t>4.3 The product boundary</w:t>
              <w:tab/>
              <w:t>9</w:t>
            </w:r>
          </w:hyperlink>
        </w:p>
        <w:p>
          <w:pPr>
            <w:pStyle w:val="TOC2"/>
            <w:tabs>
              <w:tab w:val="clear" w:pos="900"/>
              <w:tab w:val="clear" w:pos="9350"/>
              <w:tab w:val="right" w:pos="9025" w:leader="dot"/>
            </w:tabs>
            <w:rPr/>
          </w:pPr>
          <w:hyperlink w:anchor="__RefHeading___Toc8036_550234468">
            <w:r>
              <w:rPr>
                <w:webHidden/>
                <w:rStyle w:val="IndexLink"/>
              </w:rPr>
              <w:t>4.4 Standard integrations in OOTB</w:t>
              <w:tab/>
              <w:t>10</w:t>
            </w:r>
          </w:hyperlink>
        </w:p>
        <w:p>
          <w:pPr>
            <w:pStyle w:val="TOC1"/>
            <w:tabs>
              <w:tab w:val="clear" w:pos="900"/>
              <w:tab w:val="clear" w:pos="9350"/>
              <w:tab w:val="right" w:pos="9025" w:leader="dot"/>
            </w:tabs>
            <w:rPr/>
          </w:pPr>
          <w:hyperlink w:anchor="__RefHeading___Toc8038_550234468">
            <w:r>
              <w:rPr>
                <w:webHidden/>
                <w:rStyle w:val="IndexLink"/>
              </w:rPr>
              <w:t>5. Target market and segments</w:t>
              <w:tab/>
              <w:t>11</w:t>
            </w:r>
          </w:hyperlink>
        </w:p>
        <w:p>
          <w:pPr>
            <w:pStyle w:val="TOC2"/>
            <w:tabs>
              <w:tab w:val="clear" w:pos="900"/>
              <w:tab w:val="clear" w:pos="9350"/>
              <w:tab w:val="right" w:pos="9025" w:leader="dot"/>
            </w:tabs>
            <w:rPr/>
          </w:pPr>
          <w:hyperlink w:anchor="__RefHeading___Toc8040_550234468">
            <w:r>
              <w:rPr>
                <w:webHidden/>
                <w:rStyle w:val="IndexLink"/>
              </w:rPr>
              <w:t>5.1 The Philippine broker market</w:t>
              <w:tab/>
              <w:t>11</w:t>
            </w:r>
          </w:hyperlink>
        </w:p>
        <w:p>
          <w:pPr>
            <w:pStyle w:val="TOC2"/>
            <w:tabs>
              <w:tab w:val="clear" w:pos="900"/>
              <w:tab w:val="clear" w:pos="9350"/>
              <w:tab w:val="right" w:pos="9025" w:leader="dot"/>
            </w:tabs>
            <w:rPr/>
          </w:pPr>
          <w:hyperlink w:anchor="__RefHeading___Toc8042_550234468">
            <w:r>
              <w:rPr>
                <w:webHidden/>
                <w:rStyle w:val="IndexLink"/>
              </w:rPr>
              <w:t>5.2 Segments</w:t>
              <w:tab/>
              <w:t>11</w:t>
            </w:r>
          </w:hyperlink>
        </w:p>
        <w:p>
          <w:pPr>
            <w:pStyle w:val="TOC2"/>
            <w:tabs>
              <w:tab w:val="clear" w:pos="900"/>
              <w:tab w:val="clear" w:pos="9350"/>
              <w:tab w:val="right" w:pos="9025" w:leader="dot"/>
            </w:tabs>
            <w:rPr/>
          </w:pPr>
          <w:hyperlink w:anchor="__RefHeading___Toc8044_550234468">
            <w:r>
              <w:rPr>
                <w:webHidden/>
                <w:rStyle w:val="IndexLink"/>
              </w:rPr>
              <w:t>5.3 Buyers and triggers</w:t>
              <w:tab/>
              <w:t>11</w:t>
            </w:r>
          </w:hyperlink>
        </w:p>
        <w:p>
          <w:pPr>
            <w:pStyle w:val="TOC2"/>
            <w:tabs>
              <w:tab w:val="clear" w:pos="900"/>
              <w:tab w:val="clear" w:pos="9350"/>
              <w:tab w:val="right" w:pos="9025" w:leader="dot"/>
            </w:tabs>
            <w:rPr/>
          </w:pPr>
          <w:hyperlink w:anchor="__RefHeading___Toc8046_550234468">
            <w:r>
              <w:rPr>
                <w:webHidden/>
                <w:rStyle w:val="IndexLink"/>
              </w:rPr>
              <w:t>5.4 Qualification</w:t>
              <w:tab/>
              <w:t>12</w:t>
            </w:r>
          </w:hyperlink>
        </w:p>
        <w:p>
          <w:pPr>
            <w:pStyle w:val="TOC2"/>
            <w:tabs>
              <w:tab w:val="clear" w:pos="900"/>
              <w:tab w:val="clear" w:pos="9350"/>
              <w:tab w:val="right" w:pos="9025" w:leader="dot"/>
            </w:tabs>
            <w:rPr/>
          </w:pPr>
          <w:hyperlink w:anchor="__RefHeading___Toc8048_550234468">
            <w:r>
              <w:rPr>
                <w:webHidden/>
                <w:rStyle w:val="IndexLink"/>
              </w:rPr>
              <w:t>5.5 Positioning</w:t>
              <w:tab/>
              <w:t>12</w:t>
            </w:r>
          </w:hyperlink>
        </w:p>
        <w:p>
          <w:pPr>
            <w:pStyle w:val="TOC1"/>
            <w:tabs>
              <w:tab w:val="clear" w:pos="900"/>
              <w:tab w:val="clear" w:pos="9350"/>
              <w:tab w:val="right" w:pos="9025" w:leader="dot"/>
            </w:tabs>
            <w:rPr/>
          </w:pPr>
          <w:hyperlink w:anchor="__RefHeading___Toc8050_550234468">
            <w:r>
              <w:rPr>
                <w:webHidden/>
                <w:rStyle w:val="IndexLink"/>
              </w:rPr>
              <w:t>6. The offer</w:t>
              <w:tab/>
              <w:t>13</w:t>
            </w:r>
          </w:hyperlink>
        </w:p>
        <w:p>
          <w:pPr>
            <w:pStyle w:val="TOC2"/>
            <w:tabs>
              <w:tab w:val="clear" w:pos="900"/>
              <w:tab w:val="clear" w:pos="9350"/>
              <w:tab w:val="right" w:pos="9025" w:leader="dot"/>
            </w:tabs>
            <w:rPr/>
          </w:pPr>
          <w:hyperlink w:anchor="__RefHeading___Toc8052_550234468">
            <w:r>
              <w:rPr>
                <w:webHidden/>
                <w:rStyle w:val="IndexLink"/>
              </w:rPr>
              <w:t>6.1 Modules</w:t>
              <w:tab/>
              <w:t>13</w:t>
            </w:r>
          </w:hyperlink>
        </w:p>
        <w:p>
          <w:pPr>
            <w:pStyle w:val="TOC2"/>
            <w:tabs>
              <w:tab w:val="clear" w:pos="900"/>
              <w:tab w:val="clear" w:pos="9350"/>
              <w:tab w:val="right" w:pos="9025" w:leader="dot"/>
            </w:tabs>
            <w:rPr/>
          </w:pPr>
          <w:hyperlink w:anchor="__RefHeading___Toc8054_550234468">
            <w:r>
              <w:rPr>
                <w:webHidden/>
                <w:rStyle w:val="IndexLink"/>
              </w:rPr>
              <w:t>6.2 Commercial models</w:t>
              <w:tab/>
              <w:t>13</w:t>
            </w:r>
          </w:hyperlink>
        </w:p>
        <w:p>
          <w:pPr>
            <w:pStyle w:val="TOC2"/>
            <w:tabs>
              <w:tab w:val="clear" w:pos="900"/>
              <w:tab w:val="clear" w:pos="9350"/>
              <w:tab w:val="right" w:pos="9025" w:leader="dot"/>
            </w:tabs>
            <w:rPr/>
          </w:pPr>
          <w:hyperlink w:anchor="__RefHeading___Toc8056_550234468">
            <w:r>
              <w:rPr>
                <w:webHidden/>
                <w:rStyle w:val="IndexLink"/>
              </w:rPr>
              <w:t>6.3 Implementation fee</w:t>
              <w:tab/>
              <w:t>14</w:t>
            </w:r>
          </w:hyperlink>
        </w:p>
        <w:p>
          <w:pPr>
            <w:pStyle w:val="TOC2"/>
            <w:tabs>
              <w:tab w:val="clear" w:pos="900"/>
              <w:tab w:val="clear" w:pos="9350"/>
              <w:tab w:val="right" w:pos="9025" w:leader="dot"/>
            </w:tabs>
            <w:rPr/>
          </w:pPr>
          <w:hyperlink w:anchor="__RefHeading___Toc8058_550234468">
            <w:r>
              <w:rPr>
                <w:webHidden/>
                <w:rStyle w:val="IndexLink"/>
              </w:rPr>
              <w:t>6.4 Hosting options</w:t>
              <w:tab/>
              <w:t>14</w:t>
            </w:r>
          </w:hyperlink>
        </w:p>
        <w:p>
          <w:pPr>
            <w:pStyle w:val="TOC2"/>
            <w:tabs>
              <w:tab w:val="clear" w:pos="900"/>
              <w:tab w:val="clear" w:pos="9350"/>
              <w:tab w:val="right" w:pos="9025" w:leader="dot"/>
            </w:tabs>
            <w:rPr/>
          </w:pPr>
          <w:hyperlink w:anchor="__RefHeading___Toc8060_550234468">
            <w:r>
              <w:rPr>
                <w:webHidden/>
                <w:rStyle w:val="IndexLink"/>
              </w:rPr>
              <w:t>6.5 Packages</w:t>
              <w:tab/>
              <w:t>14</w:t>
            </w:r>
          </w:hyperlink>
        </w:p>
        <w:p>
          <w:pPr>
            <w:pStyle w:val="TOC2"/>
            <w:tabs>
              <w:tab w:val="clear" w:pos="900"/>
              <w:tab w:val="clear" w:pos="9350"/>
              <w:tab w:val="right" w:pos="9025" w:leader="dot"/>
            </w:tabs>
            <w:rPr/>
          </w:pPr>
          <w:hyperlink w:anchor="__RefHeading___Toc8062_550234468">
            <w:r>
              <w:rPr>
                <w:webHidden/>
                <w:rStyle w:val="IndexLink"/>
              </w:rPr>
              <w:t>6.6 Optional services</w:t>
              <w:tab/>
              <w:t>14</w:t>
            </w:r>
          </w:hyperlink>
        </w:p>
        <w:p>
          <w:pPr>
            <w:pStyle w:val="TOC1"/>
            <w:tabs>
              <w:tab w:val="clear" w:pos="900"/>
              <w:tab w:val="clear" w:pos="9350"/>
              <w:tab w:val="right" w:pos="9025" w:leader="dot"/>
            </w:tabs>
            <w:rPr/>
          </w:pPr>
          <w:hyperlink w:anchor="__RefHeading___Toc8064_550234468">
            <w:r>
              <w:rPr>
                <w:webHidden/>
                <w:rStyle w:val="IndexLink"/>
              </w:rPr>
              <w:t>7. Sales process</w:t>
              <w:tab/>
              <w:t>16</w:t>
            </w:r>
          </w:hyperlink>
        </w:p>
        <w:p>
          <w:pPr>
            <w:pStyle w:val="TOC2"/>
            <w:tabs>
              <w:tab w:val="clear" w:pos="900"/>
              <w:tab w:val="clear" w:pos="9350"/>
              <w:tab w:val="right" w:pos="9025" w:leader="dot"/>
            </w:tabs>
            <w:rPr/>
          </w:pPr>
          <w:hyperlink w:anchor="__RefHeading___Toc8066_550234468">
            <w:r>
              <w:rPr>
                <w:webHidden/>
                <w:rStyle w:val="IndexLink"/>
              </w:rPr>
              <w:t>7.1 Stages, collateral and exit criteria</w:t>
              <w:tab/>
              <w:t>16</w:t>
            </w:r>
          </w:hyperlink>
        </w:p>
        <w:p>
          <w:pPr>
            <w:pStyle w:val="TOC2"/>
            <w:tabs>
              <w:tab w:val="clear" w:pos="900"/>
              <w:tab w:val="clear" w:pos="9350"/>
              <w:tab w:val="right" w:pos="9025" w:leader="dot"/>
            </w:tabs>
            <w:rPr/>
          </w:pPr>
          <w:hyperlink w:anchor="__RefHeading___Toc8068_550234468">
            <w:r>
              <w:rPr>
                <w:webHidden/>
                <w:rStyle w:val="IndexLink"/>
              </w:rPr>
              <w:t>7.2 Rules for the sales team</w:t>
              <w:tab/>
              <w:t>17</w:t>
            </w:r>
          </w:hyperlink>
        </w:p>
        <w:p>
          <w:pPr>
            <w:pStyle w:val="TOC2"/>
            <w:tabs>
              <w:tab w:val="clear" w:pos="900"/>
              <w:tab w:val="clear" w:pos="9350"/>
              <w:tab w:val="right" w:pos="9025" w:leader="dot"/>
            </w:tabs>
            <w:rPr/>
          </w:pPr>
          <w:hyperlink w:anchor="__RefHeading___Toc8070_550234468">
            <w:r>
              <w:rPr>
                <w:webHidden/>
                <w:rStyle w:val="IndexLink"/>
              </w:rPr>
              <w:t>7.3 Approval gates</w:t>
              <w:tab/>
              <w:t>17</w:t>
            </w:r>
          </w:hyperlink>
        </w:p>
        <w:p>
          <w:pPr>
            <w:pStyle w:val="TOC2"/>
            <w:tabs>
              <w:tab w:val="clear" w:pos="900"/>
              <w:tab w:val="clear" w:pos="9350"/>
              <w:tab w:val="right" w:pos="9025" w:leader="dot"/>
            </w:tabs>
            <w:rPr/>
          </w:pPr>
          <w:hyperlink w:anchor="__RefHeading___Toc8072_550234468">
            <w:r>
              <w:rPr>
                <w:webHidden/>
                <w:rStyle w:val="IndexLink"/>
              </w:rPr>
              <w:t>7.4 Discount limits</w:t>
              <w:tab/>
              <w:t>17</w:t>
            </w:r>
          </w:hyperlink>
        </w:p>
        <w:p>
          <w:pPr>
            <w:pStyle w:val="TOC2"/>
            <w:tabs>
              <w:tab w:val="clear" w:pos="900"/>
              <w:tab w:val="clear" w:pos="9350"/>
              <w:tab w:val="right" w:pos="9025" w:leader="dot"/>
            </w:tabs>
            <w:rPr/>
          </w:pPr>
          <w:hyperlink w:anchor="__RefHeading___Toc8074_550234468">
            <w:r>
              <w:rPr>
                <w:webHidden/>
                <w:rStyle w:val="IndexLink"/>
              </w:rPr>
              <w:t>7.5 Legal review triggers</w:t>
              <w:tab/>
              <w:t>18</w:t>
            </w:r>
          </w:hyperlink>
        </w:p>
        <w:p>
          <w:pPr>
            <w:pStyle w:val="TOC1"/>
            <w:tabs>
              <w:tab w:val="clear" w:pos="900"/>
              <w:tab w:val="clear" w:pos="9350"/>
              <w:tab w:val="right" w:pos="9025" w:leader="dot"/>
            </w:tabs>
            <w:rPr/>
          </w:pPr>
          <w:hyperlink w:anchor="__RefHeading___Toc8076_550234468">
            <w:r>
              <w:rPr>
                <w:webHidden/>
                <w:rStyle w:val="IndexLink"/>
              </w:rPr>
              <w:t>8. Delivery model</w:t>
              <w:tab/>
              <w:t>19</w:t>
            </w:r>
          </w:hyperlink>
        </w:p>
        <w:p>
          <w:pPr>
            <w:pStyle w:val="TOC2"/>
            <w:tabs>
              <w:tab w:val="clear" w:pos="900"/>
              <w:tab w:val="clear" w:pos="9350"/>
              <w:tab w:val="right" w:pos="9025" w:leader="dot"/>
            </w:tabs>
            <w:rPr/>
          </w:pPr>
          <w:hyperlink w:anchor="__RefHeading___Toc8078_550234468">
            <w:r>
              <w:rPr>
                <w:webHidden/>
                <w:rStyle w:val="IndexLink"/>
              </w:rPr>
              <w:t>8.1 Phases</w:t>
              <w:tab/>
              <w:t>19</w:t>
            </w:r>
          </w:hyperlink>
        </w:p>
        <w:p>
          <w:pPr>
            <w:pStyle w:val="TOC2"/>
            <w:tabs>
              <w:tab w:val="clear" w:pos="900"/>
              <w:tab w:val="clear" w:pos="9350"/>
              <w:tab w:val="right" w:pos="9025" w:leader="dot"/>
            </w:tabs>
            <w:rPr/>
          </w:pPr>
          <w:hyperlink w:anchor="__RefHeading___Toc8080_550234468">
            <w:r>
              <w:rPr>
                <w:webHidden/>
                <w:rStyle w:val="IndexLink"/>
              </w:rPr>
              <w:t>8.2 Timelines by size</w:t>
              <w:tab/>
              <w:t>19</w:t>
            </w:r>
          </w:hyperlink>
        </w:p>
        <w:p>
          <w:pPr>
            <w:pStyle w:val="TOC2"/>
            <w:tabs>
              <w:tab w:val="clear" w:pos="900"/>
              <w:tab w:val="clear" w:pos="9350"/>
              <w:tab w:val="right" w:pos="9025" w:leader="dot"/>
            </w:tabs>
            <w:rPr/>
          </w:pPr>
          <w:hyperlink w:anchor="__RefHeading___Toc8082_550234468">
            <w:r>
              <w:rPr>
                <w:webHidden/>
                <w:rStyle w:val="IndexLink"/>
              </w:rPr>
              <w:t>8.3 Team size by implementation</w:t>
              <w:tab/>
              <w:t>19</w:t>
            </w:r>
          </w:hyperlink>
        </w:p>
        <w:p>
          <w:pPr>
            <w:pStyle w:val="TOC2"/>
            <w:tabs>
              <w:tab w:val="clear" w:pos="900"/>
              <w:tab w:val="clear" w:pos="9350"/>
              <w:tab w:val="right" w:pos="9025" w:leader="dot"/>
            </w:tabs>
            <w:rPr/>
          </w:pPr>
          <w:hyperlink w:anchor="__RefHeading___Toc8084_550234468">
            <w:r>
              <w:rPr>
                <w:webHidden/>
                <w:rStyle w:val="IndexLink"/>
              </w:rPr>
              <w:t>8.4 Data migration</w:t>
              <w:tab/>
              <w:t>20</w:t>
            </w:r>
          </w:hyperlink>
        </w:p>
        <w:p>
          <w:pPr>
            <w:pStyle w:val="TOC2"/>
            <w:tabs>
              <w:tab w:val="clear" w:pos="900"/>
              <w:tab w:val="clear" w:pos="9350"/>
              <w:tab w:val="right" w:pos="9025" w:leader="dot"/>
            </w:tabs>
            <w:rPr/>
          </w:pPr>
          <w:hyperlink w:anchor="__RefHeading___Toc8086_550234468">
            <w:r>
              <w:rPr>
                <w:webHidden/>
                <w:rStyle w:val="IndexLink"/>
              </w:rPr>
              <w:t>8.5 Training</w:t>
              <w:tab/>
              <w:t>20</w:t>
            </w:r>
          </w:hyperlink>
        </w:p>
        <w:p>
          <w:pPr>
            <w:pStyle w:val="TOC2"/>
            <w:tabs>
              <w:tab w:val="clear" w:pos="900"/>
              <w:tab w:val="clear" w:pos="9350"/>
              <w:tab w:val="right" w:pos="9025" w:leader="dot"/>
            </w:tabs>
            <w:rPr/>
          </w:pPr>
          <w:hyperlink w:anchor="__RefHeading___Toc8088_550234468">
            <w:r>
              <w:rPr>
                <w:webHidden/>
                <w:rStyle w:val="IndexLink"/>
              </w:rPr>
              <w:t>8.6 Acceptance</w:t>
              <w:tab/>
              <w:t>20</w:t>
            </w:r>
          </w:hyperlink>
        </w:p>
        <w:p>
          <w:pPr>
            <w:pStyle w:val="TOC2"/>
            <w:tabs>
              <w:tab w:val="clear" w:pos="900"/>
              <w:tab w:val="clear" w:pos="9350"/>
              <w:tab w:val="right" w:pos="9025" w:leader="dot"/>
            </w:tabs>
            <w:rPr/>
          </w:pPr>
          <w:hyperlink w:anchor="__RefHeading___Toc8090_550234468">
            <w:r>
              <w:rPr>
                <w:webHidden/>
                <w:rStyle w:val="IndexLink"/>
              </w:rPr>
              <w:t>8.7 Hypercare</w:t>
              <w:tab/>
              <w:t>21</w:t>
            </w:r>
          </w:hyperlink>
        </w:p>
        <w:p>
          <w:pPr>
            <w:pStyle w:val="TOC2"/>
            <w:tabs>
              <w:tab w:val="clear" w:pos="900"/>
              <w:tab w:val="clear" w:pos="9350"/>
              <w:tab w:val="right" w:pos="9025" w:leader="dot"/>
            </w:tabs>
            <w:rPr/>
          </w:pPr>
          <w:hyperlink w:anchor="__RefHeading___Toc8092_550234468">
            <w:r>
              <w:rPr>
                <w:webHidden/>
                <w:rStyle w:val="IndexLink"/>
              </w:rPr>
              <w:t>8.8 Delivery governance</w:t>
              <w:tab/>
              <w:t>21</w:t>
            </w:r>
          </w:hyperlink>
        </w:p>
        <w:p>
          <w:pPr>
            <w:pStyle w:val="TOC1"/>
            <w:tabs>
              <w:tab w:val="clear" w:pos="900"/>
              <w:tab w:val="clear" w:pos="9350"/>
              <w:tab w:val="right" w:pos="9025" w:leader="dot"/>
            </w:tabs>
            <w:rPr/>
          </w:pPr>
          <w:hyperlink w:anchor="__RefHeading___Toc8094_550234468">
            <w:r>
              <w:rPr>
                <w:webHidden/>
                <w:rStyle w:val="IndexLink"/>
              </w:rPr>
              <w:t>9. Support model</w:t>
              <w:tab/>
              <w:t>22</w:t>
            </w:r>
          </w:hyperlink>
        </w:p>
        <w:p>
          <w:pPr>
            <w:pStyle w:val="TOC2"/>
            <w:tabs>
              <w:tab w:val="clear" w:pos="900"/>
              <w:tab w:val="clear" w:pos="9350"/>
              <w:tab w:val="right" w:pos="9025" w:leader="dot"/>
            </w:tabs>
            <w:rPr/>
          </w:pPr>
          <w:hyperlink w:anchor="__RefHeading___Toc8096_550234468">
            <w:r>
              <w:rPr>
                <w:webHidden/>
                <w:rStyle w:val="IndexLink"/>
              </w:rPr>
              <w:t>9.1 Levels</w:t>
              <w:tab/>
              <w:t>22</w:t>
            </w:r>
          </w:hyperlink>
        </w:p>
        <w:p>
          <w:pPr>
            <w:pStyle w:val="TOC2"/>
            <w:tabs>
              <w:tab w:val="clear" w:pos="900"/>
              <w:tab w:val="clear" w:pos="9350"/>
              <w:tab w:val="right" w:pos="9025" w:leader="dot"/>
            </w:tabs>
            <w:rPr/>
          </w:pPr>
          <w:hyperlink w:anchor="__RefHeading___Toc8098_550234468">
            <w:r>
              <w:rPr>
                <w:webHidden/>
                <w:rStyle w:val="IndexLink"/>
              </w:rPr>
              <w:t>9.2 Service levels</w:t>
              <w:tab/>
              <w:t>22</w:t>
            </w:r>
          </w:hyperlink>
        </w:p>
        <w:p>
          <w:pPr>
            <w:pStyle w:val="TOC2"/>
            <w:tabs>
              <w:tab w:val="clear" w:pos="900"/>
              <w:tab w:val="clear" w:pos="9350"/>
              <w:tab w:val="right" w:pos="9025" w:leader="dot"/>
            </w:tabs>
            <w:rPr/>
          </w:pPr>
          <w:hyperlink w:anchor="__RefHeading___Toc8100_550234468">
            <w:r>
              <w:rPr>
                <w:webHidden/>
                <w:rStyle w:val="IndexLink"/>
              </w:rPr>
              <w:t>9.3 Release and patch policy</w:t>
              <w:tab/>
              <w:t>22</w:t>
            </w:r>
          </w:hyperlink>
        </w:p>
        <w:p>
          <w:pPr>
            <w:pStyle w:val="TOC2"/>
            <w:tabs>
              <w:tab w:val="clear" w:pos="900"/>
              <w:tab w:val="clear" w:pos="9350"/>
              <w:tab w:val="right" w:pos="9025" w:leader="dot"/>
            </w:tabs>
            <w:rPr/>
          </w:pPr>
          <w:hyperlink w:anchor="__RefHeading___Toc8102_550234468">
            <w:r>
              <w:rPr>
                <w:webHidden/>
                <w:rStyle w:val="IndexLink"/>
              </w:rPr>
              <w:t>9.4 AMC and the subscription</w:t>
              <w:tab/>
              <w:t>23</w:t>
            </w:r>
          </w:hyperlink>
        </w:p>
        <w:p>
          <w:pPr>
            <w:pStyle w:val="TOC2"/>
            <w:tabs>
              <w:tab w:val="clear" w:pos="900"/>
              <w:tab w:val="clear" w:pos="9350"/>
              <w:tab w:val="right" w:pos="9025" w:leader="dot"/>
            </w:tabs>
            <w:rPr/>
          </w:pPr>
          <w:hyperlink w:anchor="__RefHeading___Toc8104_550234468">
            <w:r>
              <w:rPr>
                <w:webHidden/>
                <w:rStyle w:val="IndexLink"/>
              </w:rPr>
              <w:t>9.5 Service management</w:t>
              <w:tab/>
              <w:t>23</w:t>
            </w:r>
          </w:hyperlink>
        </w:p>
        <w:p>
          <w:pPr>
            <w:pStyle w:val="TOC1"/>
            <w:tabs>
              <w:tab w:val="clear" w:pos="900"/>
              <w:tab w:val="clear" w:pos="9350"/>
              <w:tab w:val="right" w:pos="9025" w:leader="dot"/>
            </w:tabs>
            <w:rPr/>
          </w:pPr>
          <w:hyperlink w:anchor="__RefHeading___Toc8106_550234468">
            <w:r>
              <w:rPr>
                <w:webHidden/>
                <w:rStyle w:val="IndexLink"/>
              </w:rPr>
              <w:t>10. Product lifecycle</w:t>
              <w:tab/>
              <w:t>24</w:t>
            </w:r>
          </w:hyperlink>
        </w:p>
        <w:p>
          <w:pPr>
            <w:pStyle w:val="TOC2"/>
            <w:tabs>
              <w:tab w:val="clear" w:pos="900"/>
              <w:tab w:val="clear" w:pos="9350"/>
              <w:tab w:val="right" w:pos="9025" w:leader="dot"/>
            </w:tabs>
            <w:rPr/>
          </w:pPr>
          <w:hyperlink w:anchor="__RefHeading___Toc8108_550234468">
            <w:r>
              <w:rPr>
                <w:webHidden/>
                <w:rStyle w:val="IndexLink"/>
              </w:rPr>
              <w:t>10.1 Versioning</w:t>
              <w:tab/>
              <w:t>24</w:t>
            </w:r>
          </w:hyperlink>
        </w:p>
        <w:p>
          <w:pPr>
            <w:pStyle w:val="TOC2"/>
            <w:tabs>
              <w:tab w:val="clear" w:pos="900"/>
              <w:tab w:val="clear" w:pos="9350"/>
              <w:tab w:val="right" w:pos="9025" w:leader="dot"/>
            </w:tabs>
            <w:rPr/>
          </w:pPr>
          <w:hyperlink w:anchor="__RefHeading___Toc8110_550234468">
            <w:r>
              <w:rPr>
                <w:webHidden/>
                <w:rStyle w:val="IndexLink"/>
              </w:rPr>
              <w:t>10.2 From change request to product feature</w:t>
              <w:tab/>
              <w:t>24</w:t>
            </w:r>
          </w:hyperlink>
        </w:p>
        <w:p>
          <w:pPr>
            <w:pStyle w:val="TOC2"/>
            <w:tabs>
              <w:tab w:val="clear" w:pos="900"/>
              <w:tab w:val="clear" w:pos="9350"/>
              <w:tab w:val="right" w:pos="9025" w:leader="dot"/>
            </w:tabs>
            <w:rPr/>
          </w:pPr>
          <w:hyperlink w:anchor="__RefHeading___Toc8112_550234468">
            <w:r>
              <w:rPr>
                <w:webHidden/>
                <w:rStyle w:val="IndexLink"/>
              </w:rPr>
              <w:t>10.3 Roadmap themes</w:t>
              <w:tab/>
              <w:t>24</w:t>
            </w:r>
          </w:hyperlink>
        </w:p>
        <w:p>
          <w:pPr>
            <w:pStyle w:val="TOC2"/>
            <w:tabs>
              <w:tab w:val="clear" w:pos="900"/>
              <w:tab w:val="clear" w:pos="9350"/>
              <w:tab w:val="right" w:pos="9025" w:leader="dot"/>
            </w:tabs>
            <w:rPr/>
          </w:pPr>
          <w:hyperlink w:anchor="__RefHeading___Toc8114_550234468">
            <w:r>
              <w:rPr>
                <w:webHidden/>
                <w:rStyle w:val="IndexLink"/>
              </w:rPr>
              <w:t>10.4 Development standards</w:t>
              <w:tab/>
              <w:t>25</w:t>
            </w:r>
          </w:hyperlink>
        </w:p>
        <w:p>
          <w:pPr>
            <w:pStyle w:val="TOC1"/>
            <w:tabs>
              <w:tab w:val="clear" w:pos="900"/>
              <w:tab w:val="clear" w:pos="9350"/>
              <w:tab w:val="right" w:pos="9025" w:leader="dot"/>
            </w:tabs>
            <w:rPr/>
          </w:pPr>
          <w:hyperlink w:anchor="__RefHeading___Toc8116_550234468">
            <w:r>
              <w:rPr>
                <w:webHidden/>
                <w:rStyle w:val="IndexLink"/>
              </w:rPr>
              <w:t>11. Team and roles at iorta TechNXT</w:t>
              <w:tab/>
              <w:t>26</w:t>
            </w:r>
          </w:hyperlink>
        </w:p>
        <w:p>
          <w:pPr>
            <w:pStyle w:val="TOC2"/>
            <w:tabs>
              <w:tab w:val="clear" w:pos="900"/>
              <w:tab w:val="clear" w:pos="9350"/>
              <w:tab w:val="right" w:pos="9025" w:leader="dot"/>
            </w:tabs>
            <w:rPr/>
          </w:pPr>
          <w:hyperlink w:anchor="__RefHeading___Toc8118_550234468">
            <w:r>
              <w:rPr>
                <w:webHidden/>
                <w:rStyle w:val="IndexLink"/>
              </w:rPr>
              <w:t>11.1 Roles by stage</w:t>
              <w:tab/>
              <w:t>26</w:t>
            </w:r>
          </w:hyperlink>
        </w:p>
        <w:p>
          <w:pPr>
            <w:pStyle w:val="TOC2"/>
            <w:tabs>
              <w:tab w:val="clear" w:pos="900"/>
              <w:tab w:val="clear" w:pos="9350"/>
              <w:tab w:val="right" w:pos="9025" w:leader="dot"/>
            </w:tabs>
            <w:rPr/>
          </w:pPr>
          <w:hyperlink w:anchor="__RefHeading___Toc8120_550234468">
            <w:r>
              <w:rPr>
                <w:webHidden/>
                <w:rStyle w:val="IndexLink"/>
              </w:rPr>
              <w:t>11.2 Capacity</w:t>
              <w:tab/>
              <w:t>27</w:t>
            </w:r>
          </w:hyperlink>
        </w:p>
        <w:p>
          <w:pPr>
            <w:pStyle w:val="TOC1"/>
            <w:tabs>
              <w:tab w:val="clear" w:pos="900"/>
              <w:tab w:val="clear" w:pos="9350"/>
              <w:tab w:val="right" w:pos="9025" w:leader="dot"/>
            </w:tabs>
            <w:rPr/>
          </w:pPr>
          <w:hyperlink w:anchor="__RefHeading___Toc8122_550234468">
            <w:r>
              <w:rPr>
                <w:webHidden/>
                <w:rStyle w:val="IndexLink"/>
              </w:rPr>
              <w:t>12. KPIs by function</w:t>
              <w:tab/>
              <w:t>28</w:t>
            </w:r>
          </w:hyperlink>
        </w:p>
        <w:p>
          <w:pPr>
            <w:pStyle w:val="TOC2"/>
            <w:tabs>
              <w:tab w:val="clear" w:pos="900"/>
              <w:tab w:val="clear" w:pos="9350"/>
              <w:tab w:val="right" w:pos="9025" w:leader="dot"/>
            </w:tabs>
            <w:rPr/>
          </w:pPr>
          <w:hyperlink w:anchor="__RefHeading___Toc8124_550234468">
            <w:r>
              <w:rPr>
                <w:webHidden/>
                <w:rStyle w:val="IndexLink"/>
              </w:rPr>
              <w:t>12.1 Sales</w:t>
              <w:tab/>
              <w:t>28</w:t>
            </w:r>
          </w:hyperlink>
        </w:p>
        <w:p>
          <w:pPr>
            <w:pStyle w:val="TOC2"/>
            <w:tabs>
              <w:tab w:val="clear" w:pos="900"/>
              <w:tab w:val="clear" w:pos="9350"/>
              <w:tab w:val="right" w:pos="9025" w:leader="dot"/>
            </w:tabs>
            <w:rPr/>
          </w:pPr>
          <w:hyperlink w:anchor="__RefHeading___Toc8126_550234468">
            <w:r>
              <w:rPr>
                <w:webHidden/>
                <w:rStyle w:val="IndexLink"/>
              </w:rPr>
              <w:t>12.2 Delivery</w:t>
              <w:tab/>
              <w:t>28</w:t>
            </w:r>
          </w:hyperlink>
        </w:p>
        <w:p>
          <w:pPr>
            <w:pStyle w:val="TOC2"/>
            <w:tabs>
              <w:tab w:val="clear" w:pos="900"/>
              <w:tab w:val="clear" w:pos="9350"/>
              <w:tab w:val="right" w:pos="9025" w:leader="dot"/>
            </w:tabs>
            <w:rPr/>
          </w:pPr>
          <w:hyperlink w:anchor="__RefHeading___Toc8128_550234468">
            <w:r>
              <w:rPr>
                <w:webHidden/>
                <w:rStyle w:val="IndexLink"/>
              </w:rPr>
              <w:t>12.3 Support</w:t>
              <w:tab/>
              <w:t>28</w:t>
            </w:r>
          </w:hyperlink>
        </w:p>
        <w:p>
          <w:pPr>
            <w:pStyle w:val="TOC2"/>
            <w:tabs>
              <w:tab w:val="clear" w:pos="900"/>
              <w:tab w:val="clear" w:pos="9350"/>
              <w:tab w:val="right" w:pos="9025" w:leader="dot"/>
            </w:tabs>
            <w:rPr/>
          </w:pPr>
          <w:hyperlink w:anchor="__RefHeading___Toc8130_550234468">
            <w:r>
              <w:rPr>
                <w:webHidden/>
                <w:rStyle w:val="IndexLink"/>
              </w:rPr>
              <w:t>12.4 Product and development</w:t>
              <w:tab/>
              <w:t>29</w:t>
            </w:r>
          </w:hyperlink>
        </w:p>
        <w:p>
          <w:pPr>
            <w:pStyle w:val="TOC2"/>
            <w:tabs>
              <w:tab w:val="clear" w:pos="900"/>
              <w:tab w:val="clear" w:pos="9350"/>
              <w:tab w:val="right" w:pos="9025" w:leader="dot"/>
            </w:tabs>
            <w:rPr/>
          </w:pPr>
          <w:hyperlink w:anchor="__RefHeading___Toc8132_550234468">
            <w:r>
              <w:rPr>
                <w:webHidden/>
                <w:rStyle w:val="IndexLink"/>
              </w:rPr>
              <w:t>12.5 Finance and management</w:t>
              <w:tab/>
              <w:t>29</w:t>
            </w:r>
          </w:hyperlink>
        </w:p>
        <w:p>
          <w:pPr>
            <w:pStyle w:val="TOC1"/>
            <w:tabs>
              <w:tab w:val="clear" w:pos="900"/>
              <w:tab w:val="clear" w:pos="9350"/>
              <w:tab w:val="right" w:pos="9025" w:leader="dot"/>
            </w:tabs>
            <w:rPr/>
          </w:pPr>
          <w:hyperlink w:anchor="__RefHeading___Toc8134_550234468">
            <w:r>
              <w:rPr>
                <w:webHidden/>
                <w:rStyle w:val="IndexLink"/>
              </w:rPr>
              <w:t>13. Governance</w:t>
              <w:tab/>
              <w:t>30</w:t>
            </w:r>
          </w:hyperlink>
        </w:p>
        <w:p>
          <w:pPr>
            <w:pStyle w:val="TOC2"/>
            <w:tabs>
              <w:tab w:val="clear" w:pos="900"/>
              <w:tab w:val="clear" w:pos="9350"/>
              <w:tab w:val="right" w:pos="9025" w:leader="dot"/>
            </w:tabs>
            <w:rPr/>
          </w:pPr>
          <w:hyperlink w:anchor="__RefHeading___Toc8136_550234468">
            <w:r>
              <w:rPr>
                <w:webHidden/>
                <w:rStyle w:val="IndexLink"/>
              </w:rPr>
              <w:t>13.1 Internal forums</w:t>
              <w:tab/>
              <w:t>30</w:t>
            </w:r>
          </w:hyperlink>
        </w:p>
        <w:p>
          <w:pPr>
            <w:pStyle w:val="TOC2"/>
            <w:tabs>
              <w:tab w:val="clear" w:pos="900"/>
              <w:tab w:val="clear" w:pos="9350"/>
              <w:tab w:val="right" w:pos="9025" w:leader="dot"/>
            </w:tabs>
            <w:rPr/>
          </w:pPr>
          <w:hyperlink w:anchor="__RefHeading___Toc8138_550234468">
            <w:r>
              <w:rPr>
                <w:webHidden/>
                <w:rStyle w:val="IndexLink"/>
              </w:rPr>
              <w:t>13.2 Client-facing forums</w:t>
              <w:tab/>
              <w:t>30</w:t>
            </w:r>
          </w:hyperlink>
        </w:p>
        <w:p>
          <w:pPr>
            <w:pStyle w:val="TOC2"/>
            <w:tabs>
              <w:tab w:val="clear" w:pos="900"/>
              <w:tab w:val="clear" w:pos="9350"/>
              <w:tab w:val="right" w:pos="9025" w:leader="dot"/>
            </w:tabs>
            <w:rPr/>
          </w:pPr>
          <w:hyperlink w:anchor="__RefHeading___Toc8140_550234468">
            <w:r>
              <w:rPr>
                <w:webHidden/>
                <w:rStyle w:val="IndexLink"/>
              </w:rPr>
              <w:t>13.3 Document control</w:t>
              <w:tab/>
              <w:t>30</w:t>
            </w:r>
          </w:hyperlink>
        </w:p>
        <w:p>
          <w:pPr>
            <w:pStyle w:val="TOC1"/>
            <w:tabs>
              <w:tab w:val="clear" w:pos="900"/>
              <w:tab w:val="clear" w:pos="9350"/>
              <w:tab w:val="right" w:pos="9025" w:leader="dot"/>
            </w:tabs>
            <w:rPr/>
          </w:pPr>
          <w:hyperlink w:anchor="__RefHeading___Toc8142_550234468">
            <w:r>
              <w:rPr>
                <w:webHidden/>
                <w:rStyle w:val="IndexLink"/>
              </w:rPr>
              <w:t>14. 30/60/90-day launch plan</w:t>
              <w:tab/>
              <w:t>31</w:t>
            </w:r>
          </w:hyperlink>
        </w:p>
        <w:p>
          <w:pPr>
            <w:pStyle w:val="TOC2"/>
            <w:tabs>
              <w:tab w:val="clear" w:pos="900"/>
              <w:tab w:val="clear" w:pos="9350"/>
              <w:tab w:val="right" w:pos="9025" w:leader="dot"/>
            </w:tabs>
            <w:rPr/>
          </w:pPr>
          <w:hyperlink w:anchor="__RefHeading___Toc8144_550234468">
            <w:r>
              <w:rPr>
                <w:webHidden/>
                <w:rStyle w:val="IndexLink"/>
              </w:rPr>
              <w:t>14.1 Days 1 to 30: ready to sell</w:t>
              <w:tab/>
              <w:t>31</w:t>
            </w:r>
          </w:hyperlink>
        </w:p>
        <w:p>
          <w:pPr>
            <w:pStyle w:val="TOC2"/>
            <w:tabs>
              <w:tab w:val="clear" w:pos="900"/>
              <w:tab w:val="clear" w:pos="9350"/>
              <w:tab w:val="right" w:pos="9025" w:leader="dot"/>
            </w:tabs>
            <w:rPr/>
          </w:pPr>
          <w:hyperlink w:anchor="__RefHeading___Toc8146_550234468">
            <w:r>
              <w:rPr>
                <w:webHidden/>
                <w:rStyle w:val="IndexLink"/>
              </w:rPr>
              <w:t>14.2 Days 31 to 60: first conversations</w:t>
              <w:tab/>
              <w:t>31</w:t>
            </w:r>
          </w:hyperlink>
        </w:p>
        <w:p>
          <w:pPr>
            <w:pStyle w:val="TOC2"/>
            <w:tabs>
              <w:tab w:val="clear" w:pos="900"/>
              <w:tab w:val="clear" w:pos="9350"/>
              <w:tab w:val="right" w:pos="9025" w:leader="dot"/>
            </w:tabs>
            <w:rPr/>
          </w:pPr>
          <w:hyperlink w:anchor="__RefHeading___Toc8148_550234468">
            <w:r>
              <w:rPr>
                <w:webHidden/>
                <w:rStyle w:val="IndexLink"/>
              </w:rPr>
              <w:t>14.3 Days 61 to 90: first commitments</w:t>
              <w:tab/>
              <w:t>31</w:t>
            </w:r>
          </w:hyperlink>
        </w:p>
        <w:p>
          <w:pPr>
            <w:pStyle w:val="TOC1"/>
            <w:tabs>
              <w:tab w:val="clear" w:pos="900"/>
              <w:tab w:val="clear" w:pos="9350"/>
              <w:tab w:val="right" w:pos="9025" w:leader="dot"/>
            </w:tabs>
            <w:rPr/>
          </w:pPr>
          <w:hyperlink w:anchor="__RefHeading___Toc8150_550234468">
            <w:r>
              <w:rPr>
                <w:webHidden/>
                <w:rStyle w:val="IndexLink"/>
              </w:rPr>
              <w:t>15. Risks</w:t>
              <w:tab/>
              <w:t>33</w:t>
            </w:r>
          </w:hyperlink>
        </w:p>
        <w:p>
          <w:pPr>
            <w:pStyle w:val="TOC1"/>
            <w:tabs>
              <w:tab w:val="clear" w:pos="900"/>
              <w:tab w:val="clear" w:pos="9350"/>
              <w:tab w:val="right" w:pos="9025" w:leader="dot"/>
            </w:tabs>
            <w:rPr/>
          </w:pPr>
          <w:hyperlink w:anchor="__RefHeading___Toc8152_550234468">
            <w:r>
              <w:rPr>
                <w:webHidden/>
                <w:rStyle w:val="IndexLink"/>
              </w:rPr>
              <w:t>16. Decisions for the owner</w:t>
              <w:tab/>
              <w:t>34</w:t>
            </w:r>
          </w:hyperlink>
        </w:p>
        <w:p>
          <w:pPr>
            <w:pStyle w:val="TOC1"/>
            <w:tabs>
              <w:tab w:val="clear" w:pos="900"/>
              <w:tab w:val="clear" w:pos="9350"/>
              <w:tab w:val="right" w:pos="9025" w:leader="dot"/>
            </w:tabs>
            <w:rPr/>
          </w:pPr>
          <w:hyperlink w:anchor="__RefHeading___Toc8154_550234468">
            <w:r>
              <w:rPr>
                <w:webHidden/>
                <w:rStyle w:val="IndexLink"/>
                <w:i w:val="false"/>
                <w:iCs w:val="false"/>
              </w:rPr>
              <w:t>17. Document Sign-Off</w:t>
            </w:r>
            <w:r>
              <w:rPr>
                <w:rStyle w:val="IndexLink"/>
              </w:rPr>
              <w:tab/>
              <w:t>35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018_55023446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with the release verification of 04 October 2026 (product at a glance). Version 1.1: product at a glance, boundary, standard integrations, modules, optional services and roadmap updated for AML/CFT, the IC and NPC registers, BIR forms and EOPT, the integration framework, dealer programmes, branding, My Work and the Report Builder; new decisions on pricing of the new modules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020_55023446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022_550234468"/>
      <w:bookmarkEnd w:id="6"/>
      <w:r>
        <w:rPr>
          <w:rFonts w:eastAsia="Segoe UI" w:cs="Segoe UI" w:ascii="Segoe UI" w:hAnsi="Segoe UI"/>
          <w:b/>
          <w:color w:val="0F4761"/>
          <w:sz w:val="32"/>
        </w:rPr>
        <w:t>3.  Purpose and how to use this playbook</w:t>
      </w:r>
    </w:p>
    <w:p>
      <w:pPr>
        <w:pStyle w:val="Heading2"/>
        <w:rPr/>
      </w:pPr>
      <w:bookmarkStart w:id="7" w:name="__RefHeading___Toc8024_55023446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8026_550234468"/>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04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8028_550234468"/>
      <w:bookmarkEnd w:id="9"/>
      <w:r>
        <w:rPr>
          <w:rFonts w:eastAsia="Segoe UI" w:cs="Segoe UI" w:ascii="Segoe UI" w:hAnsi="Segoe UI"/>
          <w:b/>
          <w:color w:val="0F4761"/>
          <w:sz w:val="32"/>
        </w:rPr>
        <w:t>4.  What OOTB means</w:t>
      </w:r>
    </w:p>
    <w:p>
      <w:pPr>
        <w:pStyle w:val="Heading2"/>
        <w:rPr/>
      </w:pPr>
      <w:bookmarkStart w:id="10" w:name="__RefHeading___Toc8030_550234468"/>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8032_550234468"/>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forms and returns with DAT files, EOPT sales invoices and the CAS books pack; AML/CFT programme; IC and NPC compliance registers; distribution (lead assignment, channels, dealer programmes, fleets, marine open covers, facultative placements, campaigns); integrations; My Work; Report Builder and BI extract; broker branding and e-signatures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System Administrator, Sales &amp; Marketing, Processing Team, Operations, Claims, Accounting, Accounting Manager, Compliance Officer (AML/CFT)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masters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Regions, provinces, cities and municipalities, barangays (PSGC 2Q 2026), ZIP codes, banks, ID types, salutations, holidays, the IC list of insurers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Catalogue reports in Excel, CSV and PDF on the broker's letterhead, dashboards, the Report Builder over curated datasets, a nightly BI extract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documented API operations (OpenAPI file of the current build)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jobs in Asia/Manila time, 14 delivered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(Semaphore-style, Globe Labs-style, generic), Viber business messages, CTPL authentication and COC series, LTO feed, insurer API with a mapping per insurer, bank payment files (starter layouts for BDO, BPI, Metrobank, Landbank, UnionBank and a generic CSV), BIR EIS, AML screening provider; all delivered in test mode or switched 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1.1 (release verification of 04 October 2026 on the merged release): 629 test cases (617 passed, 1 failed, 3 blocked, 8 not run); 1,113 automated backend tests and 175 front-end tests; a UAT cycle of 433 business steps and a go-live rehearsal of 52 checks. The Test Strategy, Test Plan and Test Summary Report give the detail</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with a Help panel per screen (F1), role decks, reports book, data dictionary, technical reference, BRD, process flows, test strategy and plan, traceability matrix, dependency map, schedules and support runbooks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being completed for the next release</w:t>
            </w:r>
          </w:p>
        </w:tc>
      </w:tr>
    </w:tbl>
    <w:p>
      <w:pPr>
        <w:pStyle w:val="Normal"/>
        <w:spacing w:before="0" w:after="80"/>
        <w:rPr/>
      </w:pPr>
      <w:r>
        <w:rPr/>
      </w:r>
    </w:p>
    <w:p>
      <w:pPr>
        <w:pStyle w:val="Heading2"/>
        <w:rPr/>
      </w:pPr>
      <w:bookmarkStart w:id="12" w:name="__RefHeading___Toc8034_550234468"/>
      <w:bookmarkEnd w:id="12"/>
      <w:r>
        <w:rPr>
          <w:rFonts w:eastAsia="Segoe UI" w:cs="Segoe UI"/>
          <w:b/>
          <w:color w:val="0F4761"/>
          <w:sz w:val="26"/>
        </w:rPr>
        <w:t>4.3  The product boundary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 and connectors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and SMS texts, AML risk factors and rules, branding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Activation of regulatory modules and connector go-live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Workshops and set-up of the AML/CFT toolkit, the IC compliance registers and the BIR pack; going live with each SMS gateway, CTPL provider, insurer, bank or the BIR EIS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 lines of the Rate Card (to confirm by management)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the partner certifies its own side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new integrations beyond the delivered connectors, extra environments, exit assistance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(BIR, IC, AMLC, NPC), tax and legal advice, partner certifications, screening list subscriptions, hardware and networks, data cleansing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and its partners</w:t>
            </w:r>
          </w:p>
        </w:tc>
      </w:tr>
    </w:tbl>
    <w:p>
      <w:pPr>
        <w:pStyle w:val="Normal"/>
        <w:spacing w:before="0" w:after="80"/>
        <w:rPr/>
      </w:pPr>
      <w:r>
        <w:rPr/>
      </w:r>
    </w:p>
    <w:p>
      <w:pPr>
        <w:pStyle w:val="Heading2"/>
        <w:rPr/>
      </w:pPr>
      <w:bookmarkStart w:id="13" w:name="__RefHeading___Toc8036_550234468"/>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Bank payment files (bulk credit, InstaPay, PESONet) with the bank's status file read back; starter layouts for BDO, BPI, Metrobank, Landbank and UnionBank and a generic CSV, each validated with the bank during onboarding.</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The integration framework: one outbox and inbox with retries, an attempt log and signed inbound messages, with the connectors SMS, Viber, CTPL authentication, LTO feed and insurer API.</w:t>
      </w:r>
    </w:p>
    <w:p>
      <w:pPr>
        <w:pStyle w:val="Normal"/>
        <w:numPr>
          <w:ilvl w:val="0"/>
          <w:numId w:val="1"/>
        </w:numPr>
        <w:spacing w:before="0" w:after="60"/>
        <w:rPr/>
      </w:pPr>
      <w:r>
        <w:rPr>
          <w:rFonts w:eastAsia="Segoe UI" w:cs="Segoe UI" w:ascii="Segoe UI" w:hAnsi="Segoe UI"/>
          <w:color w:val="101820"/>
          <w:sz w:val="21"/>
        </w:rPr>
        <w:t>The BIR EIS connector for e-invoices (switched off until the broker is enrolled) and the BIR DAT files of the alphalists.</w:t>
      </w:r>
    </w:p>
    <w:p>
      <w:pPr>
        <w:pStyle w:val="Normal"/>
        <w:numPr>
          <w:ilvl w:val="0"/>
          <w:numId w:val="1"/>
        </w:numPr>
        <w:spacing w:before="0" w:after="60"/>
        <w:rPr/>
      </w:pPr>
      <w:r>
        <w:rPr>
          <w:rFonts w:eastAsia="Segoe UI" w:cs="Segoe UI" w:ascii="Segoe UI" w:hAnsi="Segoe UI"/>
          <w:color w:val="101820"/>
          <w:sz w:val="21"/>
        </w:rPr>
        <w:t>The AML screening provider connector, besides the screening lists the broker uploads.</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 connector is delivered in test mode or switched off. Going live needs the partner's contract, endpoint and credentials and the partner's acceptance of the interface: iorta TechNXT configures and tests its side, the partner certifies its own. Everything else (core banking, accounting packages, eFPS or eBIRForms e-filing, IC or AMLC portals, other payment gateways, a new kind of connector) is a change request or an optional integration.</w:t>
      </w:r>
      <w:r>
        <w:br w:type="page"/>
      </w:r>
    </w:p>
    <w:p>
      <w:pPr>
        <w:pStyle w:val="Heading1"/>
        <w:rPr/>
      </w:pPr>
      <w:bookmarkStart w:id="14" w:name="__RefHeading___Toc8038_550234468"/>
      <w:bookmarkEnd w:id="14"/>
      <w:r>
        <w:rPr>
          <w:rFonts w:eastAsia="Segoe UI" w:cs="Segoe UI" w:ascii="Segoe UI" w:hAnsi="Segoe UI"/>
          <w:b/>
          <w:color w:val="0F4761"/>
          <w:sz w:val="32"/>
        </w:rPr>
        <w:t>5.  Target market and segments</w:t>
      </w:r>
    </w:p>
    <w:p>
      <w:pPr>
        <w:pStyle w:val="Heading2"/>
        <w:rPr/>
      </w:pPr>
      <w:bookmarkStart w:id="15" w:name="__RefHeading___Toc8040_550234468"/>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8042_550234468"/>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8044_550234468"/>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programme and AMLC reports, IC licences and complaints, Data Privacy Act and breach notification, audit trail, maker-checker, segregation of duties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a captive agency or dealer channel</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programmes, bank endorsement letters, fleets, lead assignment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(EOPT invoicing, e-invoicing), an AMLC or IC examination finding, a complaints-handling or breach-notification obligation, growth that the spreadsheets cannot carry, a new dealer or bank partnership, or a new licence.</w:t>
      </w:r>
    </w:p>
    <w:p>
      <w:pPr>
        <w:pStyle w:val="Heading2"/>
        <w:rPr/>
      </w:pPr>
      <w:bookmarkStart w:id="18" w:name="__RefHeading___Toc8046_550234468"/>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8048_550234468"/>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returns, EOPT invoicing, AMLC reporting or the IC registers,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8050_550234468"/>
      <w:bookmarkEnd w:id="20"/>
      <w:r>
        <w:rPr>
          <w:rFonts w:eastAsia="Segoe UI" w:cs="Segoe UI" w:ascii="Segoe UI" w:hAnsi="Segoe UI"/>
          <w:b/>
          <w:color w:val="0F4761"/>
          <w:sz w:val="32"/>
        </w:rPr>
        <w:t>6.  The offer</w:t>
      </w:r>
    </w:p>
    <w:p>
      <w:pPr>
        <w:pStyle w:val="Heading2"/>
        <w:rPr/>
      </w:pPr>
      <w:bookmarkStart w:id="21" w:name="__RefHeading___Toc8052_550234468"/>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with no module priced as an add-on: dashboards and My Work; prospects and clients with client onboarding; lead assignment, distribution channels, dealer programmes, fleets, marine open covers, comparison reports and campaigns; Quick Quote and Compare Insurers; motor quotation and customer approval; request for quotation and placement; cover notes; policy issuance and servicing; endorsements and computed cancellations; claims with the document checklist, motor repairs and settlements; renewals; billing, instalment invoices, post-dated cheques, payments and official receipts; collections and credit control; disbursement, accounts payable, bank payment files and petty cash; remittance to insurers and direct bill; commission, referrers and overriding commission from insurers; incentives; general ledger and journals; fixed assets; period end; bank reconciliation; insurer reconciliation; BIR forms and returns (2307, 0619-E, 1601-EQ, 1604-E, 2551Q, VAT Summary, SAWT, QAP, SLSP, DAT files), EOPT sales invoices, the EIS connector and the CAS books pack; the AML/CFT toolkit; the IC and NPC compliance registers; reinsurance and facultative placements; Product Configurator; reports, Report Builder and BI extract; notifications, e-mail, SMS and the integration connectors; data privacy; branding and e-signatures; administration, security, the go-live data workbench and configuration.</w:t>
      </w:r>
    </w:p>
    <w:p>
      <w:pPr>
        <w:pStyle w:val="Normal"/>
        <w:spacing w:lineRule="auto" w:line="276" w:before="0" w:after="120"/>
        <w:rPr/>
      </w:pPr>
      <w:r>
        <w:rPr>
          <w:rFonts w:eastAsia="Segoe UI" w:cs="Segoe UI" w:ascii="Segoe UI" w:hAnsi="Segoe UI"/>
          <w:color w:val="101820"/>
          <w:sz w:val="21"/>
        </w:rPr>
        <w:t>The effort to activate the regulatory modules and to take each connector live with its partner is not in the base implementation fee, which was sized before these modules. It is priced as optional service lines (Rate Card, to confirm by management): activation of the AML/CFT toolkit, of the IC compliance registers and of the BIR pack, go-live of each connector, set-up of each dealer programme and of a client brand pack.</w:t>
      </w:r>
    </w:p>
    <w:p>
      <w:pPr>
        <w:pStyle w:val="Heading2"/>
        <w:rPr/>
      </w:pPr>
      <w:bookmarkStart w:id="22" w:name="__RefHeading___Toc8054_550234468"/>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8056_550234468"/>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8058_550234468"/>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269,000.00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135,000.00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242,000.00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on AWS, per month of use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the standing environment set of the size: Dev, UAT and Production for Small and Medium brokers (integration in Dev, then UAT, then Production); Dev, SIT, UAT and Production with high availability for Large and Enterprise brokers. Pre-Prod is temporary for every size: created from a production backup (masked when used by people without production access) for the go-live rehearsal and each major release, then removed, and billed per month of use. Hosting fees do not increase yearly (pass-through clause).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8060_550234468"/>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including 2 months of Pre-Prod for hosted packages. The Rate Card gives all four sizes and the 5-year totals.</w:t>
      </w:r>
    </w:p>
    <w:p>
      <w:pPr>
        <w:pStyle w:val="Heading2"/>
        <w:rPr/>
      </w:pPr>
      <w:bookmarkStart w:id="26" w:name="__RefHeading___Toc8062_550234468"/>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new integrations beyond the delivered connectors (standard PHP 320,000.00, complex PHP 720,000.00), the go-live of a delivered connector with one partner (PHP 80,000.00 per connector, to confirm by management), activation of the AML/CFT toolkit, the IC compliance registers or the BIR pack (PHP 130,000.00, PHP 100,000.00 and PHP 130,000.00, to confirm by management), set-up of a dealer programme (PHP 50,000.00 per programme, to confirm by management) and of a client brand pack (PHP 30,000.00, to confirm by management),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8064_550234468"/>
      <w:bookmarkEnd w:id="27"/>
      <w:r>
        <w:rPr>
          <w:rFonts w:eastAsia="Segoe UI" w:cs="Segoe UI" w:ascii="Segoe UI" w:hAnsi="Segoe UI"/>
          <w:b/>
          <w:color w:val="0F4761"/>
          <w:sz w:val="32"/>
        </w:rPr>
        <w:t>7.  Sales process</w:t>
      </w:r>
    </w:p>
    <w:p>
      <w:pPr>
        <w:pStyle w:val="Heading2"/>
        <w:rPr/>
      </w:pPr>
      <w:bookmarkStart w:id="28" w:name="__RefHeading___Toc8066_550234468"/>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One-page and two-page brochures; prospect e-mails (cold introduction small or large broker, compliance-led introduction,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with the optional segments the prospect asks for)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8068_550234468"/>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8070_550234468"/>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8072_550234468"/>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8074_550234468"/>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8076_550234468"/>
      <w:bookmarkEnd w:id="33"/>
      <w:r>
        <w:rPr>
          <w:rFonts w:eastAsia="Segoe UI" w:cs="Segoe UI" w:ascii="Segoe UI" w:hAnsi="Segoe UI"/>
          <w:b/>
          <w:color w:val="0F4761"/>
          <w:sz w:val="32"/>
        </w:rPr>
        <w:t>8.  Delivery model</w:t>
      </w:r>
    </w:p>
    <w:p>
      <w:pPr>
        <w:pStyle w:val="Heading2"/>
        <w:rPr/>
      </w:pPr>
      <w:bookmarkStart w:id="34" w:name="__RefHeading___Toc8078_550234468"/>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broker size (Dev, UAT and Production; SIT as well for a large broker),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8080_550234468"/>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8082_550234468"/>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8084_550234468"/>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followed by the cutover rehearsal, three for Medium, four for Large (the last one is the cutover rehearsal). The rehearsal runs in a temporary Pre-Prod created from a production backup.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8086_550234468"/>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8088_550234468"/>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8090_550234468"/>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8092_550234468"/>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8094_550234468"/>
      <w:bookmarkEnd w:id="42"/>
      <w:r>
        <w:rPr>
          <w:rFonts w:eastAsia="Segoe UI" w:cs="Segoe UI" w:ascii="Segoe UI" w:hAnsi="Segoe UI"/>
          <w:b/>
          <w:color w:val="0F4761"/>
          <w:sz w:val="32"/>
        </w:rPr>
        <w:t>9.  Support model</w:t>
      </w:r>
    </w:p>
    <w:p>
      <w:pPr>
        <w:pStyle w:val="Heading2"/>
        <w:rPr/>
      </w:pPr>
      <w:bookmarkStart w:id="43" w:name="__RefHeading___Toc8096_550234468"/>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8098_550234468"/>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8100_550234468"/>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Dev, then SIT for a large broker, then UAT; the broker runs the UAT scripts that cover the change; iorta TechNXT runs the regression set; a major release is also rehearsed in a temporary Pre-Prod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8102_550234468"/>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8104_550234468"/>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8106_550234468"/>
      <w:bookmarkEnd w:id="48"/>
      <w:r>
        <w:rPr>
          <w:rFonts w:eastAsia="Segoe UI" w:cs="Segoe UI" w:ascii="Segoe UI" w:hAnsi="Segoe UI"/>
          <w:b/>
          <w:color w:val="0F4761"/>
          <w:sz w:val="32"/>
        </w:rPr>
        <w:t>10.  Product lifecycle</w:t>
      </w:r>
    </w:p>
    <w:p>
      <w:pPr>
        <w:pStyle w:val="Heading2"/>
        <w:rPr/>
      </w:pPr>
      <w:bookmarkStart w:id="49" w:name="__RefHeading___Toc8108_550234468"/>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8110_550234468"/>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8112_550234468"/>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delivered for SMS, CTPL, LTO, insurers, banks, BIR EIS and screening, in test mode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list of partners whose interface was accepted, kept per release, so the next client goes live faster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and reconciled; the broker validates and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the BIR formats each year under the AMC; e-filing only if the BIR offers an interface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(compliance package)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 the IC form set each year; confirm the account mapping per client chart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BV-AMLC-TXN 1.0 layout, confirmed by the compliance officer</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Align the file with the AMLC's current guidelines once confirmed with a first client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from the Product Configurator, supplier 2307, fixed asset disposal</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and release in the next planned release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8114_550234468"/>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8116_550234468"/>
      <w:bookmarkEnd w:id="53"/>
      <w:r>
        <w:rPr>
          <w:rFonts w:eastAsia="Segoe UI" w:cs="Segoe UI" w:ascii="Segoe UI" w:hAnsi="Segoe UI"/>
          <w:b/>
          <w:color w:val="0F4761"/>
          <w:sz w:val="32"/>
        </w:rPr>
        <w:t>11.  Team and roles at iorta TechNXT</w:t>
      </w:r>
    </w:p>
    <w:p>
      <w:pPr>
        <w:pStyle w:val="Heading2"/>
        <w:rPr/>
      </w:pPr>
      <w:bookmarkStart w:id="54" w:name="__RefHeading___Toc8118_550234468"/>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8120_550234468"/>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8122_550234468"/>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8124_550234468"/>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8126_550234468"/>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8128_550234468"/>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8130_550234468"/>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8132_550234468"/>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8134_550234468"/>
      <w:bookmarkEnd w:id="62"/>
      <w:r>
        <w:rPr>
          <w:rFonts w:eastAsia="Segoe UI" w:cs="Segoe UI" w:ascii="Segoe UI" w:hAnsi="Segoe UI"/>
          <w:b/>
          <w:color w:val="0F4761"/>
          <w:sz w:val="32"/>
        </w:rPr>
        <w:t>13.  Governance</w:t>
      </w:r>
    </w:p>
    <w:p>
      <w:pPr>
        <w:pStyle w:val="Heading2"/>
        <w:rPr/>
      </w:pPr>
      <w:bookmarkStart w:id="63" w:name="__RefHeading___Toc8136_550234468"/>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8138_550234468"/>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8140_550234468"/>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8142_550234468"/>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8144_550234468"/>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8146_550234468"/>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8148_550234468"/>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8150_550234468"/>
      <w:bookmarkEnd w:id="70"/>
      <w:r>
        <w:rPr>
          <w:rFonts w:eastAsia="Segoe UI" w:cs="Segoe UI" w:ascii="Segoe UI" w:hAnsi="Segoe UI"/>
          <w:b/>
          <w:color w:val="0F4761"/>
          <w:sz w:val="32"/>
        </w:rPr>
        <w:t>15.  Risks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certification takes longer than the project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stay in test mode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partner contracts at kick-off (welcome e-mail); go live without the connector and switch it on 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settings taken as advice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Liability if a threshold, code or tax treatment is wrong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delivered value is marked for the compliance officer, DPO or tax adviser to confirm; the documents say so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with third-party marks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Trademark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only in that client's environments with written permission; never in demos</w:t>
            </w:r>
          </w:p>
        </w:tc>
      </w:tr>
    </w:tbl>
    <w:p>
      <w:pPr>
        <w:pStyle w:val="Heading1"/>
        <w:rPr/>
      </w:pPr>
      <w:r>
        <w:br w:type="page"/>
      </w:r>
      <w:bookmarkStart w:id="71" w:name="__RefHeading___Toc8152_550234468"/>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lines for the activation of the AML/CFT toolkit, the IC compliance registers and the BIR pack, the go-live of each connector, dealer programme set-up and client brand packs (Rate Card, marked to confirm by management)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lines and amounts, or fold them into the implementation fee of the size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AML/CFT toolkit, IC compliance registers and BIR pack stay in every package or become paid modules for new clients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them in every package: they are the main local differentiator and a module price would weaken the per-user comparison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8154_550234468"/>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2026-10-04T12:03:48Z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