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87.png" ContentType="image/png"/>
  <Override PartName="/word/media/image118.png" ContentType="image/png"/>
  <Override PartName="/word/media/image86.png" ContentType="image/png"/>
  <Override PartName="/word/media/image18.png" ContentType="image/png"/>
  <Override PartName="/word/media/image186.png" ContentType="image/png"/>
  <Override PartName="/word/media/image109.png" ContentType="image/png"/>
  <Override PartName="/word/media/image77.png" ContentType="image/png"/>
  <Override PartName="/word/media/image177.png" ContentType="image/png"/>
  <Override PartName="/word/media/image108.png" ContentType="image/png"/>
  <Override PartName="/word/media/image76.png" ContentType="image/png"/>
  <Override PartName="/word/media/image176.png" ContentType="image/png"/>
  <Override PartName="/word/media/image99.png" ContentType="image/png"/>
  <Override PartName="/word/media/image1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197.png" ContentType="image/png"/>
  <Override PartName="/word/media/image96.png" ContentType="image/png"/>
  <Override PartName="/word/media/image28.png" ContentType="image/png"/>
  <Override PartName="/word/media/image128.png" ContentType="image/png"/>
  <Override PartName="/word/media/image196.png" ContentType="image/png"/>
  <Override PartName="/word/media/image95.png" ContentType="image/png"/>
  <Override PartName="/word/media/image127.png" ContentType="image/png"/>
  <Override PartName="/word/media/image27.png" ContentType="image/png"/>
  <Override PartName="/word/media/image195.png" ContentType="image/png"/>
  <Override PartName="/word/media/image89.png" ContentType="image/png"/>
  <Override PartName="/word/media/image189.png" ContentType="image/png"/>
  <Override PartName="/word/media/image88.png" ContentType="image/png"/>
  <Override PartName="/word/media/image188.png" ContentType="image/png"/>
  <Override PartName="/word/media/image85.png" ContentType="image/png"/>
  <Override PartName="/word/media/image117.png" ContentType="image/png"/>
  <Override PartName="/word/media/image17.png" ContentType="image/png"/>
  <Override PartName="/word/media/image185.png" ContentType="image/png"/>
  <Override PartName="/word/media/image79.png" ContentType="image/png"/>
  <Override PartName="/word/media/image179.png" ContentType="image/png"/>
  <Override PartName="/word/media/image126.png" ContentType="image/png"/>
  <Override PartName="/word/media/image94.png" ContentType="image/png"/>
  <Override PartName="/word/media/image26.png" ContentType="image/png"/>
  <Override PartName="/word/media/image194.png" ContentType="image/png"/>
  <Override PartName="/word/media/image78.png" ContentType="image/png"/>
  <Override PartName="/word/media/image178.png" ContentType="image/png"/>
  <Override PartName="/word/media/image125.png" ContentType="image/png"/>
  <Override PartName="/word/media/image93.png" ContentType="image/png"/>
  <Override PartName="/word/media/image25.png" ContentType="image/png"/>
  <Override PartName="/word/media/image193.png" ContentType="image/png"/>
  <Override PartName="/word/media/image124.png" ContentType="image/png"/>
  <Override PartName="/word/media/image92.png" ContentType="image/png"/>
  <Override PartName="/word/media/image24.png" ContentType="image/png"/>
  <Override PartName="/word/media/image192.png" ContentType="image/png"/>
  <Override PartName="/word/media/image123.png" ContentType="image/png"/>
  <Override PartName="/word/media/image91.png" ContentType="image/png"/>
  <Override PartName="/word/media/image23.png" ContentType="image/png"/>
  <Override PartName="/word/media/image191.png" ContentType="image/png"/>
  <Override PartName="/word/media/image75.png" ContentType="image/png"/>
  <Override PartName="/word/media/image107.png" ContentType="image/png"/>
  <Override PartName="/word/media/image175.png" ContentType="image/png"/>
  <Override PartName="/word/media/image122.png" ContentType="image/png"/>
  <Override PartName="/word/media/image90.png" ContentType="image/png"/>
  <Override PartName="/word/media/image22.png" ContentType="image/png"/>
  <Override PartName="/word/media/image190.png" ContentType="image/png"/>
  <Override PartName="/word/media/image74.png" ContentType="image/png"/>
  <Override PartName="/word/media/image106.png" ContentType="image/png"/>
  <Override PartName="/word/media/image174.png" ContentType="image/png"/>
  <Override PartName="/word/media/image121.png" ContentType="image/png"/>
  <Override PartName="/word/media/image21.png" ContentType="image/png"/>
  <Override PartName="/word/media/image134.png" ContentType="image/png"/>
  <Override PartName="/word/media/image34.png" ContentType="image/png"/>
  <Override PartName="/word/media/image2.png" ContentType="image/png"/>
  <Override PartName="/word/media/image153.png" ContentType="image/png"/>
  <Override PartName="/word/media/image7.png" ContentType="image/png"/>
  <Override PartName="/word/media/image53.png" ContentType="image/png"/>
  <Override PartName="/word/media/image101.png" ContentType="image/png"/>
  <Override PartName="/word/media/image48.png" ContentType="image/png"/>
  <Override PartName="/word/media/image148.png" ContentType="image/png"/>
  <Override PartName="/word/media/image3.png" ContentType="image/png"/>
  <Override PartName="/word/media/image49.png" ContentType="image/png"/>
  <Override PartName="/word/media/image149.png" ContentType="image/png"/>
  <Override PartName="/word/media/image57.png" ContentType="image/png"/>
  <Override PartName="/word/media/image157.png" ContentType="image/png"/>
  <Override PartName="/word/media/image36.png" ContentType="image/png"/>
  <Override PartName="/word/media/image136.png" ContentType="image/png"/>
  <Override PartName="/word/media/image46.png" ContentType="image/png"/>
  <Override PartName="/word/media/image146.png" ContentType="image/png"/>
  <Override PartName="/word/media/image39.png" ContentType="image/png"/>
  <Override PartName="/word/media/image139.png" ContentType="image/png"/>
  <Override PartName="/word/media/image143.png" ContentType="image/png"/>
  <Override PartName="/word/media/image43.png" ContentType="image/png"/>
  <Override PartName="/word/media/image44.png" ContentType="image/png"/>
  <Override PartName="/word/media/image144.png" ContentType="image/png"/>
  <Override PartName="/word/media/image37.png" ContentType="image/png"/>
  <Override PartName="/word/media/image137.png" ContentType="image/png"/>
  <Override PartName="/word/media/image100.png" ContentType="image/png"/>
  <Override PartName="/word/media/image56.png" ContentType="image/png"/>
  <Override PartName="/word/media/image156.png" ContentType="image/png"/>
  <Override PartName="/word/media/image198.jpeg" ContentType="image/jpeg"/>
  <Override PartName="/word/media/image42.png" ContentType="image/png"/>
  <Override PartName="/word/media/image142.png" ContentType="image/png"/>
  <Override PartName="/word/media/image35.png" ContentType="image/png"/>
  <Override PartName="/word/media/image135.png" ContentType="image/png"/>
  <Override PartName="/word/media/image140.png" ContentType="image/png"/>
  <Override PartName="/word/media/image40.png" ContentType="image/png"/>
  <Override PartName="/word/media/image55.png" ContentType="image/png"/>
  <Override PartName="/word/media/image155.png" ContentType="image/png"/>
  <Override PartName="/word/media/image9.png" ContentType="image/png"/>
  <Override PartName="/word/media/image41.png" ContentType="image/png"/>
  <Override PartName="/word/media/image141.png" ContentType="image/png"/>
  <Override PartName="/word/media/image154.png" ContentType="image/png"/>
  <Override PartName="/word/media/image54.png" ContentType="image/png"/>
  <Override PartName="/word/media/image8.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32.png" ContentType="image/png"/>
  <Override PartName="/word/media/image132.png" ContentType="image/png"/>
  <Override PartName="/word/media/image130.png" ContentType="image/png"/>
  <Override PartName="/word/media/image30.png" ContentType="image/png"/>
  <Override PartName="/word/media/image45.png" ContentType="image/png"/>
  <Override PartName="/word/media/image145.png" ContentType="image/png"/>
  <Override PartName="/word/media/image150.png" ContentType="image/png"/>
  <Override PartName="/word/media/image4.png" ContentType="image/png"/>
  <Override PartName="/word/media/image50.png" ContentType="image/png"/>
  <Override PartName="/word/media/image151.png" ContentType="image/png"/>
  <Override PartName="/word/media/image51.png" ContentType="image/png"/>
  <Override PartName="/word/media/image5.png" ContentType="image/png"/>
  <Override PartName="/word/media/image38.png" ContentType="image/png"/>
  <Override PartName="/word/media/image138.png" ContentType="image/png"/>
  <Override PartName="/word/media/image152.png" ContentType="image/png"/>
  <Override PartName="/word/media/image52.png" ContentType="image/png"/>
  <Override PartName="/word/media/image6.png" ContentType="image/png"/>
  <Override PartName="/word/media/image147.png" ContentType="image/png"/>
  <Override PartName="/word/media/image47.png" ContentType="image/png"/>
  <Override PartName="/word/media/image158.png" ContentType="image/png"/>
  <Override PartName="/word/media/image58.png" ContentType="image/png"/>
  <Override PartName="/word/media/image159.png" ContentType="image/png"/>
  <Override PartName="/word/media/image59.png" ContentType="image/png"/>
  <Override PartName="/word/media/image160.png" ContentType="image/png"/>
  <Override PartName="/word/media/image60.png" ContentType="image/png"/>
  <Override PartName="/word/media/image161.png" ContentType="image/png"/>
  <Override PartName="/word/media/image61.png" ContentType="image/png"/>
  <Override PartName="/word/media/image162.png" ContentType="image/png"/>
  <Override PartName="/word/media/image62.png" ContentType="image/png"/>
  <Override PartName="/word/media/image110.png" ContentType="image/png"/>
  <Override PartName="/word/media/image10.png" ContentType="image/png"/>
  <Override PartName="/word/media/image163.png" ContentType="image/png"/>
  <Override PartName="/word/media/image63.png" ContentType="image/png"/>
  <Override PartName="/word/media/image11.png" ContentType="image/png"/>
  <Override PartName="/word/media/image111.png" ContentType="image/png"/>
  <Override PartName="/word/media/image164.png" ContentType="image/png"/>
  <Override PartName="/word/media/image64.png" ContentType="image/png"/>
  <Override PartName="/word/media/image12.png" ContentType="image/png"/>
  <Override PartName="/word/media/image80.png" ContentType="image/png"/>
  <Override PartName="/word/media/image112.png" ContentType="image/png"/>
  <Override PartName="/word/media/image180.png" ContentType="image/png"/>
  <Override PartName="/word/media/image16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181.png" ContentType="image/png"/>
  <Override PartName="/word/media/image166.png" ContentType="image/png"/>
  <Override PartName="/word/media/image66.png" ContentType="image/png"/>
  <Override PartName="/word/media/image82.png" ContentType="image/png"/>
  <Override PartName="/word/media/image14.png" ContentType="image/png"/>
  <Override PartName="/word/media/image114.png" ContentType="image/png"/>
  <Override PartName="/word/media/image182.png" ContentType="image/png"/>
  <Override PartName="/word/media/image169.png" ContentType="image/png"/>
  <Override PartName="/word/media/image69.png" ContentType="image/png"/>
  <Override PartName="/word/media/image67.png" ContentType="image/png"/>
  <Override PartName="/word/media/image167.png" ContentType="image/png"/>
  <Override PartName="/word/media/image83.png" ContentType="image/png"/>
  <Override PartName="/word/media/image15.png" ContentType="image/png"/>
  <Override PartName="/word/media/image115.png" ContentType="image/png"/>
  <Override PartName="/word/media/image183.png" ContentType="image/png"/>
  <Override PartName="/word/media/image68.png" ContentType="image/png"/>
  <Override PartName="/word/media/image168.png" ContentType="image/png"/>
  <Override PartName="/word/media/image16.png" ContentType="image/png"/>
  <Override PartName="/word/media/image84.png" ContentType="image/png"/>
  <Override PartName="/word/media/image116.png" ContentType="image/png"/>
  <Override PartName="/word/media/image184.png" ContentType="image/png"/>
  <Override PartName="/word/media/image102.png" ContentType="image/png"/>
  <Override PartName="/word/media/image170.png" ContentType="image/png"/>
  <Override PartName="/word/media/image70.png" ContentType="image/png"/>
  <Override PartName="/word/media/image103.png" ContentType="image/png"/>
  <Override PartName="/word/media/image171.png" ContentType="image/png"/>
  <Override PartName="/word/media/image71.png" ContentType="image/png"/>
  <Override PartName="/word/media/image104.png" ContentType="image/png"/>
  <Override PartName="/word/media/image172.png" ContentType="image/png"/>
  <Override PartName="/word/media/image72.png" ContentType="image/png"/>
  <Override PartName="/word/media/image120.png" ContentType="image/png"/>
  <Override PartName="/word/media/image20.png" ContentType="image/png"/>
  <Override PartName="/word/media/image73.png" ContentType="image/png"/>
  <Override PartName="/word/media/image105.png" ContentType="image/png"/>
  <Override PartName="/word/media/image17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7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7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8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1.2</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1.2</w:t>
                      </w:r>
                    </w:p>
                  </w:txbxContent>
                </v:textbox>
                <w10:wrap type="square"/>
              </v:rect>
            </w:pict>
          </mc:Fallback>
        </mc:AlternateContent>
        <mc:AlternateContent>
          <mc:Choice Requires="wps">
            <w:drawing>
              <wp:anchor behindDoc="0" distT="45720" distB="45720" distL="114300" distR="113665" simplePos="0" locked="0" layoutInCell="0" allowOverlap="1" relativeHeight="48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8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8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276_3350804041">
            <w:r>
              <w:rPr>
                <w:webHidden/>
                <w:rStyle w:val="IndexLink"/>
              </w:rPr>
              <w:t xml:space="preserve"> </w:t>
            </w:r>
            <w:r>
              <w:rPr>
                <w:rStyle w:val="IndexLink"/>
                <w:i w:val="false"/>
                <w:iCs w:val="false"/>
              </w:rPr>
              <w:t>1. Document Control</w:t>
            </w:r>
            <w:r>
              <w:rPr>
                <w:rStyle w:val="IndexLink"/>
              </w:rPr>
              <w:tab/>
              <w:t>8</w:t>
            </w:r>
          </w:hyperlink>
        </w:p>
        <w:p>
          <w:pPr>
            <w:pStyle w:val="TOC1"/>
            <w:tabs>
              <w:tab w:val="clear" w:pos="900"/>
              <w:tab w:val="clear" w:pos="9350"/>
              <w:tab w:val="right" w:pos="9025" w:leader="dot"/>
            </w:tabs>
            <w:rPr/>
          </w:pPr>
          <w:hyperlink w:anchor="__RefHeading___Toc24278_3350804041">
            <w:r>
              <w:rPr>
                <w:webHidden/>
                <w:rStyle w:val="IndexLink"/>
                <w:i w:val="false"/>
                <w:iCs w:val="false"/>
              </w:rPr>
              <w:t>2. Acronyms</w:t>
            </w:r>
            <w:r>
              <w:rPr>
                <w:rStyle w:val="IndexLink"/>
              </w:rPr>
              <w:tab/>
              <w:t>8</w:t>
            </w:r>
          </w:hyperlink>
        </w:p>
        <w:p>
          <w:pPr>
            <w:pStyle w:val="TOC1"/>
            <w:tabs>
              <w:tab w:val="clear" w:pos="900"/>
              <w:tab w:val="clear" w:pos="9350"/>
              <w:tab w:val="right" w:pos="9025" w:leader="dot"/>
            </w:tabs>
            <w:rPr/>
          </w:pPr>
          <w:hyperlink w:anchor="__RefHeading___Toc24280_3350804041">
            <w:r>
              <w:rPr>
                <w:webHidden/>
                <w:rStyle w:val="IndexLink"/>
              </w:rPr>
              <w:t>3. About this manual</w:t>
              <w:tab/>
              <w:t>10</w:t>
            </w:r>
          </w:hyperlink>
        </w:p>
        <w:p>
          <w:pPr>
            <w:pStyle w:val="TOC2"/>
            <w:tabs>
              <w:tab w:val="clear" w:pos="900"/>
              <w:tab w:val="clear" w:pos="9350"/>
              <w:tab w:val="right" w:pos="9025" w:leader="dot"/>
            </w:tabs>
            <w:rPr/>
          </w:pPr>
          <w:hyperlink w:anchor="__RefHeading___Toc24282_3350804041">
            <w:r>
              <w:rPr>
                <w:webHidden/>
                <w:rStyle w:val="IndexLink"/>
              </w:rPr>
              <w:t>3.1 Purpose</w:t>
              <w:tab/>
              <w:t>10</w:t>
            </w:r>
          </w:hyperlink>
        </w:p>
        <w:p>
          <w:pPr>
            <w:pStyle w:val="TOC2"/>
            <w:tabs>
              <w:tab w:val="clear" w:pos="900"/>
              <w:tab w:val="clear" w:pos="9350"/>
              <w:tab w:val="right" w:pos="9025" w:leader="dot"/>
            </w:tabs>
            <w:rPr/>
          </w:pPr>
          <w:hyperlink w:anchor="__RefHeading___Toc24284_3350804041">
            <w:r>
              <w:rPr>
                <w:webHidden/>
                <w:rStyle w:val="IndexLink"/>
              </w:rPr>
              <w:t>3.2 How the manual is organised</w:t>
              <w:tab/>
              <w:t>10</w:t>
            </w:r>
          </w:hyperlink>
        </w:p>
        <w:p>
          <w:pPr>
            <w:pStyle w:val="TOC2"/>
            <w:tabs>
              <w:tab w:val="clear" w:pos="900"/>
              <w:tab w:val="clear" w:pos="9350"/>
              <w:tab w:val="right" w:pos="9025" w:leader="dot"/>
            </w:tabs>
            <w:rPr/>
          </w:pPr>
          <w:hyperlink w:anchor="__RefHeading___Toc24286_3350804041">
            <w:r>
              <w:rPr>
                <w:webHidden/>
                <w:rStyle w:val="IndexLink"/>
              </w:rPr>
              <w:t>3.3 Conventions</w:t>
              <w:tab/>
              <w:t>11</w:t>
            </w:r>
          </w:hyperlink>
        </w:p>
        <w:p>
          <w:pPr>
            <w:pStyle w:val="TOC1"/>
            <w:tabs>
              <w:tab w:val="clear" w:pos="900"/>
              <w:tab w:val="clear" w:pos="9350"/>
              <w:tab w:val="right" w:pos="9025" w:leader="dot"/>
            </w:tabs>
            <w:rPr/>
          </w:pPr>
          <w:hyperlink w:anchor="__RefHeading___Toc24288_3350804041">
            <w:r>
              <w:rPr>
                <w:webHidden/>
                <w:rStyle w:val="IndexLink"/>
              </w:rPr>
              <w:t>4. Getting started</w:t>
              <w:tab/>
              <w:t>12</w:t>
            </w:r>
          </w:hyperlink>
        </w:p>
        <w:p>
          <w:pPr>
            <w:pStyle w:val="TOC2"/>
            <w:tabs>
              <w:tab w:val="clear" w:pos="900"/>
              <w:tab w:val="clear" w:pos="9350"/>
              <w:tab w:val="right" w:pos="9025" w:leader="dot"/>
            </w:tabs>
            <w:rPr/>
          </w:pPr>
          <w:hyperlink w:anchor="__RefHeading___Toc24290_3350804041">
            <w:r>
              <w:rPr>
                <w:webHidden/>
                <w:rStyle w:val="IndexLink"/>
              </w:rPr>
              <w:t>4.1 Signing in</w:t>
              <w:tab/>
              <w:t>12</w:t>
            </w:r>
          </w:hyperlink>
        </w:p>
        <w:p>
          <w:pPr>
            <w:pStyle w:val="TOC2"/>
            <w:tabs>
              <w:tab w:val="clear" w:pos="900"/>
              <w:tab w:val="clear" w:pos="9350"/>
              <w:tab w:val="right" w:pos="9025" w:leader="dot"/>
            </w:tabs>
            <w:rPr/>
          </w:pPr>
          <w:hyperlink w:anchor="__RefHeading___Toc24292_3350804041">
            <w:r>
              <w:rPr>
                <w:webHidden/>
                <w:rStyle w:val="IndexLink"/>
              </w:rPr>
              <w:t>4.2 The screen layout</w:t>
              <w:tab/>
              <w:t>19</w:t>
            </w:r>
          </w:hyperlink>
        </w:p>
        <w:p>
          <w:pPr>
            <w:pStyle w:val="TOC2"/>
            <w:tabs>
              <w:tab w:val="clear" w:pos="900"/>
              <w:tab w:val="clear" w:pos="9350"/>
              <w:tab w:val="right" w:pos="9025" w:leader="dot"/>
            </w:tabs>
            <w:rPr/>
          </w:pPr>
          <w:hyperlink w:anchor="__RefHeading___Toc24294_3350804041">
            <w:r>
              <w:rPr>
                <w:webHidden/>
                <w:rStyle w:val="IndexLink"/>
              </w:rPr>
              <w:t>4.3 My Profile and account security</w:t>
              <w:tab/>
              <w:t>23</w:t>
            </w:r>
          </w:hyperlink>
        </w:p>
        <w:p>
          <w:pPr>
            <w:pStyle w:val="TOC2"/>
            <w:tabs>
              <w:tab w:val="clear" w:pos="900"/>
              <w:tab w:val="clear" w:pos="9350"/>
              <w:tab w:val="right" w:pos="9025" w:leader="dot"/>
            </w:tabs>
            <w:rPr/>
          </w:pPr>
          <w:hyperlink w:anchor="__RefHeading___Toc24296_3350804041">
            <w:r>
              <w:rPr>
                <w:webHidden/>
                <w:rStyle w:val="IndexLink"/>
              </w:rPr>
              <w:t>4.4 Roles and menus</w:t>
              <w:tab/>
              <w:t>27</w:t>
            </w:r>
          </w:hyperlink>
        </w:p>
        <w:p>
          <w:pPr>
            <w:pStyle w:val="TOC2"/>
            <w:tabs>
              <w:tab w:val="clear" w:pos="900"/>
              <w:tab w:val="clear" w:pos="9350"/>
              <w:tab w:val="right" w:pos="9025" w:leader="dot"/>
            </w:tabs>
            <w:rPr/>
          </w:pPr>
          <w:hyperlink w:anchor="__RefHeading___Toc24298_3350804041">
            <w:r>
              <w:rPr>
                <w:webHidden/>
                <w:rStyle w:val="IndexLink"/>
              </w:rPr>
              <w:t>4.5 Working with lists</w:t>
              <w:tab/>
              <w:t>28</w:t>
            </w:r>
          </w:hyperlink>
        </w:p>
        <w:p>
          <w:pPr>
            <w:pStyle w:val="TOC2"/>
            <w:tabs>
              <w:tab w:val="clear" w:pos="900"/>
              <w:tab w:val="clear" w:pos="9350"/>
              <w:tab w:val="right" w:pos="9025" w:leader="dot"/>
            </w:tabs>
            <w:rPr/>
          </w:pPr>
          <w:hyperlink w:anchor="__RefHeading___Toc24300_3350804041">
            <w:r>
              <w:rPr>
                <w:webHidden/>
                <w:rStyle w:val="IndexLink"/>
              </w:rPr>
              <w:t>4.6 Working with forms</w:t>
              <w:tab/>
              <w:t>30</w:t>
            </w:r>
          </w:hyperlink>
        </w:p>
        <w:p>
          <w:pPr>
            <w:pStyle w:val="TOC2"/>
            <w:tabs>
              <w:tab w:val="clear" w:pos="900"/>
              <w:tab w:val="clear" w:pos="9350"/>
              <w:tab w:val="right" w:pos="9025" w:leader="dot"/>
            </w:tabs>
            <w:rPr/>
          </w:pPr>
          <w:hyperlink w:anchor="__RefHeading___Toc24302_3350804041">
            <w:r>
              <w:rPr>
                <w:webHidden/>
                <w:rStyle w:val="IndexLink"/>
              </w:rPr>
              <w:t>4.7 Statuses, approvals and maker-checker</w:t>
              <w:tab/>
              <w:t>30</w:t>
            </w:r>
          </w:hyperlink>
        </w:p>
        <w:p>
          <w:pPr>
            <w:pStyle w:val="TOC2"/>
            <w:tabs>
              <w:tab w:val="clear" w:pos="900"/>
              <w:tab w:val="clear" w:pos="9350"/>
              <w:tab w:val="right" w:pos="9025" w:leader="dot"/>
            </w:tabs>
            <w:rPr/>
          </w:pPr>
          <w:hyperlink w:anchor="__RefHeading___Toc24304_3350804041">
            <w:r>
              <w:rPr>
                <w:webHidden/>
                <w:rStyle w:val="IndexLink"/>
              </w:rPr>
              <w:t>4.8 Where the audit trail is</w:t>
              <w:tab/>
              <w:t>31</w:t>
            </w:r>
          </w:hyperlink>
        </w:p>
        <w:p>
          <w:pPr>
            <w:pStyle w:val="TOC1"/>
            <w:tabs>
              <w:tab w:val="clear" w:pos="900"/>
              <w:tab w:val="clear" w:pos="9350"/>
              <w:tab w:val="right" w:pos="9025" w:leader="dot"/>
            </w:tabs>
            <w:rPr/>
          </w:pPr>
          <w:hyperlink w:anchor="__RefHeading___Toc24306_3350804041">
            <w:r>
              <w:rPr>
                <w:webHidden/>
                <w:rStyle w:val="IndexLink"/>
              </w:rPr>
              <w:t>5. The business process end to end</w:t>
              <w:tab/>
              <w:t>32</w:t>
            </w:r>
          </w:hyperlink>
        </w:p>
        <w:p>
          <w:pPr>
            <w:pStyle w:val="TOC2"/>
            <w:tabs>
              <w:tab w:val="clear" w:pos="900"/>
              <w:tab w:val="clear" w:pos="9350"/>
              <w:tab w:val="right" w:pos="9025" w:leader="dot"/>
            </w:tabs>
            <w:rPr/>
          </w:pPr>
          <w:hyperlink w:anchor="__RefHeading___Toc24308_3350804041">
            <w:r>
              <w:rPr>
                <w:webHidden/>
                <w:rStyle w:val="IndexLink"/>
              </w:rPr>
              <w:t>5.1 The broking cycle</w:t>
              <w:tab/>
              <w:t>32</w:t>
            </w:r>
          </w:hyperlink>
        </w:p>
        <w:p>
          <w:pPr>
            <w:pStyle w:val="TOC2"/>
            <w:tabs>
              <w:tab w:val="clear" w:pos="900"/>
              <w:tab w:val="clear" w:pos="9350"/>
              <w:tab w:val="right" w:pos="9025" w:leader="dot"/>
            </w:tabs>
            <w:rPr/>
          </w:pPr>
          <w:hyperlink w:anchor="__RefHeading___Toc24310_3350804041">
            <w:r>
              <w:rPr>
                <w:webHidden/>
                <w:rStyle w:val="IndexLink"/>
              </w:rPr>
              <w:t>5.2 Who does each step and where</w:t>
              <w:tab/>
              <w:t>34</w:t>
            </w:r>
          </w:hyperlink>
        </w:p>
        <w:p>
          <w:pPr>
            <w:pStyle w:val="TOC2"/>
            <w:tabs>
              <w:tab w:val="clear" w:pos="900"/>
              <w:tab w:val="clear" w:pos="9350"/>
              <w:tab w:val="right" w:pos="9025" w:leader="dot"/>
            </w:tabs>
            <w:rPr/>
          </w:pPr>
          <w:hyperlink w:anchor="__RefHeading___Toc24312_3350804041">
            <w:r>
              <w:rPr>
                <w:webHidden/>
                <w:rStyle w:val="IndexLink"/>
              </w:rPr>
              <w:t>5.3 The placement journey by line</w:t>
              <w:tab/>
              <w:t>34</w:t>
            </w:r>
          </w:hyperlink>
        </w:p>
        <w:p>
          <w:pPr>
            <w:pStyle w:val="TOC2"/>
            <w:tabs>
              <w:tab w:val="clear" w:pos="900"/>
              <w:tab w:val="clear" w:pos="9350"/>
              <w:tab w:val="right" w:pos="9025" w:leader="dot"/>
            </w:tabs>
            <w:rPr/>
          </w:pPr>
          <w:hyperlink w:anchor="__RefHeading___Toc24314_3350804041">
            <w:r>
              <w:rPr>
                <w:webHidden/>
                <w:rStyle w:val="IndexLink"/>
              </w:rPr>
              <w:t>5.4 What the system posts</w:t>
              <w:tab/>
              <w:t>35</w:t>
            </w:r>
          </w:hyperlink>
        </w:p>
        <w:p>
          <w:pPr>
            <w:pStyle w:val="TOC1"/>
            <w:tabs>
              <w:tab w:val="clear" w:pos="900"/>
              <w:tab w:val="clear" w:pos="9350"/>
              <w:tab w:val="right" w:pos="9025" w:leader="dot"/>
            </w:tabs>
            <w:rPr/>
          </w:pPr>
          <w:hyperlink w:anchor="__RefHeading___Toc24316_3350804041">
            <w:r>
              <w:rPr>
                <w:webHidden/>
                <w:rStyle w:val="IndexLink"/>
              </w:rPr>
              <w:t>6. System Administrator</w:t>
              <w:tab/>
              <w:t>36</w:t>
            </w:r>
          </w:hyperlink>
        </w:p>
        <w:p>
          <w:pPr>
            <w:pStyle w:val="TOC2"/>
            <w:tabs>
              <w:tab w:val="clear" w:pos="900"/>
              <w:tab w:val="clear" w:pos="9350"/>
              <w:tab w:val="right" w:pos="9025" w:leader="dot"/>
            </w:tabs>
            <w:rPr/>
          </w:pPr>
          <w:hyperlink w:anchor="__RefHeading___Toc24318_3350804041">
            <w:r>
              <w:rPr>
                <w:webHidden/>
                <w:rStyle w:val="IndexLink"/>
              </w:rPr>
              <w:t>6.1 Role summary</w:t>
              <w:tab/>
              <w:t>36</w:t>
            </w:r>
          </w:hyperlink>
        </w:p>
        <w:p>
          <w:pPr>
            <w:pStyle w:val="TOC2"/>
            <w:tabs>
              <w:tab w:val="clear" w:pos="900"/>
              <w:tab w:val="clear" w:pos="9350"/>
              <w:tab w:val="right" w:pos="9025" w:leader="dot"/>
            </w:tabs>
            <w:rPr/>
          </w:pPr>
          <w:hyperlink w:anchor="__RefHeading___Toc24320_3350804041">
            <w:r>
              <w:rPr>
                <w:webHidden/>
                <w:rStyle w:val="IndexLink"/>
              </w:rPr>
              <w:t>6.2 Menus available</w:t>
              <w:tab/>
              <w:t>36</w:t>
            </w:r>
          </w:hyperlink>
        </w:p>
        <w:p>
          <w:pPr>
            <w:pStyle w:val="TOC2"/>
            <w:tabs>
              <w:tab w:val="clear" w:pos="900"/>
              <w:tab w:val="clear" w:pos="9350"/>
              <w:tab w:val="right" w:pos="9025" w:leader="dot"/>
            </w:tabs>
            <w:rPr/>
          </w:pPr>
          <w:hyperlink w:anchor="__RefHeading___Toc24322_3350804041">
            <w:r>
              <w:rPr>
                <w:webHidden/>
                <w:rStyle w:val="IndexLink"/>
              </w:rPr>
              <w:t>6.3 Daily and periodic tasks</w:t>
              <w:tab/>
              <w:t>37</w:t>
            </w:r>
          </w:hyperlink>
        </w:p>
        <w:p>
          <w:pPr>
            <w:pStyle w:val="TOC2"/>
            <w:tabs>
              <w:tab w:val="clear" w:pos="900"/>
              <w:tab w:val="clear" w:pos="9350"/>
              <w:tab w:val="right" w:pos="9025" w:leader="dot"/>
            </w:tabs>
            <w:rPr/>
          </w:pPr>
          <w:hyperlink w:anchor="__RefHeading___Toc24324_3350804041">
            <w:r>
              <w:rPr>
                <w:webHidden/>
                <w:rStyle w:val="IndexLink"/>
              </w:rPr>
              <w:t>6.4 Users</w:t>
              <w:tab/>
              <w:t>38</w:t>
            </w:r>
          </w:hyperlink>
        </w:p>
        <w:p>
          <w:pPr>
            <w:pStyle w:val="TOC2"/>
            <w:tabs>
              <w:tab w:val="clear" w:pos="900"/>
              <w:tab w:val="clear" w:pos="9350"/>
              <w:tab w:val="right" w:pos="9025" w:leader="dot"/>
            </w:tabs>
            <w:rPr/>
          </w:pPr>
          <w:hyperlink w:anchor="__RefHeading___Toc24326_3350804041">
            <w:r>
              <w:rPr>
                <w:webHidden/>
                <w:rStyle w:val="IndexLink"/>
              </w:rPr>
              <w:t>6.5 Company, branches and the letterhead</w:t>
              <w:tab/>
              <w:t>45</w:t>
            </w:r>
          </w:hyperlink>
        </w:p>
        <w:p>
          <w:pPr>
            <w:pStyle w:val="TOC2"/>
            <w:tabs>
              <w:tab w:val="clear" w:pos="900"/>
              <w:tab w:val="clear" w:pos="9350"/>
              <w:tab w:val="right" w:pos="9025" w:leader="dot"/>
            </w:tabs>
            <w:rPr/>
          </w:pPr>
          <w:hyperlink w:anchor="__RefHeading___Toc24328_3350804041">
            <w:r>
              <w:rPr>
                <w:webHidden/>
                <w:rStyle w:val="IndexLink"/>
              </w:rPr>
              <w:t>6.6 Insurers and the other masters</w:t>
              <w:tab/>
              <w:t>46</w:t>
            </w:r>
          </w:hyperlink>
        </w:p>
        <w:p>
          <w:pPr>
            <w:pStyle w:val="TOC2"/>
            <w:tabs>
              <w:tab w:val="clear" w:pos="900"/>
              <w:tab w:val="clear" w:pos="9350"/>
              <w:tab w:val="right" w:pos="9025" w:leader="dot"/>
            </w:tabs>
            <w:rPr/>
          </w:pPr>
          <w:hyperlink w:anchor="__RefHeading___Toc24330_3350804041">
            <w:r>
              <w:rPr>
                <w:webHidden/>
                <w:rStyle w:val="IndexLink"/>
              </w:rPr>
              <w:t>6.7 Document Numbering</w:t>
              <w:tab/>
              <w:t>49</w:t>
            </w:r>
          </w:hyperlink>
        </w:p>
        <w:p>
          <w:pPr>
            <w:pStyle w:val="TOC2"/>
            <w:tabs>
              <w:tab w:val="clear" w:pos="900"/>
              <w:tab w:val="clear" w:pos="9350"/>
              <w:tab w:val="right" w:pos="9025" w:leader="dot"/>
            </w:tabs>
            <w:rPr/>
          </w:pPr>
          <w:hyperlink w:anchor="__RefHeading___Toc24332_3350804041">
            <w:r>
              <w:rPr>
                <w:webHidden/>
                <w:rStyle w:val="IndexLink"/>
              </w:rPr>
              <w:t>6.8 Configuration</w:t>
              <w:tab/>
              <w:t>50</w:t>
            </w:r>
          </w:hyperlink>
        </w:p>
        <w:p>
          <w:pPr>
            <w:pStyle w:val="TOC2"/>
            <w:tabs>
              <w:tab w:val="clear" w:pos="900"/>
              <w:tab w:val="clear" w:pos="9350"/>
              <w:tab w:val="right" w:pos="9025" w:leader="dot"/>
            </w:tabs>
            <w:rPr/>
          </w:pPr>
          <w:hyperlink w:anchor="__RefHeading___Toc24334_3350804041">
            <w:r>
              <w:rPr>
                <w:webHidden/>
                <w:rStyle w:val="IndexLink"/>
              </w:rPr>
              <w:t>6.9 Theme and Branding</w:t>
              <w:tab/>
              <w:t>52</w:t>
            </w:r>
          </w:hyperlink>
        </w:p>
        <w:p>
          <w:pPr>
            <w:pStyle w:val="TOC2"/>
            <w:tabs>
              <w:tab w:val="clear" w:pos="900"/>
              <w:tab w:val="clear" w:pos="9350"/>
              <w:tab w:val="right" w:pos="9025" w:leader="dot"/>
            </w:tabs>
            <w:rPr/>
          </w:pPr>
          <w:hyperlink w:anchor="__RefHeading___Toc24336_3350804041">
            <w:r>
              <w:rPr>
                <w:webHidden/>
                <w:rStyle w:val="IndexLink"/>
              </w:rPr>
              <w:t>6.10 Schedules</w:t>
              <w:tab/>
              <w:t>59</w:t>
            </w:r>
          </w:hyperlink>
        </w:p>
        <w:p>
          <w:pPr>
            <w:pStyle w:val="TOC2"/>
            <w:tabs>
              <w:tab w:val="clear" w:pos="900"/>
              <w:tab w:val="clear" w:pos="9350"/>
              <w:tab w:val="right" w:pos="9025" w:leader="dot"/>
            </w:tabs>
            <w:rPr/>
          </w:pPr>
          <w:hyperlink w:anchor="__RefHeading___Toc24338_3350804041">
            <w:r>
              <w:rPr>
                <w:webHidden/>
                <w:rStyle w:val="IndexLink"/>
              </w:rPr>
              <w:t>6.11 E-mail Outbox</w:t>
              <w:tab/>
              <w:t>60</w:t>
            </w:r>
          </w:hyperlink>
        </w:p>
        <w:p>
          <w:pPr>
            <w:pStyle w:val="TOC2"/>
            <w:tabs>
              <w:tab w:val="clear" w:pos="900"/>
              <w:tab w:val="clear" w:pos="9350"/>
              <w:tab w:val="right" w:pos="9025" w:leader="dot"/>
            </w:tabs>
            <w:rPr/>
          </w:pPr>
          <w:hyperlink w:anchor="__RefHeading___Toc24340_3350804041">
            <w:r>
              <w:rPr>
                <w:webHidden/>
                <w:rStyle w:val="IndexLink"/>
              </w:rPr>
              <w:t>6.12 Integrations</w:t>
              <w:tab/>
              <w:t>60</w:t>
            </w:r>
          </w:hyperlink>
        </w:p>
        <w:p>
          <w:pPr>
            <w:pStyle w:val="TOC2"/>
            <w:tabs>
              <w:tab w:val="clear" w:pos="900"/>
              <w:tab w:val="clear" w:pos="9350"/>
              <w:tab w:val="right" w:pos="9025" w:leader="dot"/>
            </w:tabs>
            <w:rPr/>
          </w:pPr>
          <w:hyperlink w:anchor="__RefHeading___Toc24342_3350804041">
            <w:r>
              <w:rPr>
                <w:webHidden/>
                <w:rStyle w:val="IndexLink"/>
              </w:rPr>
              <w:t>6.13 SMS and message templates</w:t>
              <w:tab/>
              <w:t>63</w:t>
            </w:r>
          </w:hyperlink>
        </w:p>
        <w:p>
          <w:pPr>
            <w:pStyle w:val="TOC2"/>
            <w:tabs>
              <w:tab w:val="clear" w:pos="900"/>
              <w:tab w:val="clear" w:pos="9350"/>
              <w:tab w:val="right" w:pos="9025" w:leader="dot"/>
            </w:tabs>
            <w:rPr/>
          </w:pPr>
          <w:hyperlink w:anchor="__RefHeading___Toc24344_3350804041">
            <w:r>
              <w:rPr>
                <w:webHidden/>
                <w:rStyle w:val="IndexLink"/>
              </w:rPr>
              <w:t>6.14 Insurer integration</w:t>
              <w:tab/>
              <w:t>65</w:t>
            </w:r>
          </w:hyperlink>
        </w:p>
        <w:p>
          <w:pPr>
            <w:pStyle w:val="TOC2"/>
            <w:tabs>
              <w:tab w:val="clear" w:pos="900"/>
              <w:tab w:val="clear" w:pos="9350"/>
              <w:tab w:val="right" w:pos="9025" w:leader="dot"/>
            </w:tabs>
            <w:rPr/>
          </w:pPr>
          <w:hyperlink w:anchor="__RefHeading___Toc24346_3350804041">
            <w:r>
              <w:rPr>
                <w:webHidden/>
                <w:rStyle w:val="IndexLink"/>
              </w:rPr>
              <w:t>6.15 Audit Trail</w:t>
              <w:tab/>
              <w:t>67</w:t>
            </w:r>
          </w:hyperlink>
        </w:p>
        <w:p>
          <w:pPr>
            <w:pStyle w:val="TOC2"/>
            <w:tabs>
              <w:tab w:val="clear" w:pos="900"/>
              <w:tab w:val="clear" w:pos="9350"/>
              <w:tab w:val="right" w:pos="9025" w:leader="dot"/>
            </w:tabs>
            <w:rPr/>
          </w:pPr>
          <w:hyperlink w:anchor="__RefHeading___Toc24348_3350804041">
            <w:r>
              <w:rPr>
                <w:webHidden/>
                <w:rStyle w:val="IndexLink"/>
              </w:rPr>
              <w:t>6.16 Data privacy</w:t>
              <w:tab/>
              <w:t>67</w:t>
            </w:r>
          </w:hyperlink>
        </w:p>
        <w:p>
          <w:pPr>
            <w:pStyle w:val="TOC2"/>
            <w:tabs>
              <w:tab w:val="clear" w:pos="900"/>
              <w:tab w:val="clear" w:pos="9350"/>
              <w:tab w:val="right" w:pos="9025" w:leader="dot"/>
            </w:tabs>
            <w:rPr/>
          </w:pPr>
          <w:hyperlink w:anchor="__RefHeading___Toc24350_3350804041">
            <w:r>
              <w:rPr>
                <w:webHidden/>
                <w:rStyle w:val="IndexLink"/>
              </w:rPr>
              <w:t>6.17 Finance set-up shared with the Accounting Manager</w:t>
              <w:tab/>
              <w:t>69</w:t>
            </w:r>
          </w:hyperlink>
        </w:p>
        <w:p>
          <w:pPr>
            <w:pStyle w:val="TOC2"/>
            <w:tabs>
              <w:tab w:val="clear" w:pos="900"/>
              <w:tab w:val="clear" w:pos="9350"/>
              <w:tab w:val="right" w:pos="9025" w:leader="dot"/>
            </w:tabs>
            <w:rPr/>
          </w:pPr>
          <w:hyperlink w:anchor="__RefHeading___Toc24352_3350804041">
            <w:r>
              <w:rPr>
                <w:webHidden/>
                <w:rStyle w:val="IndexLink"/>
              </w:rPr>
              <w:t>6.18 Reinsurance treaties and incentive programmes</w:t>
              <w:tab/>
              <w:t>69</w:t>
            </w:r>
          </w:hyperlink>
        </w:p>
        <w:p>
          <w:pPr>
            <w:pStyle w:val="TOC2"/>
            <w:tabs>
              <w:tab w:val="clear" w:pos="900"/>
              <w:tab w:val="clear" w:pos="9350"/>
              <w:tab w:val="right" w:pos="9025" w:leader="dot"/>
            </w:tabs>
            <w:rPr/>
          </w:pPr>
          <w:hyperlink w:anchor="__RefHeading___Toc24354_3350804041">
            <w:r>
              <w:rPr>
                <w:webHidden/>
                <w:rStyle w:val="IndexLink"/>
              </w:rPr>
              <w:t>6.19 Approvals</w:t>
              <w:tab/>
              <w:t>70</w:t>
            </w:r>
          </w:hyperlink>
        </w:p>
        <w:p>
          <w:pPr>
            <w:pStyle w:val="TOC1"/>
            <w:tabs>
              <w:tab w:val="clear" w:pos="900"/>
              <w:tab w:val="clear" w:pos="9350"/>
              <w:tab w:val="right" w:pos="9025" w:leader="dot"/>
            </w:tabs>
            <w:rPr/>
          </w:pPr>
          <w:hyperlink w:anchor="__RefHeading___Toc24356_3350804041">
            <w:r>
              <w:rPr>
                <w:webHidden/>
                <w:rStyle w:val="IndexLink"/>
              </w:rPr>
              <w:t>7. Go-Live Data Load</w:t>
              <w:tab/>
              <w:t>71</w:t>
            </w:r>
          </w:hyperlink>
        </w:p>
        <w:p>
          <w:pPr>
            <w:pStyle w:val="TOC2"/>
            <w:tabs>
              <w:tab w:val="clear" w:pos="900"/>
              <w:tab w:val="clear" w:pos="9350"/>
              <w:tab w:val="right" w:pos="9025" w:leader="dot"/>
            </w:tabs>
            <w:rPr/>
          </w:pPr>
          <w:hyperlink w:anchor="__RefHeading___Toc24358_3350804041">
            <w:r>
              <w:rPr>
                <w:webHidden/>
                <w:rStyle w:val="IndexLink"/>
              </w:rPr>
              <w:t>7.1 The two workbooks</w:t>
              <w:tab/>
              <w:t>71</w:t>
            </w:r>
          </w:hyperlink>
        </w:p>
        <w:p>
          <w:pPr>
            <w:pStyle w:val="TOC2"/>
            <w:tabs>
              <w:tab w:val="clear" w:pos="900"/>
              <w:tab w:val="clear" w:pos="9350"/>
              <w:tab w:val="right" w:pos="9025" w:leader="dot"/>
            </w:tabs>
            <w:rPr/>
          </w:pPr>
          <w:hyperlink w:anchor="__RefHeading___Toc24360_3350804041">
            <w:r>
              <w:rPr>
                <w:webHidden/>
                <w:rStyle w:val="IndexLink"/>
              </w:rPr>
              <w:t>7.2 Download the template</w:t>
              <w:tab/>
              <w:t>72</w:t>
            </w:r>
          </w:hyperlink>
        </w:p>
        <w:p>
          <w:pPr>
            <w:pStyle w:val="TOC2"/>
            <w:tabs>
              <w:tab w:val="clear" w:pos="900"/>
              <w:tab w:val="clear" w:pos="9350"/>
              <w:tab w:val="right" w:pos="9025" w:leader="dot"/>
            </w:tabs>
            <w:rPr/>
          </w:pPr>
          <w:hyperlink w:anchor="__RefHeading___Toc24362_3350804041">
            <w:r>
              <w:rPr>
                <w:webHidden/>
                <w:rStyle w:val="IndexLink"/>
              </w:rPr>
              <w:t>7.3 Upload and validate</w:t>
              <w:tab/>
              <w:t>73</w:t>
            </w:r>
          </w:hyperlink>
        </w:p>
        <w:p>
          <w:pPr>
            <w:pStyle w:val="TOC2"/>
            <w:tabs>
              <w:tab w:val="clear" w:pos="900"/>
              <w:tab w:val="clear" w:pos="9350"/>
              <w:tab w:val="right" w:pos="9025" w:leader="dot"/>
            </w:tabs>
            <w:rPr/>
          </w:pPr>
          <w:hyperlink w:anchor="__RefHeading___Toc24364_3350804041">
            <w:r>
              <w:rPr>
                <w:webHidden/>
                <w:rStyle w:val="IndexLink"/>
              </w:rPr>
              <w:t>7.4 Correct the errors</w:t>
              <w:tab/>
              <w:t>75</w:t>
            </w:r>
          </w:hyperlink>
        </w:p>
        <w:p>
          <w:pPr>
            <w:pStyle w:val="TOC2"/>
            <w:tabs>
              <w:tab w:val="clear" w:pos="900"/>
              <w:tab w:val="clear" w:pos="9350"/>
              <w:tab w:val="right" w:pos="9025" w:leader="dot"/>
            </w:tabs>
            <w:rPr/>
          </w:pPr>
          <w:hyperlink w:anchor="__RefHeading___Toc24366_3350804041">
            <w:r>
              <w:rPr>
                <w:webHidden/>
                <w:rStyle w:val="IndexLink"/>
              </w:rPr>
              <w:t>7.5 Load</w:t>
              <w:tab/>
              <w:t>75</w:t>
            </w:r>
          </w:hyperlink>
        </w:p>
        <w:p>
          <w:pPr>
            <w:pStyle w:val="TOC2"/>
            <w:tabs>
              <w:tab w:val="clear" w:pos="900"/>
              <w:tab w:val="clear" w:pos="9350"/>
              <w:tab w:val="right" w:pos="9025" w:leader="dot"/>
            </w:tabs>
            <w:rPr/>
          </w:pPr>
          <w:hyperlink w:anchor="__RefHeading___Toc24368_3350804041">
            <w:r>
              <w:rPr>
                <w:webHidden/>
                <w:rStyle w:val="IndexLink"/>
              </w:rPr>
              <w:t>7.6 History</w:t>
              <w:tab/>
              <w:t>76</w:t>
            </w:r>
          </w:hyperlink>
        </w:p>
        <w:p>
          <w:pPr>
            <w:pStyle w:val="TOC2"/>
            <w:tabs>
              <w:tab w:val="clear" w:pos="900"/>
              <w:tab w:val="clear" w:pos="9350"/>
              <w:tab w:val="right" w:pos="9025" w:leader="dot"/>
            </w:tabs>
            <w:rPr/>
          </w:pPr>
          <w:hyperlink w:anchor="__RefHeading___Toc24370_3350804041">
            <w:r>
              <w:rPr>
                <w:webHidden/>
                <w:rStyle w:val="IndexLink"/>
              </w:rPr>
              <w:t>7.7 Migration rules and reconciliation</w:t>
              <w:tab/>
              <w:t>76</w:t>
            </w:r>
          </w:hyperlink>
        </w:p>
        <w:p>
          <w:pPr>
            <w:pStyle w:val="TOC2"/>
            <w:tabs>
              <w:tab w:val="clear" w:pos="900"/>
              <w:tab w:val="clear" w:pos="9350"/>
              <w:tab w:val="right" w:pos="9025" w:leader="dot"/>
            </w:tabs>
            <w:rPr/>
          </w:pPr>
          <w:hyperlink w:anchor="__RefHeading___Toc24372_3350804041">
            <w:r>
              <w:rPr>
                <w:webHidden/>
                <w:rStyle w:val="IndexLink"/>
              </w:rPr>
              <w:t>7.8 Go-live lock</w:t>
              <w:tab/>
              <w:t>77</w:t>
            </w:r>
          </w:hyperlink>
        </w:p>
        <w:p>
          <w:pPr>
            <w:pStyle w:val="TOC1"/>
            <w:tabs>
              <w:tab w:val="clear" w:pos="900"/>
              <w:tab w:val="clear" w:pos="9350"/>
              <w:tab w:val="right" w:pos="9025" w:leader="dot"/>
            </w:tabs>
            <w:rPr/>
          </w:pPr>
          <w:hyperlink w:anchor="__RefHeading___Toc24374_3350804041">
            <w:r>
              <w:rPr>
                <w:webHidden/>
                <w:rStyle w:val="IndexLink"/>
              </w:rPr>
              <w:t>8. Sales &amp; Marketing (Account Executive)</w:t>
              <w:tab/>
              <w:t>78</w:t>
            </w:r>
          </w:hyperlink>
        </w:p>
        <w:p>
          <w:pPr>
            <w:pStyle w:val="TOC2"/>
            <w:tabs>
              <w:tab w:val="clear" w:pos="900"/>
              <w:tab w:val="clear" w:pos="9350"/>
              <w:tab w:val="right" w:pos="9025" w:leader="dot"/>
            </w:tabs>
            <w:rPr/>
          </w:pPr>
          <w:hyperlink w:anchor="__RefHeading___Toc24376_3350804041">
            <w:r>
              <w:rPr>
                <w:webHidden/>
                <w:rStyle w:val="IndexLink"/>
              </w:rPr>
              <w:t>8.1 Role summary</w:t>
              <w:tab/>
              <w:t>78</w:t>
            </w:r>
          </w:hyperlink>
        </w:p>
        <w:p>
          <w:pPr>
            <w:pStyle w:val="TOC2"/>
            <w:tabs>
              <w:tab w:val="clear" w:pos="900"/>
              <w:tab w:val="clear" w:pos="9350"/>
              <w:tab w:val="right" w:pos="9025" w:leader="dot"/>
            </w:tabs>
            <w:rPr/>
          </w:pPr>
          <w:hyperlink w:anchor="__RefHeading___Toc24378_3350804041">
            <w:r>
              <w:rPr>
                <w:webHidden/>
                <w:rStyle w:val="IndexLink"/>
              </w:rPr>
              <w:t>8.2 Menus available</w:t>
              <w:tab/>
              <w:t>78</w:t>
            </w:r>
          </w:hyperlink>
        </w:p>
        <w:p>
          <w:pPr>
            <w:pStyle w:val="TOC2"/>
            <w:tabs>
              <w:tab w:val="clear" w:pos="900"/>
              <w:tab w:val="clear" w:pos="9350"/>
              <w:tab w:val="right" w:pos="9025" w:leader="dot"/>
            </w:tabs>
            <w:rPr/>
          </w:pPr>
          <w:hyperlink w:anchor="__RefHeading___Toc24380_3350804041">
            <w:r>
              <w:rPr>
                <w:webHidden/>
                <w:rStyle w:val="IndexLink"/>
              </w:rPr>
              <w:t>8.3 Daily and periodic tasks</w:t>
              <w:tab/>
              <w:t>79</w:t>
            </w:r>
          </w:hyperlink>
        </w:p>
        <w:p>
          <w:pPr>
            <w:pStyle w:val="TOC2"/>
            <w:tabs>
              <w:tab w:val="clear" w:pos="900"/>
              <w:tab w:val="clear" w:pos="9350"/>
              <w:tab w:val="right" w:pos="9025" w:leader="dot"/>
            </w:tabs>
            <w:rPr/>
          </w:pPr>
          <w:hyperlink w:anchor="__RefHeading___Toc24382_3350804041">
            <w:r>
              <w:rPr>
                <w:webHidden/>
                <w:rStyle w:val="IndexLink"/>
              </w:rPr>
              <w:t>8.4 Sales Dashboard</w:t>
              <w:tab/>
              <w:t>79</w:t>
            </w:r>
          </w:hyperlink>
        </w:p>
        <w:p>
          <w:pPr>
            <w:pStyle w:val="TOC2"/>
            <w:tabs>
              <w:tab w:val="clear" w:pos="900"/>
              <w:tab w:val="clear" w:pos="9350"/>
              <w:tab w:val="right" w:pos="9025" w:leader="dot"/>
            </w:tabs>
            <w:rPr/>
          </w:pPr>
          <w:hyperlink w:anchor="__RefHeading___Toc24384_3350804041">
            <w:r>
              <w:rPr>
                <w:webHidden/>
                <w:rStyle w:val="IndexLink"/>
              </w:rPr>
              <w:t>8.5 Prospects</w:t>
              <w:tab/>
              <w:t>80</w:t>
            </w:r>
          </w:hyperlink>
        </w:p>
        <w:p>
          <w:pPr>
            <w:pStyle w:val="TOC2"/>
            <w:tabs>
              <w:tab w:val="clear" w:pos="900"/>
              <w:tab w:val="clear" w:pos="9350"/>
              <w:tab w:val="right" w:pos="9025" w:leader="dot"/>
            </w:tabs>
            <w:rPr/>
          </w:pPr>
          <w:hyperlink w:anchor="__RefHeading___Toc24386_3350804041">
            <w:r>
              <w:rPr>
                <w:webHidden/>
                <w:rStyle w:val="IndexLink"/>
              </w:rPr>
              <w:t>8.6 Quick Quote and Compare Insurers</w:t>
              <w:tab/>
              <w:t>86</w:t>
            </w:r>
          </w:hyperlink>
        </w:p>
        <w:p>
          <w:pPr>
            <w:pStyle w:val="TOC2"/>
            <w:tabs>
              <w:tab w:val="clear" w:pos="900"/>
              <w:tab w:val="clear" w:pos="9350"/>
              <w:tab w:val="right" w:pos="9025" w:leader="dot"/>
            </w:tabs>
            <w:rPr/>
          </w:pPr>
          <w:hyperlink w:anchor="__RefHeading___Toc24388_3350804041">
            <w:r>
              <w:rPr>
                <w:webHidden/>
                <w:rStyle w:val="IndexLink"/>
              </w:rPr>
              <w:t>8.7 Create a motor quotation</w:t>
              <w:tab/>
              <w:t>87</w:t>
            </w:r>
          </w:hyperlink>
        </w:p>
        <w:p>
          <w:pPr>
            <w:pStyle w:val="TOC2"/>
            <w:tabs>
              <w:tab w:val="clear" w:pos="900"/>
              <w:tab w:val="clear" w:pos="9350"/>
              <w:tab w:val="right" w:pos="9025" w:leader="dot"/>
            </w:tabs>
            <w:rPr/>
          </w:pPr>
          <w:hyperlink w:anchor="__RefHeading___Toc24390_3350804041">
            <w:r>
              <w:rPr>
                <w:webHidden/>
                <w:rStyle w:val="IndexLink"/>
              </w:rPr>
              <w:t>8.8 Quotations</w:t>
              <w:tab/>
              <w:t>90</w:t>
            </w:r>
          </w:hyperlink>
        </w:p>
        <w:p>
          <w:pPr>
            <w:pStyle w:val="TOC2"/>
            <w:tabs>
              <w:tab w:val="clear" w:pos="900"/>
              <w:tab w:val="clear" w:pos="9350"/>
              <w:tab w:val="right" w:pos="9025" w:leader="dot"/>
            </w:tabs>
            <w:rPr/>
          </w:pPr>
          <w:hyperlink w:anchor="__RefHeading___Toc24392_3350804041">
            <w:r>
              <w:rPr>
                <w:webHidden/>
                <w:rStyle w:val="IndexLink"/>
              </w:rPr>
              <w:t>8.9 Sales activities</w:t>
              <w:tab/>
              <w:t>94</w:t>
            </w:r>
          </w:hyperlink>
        </w:p>
        <w:p>
          <w:pPr>
            <w:pStyle w:val="TOC2"/>
            <w:tabs>
              <w:tab w:val="clear" w:pos="900"/>
              <w:tab w:val="clear" w:pos="9350"/>
              <w:tab w:val="right" w:pos="9025" w:leader="dot"/>
            </w:tabs>
            <w:rPr/>
          </w:pPr>
          <w:hyperlink w:anchor="__RefHeading___Toc24394_3350804041">
            <w:r>
              <w:rPr>
                <w:webHidden/>
                <w:rStyle w:val="IndexLink"/>
              </w:rPr>
              <w:t>8.10 Request a quotation from the market</w:t>
              <w:tab/>
              <w:t>96</w:t>
            </w:r>
          </w:hyperlink>
        </w:p>
        <w:p>
          <w:pPr>
            <w:pStyle w:val="TOC2"/>
            <w:tabs>
              <w:tab w:val="clear" w:pos="900"/>
              <w:tab w:val="clear" w:pos="9350"/>
              <w:tab w:val="right" w:pos="9025" w:leader="dot"/>
            </w:tabs>
            <w:rPr/>
          </w:pPr>
          <w:hyperlink w:anchor="__RefHeading___Toc24396_3350804041">
            <w:r>
              <w:rPr>
                <w:webHidden/>
                <w:rStyle w:val="IndexLink"/>
              </w:rPr>
              <w:t>8.11 Record the client's payment</w:t>
              <w:tab/>
              <w:t>96</w:t>
            </w:r>
          </w:hyperlink>
        </w:p>
        <w:p>
          <w:pPr>
            <w:pStyle w:val="TOC2"/>
            <w:tabs>
              <w:tab w:val="clear" w:pos="900"/>
              <w:tab w:val="clear" w:pos="9350"/>
              <w:tab w:val="right" w:pos="9025" w:leader="dot"/>
            </w:tabs>
            <w:rPr/>
          </w:pPr>
          <w:hyperlink w:anchor="__RefHeading___Toc24398_3350804041">
            <w:r>
              <w:rPr>
                <w:webHidden/>
                <w:rStyle w:val="IndexLink"/>
              </w:rPr>
              <w:t>8.12 Policies</w:t>
              <w:tab/>
              <w:t>98</w:t>
            </w:r>
          </w:hyperlink>
        </w:p>
        <w:p>
          <w:pPr>
            <w:pStyle w:val="TOC2"/>
            <w:tabs>
              <w:tab w:val="clear" w:pos="900"/>
              <w:tab w:val="clear" w:pos="9350"/>
              <w:tab w:val="right" w:pos="9025" w:leader="dot"/>
            </w:tabs>
            <w:rPr/>
          </w:pPr>
          <w:hyperlink w:anchor="__RefHeading___Toc24400_3350804041">
            <w:r>
              <w:rPr>
                <w:webHidden/>
                <w:rStyle w:val="IndexLink"/>
              </w:rPr>
              <w:t>8.13 Renewals, open items, payments and clients</w:t>
              <w:tab/>
              <w:t>101</w:t>
            </w:r>
          </w:hyperlink>
        </w:p>
        <w:p>
          <w:pPr>
            <w:pStyle w:val="TOC2"/>
            <w:tabs>
              <w:tab w:val="clear" w:pos="900"/>
              <w:tab w:val="clear" w:pos="9350"/>
              <w:tab w:val="right" w:pos="9025" w:leader="dot"/>
            </w:tabs>
            <w:rPr/>
          </w:pPr>
          <w:hyperlink w:anchor="__RefHeading___Toc24402_3350804041">
            <w:r>
              <w:rPr>
                <w:webHidden/>
                <w:rStyle w:val="IndexLink"/>
              </w:rPr>
              <w:t>8.14 Commission and reports</w:t>
              <w:tab/>
              <w:t>101</w:t>
            </w:r>
          </w:hyperlink>
        </w:p>
        <w:p>
          <w:pPr>
            <w:pStyle w:val="TOC2"/>
            <w:tabs>
              <w:tab w:val="clear" w:pos="900"/>
              <w:tab w:val="clear" w:pos="9350"/>
              <w:tab w:val="right" w:pos="9025" w:leader="dot"/>
            </w:tabs>
            <w:rPr/>
          </w:pPr>
          <w:hyperlink w:anchor="__RefHeading___Toc24404_3350804041">
            <w:r>
              <w:rPr>
                <w:webHidden/>
                <w:rStyle w:val="IndexLink"/>
              </w:rPr>
              <w:t>8.15 Approvals</w:t>
              <w:tab/>
              <w:t>102</w:t>
            </w:r>
          </w:hyperlink>
        </w:p>
        <w:p>
          <w:pPr>
            <w:pStyle w:val="TOC1"/>
            <w:tabs>
              <w:tab w:val="clear" w:pos="900"/>
              <w:tab w:val="clear" w:pos="9350"/>
              <w:tab w:val="right" w:pos="9025" w:leader="dot"/>
            </w:tabs>
            <w:rPr/>
          </w:pPr>
          <w:hyperlink w:anchor="__RefHeading___Toc24406_3350804041">
            <w:r>
              <w:rPr>
                <w:webHidden/>
                <w:rStyle w:val="IndexLink"/>
              </w:rPr>
              <w:t>9. Processing Team</w:t>
              <w:tab/>
              <w:t>103</w:t>
            </w:r>
          </w:hyperlink>
        </w:p>
        <w:p>
          <w:pPr>
            <w:pStyle w:val="TOC2"/>
            <w:tabs>
              <w:tab w:val="clear" w:pos="900"/>
              <w:tab w:val="clear" w:pos="9350"/>
              <w:tab w:val="right" w:pos="9025" w:leader="dot"/>
            </w:tabs>
            <w:rPr/>
          </w:pPr>
          <w:hyperlink w:anchor="__RefHeading___Toc24408_3350804041">
            <w:r>
              <w:rPr>
                <w:webHidden/>
                <w:rStyle w:val="IndexLink"/>
              </w:rPr>
              <w:t>9.1 Role summary</w:t>
              <w:tab/>
              <w:t>103</w:t>
            </w:r>
          </w:hyperlink>
        </w:p>
        <w:p>
          <w:pPr>
            <w:pStyle w:val="TOC2"/>
            <w:tabs>
              <w:tab w:val="clear" w:pos="900"/>
              <w:tab w:val="clear" w:pos="9350"/>
              <w:tab w:val="right" w:pos="9025" w:leader="dot"/>
            </w:tabs>
            <w:rPr/>
          </w:pPr>
          <w:hyperlink w:anchor="__RefHeading___Toc24410_3350804041">
            <w:r>
              <w:rPr>
                <w:webHidden/>
                <w:rStyle w:val="IndexLink"/>
              </w:rPr>
              <w:t>9.2 Menus available</w:t>
              <w:tab/>
              <w:t>103</w:t>
            </w:r>
          </w:hyperlink>
        </w:p>
        <w:p>
          <w:pPr>
            <w:pStyle w:val="TOC2"/>
            <w:tabs>
              <w:tab w:val="clear" w:pos="900"/>
              <w:tab w:val="clear" w:pos="9350"/>
              <w:tab w:val="right" w:pos="9025" w:leader="dot"/>
            </w:tabs>
            <w:rPr/>
          </w:pPr>
          <w:hyperlink w:anchor="__RefHeading___Toc24412_3350804041">
            <w:r>
              <w:rPr>
                <w:webHidden/>
                <w:rStyle w:val="IndexLink"/>
              </w:rPr>
              <w:t>9.3 Daily and periodic tasks</w:t>
              <w:tab/>
              <w:t>104</w:t>
            </w:r>
          </w:hyperlink>
        </w:p>
        <w:p>
          <w:pPr>
            <w:pStyle w:val="TOC2"/>
            <w:tabs>
              <w:tab w:val="clear" w:pos="900"/>
              <w:tab w:val="clear" w:pos="9350"/>
              <w:tab w:val="right" w:pos="9025" w:leader="dot"/>
            </w:tabs>
            <w:rPr/>
          </w:pPr>
          <w:hyperlink w:anchor="__RefHeading___Toc24414_3350804041">
            <w:r>
              <w:rPr>
                <w:webHidden/>
                <w:rStyle w:val="IndexLink"/>
              </w:rPr>
              <w:t>9.4 Processing Dashboard</w:t>
              <w:tab/>
              <w:t>104</w:t>
            </w:r>
          </w:hyperlink>
        </w:p>
        <w:p>
          <w:pPr>
            <w:pStyle w:val="TOC2"/>
            <w:tabs>
              <w:tab w:val="clear" w:pos="900"/>
              <w:tab w:val="clear" w:pos="9350"/>
              <w:tab w:val="right" w:pos="9025" w:leader="dot"/>
            </w:tabs>
            <w:rPr/>
          </w:pPr>
          <w:hyperlink w:anchor="__RefHeading___Toc24416_3350804041">
            <w:r>
              <w:rPr>
                <w:webHidden/>
                <w:rStyle w:val="IndexLink"/>
              </w:rPr>
              <w:t>9.5 Requests for quotation (broker slips)</w:t>
              <w:tab/>
              <w:t>105</w:t>
            </w:r>
          </w:hyperlink>
        </w:p>
        <w:p>
          <w:pPr>
            <w:pStyle w:val="TOC2"/>
            <w:tabs>
              <w:tab w:val="clear" w:pos="900"/>
              <w:tab w:val="clear" w:pos="9350"/>
              <w:tab w:val="right" w:pos="9025" w:leader="dot"/>
            </w:tabs>
            <w:rPr/>
          </w:pPr>
          <w:hyperlink w:anchor="__RefHeading___Toc24418_3350804041">
            <w:r>
              <w:rPr>
                <w:webHidden/>
                <w:rStyle w:val="IndexLink"/>
              </w:rPr>
              <w:t>9.6 Quotation Slips</w:t>
              <w:tab/>
              <w:t>109</w:t>
            </w:r>
          </w:hyperlink>
        </w:p>
        <w:p>
          <w:pPr>
            <w:pStyle w:val="TOC2"/>
            <w:tabs>
              <w:tab w:val="clear" w:pos="900"/>
              <w:tab w:val="clear" w:pos="9350"/>
              <w:tab w:val="right" w:pos="9025" w:leader="dot"/>
            </w:tabs>
            <w:rPr/>
          </w:pPr>
          <w:hyperlink w:anchor="__RefHeading___Toc24420_3350804041">
            <w:r>
              <w:rPr>
                <w:webHidden/>
                <w:rStyle w:val="IndexLink"/>
              </w:rPr>
              <w:t>9.7 Placement Slips</w:t>
              <w:tab/>
              <w:t>111</w:t>
            </w:r>
          </w:hyperlink>
        </w:p>
        <w:p>
          <w:pPr>
            <w:pStyle w:val="TOC2"/>
            <w:tabs>
              <w:tab w:val="clear" w:pos="900"/>
              <w:tab w:val="clear" w:pos="9350"/>
              <w:tab w:val="right" w:pos="9025" w:leader="dot"/>
            </w:tabs>
            <w:rPr/>
          </w:pPr>
          <w:hyperlink w:anchor="__RefHeading___Toc24422_3350804041">
            <w:r>
              <w:rPr>
                <w:webHidden/>
                <w:rStyle w:val="IndexLink"/>
              </w:rPr>
              <w:t>9.8 Record Issued Policy</w:t>
              <w:tab/>
              <w:t>114</w:t>
            </w:r>
          </w:hyperlink>
        </w:p>
        <w:p>
          <w:pPr>
            <w:pStyle w:val="TOC2"/>
            <w:tabs>
              <w:tab w:val="clear" w:pos="900"/>
              <w:tab w:val="clear" w:pos="9350"/>
              <w:tab w:val="right" w:pos="9025" w:leader="dot"/>
            </w:tabs>
            <w:rPr/>
          </w:pPr>
          <w:hyperlink w:anchor="__RefHeading___Toc24424_3350804041">
            <w:r>
              <w:rPr>
                <w:webHidden/>
                <w:rStyle w:val="IndexLink"/>
              </w:rPr>
              <w:t>9.9 Co-insured policies and premium accounting entries</w:t>
              <w:tab/>
              <w:t>116</w:t>
            </w:r>
          </w:hyperlink>
        </w:p>
        <w:p>
          <w:pPr>
            <w:pStyle w:val="TOC2"/>
            <w:tabs>
              <w:tab w:val="clear" w:pos="900"/>
              <w:tab w:val="clear" w:pos="9350"/>
              <w:tab w:val="right" w:pos="9025" w:leader="dot"/>
            </w:tabs>
            <w:rPr/>
          </w:pPr>
          <w:hyperlink w:anchor="__RefHeading___Toc24426_3350804041">
            <w:r>
              <w:rPr>
                <w:webHidden/>
                <w:rStyle w:val="IndexLink"/>
              </w:rPr>
              <w:t>9.10 Complete an endorsement</w:t>
              <w:tab/>
              <w:t>117</w:t>
            </w:r>
          </w:hyperlink>
        </w:p>
        <w:p>
          <w:pPr>
            <w:pStyle w:val="TOC2"/>
            <w:tabs>
              <w:tab w:val="clear" w:pos="900"/>
              <w:tab w:val="clear" w:pos="9350"/>
              <w:tab w:val="right" w:pos="9025" w:leader="dot"/>
            </w:tabs>
            <w:rPr/>
          </w:pPr>
          <w:hyperlink w:anchor="__RefHeading___Toc24428_3350804041">
            <w:r>
              <w:rPr>
                <w:webHidden/>
                <w:rStyle w:val="IndexLink"/>
              </w:rPr>
              <w:t>9.11 Approve renewal terms</w:t>
              <w:tab/>
              <w:t>117</w:t>
            </w:r>
          </w:hyperlink>
        </w:p>
        <w:p>
          <w:pPr>
            <w:pStyle w:val="TOC2"/>
            <w:tabs>
              <w:tab w:val="clear" w:pos="900"/>
              <w:tab w:val="clear" w:pos="9350"/>
              <w:tab w:val="right" w:pos="9025" w:leader="dot"/>
            </w:tabs>
            <w:rPr/>
          </w:pPr>
          <w:hyperlink w:anchor="__RefHeading___Toc24430_3350804041">
            <w:r>
              <w:rPr>
                <w:webHidden/>
                <w:rStyle w:val="IndexLink"/>
              </w:rPr>
              <w:t>9.12 Product Configurator</w:t>
              <w:tab/>
              <w:t>118</w:t>
            </w:r>
          </w:hyperlink>
        </w:p>
        <w:p>
          <w:pPr>
            <w:pStyle w:val="TOC2"/>
            <w:tabs>
              <w:tab w:val="clear" w:pos="900"/>
              <w:tab w:val="clear" w:pos="9350"/>
              <w:tab w:val="right" w:pos="9025" w:leader="dot"/>
            </w:tabs>
            <w:rPr/>
          </w:pPr>
          <w:hyperlink w:anchor="__RefHeading___Toc24432_3350804041">
            <w:r>
              <w:rPr>
                <w:webHidden/>
                <w:rStyle w:val="IndexLink"/>
              </w:rPr>
              <w:t>9.13 Reinsurance</w:t>
              <w:tab/>
              <w:t>119</w:t>
            </w:r>
          </w:hyperlink>
        </w:p>
        <w:p>
          <w:pPr>
            <w:pStyle w:val="TOC2"/>
            <w:tabs>
              <w:tab w:val="clear" w:pos="900"/>
              <w:tab w:val="clear" w:pos="9350"/>
              <w:tab w:val="right" w:pos="9025" w:leader="dot"/>
            </w:tabs>
            <w:rPr/>
          </w:pPr>
          <w:hyperlink w:anchor="__RefHeading___Toc24434_3350804041">
            <w:r>
              <w:rPr>
                <w:webHidden/>
                <w:rStyle w:val="IndexLink"/>
              </w:rPr>
              <w:t>9.14 Approvals</w:t>
              <w:tab/>
              <w:t>120</w:t>
            </w:r>
          </w:hyperlink>
        </w:p>
        <w:p>
          <w:pPr>
            <w:pStyle w:val="TOC1"/>
            <w:tabs>
              <w:tab w:val="clear" w:pos="900"/>
              <w:tab w:val="clear" w:pos="9350"/>
              <w:tab w:val="right" w:pos="9025" w:leader="dot"/>
            </w:tabs>
            <w:rPr/>
          </w:pPr>
          <w:hyperlink w:anchor="__RefHeading___Toc24436_3350804041">
            <w:r>
              <w:rPr>
                <w:webHidden/>
                <w:rStyle w:val="IndexLink"/>
              </w:rPr>
              <w:t>10. Operations (client servicing)</w:t>
              <w:tab/>
              <w:t>121</w:t>
            </w:r>
          </w:hyperlink>
        </w:p>
        <w:p>
          <w:pPr>
            <w:pStyle w:val="TOC2"/>
            <w:tabs>
              <w:tab w:val="clear" w:pos="900"/>
              <w:tab w:val="clear" w:pos="9350"/>
              <w:tab w:val="right" w:pos="9025" w:leader="dot"/>
            </w:tabs>
            <w:rPr/>
          </w:pPr>
          <w:hyperlink w:anchor="__RefHeading___Toc24438_3350804041">
            <w:r>
              <w:rPr>
                <w:webHidden/>
                <w:rStyle w:val="IndexLink"/>
              </w:rPr>
              <w:t>10.1 Role summary</w:t>
              <w:tab/>
              <w:t>121</w:t>
            </w:r>
          </w:hyperlink>
        </w:p>
        <w:p>
          <w:pPr>
            <w:pStyle w:val="TOC2"/>
            <w:tabs>
              <w:tab w:val="clear" w:pos="900"/>
              <w:tab w:val="clear" w:pos="9350"/>
              <w:tab w:val="right" w:pos="9025" w:leader="dot"/>
            </w:tabs>
            <w:rPr/>
          </w:pPr>
          <w:hyperlink w:anchor="__RefHeading___Toc24440_3350804041">
            <w:r>
              <w:rPr>
                <w:webHidden/>
                <w:rStyle w:val="IndexLink"/>
              </w:rPr>
              <w:t>10.2 Menus available</w:t>
              <w:tab/>
              <w:t>121</w:t>
            </w:r>
          </w:hyperlink>
        </w:p>
        <w:p>
          <w:pPr>
            <w:pStyle w:val="TOC2"/>
            <w:tabs>
              <w:tab w:val="clear" w:pos="900"/>
              <w:tab w:val="clear" w:pos="9350"/>
              <w:tab w:val="right" w:pos="9025" w:leader="dot"/>
            </w:tabs>
            <w:rPr/>
          </w:pPr>
          <w:hyperlink w:anchor="__RefHeading___Toc24442_3350804041">
            <w:r>
              <w:rPr>
                <w:webHidden/>
                <w:rStyle w:val="IndexLink"/>
              </w:rPr>
              <w:t>10.3 Daily and periodic tasks</w:t>
              <w:tab/>
              <w:t>122</w:t>
            </w:r>
          </w:hyperlink>
        </w:p>
        <w:p>
          <w:pPr>
            <w:pStyle w:val="TOC2"/>
            <w:tabs>
              <w:tab w:val="clear" w:pos="900"/>
              <w:tab w:val="clear" w:pos="9350"/>
              <w:tab w:val="right" w:pos="9025" w:leader="dot"/>
            </w:tabs>
            <w:rPr/>
          </w:pPr>
          <w:hyperlink w:anchor="__RefHeading___Toc24444_3350804041">
            <w:r>
              <w:rPr>
                <w:webHidden/>
                <w:rStyle w:val="IndexLink"/>
              </w:rPr>
              <w:t>10.4 Home and Open Items</w:t>
              <w:tab/>
              <w:t>122</w:t>
            </w:r>
          </w:hyperlink>
        </w:p>
        <w:p>
          <w:pPr>
            <w:pStyle w:val="TOC2"/>
            <w:tabs>
              <w:tab w:val="clear" w:pos="900"/>
              <w:tab w:val="clear" w:pos="9350"/>
              <w:tab w:val="right" w:pos="9025" w:leader="dot"/>
            </w:tabs>
            <w:rPr/>
          </w:pPr>
          <w:hyperlink w:anchor="__RefHeading___Toc24446_3350804041">
            <w:r>
              <w:rPr>
                <w:webHidden/>
                <w:rStyle w:val="IndexLink"/>
              </w:rPr>
              <w:t>10.5 My Work</w:t>
              <w:tab/>
              <w:t>123</w:t>
            </w:r>
          </w:hyperlink>
        </w:p>
        <w:p>
          <w:pPr>
            <w:pStyle w:val="TOC2"/>
            <w:tabs>
              <w:tab w:val="clear" w:pos="900"/>
              <w:tab w:val="clear" w:pos="9350"/>
              <w:tab w:val="right" w:pos="9025" w:leader="dot"/>
            </w:tabs>
            <w:rPr/>
          </w:pPr>
          <w:hyperlink w:anchor="__RefHeading___Toc24448_3350804041">
            <w:r>
              <w:rPr>
                <w:webHidden/>
                <w:rStyle w:val="IndexLink"/>
              </w:rPr>
              <w:t>10.6 Clients</w:t>
              <w:tab/>
              <w:t>125</w:t>
            </w:r>
          </w:hyperlink>
        </w:p>
        <w:p>
          <w:pPr>
            <w:pStyle w:val="TOC2"/>
            <w:tabs>
              <w:tab w:val="clear" w:pos="900"/>
              <w:tab w:val="clear" w:pos="9350"/>
              <w:tab w:val="right" w:pos="9025" w:leader="dot"/>
            </w:tabs>
            <w:rPr/>
          </w:pPr>
          <w:hyperlink w:anchor="__RefHeading___Toc24450_3350804041">
            <w:r>
              <w:rPr>
                <w:webHidden/>
                <w:rStyle w:val="IndexLink"/>
              </w:rPr>
              <w:t>10.7 Raise an endorsement request</w:t>
              <w:tab/>
              <w:t>128</w:t>
            </w:r>
          </w:hyperlink>
        </w:p>
        <w:p>
          <w:pPr>
            <w:pStyle w:val="TOC2"/>
            <w:tabs>
              <w:tab w:val="clear" w:pos="900"/>
              <w:tab w:val="clear" w:pos="9350"/>
              <w:tab w:val="right" w:pos="9025" w:leader="dot"/>
            </w:tabs>
            <w:rPr/>
          </w:pPr>
          <w:hyperlink w:anchor="__RefHeading___Toc24452_3350804041">
            <w:r>
              <w:rPr>
                <w:webHidden/>
                <w:rStyle w:val="IndexLink"/>
              </w:rPr>
              <w:t>10.8 Cover notes (binders)</w:t>
              <w:tab/>
              <w:t>132</w:t>
            </w:r>
          </w:hyperlink>
        </w:p>
        <w:p>
          <w:pPr>
            <w:pStyle w:val="TOC2"/>
            <w:tabs>
              <w:tab w:val="clear" w:pos="900"/>
              <w:tab w:val="clear" w:pos="9350"/>
              <w:tab w:val="right" w:pos="9025" w:leader="dot"/>
            </w:tabs>
            <w:rPr/>
          </w:pPr>
          <w:hyperlink w:anchor="__RefHeading___Toc24454_3350804041">
            <w:r>
              <w:rPr>
                <w:webHidden/>
                <w:rStyle w:val="IndexLink"/>
              </w:rPr>
              <w:t>10.9 Cancel a policy: computed return premium</w:t>
              <w:tab/>
              <w:t>133</w:t>
            </w:r>
          </w:hyperlink>
        </w:p>
        <w:p>
          <w:pPr>
            <w:pStyle w:val="TOC2"/>
            <w:tabs>
              <w:tab w:val="clear" w:pos="900"/>
              <w:tab w:val="clear" w:pos="9350"/>
              <w:tab w:val="right" w:pos="9025" w:leader="dot"/>
            </w:tabs>
            <w:rPr/>
          </w:pPr>
          <w:hyperlink w:anchor="__RefHeading___Toc24456_3350804041">
            <w:r>
              <w:rPr>
                <w:webHidden/>
                <w:rStyle w:val="IndexLink"/>
              </w:rPr>
              <w:t>10.10 Record the client's payment</w:t>
              <w:tab/>
              <w:t>135</w:t>
            </w:r>
          </w:hyperlink>
        </w:p>
        <w:p>
          <w:pPr>
            <w:pStyle w:val="TOC2"/>
            <w:tabs>
              <w:tab w:val="clear" w:pos="900"/>
              <w:tab w:val="clear" w:pos="9350"/>
              <w:tab w:val="right" w:pos="9025" w:leader="dot"/>
            </w:tabs>
            <w:rPr/>
          </w:pPr>
          <w:hyperlink w:anchor="__RefHeading___Toc24458_3350804041">
            <w:r>
              <w:rPr>
                <w:webHidden/>
                <w:rStyle w:val="IndexLink"/>
              </w:rPr>
              <w:t>10.11 Payments</w:t>
              <w:tab/>
              <w:t>135</w:t>
            </w:r>
          </w:hyperlink>
        </w:p>
        <w:p>
          <w:pPr>
            <w:pStyle w:val="TOC2"/>
            <w:tabs>
              <w:tab w:val="clear" w:pos="900"/>
              <w:tab w:val="clear" w:pos="9350"/>
              <w:tab w:val="right" w:pos="9025" w:leader="dot"/>
            </w:tabs>
            <w:rPr/>
          </w:pPr>
          <w:hyperlink w:anchor="__RefHeading___Toc24460_3350804041">
            <w:r>
              <w:rPr>
                <w:webHidden/>
                <w:rStyle w:val="IndexLink"/>
              </w:rPr>
              <w:t>10.12 CTPL authentication</w:t>
              <w:tab/>
              <w:t>136</w:t>
            </w:r>
          </w:hyperlink>
        </w:p>
        <w:p>
          <w:pPr>
            <w:pStyle w:val="TOC2"/>
            <w:tabs>
              <w:tab w:val="clear" w:pos="900"/>
              <w:tab w:val="clear" w:pos="9350"/>
              <w:tab w:val="right" w:pos="9025" w:leader="dot"/>
            </w:tabs>
            <w:rPr/>
          </w:pPr>
          <w:hyperlink w:anchor="__RefHeading___Toc24462_3350804041">
            <w:r>
              <w:rPr>
                <w:webHidden/>
                <w:rStyle w:val="IndexLink"/>
              </w:rPr>
              <w:t>10.13 Renewals</w:t>
              <w:tab/>
              <w:t>137</w:t>
            </w:r>
          </w:hyperlink>
        </w:p>
        <w:p>
          <w:pPr>
            <w:pStyle w:val="TOC2"/>
            <w:tabs>
              <w:tab w:val="clear" w:pos="900"/>
              <w:tab w:val="clear" w:pos="9350"/>
              <w:tab w:val="right" w:pos="9025" w:leader="dot"/>
            </w:tabs>
            <w:rPr/>
          </w:pPr>
          <w:hyperlink w:anchor="__RefHeading___Toc24464_3350804041">
            <w:r>
              <w:rPr>
                <w:webHidden/>
                <w:rStyle w:val="IndexLink"/>
              </w:rPr>
              <w:t>10.14 Approvals</w:t>
              <w:tab/>
              <w:t>142</w:t>
            </w:r>
          </w:hyperlink>
        </w:p>
        <w:p>
          <w:pPr>
            <w:pStyle w:val="TOC1"/>
            <w:tabs>
              <w:tab w:val="clear" w:pos="900"/>
              <w:tab w:val="clear" w:pos="9350"/>
              <w:tab w:val="right" w:pos="9025" w:leader="dot"/>
            </w:tabs>
            <w:rPr/>
          </w:pPr>
          <w:hyperlink w:anchor="__RefHeading___Toc24466_3350804041">
            <w:r>
              <w:rPr>
                <w:webHidden/>
                <w:rStyle w:val="IndexLink"/>
              </w:rPr>
              <w:t>11. Claims</w:t>
              <w:tab/>
              <w:t>143</w:t>
            </w:r>
          </w:hyperlink>
        </w:p>
        <w:p>
          <w:pPr>
            <w:pStyle w:val="TOC2"/>
            <w:tabs>
              <w:tab w:val="clear" w:pos="900"/>
              <w:tab w:val="clear" w:pos="9350"/>
              <w:tab w:val="right" w:pos="9025" w:leader="dot"/>
            </w:tabs>
            <w:rPr/>
          </w:pPr>
          <w:hyperlink w:anchor="__RefHeading___Toc24468_3350804041">
            <w:r>
              <w:rPr>
                <w:webHidden/>
                <w:rStyle w:val="IndexLink"/>
              </w:rPr>
              <w:t>11.1 Role summary</w:t>
              <w:tab/>
              <w:t>143</w:t>
            </w:r>
          </w:hyperlink>
        </w:p>
        <w:p>
          <w:pPr>
            <w:pStyle w:val="TOC2"/>
            <w:tabs>
              <w:tab w:val="clear" w:pos="900"/>
              <w:tab w:val="clear" w:pos="9350"/>
              <w:tab w:val="right" w:pos="9025" w:leader="dot"/>
            </w:tabs>
            <w:rPr/>
          </w:pPr>
          <w:hyperlink w:anchor="__RefHeading___Toc24470_3350804041">
            <w:r>
              <w:rPr>
                <w:webHidden/>
                <w:rStyle w:val="IndexLink"/>
              </w:rPr>
              <w:t>11.2 Menus available</w:t>
              <w:tab/>
              <w:t>143</w:t>
            </w:r>
          </w:hyperlink>
        </w:p>
        <w:p>
          <w:pPr>
            <w:pStyle w:val="TOC2"/>
            <w:tabs>
              <w:tab w:val="clear" w:pos="900"/>
              <w:tab w:val="clear" w:pos="9350"/>
              <w:tab w:val="right" w:pos="9025" w:leader="dot"/>
            </w:tabs>
            <w:rPr/>
          </w:pPr>
          <w:hyperlink w:anchor="__RefHeading___Toc24472_3350804041">
            <w:r>
              <w:rPr>
                <w:webHidden/>
                <w:rStyle w:val="IndexLink"/>
              </w:rPr>
              <w:t>11.3 Daily and periodic tasks</w:t>
              <w:tab/>
              <w:t>144</w:t>
            </w:r>
          </w:hyperlink>
        </w:p>
        <w:p>
          <w:pPr>
            <w:pStyle w:val="TOC2"/>
            <w:tabs>
              <w:tab w:val="clear" w:pos="900"/>
              <w:tab w:val="clear" w:pos="9350"/>
              <w:tab w:val="right" w:pos="9025" w:leader="dot"/>
            </w:tabs>
            <w:rPr/>
          </w:pPr>
          <w:hyperlink w:anchor="__RefHeading___Toc24474_3350804041">
            <w:r>
              <w:rPr>
                <w:webHidden/>
                <w:rStyle w:val="IndexLink"/>
              </w:rPr>
              <w:t>11.4 Claims Dashboard</w:t>
              <w:tab/>
              <w:t>144</w:t>
            </w:r>
          </w:hyperlink>
        </w:p>
        <w:p>
          <w:pPr>
            <w:pStyle w:val="TOC2"/>
            <w:tabs>
              <w:tab w:val="clear" w:pos="900"/>
              <w:tab w:val="clear" w:pos="9350"/>
              <w:tab w:val="right" w:pos="9025" w:leader="dot"/>
            </w:tabs>
            <w:rPr/>
          </w:pPr>
          <w:hyperlink w:anchor="__RefHeading___Toc24476_3350804041">
            <w:r>
              <w:rPr>
                <w:webHidden/>
                <w:rStyle w:val="IndexLink"/>
              </w:rPr>
              <w:t>11.5 The claims list</w:t>
              <w:tab/>
              <w:t>144</w:t>
            </w:r>
          </w:hyperlink>
        </w:p>
        <w:p>
          <w:pPr>
            <w:pStyle w:val="TOC2"/>
            <w:tabs>
              <w:tab w:val="clear" w:pos="900"/>
              <w:tab w:val="clear" w:pos="9350"/>
              <w:tab w:val="right" w:pos="9025" w:leader="dot"/>
            </w:tabs>
            <w:rPr/>
          </w:pPr>
          <w:hyperlink w:anchor="__RefHeading___Toc24478_3350804041">
            <w:r>
              <w:rPr>
                <w:webHidden/>
                <w:rStyle w:val="IndexLink"/>
              </w:rPr>
              <w:t>11.6 Register a claim</w:t>
              <w:tab/>
              <w:t>145</w:t>
            </w:r>
          </w:hyperlink>
        </w:p>
        <w:p>
          <w:pPr>
            <w:pStyle w:val="TOC2"/>
            <w:tabs>
              <w:tab w:val="clear" w:pos="900"/>
              <w:tab w:val="clear" w:pos="9350"/>
              <w:tab w:val="right" w:pos="9025" w:leader="dot"/>
            </w:tabs>
            <w:rPr/>
          </w:pPr>
          <w:hyperlink w:anchor="__RefHeading___Toc24480_3350804041">
            <w:r>
              <w:rPr>
                <w:webHidden/>
                <w:rStyle w:val="IndexLink"/>
              </w:rPr>
              <w:t>11.7 Adjuster report</w:t>
              <w:tab/>
              <w:t>148</w:t>
            </w:r>
          </w:hyperlink>
        </w:p>
        <w:p>
          <w:pPr>
            <w:pStyle w:val="TOC2"/>
            <w:tabs>
              <w:tab w:val="clear" w:pos="900"/>
              <w:tab w:val="clear" w:pos="9350"/>
              <w:tab w:val="right" w:pos="9025" w:leader="dot"/>
            </w:tabs>
            <w:rPr/>
          </w:pPr>
          <w:hyperlink w:anchor="__RefHeading___Toc24482_3350804041">
            <w:r>
              <w:rPr>
                <w:webHidden/>
                <w:rStyle w:val="IndexLink"/>
              </w:rPr>
              <w:t>11.8 Assessment and settlement (maker)</w:t>
              <w:tab/>
              <w:t>149</w:t>
            </w:r>
          </w:hyperlink>
        </w:p>
        <w:p>
          <w:pPr>
            <w:pStyle w:val="TOC2"/>
            <w:tabs>
              <w:tab w:val="clear" w:pos="900"/>
              <w:tab w:val="clear" w:pos="9350"/>
              <w:tab w:val="right" w:pos="9025" w:leader="dot"/>
            </w:tabs>
            <w:rPr/>
          </w:pPr>
          <w:hyperlink w:anchor="__RefHeading___Toc24484_3350804041">
            <w:r>
              <w:rPr>
                <w:webHidden/>
                <w:rStyle w:val="IndexLink"/>
              </w:rPr>
              <w:t>11.9 Approve a settlement (checker)</w:t>
              <w:tab/>
              <w:t>150</w:t>
            </w:r>
          </w:hyperlink>
        </w:p>
        <w:p>
          <w:pPr>
            <w:pStyle w:val="TOC2"/>
            <w:tabs>
              <w:tab w:val="clear" w:pos="900"/>
              <w:tab w:val="clear" w:pos="9350"/>
              <w:tab w:val="right" w:pos="9025" w:leader="dot"/>
            </w:tabs>
            <w:rPr/>
          </w:pPr>
          <w:hyperlink w:anchor="__RefHeading___Toc24486_3350804041">
            <w:r>
              <w:rPr>
                <w:webHidden/>
                <w:rStyle w:val="IndexLink"/>
              </w:rPr>
              <w:t>11.10 Claim details, documents and audit trail</w:t>
              <w:tab/>
              <w:t>150</w:t>
            </w:r>
          </w:hyperlink>
        </w:p>
        <w:p>
          <w:pPr>
            <w:pStyle w:val="TOC2"/>
            <w:tabs>
              <w:tab w:val="clear" w:pos="900"/>
              <w:tab w:val="clear" w:pos="9350"/>
              <w:tab w:val="right" w:pos="9025" w:leader="dot"/>
            </w:tabs>
            <w:rPr/>
          </w:pPr>
          <w:hyperlink w:anchor="__RefHeading___Toc24488_3350804041">
            <w:r>
              <w:rPr>
                <w:webHidden/>
                <w:rStyle w:val="IndexLink"/>
              </w:rPr>
              <w:t>11.11 Claim document checklist</w:t>
              <w:tab/>
              <w:t>151</w:t>
            </w:r>
          </w:hyperlink>
        </w:p>
        <w:p>
          <w:pPr>
            <w:pStyle w:val="TOC2"/>
            <w:tabs>
              <w:tab w:val="clear" w:pos="900"/>
              <w:tab w:val="clear" w:pos="9350"/>
              <w:tab w:val="right" w:pos="9025" w:leader="dot"/>
            </w:tabs>
            <w:rPr/>
          </w:pPr>
          <w:hyperlink w:anchor="__RefHeading___Toc24490_3350804041">
            <w:r>
              <w:rPr>
                <w:webHidden/>
                <w:rStyle w:val="IndexLink"/>
              </w:rPr>
              <w:t>11.12 Motor claim repairs and letters of authority</w:t>
              <w:tab/>
              <w:t>152</w:t>
            </w:r>
          </w:hyperlink>
        </w:p>
        <w:p>
          <w:pPr>
            <w:pStyle w:val="TOC2"/>
            <w:tabs>
              <w:tab w:val="clear" w:pos="900"/>
              <w:tab w:val="clear" w:pos="9350"/>
              <w:tab w:val="right" w:pos="9025" w:leader="dot"/>
            </w:tabs>
            <w:rPr/>
          </w:pPr>
          <w:hyperlink w:anchor="__RefHeading___Toc24492_3350804041">
            <w:r>
              <w:rPr>
                <w:webHidden/>
                <w:rStyle w:val="IndexLink"/>
              </w:rPr>
              <w:t>11.13 Reinsurance recoveries</w:t>
              <w:tab/>
              <w:t>154</w:t>
            </w:r>
          </w:hyperlink>
        </w:p>
        <w:p>
          <w:pPr>
            <w:pStyle w:val="TOC2"/>
            <w:tabs>
              <w:tab w:val="clear" w:pos="900"/>
              <w:tab w:val="clear" w:pos="9350"/>
              <w:tab w:val="right" w:pos="9025" w:leader="dot"/>
            </w:tabs>
            <w:rPr/>
          </w:pPr>
          <w:hyperlink w:anchor="__RefHeading___Toc24494_3350804041">
            <w:r>
              <w:rPr>
                <w:webHidden/>
                <w:rStyle w:val="IndexLink"/>
              </w:rPr>
              <w:t>11.14 Approvals</w:t>
              <w:tab/>
              <w:t>154</w:t>
            </w:r>
          </w:hyperlink>
        </w:p>
        <w:p>
          <w:pPr>
            <w:pStyle w:val="TOC1"/>
            <w:tabs>
              <w:tab w:val="clear" w:pos="900"/>
              <w:tab w:val="clear" w:pos="9350"/>
              <w:tab w:val="right" w:pos="9025" w:leader="dot"/>
            </w:tabs>
            <w:rPr/>
          </w:pPr>
          <w:hyperlink w:anchor="__RefHeading___Toc24496_3350804041">
            <w:r>
              <w:rPr>
                <w:webHidden/>
                <w:rStyle w:val="IndexLink"/>
              </w:rPr>
              <w:t>12. Accounting</w:t>
              <w:tab/>
              <w:t>155</w:t>
            </w:r>
          </w:hyperlink>
        </w:p>
        <w:p>
          <w:pPr>
            <w:pStyle w:val="TOC2"/>
            <w:tabs>
              <w:tab w:val="clear" w:pos="900"/>
              <w:tab w:val="clear" w:pos="9350"/>
              <w:tab w:val="right" w:pos="9025" w:leader="dot"/>
            </w:tabs>
            <w:rPr/>
          </w:pPr>
          <w:hyperlink w:anchor="__RefHeading___Toc24498_3350804041">
            <w:r>
              <w:rPr>
                <w:webHidden/>
                <w:rStyle w:val="IndexLink"/>
              </w:rPr>
              <w:t>12.1 Role summary</w:t>
              <w:tab/>
              <w:t>155</w:t>
            </w:r>
          </w:hyperlink>
        </w:p>
        <w:p>
          <w:pPr>
            <w:pStyle w:val="TOC2"/>
            <w:tabs>
              <w:tab w:val="clear" w:pos="900"/>
              <w:tab w:val="clear" w:pos="9350"/>
              <w:tab w:val="right" w:pos="9025" w:leader="dot"/>
            </w:tabs>
            <w:rPr/>
          </w:pPr>
          <w:hyperlink w:anchor="__RefHeading___Toc24500_3350804041">
            <w:r>
              <w:rPr>
                <w:webHidden/>
                <w:rStyle w:val="IndexLink"/>
              </w:rPr>
              <w:t>12.2 Menus available</w:t>
              <w:tab/>
              <w:t>155</w:t>
            </w:r>
          </w:hyperlink>
        </w:p>
        <w:p>
          <w:pPr>
            <w:pStyle w:val="TOC2"/>
            <w:tabs>
              <w:tab w:val="clear" w:pos="900"/>
              <w:tab w:val="clear" w:pos="9350"/>
              <w:tab w:val="right" w:pos="9025" w:leader="dot"/>
            </w:tabs>
            <w:rPr/>
          </w:pPr>
          <w:hyperlink w:anchor="__RefHeading___Toc24502_3350804041">
            <w:r>
              <w:rPr>
                <w:webHidden/>
                <w:rStyle w:val="IndexLink"/>
              </w:rPr>
              <w:t>12.3 Daily and periodic tasks</w:t>
              <w:tab/>
              <w:t>156</w:t>
            </w:r>
          </w:hyperlink>
        </w:p>
        <w:p>
          <w:pPr>
            <w:pStyle w:val="TOC2"/>
            <w:tabs>
              <w:tab w:val="clear" w:pos="900"/>
              <w:tab w:val="clear" w:pos="9350"/>
              <w:tab w:val="right" w:pos="9025" w:leader="dot"/>
            </w:tabs>
            <w:rPr/>
          </w:pPr>
          <w:hyperlink w:anchor="__RefHeading___Toc24504_3350804041">
            <w:r>
              <w:rPr>
                <w:webHidden/>
                <w:rStyle w:val="IndexLink"/>
              </w:rPr>
              <w:t>12.4 Verify payments and post official receipts</w:t>
              <w:tab/>
              <w:t>157</w:t>
            </w:r>
          </w:hyperlink>
        </w:p>
        <w:p>
          <w:pPr>
            <w:pStyle w:val="TOC2"/>
            <w:tabs>
              <w:tab w:val="clear" w:pos="900"/>
              <w:tab w:val="clear" w:pos="9350"/>
              <w:tab w:val="right" w:pos="9025" w:leader="dot"/>
            </w:tabs>
            <w:rPr/>
          </w:pPr>
          <w:hyperlink w:anchor="__RefHeading___Toc24506_3350804041">
            <w:r>
              <w:rPr>
                <w:webHidden/>
                <w:rStyle w:val="IndexLink"/>
              </w:rPr>
              <w:t>12.5 Collections</w:t>
              <w:tab/>
              <w:t>159</w:t>
            </w:r>
          </w:hyperlink>
        </w:p>
        <w:p>
          <w:pPr>
            <w:pStyle w:val="TOC2"/>
            <w:tabs>
              <w:tab w:val="clear" w:pos="900"/>
              <w:tab w:val="clear" w:pos="9350"/>
              <w:tab w:val="right" w:pos="9025" w:leader="dot"/>
            </w:tabs>
            <w:rPr/>
          </w:pPr>
          <w:hyperlink w:anchor="__RefHeading___Toc24508_3350804041">
            <w:r>
              <w:rPr>
                <w:webHidden/>
                <w:rStyle w:val="IndexLink"/>
              </w:rPr>
              <w:t>12.6 Credit control</w:t>
              <w:tab/>
              <w:t>161</w:t>
            </w:r>
          </w:hyperlink>
        </w:p>
        <w:p>
          <w:pPr>
            <w:pStyle w:val="TOC2"/>
            <w:tabs>
              <w:tab w:val="clear" w:pos="900"/>
              <w:tab w:val="clear" w:pos="9350"/>
              <w:tab w:val="right" w:pos="9025" w:leader="dot"/>
            </w:tabs>
            <w:rPr/>
          </w:pPr>
          <w:hyperlink w:anchor="__RefHeading___Toc24510_3350804041">
            <w:r>
              <w:rPr>
                <w:webHidden/>
                <w:rStyle w:val="IndexLink"/>
              </w:rPr>
              <w:t>12.7 Post-dated cheques</w:t>
              <w:tab/>
              <w:t>162</w:t>
            </w:r>
          </w:hyperlink>
        </w:p>
        <w:p>
          <w:pPr>
            <w:pStyle w:val="TOC2"/>
            <w:tabs>
              <w:tab w:val="clear" w:pos="900"/>
              <w:tab w:val="clear" w:pos="9350"/>
              <w:tab w:val="right" w:pos="9025" w:leader="dot"/>
            </w:tabs>
            <w:rPr/>
          </w:pPr>
          <w:hyperlink w:anchor="__RefHeading___Toc24512_3350804041">
            <w:r>
              <w:rPr>
                <w:webHidden/>
                <w:rStyle w:val="IndexLink"/>
              </w:rPr>
              <w:t>12.8 Claims settlements paid through the broker</w:t>
              <w:tab/>
              <w:t>164</w:t>
            </w:r>
          </w:hyperlink>
        </w:p>
        <w:p>
          <w:pPr>
            <w:pStyle w:val="TOC2"/>
            <w:tabs>
              <w:tab w:val="clear" w:pos="900"/>
              <w:tab w:val="clear" w:pos="9350"/>
              <w:tab w:val="right" w:pos="9025" w:leader="dot"/>
            </w:tabs>
            <w:rPr/>
          </w:pPr>
          <w:hyperlink w:anchor="__RefHeading___Toc24514_3350804041">
            <w:r>
              <w:rPr>
                <w:webHidden/>
                <w:rStyle w:val="IndexLink"/>
              </w:rPr>
              <w:t>12.9 Disbursement: payment vouchers and cheques</w:t>
              <w:tab/>
              <w:t>165</w:t>
            </w:r>
          </w:hyperlink>
        </w:p>
        <w:p>
          <w:pPr>
            <w:pStyle w:val="TOC2"/>
            <w:tabs>
              <w:tab w:val="clear" w:pos="900"/>
              <w:tab w:val="clear" w:pos="9350"/>
              <w:tab w:val="right" w:pos="9025" w:leader="dot"/>
            </w:tabs>
            <w:rPr/>
          </w:pPr>
          <w:hyperlink w:anchor="__RefHeading___Toc24516_3350804041">
            <w:r>
              <w:rPr>
                <w:webHidden/>
                <w:rStyle w:val="IndexLink"/>
              </w:rPr>
              <w:t>12.10 Bank payment files</w:t>
              <w:tab/>
              <w:t>166</w:t>
            </w:r>
          </w:hyperlink>
        </w:p>
        <w:p>
          <w:pPr>
            <w:pStyle w:val="TOC2"/>
            <w:tabs>
              <w:tab w:val="clear" w:pos="900"/>
              <w:tab w:val="clear" w:pos="9350"/>
              <w:tab w:val="right" w:pos="9025" w:leader="dot"/>
            </w:tabs>
            <w:rPr/>
          </w:pPr>
          <w:hyperlink w:anchor="__RefHeading___Toc24518_3350804041">
            <w:r>
              <w:rPr>
                <w:webHidden/>
                <w:rStyle w:val="IndexLink"/>
              </w:rPr>
              <w:t>12.11 Bank file layouts and payee bank accounts</w:t>
              <w:tab/>
              <w:t>168</w:t>
            </w:r>
          </w:hyperlink>
        </w:p>
        <w:p>
          <w:pPr>
            <w:pStyle w:val="TOC2"/>
            <w:tabs>
              <w:tab w:val="clear" w:pos="900"/>
              <w:tab w:val="clear" w:pos="9350"/>
              <w:tab w:val="right" w:pos="9025" w:leader="dot"/>
            </w:tabs>
            <w:rPr/>
          </w:pPr>
          <w:hyperlink w:anchor="__RefHeading___Toc24520_3350804041">
            <w:r>
              <w:rPr>
                <w:webHidden/>
                <w:rStyle w:val="IndexLink"/>
              </w:rPr>
              <w:t>12.12 Remittance to insurers</w:t>
              <w:tab/>
              <w:t>169</w:t>
            </w:r>
          </w:hyperlink>
        </w:p>
        <w:p>
          <w:pPr>
            <w:pStyle w:val="TOC2"/>
            <w:tabs>
              <w:tab w:val="clear" w:pos="900"/>
              <w:tab w:val="clear" w:pos="9350"/>
              <w:tab w:val="right" w:pos="9025" w:leader="dot"/>
            </w:tabs>
            <w:rPr/>
          </w:pPr>
          <w:hyperlink w:anchor="__RefHeading___Toc24522_3350804041">
            <w:r>
              <w:rPr>
                <w:webHidden/>
                <w:rStyle w:val="IndexLink"/>
              </w:rPr>
              <w:t>12.13 Direct bill: commission debit notes</w:t>
              <w:tab/>
              <w:t>171</w:t>
            </w:r>
          </w:hyperlink>
        </w:p>
        <w:p>
          <w:pPr>
            <w:pStyle w:val="TOC2"/>
            <w:tabs>
              <w:tab w:val="clear" w:pos="900"/>
              <w:tab w:val="clear" w:pos="9350"/>
              <w:tab w:val="right" w:pos="9025" w:leader="dot"/>
            </w:tabs>
            <w:rPr/>
          </w:pPr>
          <w:hyperlink w:anchor="__RefHeading___Toc24524_3350804041">
            <w:r>
              <w:rPr>
                <w:webHidden/>
                <w:rStyle w:val="IndexLink"/>
              </w:rPr>
              <w:t>12.14 Commission to agents and referrers</w:t>
              <w:tab/>
              <w:t>173</w:t>
            </w:r>
          </w:hyperlink>
        </w:p>
        <w:p>
          <w:pPr>
            <w:pStyle w:val="TOC2"/>
            <w:tabs>
              <w:tab w:val="clear" w:pos="900"/>
              <w:tab w:val="clear" w:pos="9350"/>
              <w:tab w:val="right" w:pos="9025" w:leader="dot"/>
            </w:tabs>
            <w:rPr/>
          </w:pPr>
          <w:hyperlink w:anchor="__RefHeading___Toc24526_3350804041">
            <w:r>
              <w:rPr>
                <w:webHidden/>
                <w:rStyle w:val="IndexLink"/>
              </w:rPr>
              <w:t>12.15 Journal vouchers</w:t>
              <w:tab/>
              <w:t>178</w:t>
            </w:r>
          </w:hyperlink>
        </w:p>
        <w:p>
          <w:pPr>
            <w:pStyle w:val="TOC2"/>
            <w:tabs>
              <w:tab w:val="clear" w:pos="900"/>
              <w:tab w:val="clear" w:pos="9350"/>
              <w:tab w:val="right" w:pos="9025" w:leader="dot"/>
            </w:tabs>
            <w:rPr/>
          </w:pPr>
          <w:hyperlink w:anchor="__RefHeading___Toc24528_3350804041">
            <w:r>
              <w:rPr>
                <w:webHidden/>
                <w:rStyle w:val="IndexLink"/>
              </w:rPr>
              <w:t>12.16 Open entry matching and write-offs</w:t>
              <w:tab/>
              <w:t>180</w:t>
            </w:r>
          </w:hyperlink>
        </w:p>
        <w:p>
          <w:pPr>
            <w:pStyle w:val="TOC2"/>
            <w:tabs>
              <w:tab w:val="clear" w:pos="900"/>
              <w:tab w:val="clear" w:pos="9350"/>
              <w:tab w:val="right" w:pos="9025" w:leader="dot"/>
            </w:tabs>
            <w:rPr/>
          </w:pPr>
          <w:hyperlink w:anchor="__RefHeading___Toc24530_3350804041">
            <w:r>
              <w:rPr>
                <w:webHidden/>
                <w:rStyle w:val="IndexLink"/>
              </w:rPr>
              <w:t>12.17 Accounting Query and All Clients Accounting</w:t>
              <w:tab/>
              <w:t>180</w:t>
            </w:r>
          </w:hyperlink>
        </w:p>
        <w:p>
          <w:pPr>
            <w:pStyle w:val="TOC2"/>
            <w:tabs>
              <w:tab w:val="clear" w:pos="900"/>
              <w:tab w:val="clear" w:pos="9350"/>
              <w:tab w:val="right" w:pos="9025" w:leader="dot"/>
            </w:tabs>
            <w:rPr/>
          </w:pPr>
          <w:hyperlink w:anchor="__RefHeading___Toc24532_3350804041">
            <w:r>
              <w:rPr>
                <w:webHidden/>
                <w:rStyle w:val="IndexLink"/>
              </w:rPr>
              <w:t>12.18 Petty cash</w:t>
              <w:tab/>
              <w:t>181</w:t>
            </w:r>
          </w:hyperlink>
        </w:p>
        <w:p>
          <w:pPr>
            <w:pStyle w:val="TOC2"/>
            <w:tabs>
              <w:tab w:val="clear" w:pos="900"/>
              <w:tab w:val="clear" w:pos="9350"/>
              <w:tab w:val="right" w:pos="9025" w:leader="dot"/>
            </w:tabs>
            <w:rPr/>
          </w:pPr>
          <w:hyperlink w:anchor="__RefHeading___Toc24534_3350804041">
            <w:r>
              <w:rPr>
                <w:webHidden/>
                <w:rStyle w:val="IndexLink"/>
              </w:rPr>
              <w:t>12.19 Bank reconciliation</w:t>
              <w:tab/>
              <w:t>181</w:t>
            </w:r>
          </w:hyperlink>
        </w:p>
        <w:p>
          <w:pPr>
            <w:pStyle w:val="TOC2"/>
            <w:tabs>
              <w:tab w:val="clear" w:pos="900"/>
              <w:tab w:val="clear" w:pos="9350"/>
              <w:tab w:val="right" w:pos="9025" w:leader="dot"/>
            </w:tabs>
            <w:rPr/>
          </w:pPr>
          <w:hyperlink w:anchor="__RefHeading___Toc24536_3350804041">
            <w:r>
              <w:rPr>
                <w:webHidden/>
                <w:rStyle w:val="IndexLink"/>
              </w:rPr>
              <w:t>12.20 Insurer statement reconciliation</w:t>
              <w:tab/>
              <w:t>186</w:t>
            </w:r>
          </w:hyperlink>
        </w:p>
        <w:p>
          <w:pPr>
            <w:pStyle w:val="TOC2"/>
            <w:tabs>
              <w:tab w:val="clear" w:pos="900"/>
              <w:tab w:val="clear" w:pos="9350"/>
              <w:tab w:val="right" w:pos="9025" w:leader="dot"/>
            </w:tabs>
            <w:rPr/>
          </w:pPr>
          <w:hyperlink w:anchor="__RefHeading___Toc24538_3350804041">
            <w:r>
              <w:rPr>
                <w:webHidden/>
                <w:rStyle w:val="IndexLink"/>
              </w:rPr>
              <w:t>12.21 Tax: BIR forms and returns</w:t>
              <w:tab/>
              <w:t>187</w:t>
            </w:r>
          </w:hyperlink>
        </w:p>
        <w:p>
          <w:pPr>
            <w:pStyle w:val="TOC2"/>
            <w:tabs>
              <w:tab w:val="clear" w:pos="900"/>
              <w:tab w:val="clear" w:pos="9350"/>
              <w:tab w:val="right" w:pos="9025" w:leader="dot"/>
            </w:tabs>
            <w:rPr/>
          </w:pPr>
          <w:hyperlink w:anchor="__RefHeading___Toc24540_3350804041">
            <w:r>
              <w:rPr>
                <w:webHidden/>
                <w:rStyle w:val="IndexLink"/>
              </w:rPr>
              <w:t>12.22 Period end</w:t>
              <w:tab/>
              <w:t>196</w:t>
            </w:r>
          </w:hyperlink>
        </w:p>
        <w:p>
          <w:pPr>
            <w:pStyle w:val="TOC2"/>
            <w:tabs>
              <w:tab w:val="clear" w:pos="900"/>
              <w:tab w:val="clear" w:pos="9350"/>
              <w:tab w:val="right" w:pos="9025" w:leader="dot"/>
            </w:tabs>
            <w:rPr/>
          </w:pPr>
          <w:hyperlink w:anchor="__RefHeading___Toc24542_3350804041">
            <w:r>
              <w:rPr>
                <w:webHidden/>
                <w:rStyle w:val="IndexLink"/>
              </w:rPr>
              <w:t>12.23 Accounts payable</w:t>
              <w:tab/>
              <w:t>200</w:t>
            </w:r>
          </w:hyperlink>
        </w:p>
        <w:p>
          <w:pPr>
            <w:pStyle w:val="TOC2"/>
            <w:tabs>
              <w:tab w:val="clear" w:pos="900"/>
              <w:tab w:val="clear" w:pos="9350"/>
              <w:tab w:val="right" w:pos="9025" w:leader="dot"/>
            </w:tabs>
            <w:rPr/>
          </w:pPr>
          <w:hyperlink w:anchor="__RefHeading___Toc24544_3350804041">
            <w:r>
              <w:rPr>
                <w:webHidden/>
                <w:rStyle w:val="IndexLink"/>
              </w:rPr>
              <w:t>12.24 Fixed assets and depreciation</w:t>
              <w:tab/>
              <w:t>202</w:t>
            </w:r>
          </w:hyperlink>
        </w:p>
        <w:p>
          <w:pPr>
            <w:pStyle w:val="TOC2"/>
            <w:tabs>
              <w:tab w:val="clear" w:pos="900"/>
              <w:tab w:val="clear" w:pos="9350"/>
              <w:tab w:val="right" w:pos="9025" w:leader="dot"/>
            </w:tabs>
            <w:rPr/>
          </w:pPr>
          <w:hyperlink w:anchor="__RefHeading___Toc24546_3350804041">
            <w:r>
              <w:rPr>
                <w:webHidden/>
                <w:rStyle w:val="IndexLink"/>
              </w:rPr>
              <w:t>12.25 Incentives</w:t>
              <w:tab/>
              <w:t>204</w:t>
            </w:r>
          </w:hyperlink>
        </w:p>
        <w:p>
          <w:pPr>
            <w:pStyle w:val="TOC2"/>
            <w:tabs>
              <w:tab w:val="clear" w:pos="900"/>
              <w:tab w:val="clear" w:pos="9350"/>
              <w:tab w:val="right" w:pos="9025" w:leader="dot"/>
            </w:tabs>
            <w:rPr/>
          </w:pPr>
          <w:hyperlink w:anchor="__RefHeading___Toc24548_3350804041">
            <w:r>
              <w:rPr>
                <w:webHidden/>
                <w:rStyle w:val="IndexLink"/>
              </w:rPr>
              <w:t>12.26 Finance masters kept by Accounting</w:t>
              <w:tab/>
              <w:t>205</w:t>
            </w:r>
          </w:hyperlink>
        </w:p>
        <w:p>
          <w:pPr>
            <w:pStyle w:val="TOC2"/>
            <w:tabs>
              <w:tab w:val="clear" w:pos="900"/>
              <w:tab w:val="clear" w:pos="9350"/>
              <w:tab w:val="right" w:pos="9025" w:leader="dot"/>
            </w:tabs>
            <w:rPr/>
          </w:pPr>
          <w:hyperlink w:anchor="__RefHeading___Toc24550_3350804041">
            <w:r>
              <w:rPr>
                <w:webHidden/>
                <w:rStyle w:val="IndexLink"/>
              </w:rPr>
              <w:t>12.27 Approvals</w:t>
              <w:tab/>
              <w:t>206</w:t>
            </w:r>
          </w:hyperlink>
        </w:p>
        <w:p>
          <w:pPr>
            <w:pStyle w:val="TOC1"/>
            <w:tabs>
              <w:tab w:val="clear" w:pos="900"/>
              <w:tab w:val="clear" w:pos="9350"/>
              <w:tab w:val="right" w:pos="9025" w:leader="dot"/>
            </w:tabs>
            <w:rPr/>
          </w:pPr>
          <w:hyperlink w:anchor="__RefHeading___Toc24552_3350804041">
            <w:r>
              <w:rPr>
                <w:webHidden/>
                <w:rStyle w:val="IndexLink"/>
              </w:rPr>
              <w:t>13. Accounting Manager</w:t>
              <w:tab/>
              <w:t>207</w:t>
            </w:r>
          </w:hyperlink>
        </w:p>
        <w:p>
          <w:pPr>
            <w:pStyle w:val="TOC2"/>
            <w:tabs>
              <w:tab w:val="clear" w:pos="900"/>
              <w:tab w:val="clear" w:pos="9350"/>
              <w:tab w:val="right" w:pos="9025" w:leader="dot"/>
            </w:tabs>
            <w:rPr/>
          </w:pPr>
          <w:hyperlink w:anchor="__RefHeading___Toc24554_3350804041">
            <w:r>
              <w:rPr>
                <w:webHidden/>
                <w:rStyle w:val="IndexLink"/>
              </w:rPr>
              <w:t>13.1 Role summary</w:t>
              <w:tab/>
              <w:t>207</w:t>
            </w:r>
          </w:hyperlink>
        </w:p>
        <w:p>
          <w:pPr>
            <w:pStyle w:val="TOC2"/>
            <w:tabs>
              <w:tab w:val="clear" w:pos="900"/>
              <w:tab w:val="clear" w:pos="9350"/>
              <w:tab w:val="right" w:pos="9025" w:leader="dot"/>
            </w:tabs>
            <w:rPr/>
          </w:pPr>
          <w:hyperlink w:anchor="__RefHeading___Toc24556_3350804041">
            <w:r>
              <w:rPr>
                <w:webHidden/>
                <w:rStyle w:val="IndexLink"/>
              </w:rPr>
              <w:t>13.2 Menus available</w:t>
              <w:tab/>
              <w:t>207</w:t>
            </w:r>
          </w:hyperlink>
        </w:p>
        <w:p>
          <w:pPr>
            <w:pStyle w:val="TOC2"/>
            <w:tabs>
              <w:tab w:val="clear" w:pos="900"/>
              <w:tab w:val="clear" w:pos="9350"/>
              <w:tab w:val="right" w:pos="9025" w:leader="dot"/>
            </w:tabs>
            <w:rPr/>
          </w:pPr>
          <w:hyperlink w:anchor="__RefHeading___Toc24558_3350804041">
            <w:r>
              <w:rPr>
                <w:webHidden/>
                <w:rStyle w:val="IndexLink"/>
              </w:rPr>
              <w:t>13.3 Daily and periodic tasks</w:t>
              <w:tab/>
              <w:t>207</w:t>
            </w:r>
          </w:hyperlink>
        </w:p>
        <w:p>
          <w:pPr>
            <w:pStyle w:val="TOC2"/>
            <w:tabs>
              <w:tab w:val="clear" w:pos="900"/>
              <w:tab w:val="clear" w:pos="9350"/>
              <w:tab w:val="right" w:pos="9025" w:leader="dot"/>
            </w:tabs>
            <w:rPr/>
          </w:pPr>
          <w:hyperlink w:anchor="__RefHeading___Toc24560_3350804041">
            <w:r>
              <w:rPr>
                <w:webHidden/>
                <w:rStyle w:val="IndexLink"/>
              </w:rPr>
              <w:t>13.4 Approve the month-end close</w:t>
              <w:tab/>
              <w:t>208</w:t>
            </w:r>
          </w:hyperlink>
        </w:p>
        <w:p>
          <w:pPr>
            <w:pStyle w:val="TOC2"/>
            <w:tabs>
              <w:tab w:val="clear" w:pos="900"/>
              <w:tab w:val="clear" w:pos="9350"/>
              <w:tab w:val="right" w:pos="9025" w:leader="dot"/>
            </w:tabs>
            <w:rPr/>
          </w:pPr>
          <w:hyperlink w:anchor="__RefHeading___Toc24562_3350804041">
            <w:r>
              <w:rPr>
                <w:webHidden/>
                <w:rStyle w:val="IndexLink"/>
              </w:rPr>
              <w:t>13.5 Period control</w:t>
              <w:tab/>
              <w:t>209</w:t>
            </w:r>
          </w:hyperlink>
        </w:p>
        <w:p>
          <w:pPr>
            <w:pStyle w:val="TOC2"/>
            <w:tabs>
              <w:tab w:val="clear" w:pos="900"/>
              <w:tab w:val="clear" w:pos="9350"/>
              <w:tab w:val="right" w:pos="9025" w:leader="dot"/>
            </w:tabs>
            <w:rPr/>
          </w:pPr>
          <w:hyperlink w:anchor="__RefHeading___Toc24564_3350804041">
            <w:r>
              <w:rPr>
                <w:webHidden/>
                <w:rStyle w:val="IndexLink"/>
              </w:rPr>
              <w:t>13.6 Approve a bank reconciliation</w:t>
              <w:tab/>
              <w:t>210</w:t>
            </w:r>
          </w:hyperlink>
        </w:p>
        <w:p>
          <w:pPr>
            <w:pStyle w:val="TOC2"/>
            <w:tabs>
              <w:tab w:val="clear" w:pos="900"/>
              <w:tab w:val="clear" w:pos="9350"/>
              <w:tab w:val="right" w:pos="9025" w:leader="dot"/>
            </w:tabs>
            <w:rPr/>
          </w:pPr>
          <w:hyperlink w:anchor="__RefHeading___Toc24566_3350804041">
            <w:r>
              <w:rPr>
                <w:webHidden/>
                <w:rStyle w:val="IndexLink"/>
              </w:rPr>
              <w:t>13.7 Approve an insurer statement reconciliation</w:t>
              <w:tab/>
              <w:t>211</w:t>
            </w:r>
          </w:hyperlink>
        </w:p>
        <w:p>
          <w:pPr>
            <w:pStyle w:val="TOC2"/>
            <w:tabs>
              <w:tab w:val="clear" w:pos="900"/>
              <w:tab w:val="clear" w:pos="9350"/>
              <w:tab w:val="right" w:pos="9025" w:leader="dot"/>
            </w:tabs>
            <w:rPr/>
          </w:pPr>
          <w:hyperlink w:anchor="__RefHeading___Toc24568_3350804041">
            <w:r>
              <w:rPr>
                <w:webHidden/>
                <w:rStyle w:val="IndexLink"/>
              </w:rPr>
              <w:t>13.8 Credit control decisions</w:t>
              <w:tab/>
              <w:t>211</w:t>
            </w:r>
          </w:hyperlink>
        </w:p>
        <w:p>
          <w:pPr>
            <w:pStyle w:val="TOC2"/>
            <w:tabs>
              <w:tab w:val="clear" w:pos="900"/>
              <w:tab w:val="clear" w:pos="9350"/>
              <w:tab w:val="right" w:pos="9025" w:leader="dot"/>
            </w:tabs>
            <w:rPr/>
          </w:pPr>
          <w:hyperlink w:anchor="__RefHeading___Toc24570_3350804041">
            <w:r>
              <w:rPr>
                <w:webHidden/>
                <w:rStyle w:val="IndexLink"/>
              </w:rPr>
              <w:t>13.9 Year-end close</w:t>
              <w:tab/>
              <w:t>211</w:t>
            </w:r>
          </w:hyperlink>
        </w:p>
        <w:p>
          <w:pPr>
            <w:pStyle w:val="TOC2"/>
            <w:tabs>
              <w:tab w:val="clear" w:pos="900"/>
              <w:tab w:val="clear" w:pos="9350"/>
              <w:tab w:val="right" w:pos="9025" w:leader="dot"/>
            </w:tabs>
            <w:rPr/>
          </w:pPr>
          <w:hyperlink w:anchor="__RefHeading___Toc24572_3350804041">
            <w:r>
              <w:rPr>
                <w:webHidden/>
                <w:rStyle w:val="IndexLink"/>
              </w:rPr>
              <w:t>13.10 Posting configuration: Configuration Approvals, Posting Rules, Account Determination</w:t>
              <w:tab/>
              <w:t>212</w:t>
            </w:r>
          </w:hyperlink>
        </w:p>
        <w:p>
          <w:pPr>
            <w:pStyle w:val="TOC2"/>
            <w:tabs>
              <w:tab w:val="clear" w:pos="900"/>
              <w:tab w:val="clear" w:pos="9350"/>
              <w:tab w:val="right" w:pos="9025" w:leader="dot"/>
            </w:tabs>
            <w:rPr/>
          </w:pPr>
          <w:hyperlink w:anchor="__RefHeading___Toc24574_3350804041">
            <w:r>
              <w:rPr>
                <w:webHidden/>
                <w:rStyle w:val="IndexLink"/>
              </w:rPr>
              <w:t>13.11 Commission Rate Matrix</w:t>
              <w:tab/>
              <w:t>215</w:t>
            </w:r>
          </w:hyperlink>
        </w:p>
        <w:p>
          <w:pPr>
            <w:pStyle w:val="TOC2"/>
            <w:tabs>
              <w:tab w:val="clear" w:pos="900"/>
              <w:tab w:val="clear" w:pos="9350"/>
              <w:tab w:val="right" w:pos="9025" w:leader="dot"/>
            </w:tabs>
            <w:rPr/>
          </w:pPr>
          <w:hyperlink w:anchor="__RefHeading___Toc24576_3350804041">
            <w:r>
              <w:rPr>
                <w:webHidden/>
                <w:rStyle w:val="IndexLink"/>
              </w:rPr>
              <w:t>13.12 Approve supplier invoices</w:t>
              <w:tab/>
              <w:t>215</w:t>
            </w:r>
          </w:hyperlink>
        </w:p>
        <w:p>
          <w:pPr>
            <w:pStyle w:val="TOC2"/>
            <w:tabs>
              <w:tab w:val="clear" w:pos="900"/>
              <w:tab w:val="clear" w:pos="9350"/>
              <w:tab w:val="right" w:pos="9025" w:leader="dot"/>
            </w:tabs>
            <w:rPr/>
          </w:pPr>
          <w:hyperlink w:anchor="__RefHeading___Toc24578_3350804041">
            <w:r>
              <w:rPr>
                <w:webHidden/>
                <w:rStyle w:val="IndexLink"/>
              </w:rPr>
              <w:t>13.13 Approvals summary</w:t>
              <w:tab/>
              <w:t>215</w:t>
            </w:r>
          </w:hyperlink>
        </w:p>
        <w:p>
          <w:pPr>
            <w:pStyle w:val="TOC1"/>
            <w:tabs>
              <w:tab w:val="clear" w:pos="900"/>
              <w:tab w:val="clear" w:pos="9350"/>
              <w:tab w:val="right" w:pos="9025" w:leader="dot"/>
            </w:tabs>
            <w:rPr/>
          </w:pPr>
          <w:hyperlink w:anchor="__RefHeading___Toc24580_3350804041">
            <w:r>
              <w:rPr>
                <w:webHidden/>
                <w:rStyle w:val="IndexLink"/>
              </w:rPr>
              <w:t>14. Compliance Officer</w:t>
              <w:tab/>
              <w:t>217</w:t>
            </w:r>
          </w:hyperlink>
        </w:p>
        <w:p>
          <w:pPr>
            <w:pStyle w:val="TOC2"/>
            <w:tabs>
              <w:tab w:val="clear" w:pos="900"/>
              <w:tab w:val="clear" w:pos="9350"/>
              <w:tab w:val="right" w:pos="9025" w:leader="dot"/>
            </w:tabs>
            <w:rPr/>
          </w:pPr>
          <w:hyperlink w:anchor="__RefHeading___Toc24582_3350804041">
            <w:r>
              <w:rPr>
                <w:webHidden/>
                <w:rStyle w:val="IndexLink"/>
              </w:rPr>
              <w:t>14.1 Role summary</w:t>
              <w:tab/>
              <w:t>217</w:t>
            </w:r>
          </w:hyperlink>
        </w:p>
        <w:p>
          <w:pPr>
            <w:pStyle w:val="TOC2"/>
            <w:tabs>
              <w:tab w:val="clear" w:pos="900"/>
              <w:tab w:val="clear" w:pos="9350"/>
              <w:tab w:val="right" w:pos="9025" w:leader="dot"/>
            </w:tabs>
            <w:rPr/>
          </w:pPr>
          <w:hyperlink w:anchor="__RefHeading___Toc24584_3350804041">
            <w:r>
              <w:rPr>
                <w:webHidden/>
                <w:rStyle w:val="IndexLink"/>
              </w:rPr>
              <w:t>14.2 Menus available</w:t>
              <w:tab/>
              <w:t>218</w:t>
            </w:r>
          </w:hyperlink>
        </w:p>
        <w:p>
          <w:pPr>
            <w:pStyle w:val="TOC2"/>
            <w:tabs>
              <w:tab w:val="clear" w:pos="900"/>
              <w:tab w:val="clear" w:pos="9350"/>
              <w:tab w:val="right" w:pos="9025" w:leader="dot"/>
            </w:tabs>
            <w:rPr/>
          </w:pPr>
          <w:hyperlink w:anchor="__RefHeading___Toc24586_3350804041">
            <w:r>
              <w:rPr>
                <w:webHidden/>
                <w:rStyle w:val="IndexLink"/>
              </w:rPr>
              <w:t>14.3 Daily and periodic tasks</w:t>
              <w:tab/>
              <w:t>218</w:t>
            </w:r>
          </w:hyperlink>
        </w:p>
        <w:p>
          <w:pPr>
            <w:pStyle w:val="TOC2"/>
            <w:tabs>
              <w:tab w:val="clear" w:pos="900"/>
              <w:tab w:val="clear" w:pos="9350"/>
              <w:tab w:val="right" w:pos="9025" w:leader="dot"/>
            </w:tabs>
            <w:rPr/>
          </w:pPr>
          <w:hyperlink w:anchor="__RefHeading___Toc24588_3350804041">
            <w:r>
              <w:rPr>
                <w:webHidden/>
                <w:rStyle w:val="IndexLink"/>
              </w:rPr>
              <w:t>14.4 AML dashboard</w:t>
              <w:tab/>
              <w:t>219</w:t>
            </w:r>
          </w:hyperlink>
        </w:p>
        <w:p>
          <w:pPr>
            <w:pStyle w:val="TOC2"/>
            <w:tabs>
              <w:tab w:val="clear" w:pos="900"/>
              <w:tab w:val="clear" w:pos="9350"/>
              <w:tab w:val="right" w:pos="9025" w:leader="dot"/>
            </w:tabs>
            <w:rPr/>
          </w:pPr>
          <w:hyperlink w:anchor="__RefHeading___Toc24590_3350804041">
            <w:r>
              <w:rPr>
                <w:webHidden/>
                <w:rStyle w:val="IndexLink"/>
              </w:rPr>
              <w:t>14.5 Client due diligence and risk rating</w:t>
              <w:tab/>
              <w:t>219</w:t>
            </w:r>
          </w:hyperlink>
        </w:p>
        <w:p>
          <w:pPr>
            <w:pStyle w:val="TOC2"/>
            <w:tabs>
              <w:tab w:val="clear" w:pos="900"/>
              <w:tab w:val="clear" w:pos="9350"/>
              <w:tab w:val="right" w:pos="9025" w:leader="dot"/>
            </w:tabs>
            <w:rPr/>
          </w:pPr>
          <w:hyperlink w:anchor="__RefHeading___Toc24592_3350804041">
            <w:r>
              <w:rPr>
                <w:webHidden/>
                <w:rStyle w:val="IndexLink"/>
              </w:rPr>
              <w:t>14.6 Enhanced due diligence (EDD) reviews</w:t>
              <w:tab/>
              <w:t>220</w:t>
            </w:r>
          </w:hyperlink>
        </w:p>
        <w:p>
          <w:pPr>
            <w:pStyle w:val="TOC2"/>
            <w:tabs>
              <w:tab w:val="clear" w:pos="900"/>
              <w:tab w:val="clear" w:pos="9350"/>
              <w:tab w:val="right" w:pos="9025" w:leader="dot"/>
            </w:tabs>
            <w:rPr/>
          </w:pPr>
          <w:hyperlink w:anchor="__RefHeading___Toc24594_3350804041">
            <w:r>
              <w:rPr>
                <w:webHidden/>
                <w:rStyle w:val="IndexLink"/>
              </w:rPr>
              <w:t>14.7 KYC refresh</w:t>
              <w:tab/>
              <w:t>221</w:t>
            </w:r>
          </w:hyperlink>
        </w:p>
        <w:p>
          <w:pPr>
            <w:pStyle w:val="TOC2"/>
            <w:tabs>
              <w:tab w:val="clear" w:pos="900"/>
              <w:tab w:val="clear" w:pos="9350"/>
              <w:tab w:val="right" w:pos="9025" w:leader="dot"/>
            </w:tabs>
            <w:rPr/>
          </w:pPr>
          <w:hyperlink w:anchor="__RefHeading___Toc24596_3350804041">
            <w:r>
              <w:rPr>
                <w:webHidden/>
                <w:rStyle w:val="IndexLink"/>
              </w:rPr>
              <w:t>14.8 Screening hits</w:t>
              <w:tab/>
              <w:t>221</w:t>
            </w:r>
          </w:hyperlink>
        </w:p>
        <w:p>
          <w:pPr>
            <w:pStyle w:val="TOC2"/>
            <w:tabs>
              <w:tab w:val="clear" w:pos="900"/>
              <w:tab w:val="clear" w:pos="9350"/>
              <w:tab w:val="right" w:pos="9025" w:leader="dot"/>
            </w:tabs>
            <w:rPr/>
          </w:pPr>
          <w:hyperlink w:anchor="__RefHeading___Toc24598_3350804041">
            <w:r>
              <w:rPr>
                <w:webHidden/>
                <w:rStyle w:val="IndexLink"/>
              </w:rPr>
              <w:t>14.9 Screening lists and the screening provider</w:t>
              <w:tab/>
              <w:t>221</w:t>
            </w:r>
          </w:hyperlink>
        </w:p>
        <w:p>
          <w:pPr>
            <w:pStyle w:val="TOC2"/>
            <w:tabs>
              <w:tab w:val="clear" w:pos="900"/>
              <w:tab w:val="clear" w:pos="9350"/>
              <w:tab w:val="right" w:pos="9025" w:leader="dot"/>
            </w:tabs>
            <w:rPr/>
          </w:pPr>
          <w:hyperlink w:anchor="__RefHeading___Toc24600_3350804041">
            <w:r>
              <w:rPr>
                <w:webHidden/>
                <w:rStyle w:val="IndexLink"/>
              </w:rPr>
              <w:t>14.10 Transaction alerts</w:t>
              <w:tab/>
              <w:t>222</w:t>
            </w:r>
          </w:hyperlink>
        </w:p>
        <w:p>
          <w:pPr>
            <w:pStyle w:val="TOC2"/>
            <w:tabs>
              <w:tab w:val="clear" w:pos="900"/>
              <w:tab w:val="clear" w:pos="9350"/>
              <w:tab w:val="right" w:pos="9025" w:leader="dot"/>
            </w:tabs>
            <w:rPr/>
          </w:pPr>
          <w:hyperlink w:anchor="__RefHeading___Toc24602_3350804041">
            <w:r>
              <w:rPr>
                <w:webHidden/>
                <w:rStyle w:val="IndexLink"/>
              </w:rPr>
              <w:t>14.11 AML cases</w:t>
              <w:tab/>
              <w:t>222</w:t>
            </w:r>
          </w:hyperlink>
        </w:p>
        <w:p>
          <w:pPr>
            <w:pStyle w:val="TOC2"/>
            <w:tabs>
              <w:tab w:val="clear" w:pos="900"/>
              <w:tab w:val="clear" w:pos="9350"/>
              <w:tab w:val="right" w:pos="9025" w:leader="dot"/>
            </w:tabs>
            <w:rPr/>
          </w:pPr>
          <w:hyperlink w:anchor="__RefHeading___Toc24604_3350804041">
            <w:r>
              <w:rPr>
                <w:webHidden/>
                <w:rStyle w:val="IndexLink"/>
              </w:rPr>
              <w:t>14.12 AMLC reports</w:t>
              <w:tab/>
              <w:t>223</w:t>
            </w:r>
          </w:hyperlink>
        </w:p>
        <w:p>
          <w:pPr>
            <w:pStyle w:val="TOC2"/>
            <w:tabs>
              <w:tab w:val="clear" w:pos="900"/>
              <w:tab w:val="clear" w:pos="9350"/>
              <w:tab w:val="right" w:pos="9025" w:leader="dot"/>
            </w:tabs>
            <w:rPr/>
          </w:pPr>
          <w:hyperlink w:anchor="__RefHeading___Toc24606_3350804041">
            <w:r>
              <w:rPr>
                <w:webHidden/>
                <w:rStyle w:val="IndexLink"/>
              </w:rPr>
              <w:t>14.13 AML settings</w:t>
              <w:tab/>
              <w:t>223</w:t>
            </w:r>
          </w:hyperlink>
        </w:p>
        <w:p>
          <w:pPr>
            <w:pStyle w:val="TOC2"/>
            <w:tabs>
              <w:tab w:val="clear" w:pos="900"/>
              <w:tab w:val="clear" w:pos="9350"/>
              <w:tab w:val="right" w:pos="9025" w:leader="dot"/>
            </w:tabs>
            <w:rPr/>
          </w:pPr>
          <w:hyperlink w:anchor="__RefHeading___Toc24608_3350804041">
            <w:r>
              <w:rPr>
                <w:webHidden/>
                <w:rStyle w:val="IndexLink"/>
              </w:rPr>
              <w:t>14.14 Approvals</w:t>
              <w:tab/>
              <w:t>225</w:t>
            </w:r>
          </w:hyperlink>
        </w:p>
        <w:p>
          <w:pPr>
            <w:pStyle w:val="TOC2"/>
            <w:tabs>
              <w:tab w:val="clear" w:pos="900"/>
              <w:tab w:val="clear" w:pos="9350"/>
              <w:tab w:val="right" w:pos="9025" w:leader="dot"/>
            </w:tabs>
            <w:rPr/>
          </w:pPr>
          <w:hyperlink w:anchor="__RefHeading___Toc24610_3350804041">
            <w:r>
              <w:rPr>
                <w:webHidden/>
                <w:rStyle w:val="IndexLink"/>
              </w:rPr>
              <w:t>14.15 Insurance Commission registers, complaints and the breach register</w:t>
              <w:tab/>
              <w:t>225</w:t>
            </w:r>
          </w:hyperlink>
        </w:p>
        <w:p>
          <w:pPr>
            <w:pStyle w:val="TOC1"/>
            <w:tabs>
              <w:tab w:val="clear" w:pos="900"/>
              <w:tab w:val="clear" w:pos="9350"/>
              <w:tab w:val="right" w:pos="9025" w:leader="dot"/>
            </w:tabs>
            <w:rPr/>
          </w:pPr>
          <w:hyperlink w:anchor="__RefHeading___Toc24612_3350804041">
            <w:r>
              <w:rPr>
                <w:webHidden/>
                <w:rStyle w:val="IndexLink"/>
              </w:rPr>
              <w:t>15. Distribution, programmes and products</w:t>
              <w:tab/>
              <w:t>226</w:t>
            </w:r>
          </w:hyperlink>
        </w:p>
        <w:p>
          <w:pPr>
            <w:pStyle w:val="TOC2"/>
            <w:tabs>
              <w:tab w:val="clear" w:pos="900"/>
              <w:tab w:val="clear" w:pos="9350"/>
              <w:tab w:val="right" w:pos="9025" w:leader="dot"/>
            </w:tabs>
            <w:rPr/>
          </w:pPr>
          <w:hyperlink w:anchor="__RefHeading___Toc24614_3350804041">
            <w:r>
              <w:rPr>
                <w:webHidden/>
                <w:rStyle w:val="IndexLink"/>
              </w:rPr>
              <w:t>15.1 Lead Assignment</w:t>
              <w:tab/>
              <w:t>227</w:t>
            </w:r>
          </w:hyperlink>
        </w:p>
        <w:p>
          <w:pPr>
            <w:pStyle w:val="TOC2"/>
            <w:tabs>
              <w:tab w:val="clear" w:pos="900"/>
              <w:tab w:val="clear" w:pos="9350"/>
              <w:tab w:val="right" w:pos="9025" w:leader="dot"/>
            </w:tabs>
            <w:rPr/>
          </w:pPr>
          <w:hyperlink w:anchor="__RefHeading___Toc24616_3350804041">
            <w:r>
              <w:rPr>
                <w:webHidden/>
                <w:rStyle w:val="IndexLink"/>
              </w:rPr>
              <w:t>15.2 Distribution Channels</w:t>
              <w:tab/>
              <w:t>229</w:t>
            </w:r>
          </w:hyperlink>
        </w:p>
        <w:p>
          <w:pPr>
            <w:pStyle w:val="TOC2"/>
            <w:tabs>
              <w:tab w:val="clear" w:pos="900"/>
              <w:tab w:val="clear" w:pos="9350"/>
              <w:tab w:val="right" w:pos="9025" w:leader="dot"/>
            </w:tabs>
            <w:rPr/>
          </w:pPr>
          <w:hyperlink w:anchor="__RefHeading___Toc24618_3350804041">
            <w:r>
              <w:rPr>
                <w:webHidden/>
                <w:rStyle w:val="IndexLink"/>
              </w:rPr>
              <w:t>15.3 Dealer Programmes</w:t>
              <w:tab/>
              <w:t>230</w:t>
            </w:r>
          </w:hyperlink>
        </w:p>
        <w:p>
          <w:pPr>
            <w:pStyle w:val="TOC2"/>
            <w:tabs>
              <w:tab w:val="clear" w:pos="900"/>
              <w:tab w:val="clear" w:pos="9350"/>
              <w:tab w:val="right" w:pos="9025" w:leader="dot"/>
            </w:tabs>
            <w:rPr/>
          </w:pPr>
          <w:hyperlink w:anchor="__RefHeading___Toc24620_3350804041">
            <w:r>
              <w:rPr>
                <w:webHidden/>
                <w:rStyle w:val="IndexLink"/>
              </w:rPr>
              <w:t>15.4 Fleet Schedules</w:t>
              <w:tab/>
              <w:t>231</w:t>
            </w:r>
          </w:hyperlink>
        </w:p>
        <w:p>
          <w:pPr>
            <w:pStyle w:val="TOC2"/>
            <w:tabs>
              <w:tab w:val="clear" w:pos="900"/>
              <w:tab w:val="clear" w:pos="9350"/>
              <w:tab w:val="right" w:pos="9025" w:leader="dot"/>
            </w:tabs>
            <w:rPr/>
          </w:pPr>
          <w:hyperlink w:anchor="__RefHeading___Toc24622_3350804041">
            <w:r>
              <w:rPr>
                <w:webHidden/>
                <w:rStyle w:val="IndexLink"/>
              </w:rPr>
              <w:t>15.5 Marine Open Covers</w:t>
              <w:tab/>
              <w:t>233</w:t>
            </w:r>
          </w:hyperlink>
        </w:p>
        <w:p>
          <w:pPr>
            <w:pStyle w:val="TOC2"/>
            <w:tabs>
              <w:tab w:val="clear" w:pos="900"/>
              <w:tab w:val="clear" w:pos="9350"/>
              <w:tab w:val="right" w:pos="9025" w:leader="dot"/>
            </w:tabs>
            <w:rPr/>
          </w:pPr>
          <w:hyperlink w:anchor="__RefHeading___Toc24624_3350804041">
            <w:r>
              <w:rPr>
                <w:webHidden/>
                <w:rStyle w:val="IndexLink"/>
              </w:rPr>
              <w:t>15.6 Facultative Placements</w:t>
              <w:tab/>
              <w:t>235</w:t>
            </w:r>
          </w:hyperlink>
        </w:p>
        <w:p>
          <w:pPr>
            <w:pStyle w:val="TOC2"/>
            <w:tabs>
              <w:tab w:val="clear" w:pos="900"/>
              <w:tab w:val="clear" w:pos="9350"/>
              <w:tab w:val="right" w:pos="9025" w:leader="dot"/>
            </w:tabs>
            <w:rPr/>
          </w:pPr>
          <w:hyperlink w:anchor="__RefHeading___Toc24626_3350804041">
            <w:r>
              <w:rPr>
                <w:webHidden/>
                <w:rStyle w:val="IndexLink"/>
              </w:rPr>
              <w:t>15.7 Comparison Reports</w:t>
              <w:tab/>
              <w:t>236</w:t>
            </w:r>
          </w:hyperlink>
        </w:p>
        <w:p>
          <w:pPr>
            <w:pStyle w:val="TOC2"/>
            <w:tabs>
              <w:tab w:val="clear" w:pos="900"/>
              <w:tab w:val="clear" w:pos="9350"/>
              <w:tab w:val="right" w:pos="9025" w:leader="dot"/>
            </w:tabs>
            <w:rPr/>
          </w:pPr>
          <w:hyperlink w:anchor="__RefHeading___Toc24628_3350804041">
            <w:r>
              <w:rPr>
                <w:webHidden/>
                <w:rStyle w:val="IndexLink"/>
              </w:rPr>
              <w:t>15.8 Campaigns</w:t>
              <w:tab/>
              <w:t>237</w:t>
            </w:r>
          </w:hyperlink>
        </w:p>
        <w:p>
          <w:pPr>
            <w:pStyle w:val="TOC2"/>
            <w:tabs>
              <w:tab w:val="clear" w:pos="900"/>
              <w:tab w:val="clear" w:pos="9350"/>
              <w:tab w:val="right" w:pos="9025" w:leader="dot"/>
            </w:tabs>
            <w:rPr/>
          </w:pPr>
          <w:hyperlink w:anchor="__RefHeading___Toc24630_3350804041">
            <w:r>
              <w:rPr>
                <w:webHidden/>
                <w:rStyle w:val="IndexLink"/>
              </w:rPr>
              <w:t>15.9 Report Builder</w:t>
              <w:tab/>
              <w:t>239</w:t>
            </w:r>
          </w:hyperlink>
        </w:p>
        <w:p>
          <w:pPr>
            <w:pStyle w:val="TOC1"/>
            <w:tabs>
              <w:tab w:val="clear" w:pos="900"/>
              <w:tab w:val="clear" w:pos="9350"/>
              <w:tab w:val="right" w:pos="9025" w:leader="dot"/>
            </w:tabs>
            <w:rPr/>
          </w:pPr>
          <w:hyperlink w:anchor="__RefHeading___Toc24632_3350804041">
            <w:r>
              <w:rPr>
                <w:webHidden/>
                <w:rStyle w:val="IndexLink"/>
              </w:rPr>
              <w:t>16. Compliance</w:t>
              <w:tab/>
              <w:t>241</w:t>
            </w:r>
          </w:hyperlink>
        </w:p>
        <w:p>
          <w:pPr>
            <w:pStyle w:val="TOC2"/>
            <w:tabs>
              <w:tab w:val="clear" w:pos="900"/>
              <w:tab w:val="clear" w:pos="9350"/>
              <w:tab w:val="right" w:pos="9025" w:leader="dot"/>
            </w:tabs>
            <w:rPr/>
          </w:pPr>
          <w:hyperlink w:anchor="__RefHeading___Toc24634_3350804041">
            <w:r>
              <w:rPr>
                <w:webHidden/>
                <w:rStyle w:val="IndexLink"/>
              </w:rPr>
              <w:t>16.1 Licence register</w:t>
              <w:tab/>
              <w:t>241</w:t>
            </w:r>
          </w:hyperlink>
        </w:p>
        <w:p>
          <w:pPr>
            <w:pStyle w:val="TOC2"/>
            <w:tabs>
              <w:tab w:val="clear" w:pos="900"/>
              <w:tab w:val="clear" w:pos="9350"/>
              <w:tab w:val="right" w:pos="9025" w:leader="dot"/>
            </w:tabs>
            <w:rPr/>
          </w:pPr>
          <w:hyperlink w:anchor="__RefHeading___Toc24636_3350804041">
            <w:r>
              <w:rPr>
                <w:webHidden/>
                <w:rStyle w:val="IndexLink"/>
              </w:rPr>
              <w:t>16.2 Fit and proper records</w:t>
              <w:tab/>
              <w:t>243</w:t>
            </w:r>
          </w:hyperlink>
        </w:p>
        <w:p>
          <w:pPr>
            <w:pStyle w:val="TOC2"/>
            <w:tabs>
              <w:tab w:val="clear" w:pos="900"/>
              <w:tab w:val="clear" w:pos="9350"/>
              <w:tab w:val="right" w:pos="9025" w:leader="dot"/>
            </w:tabs>
            <w:rPr/>
          </w:pPr>
          <w:hyperlink w:anchor="__RefHeading___Toc24638_3350804041">
            <w:r>
              <w:rPr>
                <w:webHidden/>
                <w:rStyle w:val="IndexLink"/>
              </w:rPr>
              <w:t>16.3 Insurer authority</w:t>
              <w:tab/>
              <w:t>244</w:t>
            </w:r>
          </w:hyperlink>
        </w:p>
        <w:p>
          <w:pPr>
            <w:pStyle w:val="TOC2"/>
            <w:tabs>
              <w:tab w:val="clear" w:pos="900"/>
              <w:tab w:val="clear" w:pos="9350"/>
              <w:tab w:val="right" w:pos="9025" w:leader="dot"/>
            </w:tabs>
            <w:rPr/>
          </w:pPr>
          <w:hyperlink w:anchor="__RefHeading___Toc24640_3350804041">
            <w:r>
              <w:rPr>
                <w:webHidden/>
                <w:rStyle w:val="IndexLink"/>
              </w:rPr>
              <w:t>16.4 Complaints register</w:t>
              <w:tab/>
              <w:t>245</w:t>
            </w:r>
          </w:hyperlink>
        </w:p>
        <w:p>
          <w:pPr>
            <w:pStyle w:val="TOC2"/>
            <w:tabs>
              <w:tab w:val="clear" w:pos="900"/>
              <w:tab w:val="clear" w:pos="9350"/>
              <w:tab w:val="right" w:pos="9025" w:leader="dot"/>
            </w:tabs>
            <w:rPr/>
          </w:pPr>
          <w:hyperlink w:anchor="__RefHeading___Toc24642_3350804041">
            <w:r>
              <w:rPr>
                <w:webHidden/>
                <w:rStyle w:val="IndexLink"/>
              </w:rPr>
              <w:t>16.5 IC annual statement</w:t>
              <w:tab/>
              <w:t>247</w:t>
            </w:r>
          </w:hyperlink>
        </w:p>
        <w:p>
          <w:pPr>
            <w:pStyle w:val="TOC2"/>
            <w:tabs>
              <w:tab w:val="clear" w:pos="900"/>
              <w:tab w:val="clear" w:pos="9350"/>
              <w:tab w:val="right" w:pos="9025" w:leader="dot"/>
            </w:tabs>
            <w:rPr/>
          </w:pPr>
          <w:hyperlink w:anchor="__RefHeading___Toc24644_3350804041">
            <w:r>
              <w:rPr>
                <w:webHidden/>
                <w:rStyle w:val="IndexLink"/>
              </w:rPr>
              <w:t>16.6 IC production report</w:t>
              <w:tab/>
              <w:t>248</w:t>
            </w:r>
          </w:hyperlink>
        </w:p>
        <w:p>
          <w:pPr>
            <w:pStyle w:val="TOC2"/>
            <w:tabs>
              <w:tab w:val="clear" w:pos="900"/>
              <w:tab w:val="clear" w:pos="9350"/>
              <w:tab w:val="right" w:pos="9025" w:leader="dot"/>
            </w:tabs>
            <w:rPr/>
          </w:pPr>
          <w:hyperlink w:anchor="__RefHeading___Toc24646_3350804041">
            <w:r>
              <w:rPr>
                <w:webHidden/>
                <w:rStyle w:val="IndexLink"/>
              </w:rPr>
              <w:t>16.7 Personal data breach register</w:t>
              <w:tab/>
              <w:t>250</w:t>
            </w:r>
          </w:hyperlink>
        </w:p>
        <w:p>
          <w:pPr>
            <w:pStyle w:val="TOC1"/>
            <w:tabs>
              <w:tab w:val="clear" w:pos="900"/>
              <w:tab w:val="clear" w:pos="9350"/>
              <w:tab w:val="right" w:pos="9025" w:leader="dot"/>
            </w:tabs>
            <w:rPr/>
          </w:pPr>
          <w:hyperlink w:anchor="__RefHeading___Toc24648_3350804041">
            <w:r>
              <w:rPr>
                <w:webHidden/>
                <w:rStyle w:val="IndexLink"/>
              </w:rPr>
              <w:t>17. Module reference</w:t>
              <w:tab/>
              <w:t>252</w:t>
            </w:r>
          </w:hyperlink>
        </w:p>
        <w:p>
          <w:pPr>
            <w:pStyle w:val="TOC2"/>
            <w:tabs>
              <w:tab w:val="clear" w:pos="900"/>
              <w:tab w:val="clear" w:pos="9350"/>
              <w:tab w:val="right" w:pos="9025" w:leader="dot"/>
            </w:tabs>
            <w:rPr/>
          </w:pPr>
          <w:hyperlink w:anchor="__RefHeading___Toc24650_3350804041">
            <w:r>
              <w:rPr>
                <w:webHidden/>
                <w:rStyle w:val="IndexLink"/>
              </w:rPr>
              <w:t>17.1 Dashboard</w:t>
              <w:tab/>
              <w:t>252</w:t>
            </w:r>
          </w:hyperlink>
        </w:p>
        <w:p>
          <w:pPr>
            <w:pStyle w:val="TOC2"/>
            <w:tabs>
              <w:tab w:val="clear" w:pos="900"/>
              <w:tab w:val="clear" w:pos="9350"/>
              <w:tab w:val="right" w:pos="9025" w:leader="dot"/>
            </w:tabs>
            <w:rPr/>
          </w:pPr>
          <w:hyperlink w:anchor="__RefHeading___Toc24652_3350804041">
            <w:r>
              <w:rPr>
                <w:webHidden/>
                <w:rStyle w:val="IndexLink"/>
              </w:rPr>
              <w:t>17.2 Operations</w:t>
              <w:tab/>
              <w:t>253</w:t>
            </w:r>
          </w:hyperlink>
        </w:p>
        <w:p>
          <w:pPr>
            <w:pStyle w:val="TOC2"/>
            <w:tabs>
              <w:tab w:val="clear" w:pos="900"/>
              <w:tab w:val="clear" w:pos="9350"/>
              <w:tab w:val="right" w:pos="9025" w:leader="dot"/>
            </w:tabs>
            <w:rPr/>
          </w:pPr>
          <w:hyperlink w:anchor="__RefHeading___Toc24654_3350804041">
            <w:r>
              <w:rPr>
                <w:webHidden/>
                <w:rStyle w:val="IndexLink"/>
              </w:rPr>
              <w:t>17.3 Accounts</w:t>
              <w:tab/>
              <w:t>257</w:t>
            </w:r>
          </w:hyperlink>
        </w:p>
        <w:p>
          <w:pPr>
            <w:pStyle w:val="TOC2"/>
            <w:tabs>
              <w:tab w:val="clear" w:pos="900"/>
              <w:tab w:val="clear" w:pos="9350"/>
              <w:tab w:val="right" w:pos="9025" w:leader="dot"/>
            </w:tabs>
            <w:rPr/>
          </w:pPr>
          <w:hyperlink w:anchor="__RefHeading___Toc24656_3350804041">
            <w:r>
              <w:rPr>
                <w:webHidden/>
                <w:rStyle w:val="IndexLink"/>
              </w:rPr>
              <w:t>17.4 Commission</w:t>
              <w:tab/>
              <w:t>260</w:t>
            </w:r>
          </w:hyperlink>
        </w:p>
        <w:p>
          <w:pPr>
            <w:pStyle w:val="TOC2"/>
            <w:tabs>
              <w:tab w:val="clear" w:pos="900"/>
              <w:tab w:val="clear" w:pos="9350"/>
              <w:tab w:val="right" w:pos="9025" w:leader="dot"/>
            </w:tabs>
            <w:rPr/>
          </w:pPr>
          <w:hyperlink w:anchor="__RefHeading___Toc24658_3350804041">
            <w:r>
              <w:rPr>
                <w:webHidden/>
                <w:rStyle w:val="IndexLink"/>
              </w:rPr>
              <w:t>17.5 Reinsurance</w:t>
              <w:tab/>
              <w:t>261</w:t>
            </w:r>
          </w:hyperlink>
        </w:p>
        <w:p>
          <w:pPr>
            <w:pStyle w:val="TOC2"/>
            <w:tabs>
              <w:tab w:val="clear" w:pos="900"/>
              <w:tab w:val="clear" w:pos="9350"/>
              <w:tab w:val="right" w:pos="9025" w:leader="dot"/>
            </w:tabs>
            <w:rPr/>
          </w:pPr>
          <w:hyperlink w:anchor="__RefHeading___Toc24660_3350804041">
            <w:r>
              <w:rPr>
                <w:webHidden/>
                <w:rStyle w:val="IndexLink"/>
              </w:rPr>
              <w:t>17.6 Compliance</w:t>
              <w:tab/>
              <w:t>261</w:t>
            </w:r>
          </w:hyperlink>
        </w:p>
        <w:p>
          <w:pPr>
            <w:pStyle w:val="TOC2"/>
            <w:tabs>
              <w:tab w:val="clear" w:pos="900"/>
              <w:tab w:val="clear" w:pos="9350"/>
              <w:tab w:val="right" w:pos="9025" w:leader="dot"/>
            </w:tabs>
            <w:rPr/>
          </w:pPr>
          <w:hyperlink w:anchor="__RefHeading___Toc24662_3350804041">
            <w:r>
              <w:rPr>
                <w:webHidden/>
                <w:rStyle w:val="IndexLink"/>
              </w:rPr>
              <w:t>17.7 Reports</w:t>
              <w:tab/>
              <w:t>262</w:t>
            </w:r>
          </w:hyperlink>
        </w:p>
        <w:p>
          <w:pPr>
            <w:pStyle w:val="TOC2"/>
            <w:tabs>
              <w:tab w:val="clear" w:pos="900"/>
              <w:tab w:val="clear" w:pos="9350"/>
              <w:tab w:val="right" w:pos="9025" w:leader="dot"/>
            </w:tabs>
            <w:rPr/>
          </w:pPr>
          <w:hyperlink w:anchor="__RefHeading___Toc24664_3350804041">
            <w:r>
              <w:rPr>
                <w:webHidden/>
                <w:rStyle w:val="IndexLink"/>
              </w:rPr>
              <w:t>17.8 Master</w:t>
              <w:tab/>
              <w:t>262</w:t>
            </w:r>
          </w:hyperlink>
        </w:p>
        <w:p>
          <w:pPr>
            <w:pStyle w:val="TOC2"/>
            <w:tabs>
              <w:tab w:val="clear" w:pos="900"/>
              <w:tab w:val="clear" w:pos="9350"/>
              <w:tab w:val="right" w:pos="9025" w:leader="dot"/>
            </w:tabs>
            <w:rPr/>
          </w:pPr>
          <w:hyperlink w:anchor="__RefHeading___Toc24666_3350804041">
            <w:r>
              <w:rPr>
                <w:webHidden/>
                <w:rStyle w:val="IndexLink"/>
              </w:rPr>
              <w:t>17.9 Product Configurator</w:t>
              <w:tab/>
              <w:t>265</w:t>
            </w:r>
          </w:hyperlink>
        </w:p>
        <w:p>
          <w:pPr>
            <w:pStyle w:val="TOC2"/>
            <w:tabs>
              <w:tab w:val="clear" w:pos="900"/>
              <w:tab w:val="clear" w:pos="9350"/>
              <w:tab w:val="right" w:pos="9025" w:leader="dot"/>
            </w:tabs>
            <w:rPr/>
          </w:pPr>
          <w:hyperlink w:anchor="__RefHeading___Toc24668_3350804041">
            <w:r>
              <w:rPr>
                <w:webHidden/>
                <w:rStyle w:val="IndexLink"/>
              </w:rPr>
              <w:t>17.10 Number series</w:t>
              <w:tab/>
              <w:t>266</w:t>
            </w:r>
          </w:hyperlink>
        </w:p>
        <w:p>
          <w:pPr>
            <w:pStyle w:val="TOC1"/>
            <w:tabs>
              <w:tab w:val="clear" w:pos="900"/>
              <w:tab w:val="clear" w:pos="9350"/>
              <w:tab w:val="right" w:pos="9025" w:leader="dot"/>
            </w:tabs>
            <w:rPr/>
          </w:pPr>
          <w:hyperlink w:anchor="__RefHeading___Toc24670_3350804041">
            <w:r>
              <w:rPr>
                <w:webHidden/>
                <w:rStyle w:val="IndexLink"/>
              </w:rPr>
              <w:t>18. Reports, dashboards, schedules and notifications</w:t>
              <w:tab/>
              <w:t>268</w:t>
            </w:r>
          </w:hyperlink>
        </w:p>
        <w:p>
          <w:pPr>
            <w:pStyle w:val="TOC2"/>
            <w:tabs>
              <w:tab w:val="clear" w:pos="900"/>
              <w:tab w:val="clear" w:pos="9350"/>
              <w:tab w:val="right" w:pos="9025" w:leader="dot"/>
            </w:tabs>
            <w:rPr/>
          </w:pPr>
          <w:hyperlink w:anchor="__RefHeading___Toc24672_3350804041">
            <w:r>
              <w:rPr>
                <w:webHidden/>
                <w:rStyle w:val="IndexLink"/>
              </w:rPr>
              <w:t>18.1 Reports</w:t>
              <w:tab/>
              <w:t>268</w:t>
            </w:r>
          </w:hyperlink>
        </w:p>
        <w:p>
          <w:pPr>
            <w:pStyle w:val="TOC2"/>
            <w:tabs>
              <w:tab w:val="clear" w:pos="900"/>
              <w:tab w:val="clear" w:pos="9350"/>
              <w:tab w:val="right" w:pos="9025" w:leader="dot"/>
            </w:tabs>
            <w:rPr/>
          </w:pPr>
          <w:hyperlink w:anchor="__RefHeading___Toc24674_3350804041">
            <w:r>
              <w:rPr>
                <w:webHidden/>
                <w:rStyle w:val="IndexLink"/>
              </w:rPr>
              <w:t>18.2 Dashboards</w:t>
              <w:tab/>
              <w:t>269</w:t>
            </w:r>
          </w:hyperlink>
        </w:p>
        <w:p>
          <w:pPr>
            <w:pStyle w:val="TOC2"/>
            <w:tabs>
              <w:tab w:val="clear" w:pos="900"/>
              <w:tab w:val="clear" w:pos="9350"/>
              <w:tab w:val="right" w:pos="9025" w:leader="dot"/>
            </w:tabs>
            <w:rPr/>
          </w:pPr>
          <w:hyperlink w:anchor="__RefHeading___Toc24676_3350804041">
            <w:r>
              <w:rPr>
                <w:webHidden/>
                <w:rStyle w:val="IndexLink"/>
              </w:rPr>
              <w:t>18.3 Schedules</w:t>
              <w:tab/>
              <w:t>270</w:t>
            </w:r>
          </w:hyperlink>
        </w:p>
        <w:p>
          <w:pPr>
            <w:pStyle w:val="TOC2"/>
            <w:tabs>
              <w:tab w:val="clear" w:pos="900"/>
              <w:tab w:val="clear" w:pos="9350"/>
              <w:tab w:val="right" w:pos="9025" w:leader="dot"/>
            </w:tabs>
            <w:rPr/>
          </w:pPr>
          <w:hyperlink w:anchor="__RefHeading___Toc24678_3350804041">
            <w:r>
              <w:rPr>
                <w:webHidden/>
                <w:rStyle w:val="IndexLink"/>
              </w:rPr>
              <w:t>18.4 Notifications and e-mails</w:t>
              <w:tab/>
              <w:t>270</w:t>
            </w:r>
          </w:hyperlink>
        </w:p>
        <w:p>
          <w:pPr>
            <w:pStyle w:val="TOC1"/>
            <w:tabs>
              <w:tab w:val="clear" w:pos="900"/>
              <w:tab w:val="clear" w:pos="9350"/>
              <w:tab w:val="right" w:pos="9025" w:leader="dot"/>
            </w:tabs>
            <w:rPr/>
          </w:pPr>
          <w:hyperlink w:anchor="__RefHeading___Toc24680_3350804041">
            <w:r>
              <w:rPr>
                <w:webHidden/>
                <w:rStyle w:val="IndexLink"/>
              </w:rPr>
              <w:t>19. Troubleshooting, FAQ and glossary</w:t>
              <w:tab/>
              <w:t>273</w:t>
            </w:r>
          </w:hyperlink>
        </w:p>
        <w:p>
          <w:pPr>
            <w:pStyle w:val="TOC2"/>
            <w:tabs>
              <w:tab w:val="clear" w:pos="900"/>
              <w:tab w:val="clear" w:pos="9350"/>
              <w:tab w:val="right" w:pos="9025" w:leader="dot"/>
            </w:tabs>
            <w:rPr/>
          </w:pPr>
          <w:hyperlink w:anchor="__RefHeading___Toc24682_3350804041">
            <w:r>
              <w:rPr>
                <w:webHidden/>
                <w:rStyle w:val="IndexLink"/>
              </w:rPr>
              <w:t>19.1 Common messages and what to do</w:t>
              <w:tab/>
              <w:t>273</w:t>
            </w:r>
          </w:hyperlink>
        </w:p>
        <w:p>
          <w:pPr>
            <w:pStyle w:val="TOC2"/>
            <w:tabs>
              <w:tab w:val="clear" w:pos="900"/>
              <w:tab w:val="clear" w:pos="9350"/>
              <w:tab w:val="right" w:pos="9025" w:leader="dot"/>
            </w:tabs>
            <w:rPr/>
          </w:pPr>
          <w:hyperlink w:anchor="__RefHeading___Toc24684_3350804041">
            <w:r>
              <w:rPr>
                <w:webHidden/>
                <w:rStyle w:val="IndexLink"/>
              </w:rPr>
              <w:t>19.2 Frequently asked questions</w:t>
              <w:tab/>
              <w:t>274</w:t>
            </w:r>
          </w:hyperlink>
        </w:p>
        <w:p>
          <w:pPr>
            <w:pStyle w:val="TOC2"/>
            <w:tabs>
              <w:tab w:val="clear" w:pos="900"/>
              <w:tab w:val="clear" w:pos="9350"/>
              <w:tab w:val="right" w:pos="9025" w:leader="dot"/>
            </w:tabs>
            <w:rPr/>
          </w:pPr>
          <w:hyperlink w:anchor="__RefHeading___Toc24686_3350804041">
            <w:r>
              <w:rPr>
                <w:webHidden/>
                <w:rStyle w:val="IndexLink"/>
              </w:rPr>
              <w:t>19.3 Glossary</w:t>
              <w:tab/>
              <w:t>275</w:t>
            </w:r>
          </w:hyperlink>
        </w:p>
        <w:p>
          <w:pPr>
            <w:pStyle w:val="TOC1"/>
            <w:tabs>
              <w:tab w:val="clear" w:pos="900"/>
              <w:tab w:val="clear" w:pos="9350"/>
              <w:tab w:val="right" w:pos="9025" w:leader="dot"/>
            </w:tabs>
            <w:rPr/>
          </w:pPr>
          <w:hyperlink w:anchor="__RefHeading___Toc24688_3350804041">
            <w:r>
              <w:rPr>
                <w:webHidden/>
                <w:rStyle w:val="IndexLink"/>
                <w:i w:val="false"/>
                <w:iCs w:val="false"/>
              </w:rPr>
              <w:t>20. Document Sign-Off</w:t>
            </w:r>
            <w:r>
              <w:rPr>
                <w:rStyle w:val="IndexLink"/>
              </w:rPr>
              <w:tab/>
              <w:t>278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276_335080404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1.2 (release 1.1): Theme and Branding, the menus of every persona as delivered, My Work, the Compliance Officer with the Insurance Commission registers, the complaints register and the breach register, the operational masters, Help panel sections for every screen, screenshots recaptured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278_335080404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WCAG</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Content Accessibility Guidelines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280_3350804041"/>
      <w:bookmarkEnd w:id="6"/>
      <w:r>
        <w:rPr>
          <w:rFonts w:eastAsia="Segoe UI" w:cs="Segoe UI" w:ascii="Segoe UI" w:hAnsi="Segoe UI"/>
          <w:b/>
          <w:color w:val="0F4761"/>
          <w:sz w:val="32"/>
        </w:rPr>
        <w:t>3.  About this manual</w:t>
      </w:r>
    </w:p>
    <w:p>
      <w:pPr>
        <w:pStyle w:val="Heading2"/>
        <w:rPr/>
      </w:pPr>
      <w:bookmarkStart w:id="7" w:name="__RefHeading___Toc24282_335080404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24284_3350804041"/>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distribution channels, dealer programmes, fleet schedules, marine open covers, facultative placements, comparison reports, campaigns and the Report Builder: screens shared by Sales, Processing and Operations.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registers and reports (licences, fit and proper, insurer authority, complaints, annual statement, production report) and the NPC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24286_3350804041"/>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24288_3350804041"/>
      <w:bookmarkEnd w:id="10"/>
      <w:r>
        <w:rPr>
          <w:rFonts w:eastAsia="Segoe UI" w:cs="Segoe UI" w:ascii="Segoe UI" w:hAnsi="Segoe UI"/>
          <w:b/>
          <w:color w:val="0F4761"/>
          <w:sz w:val="32"/>
        </w:rPr>
        <w:t>4.  Getting started</w:t>
      </w:r>
    </w:p>
    <w:p>
      <w:pPr>
        <w:pStyle w:val="Heading2"/>
        <w:rPr/>
      </w:pPr>
      <w:bookmarkStart w:id="11" w:name="__RefHeading___Toc24290_3350804041"/>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116"/>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50431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50431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117"/>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118"/>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19"/>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121"/>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122"/>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123"/>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124"/>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20675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20675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16509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16509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50075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500755"/>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125"/>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126"/>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1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jc w:val="center"/>
        <w:rPr/>
      </w:pPr>
      <w:r>
        <w:rPr/>
        <w:drawing>
          <wp:inline distT="0" distB="0" distL="0" distR="0">
            <wp:extent cx="5760085" cy="709803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7098030"/>
                    </a:xfrm>
                    <a:prstGeom prst="rect">
                      <a:avLst/>
                    </a:prstGeom>
                  </pic:spPr>
                </pic:pic>
              </a:graphicData>
            </a:graphic>
          </wp:inline>
        </w:drawing>
      </w:r>
    </w:p>
    <w:p>
      <w:pPr>
        <w:pStyle w:val="Normal"/>
        <w:jc w:val="center"/>
        <w:rPr/>
      </w:pPr>
      <w:r>
        <w:rPr>
          <w:rFonts w:eastAsia="Segoe UI" w:cs="Segoe UI" w:ascii="Segoe UI" w:hAnsi="Segoe UI"/>
          <w:i/>
          <w:color w:val="555F6D"/>
          <w:sz w:val="18"/>
        </w:rPr>
        <w:t>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24292_3350804041"/>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menus of your role, in business order: Home, Dashboard, Operations, Accounts, Commission, Reinsurance, Compliance, Reports, Master, Product Configurator. Select a menu to open its items; the menu you used last stays open. Master lists its screens under headings (Organization, Insurance, Location, Employees, Users and Access, Finance, System, Data Privacy, Go-Live and Data). A shortened name shows in full when you point at it. Press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to jump to </w:t>
            </w:r>
            <w:r>
              <w:rPr>
                <w:rFonts w:eastAsia="Segoe UI" w:cs="Segoe UI" w:ascii="Segoe UI" w:hAnsi="Segoe UI"/>
                <w:b/>
                <w:color w:val="101820"/>
                <w:kern w:val="0"/>
                <w:sz w:val="18"/>
                <w:szCs w:val="24"/>
                <w:lang w:val="en-US" w:eastAsia="ja-JP" w:bidi="ar-SA"/>
              </w:rPr>
              <w:t>Search menu...</w:t>
            </w:r>
            <w:r>
              <w:rPr>
                <w:rFonts w:eastAsia="Segoe UI" w:cs="Segoe UI" w:ascii="Segoe UI" w:hAnsi="Segoe UI"/>
                <w:color w:val="101820"/>
                <w:kern w:val="0"/>
                <w:sz w:val="18"/>
                <w:szCs w:val="24"/>
                <w:lang w:val="en-US" w:eastAsia="ja-JP" w:bidi="ar-SA"/>
              </w:rPr>
              <w: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Help panel on the right: </w:t>
            </w:r>
            <w:r>
              <w:rPr>
                <w:rFonts w:eastAsia="Segoe UI" w:cs="Segoe UI" w:ascii="Segoe UI" w:hAnsi="Segoe UI"/>
                <w:b/>
                <w:color w:val="101820"/>
                <w:kern w:val="0"/>
                <w:sz w:val="18"/>
                <w:szCs w:val="24"/>
                <w:lang w:val="en-US" w:eastAsia="ja-JP" w:bidi="ar-SA"/>
              </w:rPr>
              <w:t>Help for this screen</w:t>
            </w:r>
            <w:r>
              <w:rPr>
                <w:rFonts w:eastAsia="Segoe UI" w:cs="Segoe UI" w:ascii="Segoe UI" w:hAnsi="Segoe UI"/>
                <w:color w:val="101820"/>
                <w:kern w:val="0"/>
                <w:sz w:val="18"/>
                <w:szCs w:val="24"/>
                <w:lang w:val="en-US" w:eastAsia="ja-JP" w:bidi="ar-SA"/>
              </w:rPr>
              <w:t xml:space="preserve"> (the section of this manual for the screen you are on), </w:t>
            </w:r>
            <w:r>
              <w:rPr>
                <w:rFonts w:eastAsia="Segoe UI" w:cs="Segoe UI" w:ascii="Segoe UI" w:hAnsi="Segoe UI"/>
                <w:b/>
                <w:color w:val="101820"/>
                <w:kern w:val="0"/>
                <w:sz w:val="18"/>
                <w:szCs w:val="24"/>
                <w:lang w:val="en-US" w:eastAsia="ja-JP" w:bidi="ar-SA"/>
              </w:rPr>
              <w:t>Download user manual (PDF)</w:t>
            </w:r>
            <w:r>
              <w:rPr>
                <w:rFonts w:eastAsia="Segoe UI" w:cs="Segoe UI" w:ascii="Segoe UI" w:hAnsi="Segoe UI"/>
                <w:color w:val="101820"/>
                <w:kern w:val="0"/>
                <w:sz w:val="18"/>
                <w:szCs w:val="24"/>
                <w:lang w:val="en-US" w:eastAsia="ja-JP" w:bidi="ar-SA"/>
              </w:rPr>
              <w:t xml:space="preserve">, the support desk's e-mail, telephone and hours, </w:t>
            </w:r>
            <w:r>
              <w:rPr>
                <w:rFonts w:eastAsia="Segoe UI" w:cs="Segoe UI" w:ascii="Segoe UI" w:hAnsi="Segoe UI"/>
                <w:b/>
                <w:color w:val="101820"/>
                <w:kern w:val="0"/>
                <w:sz w:val="18"/>
                <w:szCs w:val="24"/>
                <w:lang w:val="en-US" w:eastAsia="ja-JP" w:bidi="ar-SA"/>
              </w:rPr>
              <w:t>Raise a support ticket</w:t>
            </w:r>
            <w:r>
              <w:rPr>
                <w:rFonts w:eastAsia="Segoe UI" w:cs="Segoe UI" w:ascii="Segoe UI" w:hAnsi="Segoe UI"/>
                <w:color w:val="101820"/>
                <w:kern w:val="0"/>
                <w:sz w:val="18"/>
                <w:szCs w:val="24"/>
                <w:lang w:val="en-US" w:eastAsia="ja-JP" w:bidi="ar-SA"/>
              </w:rPr>
              <w:t xml:space="preserve">, the keyboard shortcuts and </w:t>
            </w:r>
            <w:r>
              <w:rPr>
                <w:rFonts w:eastAsia="Segoe UI" w:cs="Segoe UI" w:ascii="Segoe UI" w:hAnsi="Segoe UI"/>
                <w:b/>
                <w:color w:val="101820"/>
                <w:kern w:val="0"/>
                <w:sz w:val="18"/>
                <w:szCs w:val="24"/>
                <w:lang w:val="en-US" w:eastAsia="ja-JP" w:bidi="ar-SA"/>
              </w:rPr>
              <w:t>About BrokerVerse</w:t>
            </w:r>
            <w:r>
              <w:rPr>
                <w:rFonts w:eastAsia="Segoe UI" w:cs="Segoe UI" w:ascii="Segoe UI" w:hAnsi="Segoe UI"/>
                <w:color w:val="101820"/>
                <w:kern w:val="0"/>
                <w:sz w:val="18"/>
                <w:szCs w:val="24"/>
                <w:lang w:val="en-US" w:eastAsia="ja-JP" w:bidi="ar-SA"/>
              </w:rPr>
              <w:t xml:space="preserve"> (version, environment, build date). </w:t>
            </w:r>
            <w:r>
              <w:rPr>
                <w:rFonts w:eastAsia="Segoe UI" w:cs="Segoe UI" w:ascii="Segoe UI" w:hAnsi="Segoe UI"/>
                <w:b/>
                <w:color w:val="101820"/>
                <w:kern w:val="0"/>
                <w:sz w:val="18"/>
                <w:szCs w:val="24"/>
                <w:lang w:val="en-US" w:eastAsia="ja-JP" w:bidi="ar-SA"/>
              </w:rPr>
              <w:t>F1</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w:t>
            </w:r>
            <w:r>
              <w:rPr>
                <w:rFonts w:eastAsia="Segoe UI" w:cs="Segoe UI" w:ascii="Segoe UI" w:hAnsi="Segoe UI"/>
                <w:color w:val="101820"/>
                <w:kern w:val="0"/>
                <w:sz w:val="18"/>
                <w:szCs w:val="24"/>
                <w:lang w:val="en-US" w:eastAsia="ja-JP" w:bidi="ar-SA"/>
              </w:rPr>
              <w:t xml:space="preserve"> outside a text box, opens it from any screen.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Normal"/>
        <w:jc w:val="center"/>
        <w:rPr/>
      </w:pPr>
      <w:r>
        <w:rPr/>
        <w:drawing>
          <wp:inline distT="0" distB="0" distL="0" distR="0">
            <wp:extent cx="5760085" cy="3599815"/>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Help panel: Help for this screen, the manual, the support desk and About BrokerVerse</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24294_3350804041"/>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Users and Access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1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129"/>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13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13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13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1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135"/>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1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138"/>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139"/>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Users and Access &gt; User, account actions) and you set it up again.</w:t>
      </w:r>
    </w:p>
    <w:p>
      <w:pPr>
        <w:pStyle w:val="Heading2"/>
        <w:rPr/>
      </w:pPr>
      <w:bookmarkStart w:id="14" w:name="__RefHeading___Toc24296_3350804041"/>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Compliance (Complaints),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Master (Distribution Channels),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Compliance (EDD Reviews, Insurance Commission, Data Privacy (NPC)), Reports, Master (Distribution Channels, Data Privacy),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Compliance (Complaints), Reports, Master (Claim Document Checklist, Repair Shops)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Compliance (Licence Register, Insurer Authority, IC reports),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dolores.santiago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Operations (Clients, Policy, Claims), Compliance (every item), Reports, Master (Data Privacy)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24298_3350804041"/>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24300_3350804041"/>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24302_3350804041"/>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Users and Access)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24304_3350804041"/>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Users and Access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24306_3350804041"/>
      <w:bookmarkEnd w:id="19"/>
      <w:r>
        <w:rPr>
          <w:rFonts w:eastAsia="Segoe UI" w:cs="Segoe UI" w:ascii="Segoe UI" w:hAnsi="Segoe UI"/>
          <w:b/>
          <w:color w:val="0F4761"/>
          <w:sz w:val="32"/>
        </w:rPr>
        <w:t>5.  The business process end to end</w:t>
      </w:r>
    </w:p>
    <w:p>
      <w:pPr>
        <w:pStyle w:val="Heading2"/>
        <w:rPr/>
      </w:pPr>
      <w:bookmarkStart w:id="20" w:name="__RefHeading___Toc24308_3350804041"/>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140"/>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141"/>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142"/>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143"/>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144"/>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145"/>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146"/>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147"/>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148"/>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149"/>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150"/>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151"/>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152"/>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153"/>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154"/>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155"/>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156"/>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24310_3350804041"/>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24312_3350804041"/>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24314_3350804041"/>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24316_3350804041"/>
      <w:bookmarkEnd w:id="24"/>
      <w:r>
        <w:rPr>
          <w:rFonts w:eastAsia="Segoe UI" w:cs="Segoe UI" w:ascii="Segoe UI" w:hAnsi="Segoe UI"/>
          <w:b/>
          <w:color w:val="0F4761"/>
          <w:sz w:val="32"/>
        </w:rPr>
        <w:t>6.  System Administrator</w:t>
      </w:r>
    </w:p>
    <w:p>
      <w:pPr>
        <w:pStyle w:val="Heading2"/>
        <w:rPr/>
      </w:pPr>
      <w:bookmarkStart w:id="25" w:name="__RefHeading___Toc24318_3350804041"/>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24320_3350804041"/>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(with Theme and Branding), Configuration, Document Numbering, Schedules, Audit Trail, E-mail Outbox, Integrations, Message Templates, Insurer Integration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Go-Live and Data</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Consent Register; Go-Live Data Load</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Sales Activity Types, Sales Activity Outcomes); Insurance (Insurance Company, Line of Business, Product, Cover, Signatories, Vehicle, Reinsurance Treaty, Short-Period Rates, Cancellation Reasons, Claim Document Checklist, Repair Shops, Distribution Channels); Location (Country, Province, City / Municipality); Employees (Hierarchy, Designation); Users and Access (User, Role, User Access Matrix, Role Permissions, Authority Matrix, Delegations, Segregation of Duties, Access Reviews)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Asset Classes, Bank Statement Formats, Bank Transaction Types, Insurer Statement Formats, Bank File Layouts, Remittance Master, Incentive Programs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item (the AML programme, the Insurance Commission registers and reports, the breach register), to support the Compliance Officer</w:t>
            </w:r>
          </w:p>
        </w:tc>
      </w:tr>
    </w:tbl>
    <w:p>
      <w:pPr>
        <w:pStyle w:val="Normal"/>
        <w:spacing w:before="0" w:after="80"/>
        <w:rPr/>
      </w:pPr>
      <w:r>
        <w:rPr/>
      </w:r>
    </w:p>
    <w:p>
      <w:pPr>
        <w:pStyle w:val="Heading2"/>
        <w:rPr/>
      </w:pPr>
      <w:bookmarkStart w:id="27" w:name="__RefHeading___Toc24322_3350804041"/>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the theme, the sign-in page, the document and e-mail branding, the signature mapping; import a brand pack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 &gt; Theme and Branding</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or switch on a connector (SMS, CTPL authentication, insurer API, bank files) with the server administrator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Integrations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24324_3350804041"/>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3292475"/>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32924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&gt; Add</w:t>
      </w:r>
    </w:p>
    <w:p>
      <w:pPr>
        <w:pStyle w:val="Normal"/>
        <w:numPr>
          <w:ilvl w:val="0"/>
          <w:numId w:val="157"/>
        </w:numPr>
        <w:spacing w:before="0" w:after="60"/>
        <w:rPr/>
      </w:pPr>
      <w:r>
        <w:rPr>
          <w:rFonts w:eastAsia="Segoe UI" w:cs="Segoe UI" w:ascii="Segoe UI" w:hAnsi="Segoe UI"/>
          <w:color w:val="101820"/>
          <w:sz w:val="21"/>
        </w:rPr>
        <w:t xml:space="preserve">Choose Master &gt; Users and Access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59"/>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60"/>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w:t>
      </w:r>
      <w:r>
        <w:rPr>
          <w:rFonts w:eastAsia="Segoe UI" w:cs="Segoe UI" w:ascii="Segoe UI" w:hAnsi="Segoe UI"/>
          <w:color w:val="101820"/>
          <w:sz w:val="21"/>
        </w:rPr>
        <w:t xml:space="preserve">, the </w:t>
      </w:r>
      <w:r>
        <w:rPr>
          <w:rFonts w:eastAsia="Segoe UI" w:cs="Segoe UI" w:ascii="Segoe UI" w:hAnsi="Segoe UI"/>
          <w:b/>
          <w:color w:val="101820"/>
          <w:sz w:val="21"/>
        </w:rPr>
        <w:t>Designation</w:t>
      </w:r>
      <w:r>
        <w:rPr>
          <w:rFonts w:eastAsia="Segoe UI" w:cs="Segoe UI" w:ascii="Segoe UI" w:hAnsi="Segoe UI"/>
          <w:color w:val="101820"/>
          <w:sz w:val="21"/>
        </w:rPr>
        <w:t xml:space="preserve"> and </w:t>
      </w:r>
      <w:r>
        <w:rPr>
          <w:rFonts w:eastAsia="Segoe UI" w:cs="Segoe UI" w:ascii="Segoe UI" w:hAnsi="Segoe UI"/>
          <w:b/>
          <w:color w:val="101820"/>
          <w:sz w:val="21"/>
        </w:rPr>
        <w:t>Reporting to</w:t>
      </w:r>
      <w:r>
        <w:rPr>
          <w:rFonts w:eastAsia="Segoe UI" w:cs="Segoe UI" w:ascii="Segoe UI" w:hAnsi="Segoe UI"/>
          <w:color w:val="101820"/>
          <w:sz w:val="21"/>
        </w:rPr>
        <w:t xml:space="preserve"> (the user's manager), if your organisation uses them.</w:t>
      </w:r>
    </w:p>
    <w:p>
      <w:pPr>
        <w:pStyle w:val="Normal"/>
        <w:numPr>
          <w:ilvl w:val="0"/>
          <w:numId w:val="16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63"/>
        </w:numPr>
        <w:spacing w:before="0" w:after="60"/>
        <w:rPr/>
      </w:pPr>
      <w:r>
        <w:rPr>
          <w:rFonts w:eastAsia="Segoe UI" w:cs="Segoe UI" w:ascii="Segoe UI" w:hAnsi="Segoe UI"/>
          <w:color w:val="101820"/>
          <w:sz w:val="21"/>
        </w:rPr>
        <w:t xml:space="preserve">Choose Users and Access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64"/>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When assigned</w:t>
      </w:r>
      <w:r>
        <w:rPr>
          <w:rFonts w:eastAsia="Segoe UI" w:cs="Segoe UI" w:ascii="Segoe UI" w:hAnsi="Segoe UI"/>
          <w:color w:val="101820"/>
          <w:sz w:val="21"/>
        </w:rPr>
        <w:t xml:space="preserve">: </w:t>
      </w:r>
      <w:r>
        <w:rPr>
          <w:rFonts w:eastAsia="Segoe UI" w:cs="Segoe UI" w:ascii="Segoe UI" w:hAnsi="Segoe UI"/>
          <w:b/>
          <w:color w:val="101820"/>
          <w:sz w:val="21"/>
        </w:rPr>
        <w:t>Block</w:t>
      </w:r>
      <w:r>
        <w:rPr>
          <w:rFonts w:eastAsia="Segoe UI" w:cs="Segoe UI" w:ascii="Segoe UI" w:hAnsi="Segoe UI"/>
          <w:color w:val="101820"/>
          <w:sz w:val="21"/>
        </w:rPr>
        <w:t xml:space="preserve"> refuses the combination, </w:t>
      </w:r>
      <w:r>
        <w:rPr>
          <w:rFonts w:eastAsia="Segoe UI" w:cs="Segoe UI" w:ascii="Segoe UI" w:hAnsi="Segoe UI"/>
          <w:b/>
          <w:color w:val="101820"/>
          <w:sz w:val="21"/>
        </w:rPr>
        <w:t>Warn</w:t>
      </w:r>
      <w:r>
        <w:rPr>
          <w:rFonts w:eastAsia="Segoe UI" w:cs="Segoe UI" w:ascii="Segoe UI" w:hAnsi="Segoe UI"/>
          <w:color w:val="101820"/>
          <w:sz w:val="21"/>
        </w:rPr>
        <w:t xml:space="preserve"> allows it with a warning),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the person who places business should not approve its payments), all three Block; and SOD-SALES-ACCT (Sales &amp; Marketing and Accounting) and SOD-SALES-CLM (Sales &amp; Marketing and Claims), both Warn.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Users and Access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24326_3350804041"/>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613275"/>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61327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66"/>
        </w:numPr>
        <w:spacing w:before="0" w:after="60"/>
        <w:rPr/>
      </w:pPr>
      <w:r>
        <w:rPr>
          <w:rFonts w:eastAsia="Segoe UI" w:cs="Segoe UI" w:ascii="Segoe UI" w:hAnsi="Segoe UI"/>
          <w:color w:val="101820"/>
          <w:sz w:val="21"/>
        </w:rPr>
        <w:t xml:space="preserve">Choose Master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67"/>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 (BIR forms)</w:t>
      </w:r>
      <w:r>
        <w:rPr>
          <w:rFonts w:eastAsia="Segoe UI" w:cs="Segoe UI" w:ascii="Segoe UI" w:hAnsi="Segoe UI"/>
          <w:color w:val="101820"/>
          <w:sz w:val="21"/>
        </w:rPr>
        <w:t xml:space="preserve">, </w:t>
      </w:r>
      <w:r>
        <w:rPr>
          <w:rFonts w:eastAsia="Segoe UI" w:cs="Segoe UI" w:ascii="Segoe UI" w:hAnsi="Segoe UI"/>
          <w:b/>
          <w:color w:val="101820"/>
          <w:sz w:val="21"/>
        </w:rPr>
        <w:t>RDO Code</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the registered address (letterhead and BIR forms: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68"/>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Organization &gt; Branch in the same way.</w:t>
      </w:r>
    </w:p>
    <w:p>
      <w:pPr>
        <w:pStyle w:val="Heading2"/>
        <w:rPr/>
      </w:pPr>
      <w:bookmarkStart w:id="30" w:name="__RefHeading___Toc24328_3350804041"/>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513580"/>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45135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Insurance Company &gt; Add</w:t>
      </w:r>
    </w:p>
    <w:p>
      <w:pPr>
        <w:pStyle w:val="Normal"/>
        <w:numPr>
          <w:ilvl w:val="0"/>
          <w:numId w:val="170"/>
        </w:numPr>
        <w:spacing w:before="0" w:after="60"/>
        <w:rPr/>
      </w:pPr>
      <w:r>
        <w:rPr>
          <w:rFonts w:eastAsia="Segoe UI" w:cs="Segoe UI" w:ascii="Segoe UI" w:hAnsi="Segoe UI"/>
          <w:color w:val="101820"/>
          <w:sz w:val="21"/>
        </w:rPr>
        <w:t xml:space="preserve">Choose Master &gt; Insurance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Province, City / Municipality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Philippine address lists of the PSGC: 18 regions (shown with their provinces), 82 provinces plus Metro Manila, 1,642 cities and municipalities with class and ZIP code; barangays are picked on the address forms. The City / Municipality list is filtered by province.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Users and Access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Operational masters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87"/>
        <w:gridCol w:w="3212"/>
        <w:gridCol w:w="3316"/>
      </w:tblGrid>
      <w:tr>
        <w:trPr>
          <w:tblHeader w:val="true"/>
        </w:trPr>
        <w:tc>
          <w:tcPr>
            <w:tcW w:w="24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3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Maintained by</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 Rates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Reasons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Shops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r>
        <w:trPr/>
        <w:tc>
          <w:tcPr>
            <w:tcW w:w="24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Suppliers</w:t>
            </w:r>
          </w:p>
        </w:tc>
        <w:tc>
          <w:tcPr>
            <w:tcW w:w="3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 &gt; Suppliers</w:t>
            </w:r>
          </w:p>
        </w:tc>
        <w:tc>
          <w:tcPr>
            <w:tcW w:w="3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Each screen lists the records with </w:t>
      </w:r>
      <w:r>
        <w:rPr>
          <w:rFonts w:eastAsia="Segoe UI" w:cs="Segoe UI" w:ascii="Segoe UI" w:hAnsi="Segoe UI"/>
          <w:b/>
          <w:color w:val="101820"/>
          <w:sz w:val="21"/>
        </w:rPr>
        <w:t>Add</w:t>
      </w:r>
      <w:r>
        <w:rPr>
          <w:rFonts w:eastAsia="Segoe UI" w:cs="Segoe UI" w:ascii="Segoe UI" w:hAnsi="Segoe UI"/>
          <w:color w:val="101820"/>
          <w:sz w:val="21"/>
        </w:rPr>
        <w:t xml:space="preserve">, the edit icon and activate / deactivate. The six masters are also in the go-live configuration workbook and have upload templates.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 xml:space="preserve"> (Master &gt; Organization) work the same way and are described under Sales activities in the Sales &amp; Marketing chapter; </w:t>
      </w:r>
      <w:r>
        <w:rPr>
          <w:rFonts w:eastAsia="Segoe UI" w:cs="Segoe UI" w:ascii="Segoe UI" w:hAnsi="Segoe UI"/>
          <w:b/>
          <w:color w:val="101820"/>
          <w:sz w:val="21"/>
        </w:rPr>
        <w:t>Distribution Channels</w:t>
      </w:r>
      <w:r>
        <w:rPr>
          <w:rFonts w:eastAsia="Segoe UI" w:cs="Segoe UI" w:ascii="Segoe UI" w:hAnsi="Segoe UI"/>
          <w:color w:val="101820"/>
          <w:sz w:val="21"/>
        </w:rPr>
        <w:t xml:space="preserve"> (Master &gt; Insurance) in the chapter Distribution, programmes and products.</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Short-Period Rates, one of the operational masters</w:t>
      </w:r>
    </w:p>
    <w:p>
      <w:pPr>
        <w:pStyle w:val="Heading3"/>
        <w:rPr/>
      </w:pPr>
      <w:r>
        <w:rPr>
          <w:rFonts w:eastAsia="Segoe UI" w:cs="Segoe UI"/>
          <w:b/>
          <w:color w:val="0F4761"/>
          <w:sz w:val="23"/>
        </w:rPr>
        <w:t>6.6.4  Uploads</w:t>
      </w:r>
    </w:p>
    <w:p>
      <w:pPr>
        <w:pStyle w:val="Normal"/>
        <w:jc w:val="center"/>
        <w:rPr/>
      </w:pPr>
      <w:r>
        <w:rPr/>
        <w:drawing>
          <wp:inline distT="0" distB="0" distL="0" distR="0">
            <wp:extent cx="5760085" cy="177546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1775460"/>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7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76"/>
        </w:numPr>
        <w:spacing w:before="0" w:after="60"/>
        <w:rPr/>
      </w:pPr>
      <w:r>
        <w:rPr>
          <w:rFonts w:eastAsia="Segoe UI" w:cs="Segoe UI" w:ascii="Segoe UI" w:hAnsi="Segoe UI"/>
          <w:color w:val="101820"/>
          <w:sz w:val="21"/>
        </w:rPr>
        <w:t>Delete the sample rows, enter your data, save the file.</w:t>
      </w:r>
    </w:p>
    <w:p>
      <w:pPr>
        <w:pStyle w:val="Normal"/>
        <w:numPr>
          <w:ilvl w:val="0"/>
          <w:numId w:val="177"/>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24330_3350804041"/>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79"/>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80"/>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8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24332_3350804041"/>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82"/>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83"/>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84"/>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&gt; System Settings) holds the quick branding and localisation: </w:t>
      </w:r>
      <w:r>
        <w:rPr>
          <w:rFonts w:eastAsia="Segoe UI" w:cs="Segoe UI" w:ascii="Segoe UI" w:hAnsi="Segoe UI"/>
          <w:b/>
          <w:color w:val="101820"/>
          <w:sz w:val="21"/>
        </w:rPr>
        <w:t>Application name</w:t>
      </w:r>
      <w:r>
        <w:rPr>
          <w:rFonts w:eastAsia="Segoe UI" w:cs="Segoe UI" w:ascii="Segoe UI" w:hAnsi="Segoe UI"/>
          <w:color w:val="101820"/>
          <w:sz w:val="21"/>
        </w:rPr>
        <w:t xml:space="preserve"> (shown on the sign-in page, the sidebar and the browser tab), </w:t>
      </w:r>
      <w:r>
        <w:rPr>
          <w:rFonts w:eastAsia="Segoe UI" w:cs="Segoe UI" w:ascii="Segoe UI" w:hAnsi="Segoe UI"/>
          <w:b/>
          <w:color w:val="101820"/>
          <w:sz w:val="21"/>
        </w:rPr>
        <w:t>Application logo (screen)</w:t>
      </w:r>
      <w:r>
        <w:rPr>
          <w:rFonts w:eastAsia="Segoe UI" w:cs="Segoe UI" w:ascii="Segoe UI" w:hAnsi="Segoe UI"/>
          <w:color w:val="101820"/>
          <w:sz w:val="21"/>
        </w:rPr>
        <w:t xml:space="preserve"> with </w:t>
      </w:r>
      <w:r>
        <w:rPr>
          <w:rFonts w:eastAsia="Segoe UI" w:cs="Segoe UI" w:ascii="Segoe UI" w:hAnsi="Segoe UI"/>
          <w:b/>
          <w:color w:val="101820"/>
          <w:sz w:val="21"/>
        </w:rPr>
        <w:t>Upload Logo</w:t>
      </w:r>
      <w:r>
        <w:rPr>
          <w:rFonts w:eastAsia="Segoe UI" w:cs="Segoe UI" w:ascii="Segoe UI" w:hAnsi="Segoe UI"/>
          <w:color w:val="101820"/>
          <w:sz w:val="21"/>
        </w:rPr>
        <w:t xml:space="preserve"> or </w:t>
      </w:r>
      <w:r>
        <w:rPr>
          <w:rFonts w:eastAsia="Segoe UI" w:cs="Segoe UI" w:ascii="Segoe UI" w:hAnsi="Segoe UI"/>
          <w:b/>
          <w:color w:val="101820"/>
          <w:sz w:val="21"/>
        </w:rPr>
        <w:t>Add Company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with </w:t>
      </w:r>
      <w:r>
        <w:rPr>
          <w:rFonts w:eastAsia="Segoe UI" w:cs="Segoe UI" w:ascii="Segoe UI" w:hAnsi="Segoe UI"/>
          <w:b/>
          <w:color w:val="101820"/>
          <w:sz w:val="21"/>
        </w:rPr>
        <w:t>Upload 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 The </w:t>
      </w:r>
      <w:r>
        <w:rPr>
          <w:rFonts w:eastAsia="Segoe UI" w:cs="Segoe UI" w:ascii="Segoe UI" w:hAnsi="Segoe UI"/>
          <w:b/>
          <w:color w:val="101820"/>
          <w:sz w:val="21"/>
        </w:rPr>
        <w:t>Theme</w:t>
      </w:r>
      <w:r>
        <w:rPr>
          <w:rFonts w:eastAsia="Segoe UI" w:cs="Segoe UI" w:ascii="Segoe UI" w:hAnsi="Segoe UI"/>
          <w:color w:val="101820"/>
          <w:sz w:val="21"/>
        </w:rPr>
        <w:t xml:space="preserve"> group links to </w:t>
      </w:r>
      <w:r>
        <w:rPr>
          <w:rFonts w:eastAsia="Segoe UI" w:cs="Segoe UI" w:ascii="Segoe UI" w:hAnsi="Segoe UI"/>
          <w:b/>
          <w:color w:val="101820"/>
          <w:sz w:val="21"/>
        </w:rPr>
        <w:t>Theme and Branding (full theme, sign-in page, documents, e-mail, signatures, brand packs)</w:t>
      </w:r>
      <w:r>
        <w:rPr>
          <w:rFonts w:eastAsia="Segoe UI" w:cs="Segoe UI" w:ascii="Segoe UI" w:hAnsi="Segoe UI"/>
          <w:color w:val="101820"/>
          <w:sz w:val="21"/>
        </w:rPr>
        <w:t>, described in the next section. Printed documents use the logo of the letterhead company in Master &gt; Organization &gt; Company.</w:t>
      </w:r>
    </w:p>
    <w:p>
      <w:pPr>
        <w:pStyle w:val="Normal"/>
        <w:jc w:val="center"/>
        <w:rPr/>
      </w:pPr>
      <w:r>
        <w:rPr/>
        <w:drawing>
          <wp:inline distT="0" distB="0" distL="0" distR="0">
            <wp:extent cx="5760085" cy="446913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24334_3350804041"/>
      <w:bookmarkEnd w:id="33"/>
      <w:r>
        <w:rPr>
          <w:rFonts w:eastAsia="Segoe UI" w:cs="Segoe UI"/>
          <w:b/>
          <w:color w:val="0F4761"/>
          <w:sz w:val="26"/>
        </w:rPr>
        <w:t>6.9  Theme and Branding</w:t>
      </w:r>
    </w:p>
    <w:p>
      <w:pPr>
        <w:pStyle w:val="Normal"/>
        <w:spacing w:lineRule="auto" w:line="276" w:before="0" w:after="120"/>
        <w:rPr/>
      </w:pPr>
      <w:r>
        <w:rPr>
          <w:rFonts w:eastAsia="Segoe UI" w:cs="Segoe UI" w:ascii="Segoe UI" w:hAnsi="Segoe UI"/>
          <w:color w:val="101820"/>
          <w:sz w:val="21"/>
        </w:rPr>
        <w:t xml:space="preserve">Master &gt; System &gt; System Settings &gt; </w:t>
      </w:r>
      <w:r>
        <w:rPr>
          <w:rFonts w:eastAsia="Segoe UI" w:cs="Segoe UI" w:ascii="Segoe UI" w:hAnsi="Segoe UI"/>
          <w:b/>
          <w:color w:val="101820"/>
          <w:sz w:val="21"/>
        </w:rPr>
        <w:t>Theme and Branding</w:t>
      </w:r>
      <w:r>
        <w:rPr>
          <w:rFonts w:eastAsia="Segoe UI" w:cs="Segoe UI" w:ascii="Segoe UI" w:hAnsi="Segoe UI"/>
          <w:color w:val="101820"/>
          <w:sz w:val="21"/>
        </w:rPr>
        <w:t xml:space="preserve"> sets the look of the screens, the sign-in page, the printed documents, the report files and the e-mails of the broker, as data: no new release is needed. Opening the page needs the settings permission of the System Administrator; a saved theme reaches every signed-in user on their next page and the documents, reports and e-mails at once.</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 &gt; Theme and Branding: the Theme tab, the live preview and the contrast list</w:t>
      </w:r>
    </w:p>
    <w:p>
      <w:pPr>
        <w:pStyle w:val="Normal"/>
        <w:spacing w:lineRule="auto" w:line="276" w:before="0" w:after="120"/>
        <w:rPr/>
      </w:pPr>
      <w:r>
        <w:rPr>
          <w:rFonts w:eastAsia="Segoe UI" w:cs="Segoe UI" w:ascii="Segoe UI" w:hAnsi="Segoe UI"/>
          <w:color w:val="101820"/>
          <w:sz w:val="21"/>
        </w:rPr>
        <w:t xml:space="preserve">The editor on the left has seven tabs: </w:t>
      </w:r>
      <w:r>
        <w:rPr>
          <w:rFonts w:eastAsia="Segoe UI" w:cs="Segoe UI" w:ascii="Segoe UI" w:hAnsi="Segoe UI"/>
          <w:b/>
          <w:color w:val="101820"/>
          <w:sz w:val="21"/>
        </w:rPr>
        <w:t>Theme</w:t>
      </w:r>
      <w:r>
        <w:rPr>
          <w:rFonts w:eastAsia="Segoe UI" w:cs="Segoe UI" w:ascii="Segoe UI" w:hAnsi="Segoe UI"/>
          <w:color w:val="101820"/>
          <w:sz w:val="21"/>
        </w:rPr>
        <w:t xml:space="preserve">, </w:t>
      </w:r>
      <w:r>
        <w:rPr>
          <w:rFonts w:eastAsia="Segoe UI" w:cs="Segoe UI" w:ascii="Segoe UI" w:hAnsi="Segoe UI"/>
          <w:b/>
          <w:color w:val="101820"/>
          <w:sz w:val="21"/>
        </w:rPr>
        <w:t>Sign-in page</w:t>
      </w:r>
      <w:r>
        <w:rPr>
          <w:rFonts w:eastAsia="Segoe UI" w:cs="Segoe UI" w:ascii="Segoe UI" w:hAnsi="Segoe UI"/>
          <w:color w:val="101820"/>
          <w:sz w:val="21"/>
        </w:rPr>
        <w:t xml:space="preserve">, </w:t>
      </w:r>
      <w:r>
        <w:rPr>
          <w:rFonts w:eastAsia="Segoe UI" w:cs="Segoe UI" w:ascii="Segoe UI" w:hAnsi="Segoe UI"/>
          <w:b/>
          <w:color w:val="101820"/>
          <w:sz w:val="21"/>
        </w:rPr>
        <w:t>Documents and reports</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Name and images</w:t>
      </w:r>
      <w:r>
        <w:rPr>
          <w:rFonts w:eastAsia="Segoe UI" w:cs="Segoe UI" w:ascii="Segoe UI" w:hAnsi="Segoe UI"/>
          <w:color w:val="101820"/>
          <w:sz w:val="21"/>
        </w:rPr>
        <w:t xml:space="preserve">, </w:t>
      </w:r>
      <w:r>
        <w:rPr>
          <w:rFonts w:eastAsia="Segoe UI" w:cs="Segoe UI" w:ascii="Segoe UI" w:hAnsi="Segoe UI"/>
          <w:b/>
          <w:color w:val="101820"/>
          <w:sz w:val="21"/>
        </w:rPr>
        <w:t>Document signatures</w:t>
      </w:r>
      <w:r>
        <w:rPr>
          <w:rFonts w:eastAsia="Segoe UI" w:cs="Segoe UI" w:ascii="Segoe UI" w:hAnsi="Segoe UI"/>
          <w:color w:val="101820"/>
          <w:sz w:val="21"/>
        </w:rPr>
        <w:t xml:space="preserve"> and </w:t>
      </w:r>
      <w:r>
        <w:rPr>
          <w:rFonts w:eastAsia="Segoe UI" w:cs="Segoe UI" w:ascii="Segoe UI" w:hAnsi="Segoe UI"/>
          <w:b/>
          <w:color w:val="101820"/>
          <w:sz w:val="21"/>
        </w:rPr>
        <w:t>Brand packs</w:t>
      </w:r>
      <w:r>
        <w:rPr>
          <w:rFonts w:eastAsia="Segoe UI" w:cs="Segoe UI" w:ascii="Segoe UI" w:hAnsi="Segoe UI"/>
          <w:color w:val="101820"/>
          <w:sz w:val="21"/>
        </w:rPr>
        <w:t xml:space="preserve">. The right-hand side shows the </w:t>
      </w:r>
      <w:r>
        <w:rPr>
          <w:rFonts w:eastAsia="Segoe UI" w:cs="Segoe UI" w:ascii="Segoe UI" w:hAnsi="Segoe UI"/>
          <w:b/>
          <w:color w:val="101820"/>
          <w:sz w:val="21"/>
        </w:rPr>
        <w:t>Live preview</w:t>
      </w:r>
      <w:r>
        <w:rPr>
          <w:rFonts w:eastAsia="Segoe UI" w:cs="Segoe UI" w:ascii="Segoe UI" w:hAnsi="Segoe UI"/>
          <w:color w:val="101820"/>
          <w:sz w:val="21"/>
        </w:rPr>
        <w:t xml:space="preserve"> (the header, side bar, a table, buttons and the sign-in panel in the colours being edited) and the </w:t>
      </w:r>
      <w:r>
        <w:rPr>
          <w:rFonts w:eastAsia="Segoe UI" w:cs="Segoe UI" w:ascii="Segoe UI" w:hAnsi="Segoe UI"/>
          <w:b/>
          <w:color w:val="101820"/>
          <w:sz w:val="21"/>
        </w:rPr>
        <w:t>Contrast (WCAG AA 4.5:1)</w:t>
      </w:r>
      <w:r>
        <w:rPr>
          <w:rFonts w:eastAsia="Segoe UI" w:cs="Segoe UI" w:ascii="Segoe UI" w:hAnsi="Segoe UI"/>
          <w:color w:val="101820"/>
          <w:sz w:val="21"/>
        </w:rPr>
        <w:t xml:space="preserve"> list. At the top, </w:t>
      </w:r>
      <w:r>
        <w:rPr>
          <w:rFonts w:eastAsia="Segoe UI" w:cs="Segoe UI" w:ascii="Segoe UI" w:hAnsi="Segoe UI"/>
          <w:b/>
          <w:color w:val="101820"/>
          <w:sz w:val="21"/>
        </w:rPr>
        <w:t>Sample document</w:t>
      </w:r>
      <w:r>
        <w:rPr>
          <w:rFonts w:eastAsia="Segoe UI" w:cs="Segoe UI" w:ascii="Segoe UI" w:hAnsi="Segoe UI"/>
          <w:color w:val="101820"/>
          <w:sz w:val="21"/>
        </w:rPr>
        <w:t xml:space="preserve"> opens a PDF printed with the theme as it is on the screen, saved or not; </w:t>
      </w:r>
      <w:r>
        <w:rPr>
          <w:rFonts w:eastAsia="Segoe UI" w:cs="Segoe UI" w:ascii="Segoe UI" w:hAnsi="Segoe UI"/>
          <w:b/>
          <w:color w:val="101820"/>
          <w:sz w:val="21"/>
        </w:rPr>
        <w:t>Discard changes</w:t>
      </w:r>
      <w:r>
        <w:rPr>
          <w:rFonts w:eastAsia="Segoe UI" w:cs="Segoe UI" w:ascii="Segoe UI" w:hAnsi="Segoe UI"/>
          <w:color w:val="101820"/>
          <w:sz w:val="21"/>
        </w:rPr>
        <w:t xml:space="preserve"> returns to the saved theme; </w:t>
      </w:r>
      <w:r>
        <w:rPr>
          <w:rFonts w:eastAsia="Segoe UI" w:cs="Segoe UI" w:ascii="Segoe UI" w:hAnsi="Segoe UI"/>
          <w:b/>
          <w:color w:val="101820"/>
          <w:sz w:val="21"/>
        </w:rPr>
        <w:t>Save</w:t>
      </w:r>
      <w:r>
        <w:rPr>
          <w:rFonts w:eastAsia="Segoe UI" w:cs="Segoe UI" w:ascii="Segoe UI" w:hAnsi="Segoe UI"/>
          <w:color w:val="101820"/>
          <w:sz w:val="21"/>
        </w:rPr>
        <w:t xml:space="preserve"> stores the theme. Save is disabled while a blocking contrast check fails, and the red message </w:t>
      </w:r>
      <w:r>
        <w:rPr>
          <w:rFonts w:eastAsia="Segoe UI" w:cs="Segoe UI" w:ascii="Segoe UI" w:hAnsi="Segoe UI"/>
          <w:b/>
          <w:color w:val="101820"/>
          <w:sz w:val="21"/>
        </w:rPr>
        <w:t>Cannot save</w:t>
      </w:r>
      <w:r>
        <w:rPr>
          <w:rFonts w:eastAsia="Segoe UI" w:cs="Segoe UI" w:ascii="Segoe UI" w:hAnsi="Segoe UI"/>
          <w:color w:val="101820"/>
          <w:sz w:val="21"/>
        </w:rPr>
        <w:t xml:space="preserve"> names the check.</w:t>
      </w:r>
    </w:p>
    <w:p>
      <w:pPr>
        <w:pStyle w:val="Heading3"/>
        <w:rPr/>
      </w:pPr>
      <w:r>
        <w:rPr>
          <w:rFonts w:eastAsia="Segoe UI" w:cs="Segoe UI"/>
          <w:b/>
          <w:color w:val="0F4761"/>
          <w:sz w:val="23"/>
        </w:rPr>
        <w:t>6.9.1  Theme: presets, layout and colours</w:t>
      </w:r>
    </w:p>
    <w:p>
      <w:pPr>
        <w:pStyle w:val="Normal"/>
        <w:numPr>
          <w:ilvl w:val="0"/>
          <w:numId w:val="18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Theme</w:t>
      </w:r>
      <w:r>
        <w:rPr>
          <w:rFonts w:eastAsia="Segoe UI" w:cs="Segoe UI" w:ascii="Segoe UI" w:hAnsi="Segoe UI"/>
          <w:color w:val="101820"/>
          <w:sz w:val="21"/>
        </w:rPr>
        <w:t xml:space="preserve">, select a preset under </w:t>
      </w:r>
      <w:r>
        <w:rPr>
          <w:rFonts w:eastAsia="Segoe UI" w:cs="Segoe UI" w:ascii="Segoe UI" w:hAnsi="Segoe UI"/>
          <w:b/>
          <w:color w:val="101820"/>
          <w:sz w:val="21"/>
        </w:rPr>
        <w:t>Presets</w:t>
      </w:r>
      <w:r>
        <w:rPr>
          <w:rFonts w:eastAsia="Segoe UI" w:cs="Segoe UI" w:ascii="Segoe UI" w:hAnsi="Segoe UI"/>
          <w:color w:val="101820"/>
          <w:sz w:val="21"/>
        </w:rPr>
        <w:t xml:space="preserve">: </w:t>
      </w:r>
      <w:r>
        <w:rPr>
          <w:rFonts w:eastAsia="Segoe UI" w:cs="Segoe UI" w:ascii="Segoe UI" w:hAnsi="Segoe UI"/>
          <w:b/>
          <w:color w:val="101820"/>
          <w:sz w:val="21"/>
        </w:rPr>
        <w:t>iorta TechNXT (default)</w:t>
      </w:r>
      <w:r>
        <w:rPr>
          <w:rFonts w:eastAsia="Segoe UI" w:cs="Segoe UI" w:ascii="Segoe UI" w:hAnsi="Segoe UI"/>
          <w:color w:val="101820"/>
          <w:sz w:val="21"/>
        </w:rPr>
        <w:t xml:space="preserve">, </w:t>
      </w:r>
      <w:r>
        <w:rPr>
          <w:rFonts w:eastAsia="Segoe UI" w:cs="Segoe UI" w:ascii="Segoe UI" w:hAnsi="Segoe UI"/>
          <w:b/>
          <w:color w:val="101820"/>
          <w:sz w:val="21"/>
        </w:rPr>
        <w:t>Classic Blue</w:t>
      </w:r>
      <w:r>
        <w:rPr>
          <w:rFonts w:eastAsia="Segoe UI" w:cs="Segoe UI" w:ascii="Segoe UI" w:hAnsi="Segoe UI"/>
          <w:color w:val="101820"/>
          <w:sz w:val="21"/>
        </w:rPr>
        <w:t xml:space="preserve">, </w:t>
      </w:r>
      <w:r>
        <w:rPr>
          <w:rFonts w:eastAsia="Segoe UI" w:cs="Segoe UI" w:ascii="Segoe UI" w:hAnsi="Segoe UI"/>
          <w:b/>
          <w:color w:val="101820"/>
          <w:sz w:val="21"/>
        </w:rPr>
        <w:t>Corporate Grey</w:t>
      </w:r>
      <w:r>
        <w:rPr>
          <w:rFonts w:eastAsia="Segoe UI" w:cs="Segoe UI" w:ascii="Segoe UI" w:hAnsi="Segoe UI"/>
          <w:color w:val="101820"/>
          <w:sz w:val="21"/>
        </w:rPr>
        <w:t xml:space="preserve"> or </w:t>
      </w:r>
      <w:r>
        <w:rPr>
          <w:rFonts w:eastAsia="Segoe UI" w:cs="Segoe UI" w:ascii="Segoe UI" w:hAnsi="Segoe UI"/>
          <w:b/>
          <w:color w:val="101820"/>
          <w:sz w:val="21"/>
        </w:rPr>
        <w:t>Teal</w:t>
      </w:r>
      <w:r>
        <w:rPr>
          <w:rFonts w:eastAsia="Segoe UI" w:cs="Segoe UI" w:ascii="Segoe UI" w:hAnsi="Segoe UI"/>
          <w:color w:val="101820"/>
          <w:sz w:val="21"/>
        </w:rPr>
        <w:t xml:space="preserve">. The preset fills every colour, the layout and the font; the sign-in picture already uploaded is kept. As soon as a value is changed the preset reads </w:t>
      </w:r>
      <w:r>
        <w:rPr>
          <w:rFonts w:eastAsia="Segoe UI" w:cs="Segoe UI" w:ascii="Segoe UI" w:hAnsi="Segoe UI"/>
          <w:b/>
          <w:color w:val="101820"/>
          <w:sz w:val="21"/>
        </w:rPr>
        <w:t>Custom</w:t>
      </w:r>
      <w:r>
        <w:rPr>
          <w:rFonts w:eastAsia="Segoe UI" w:cs="Segoe UI" w:ascii="Segoe UI" w:hAnsi="Segoe UI"/>
          <w:color w:val="101820"/>
          <w:sz w:val="21"/>
        </w:rPr>
        <w:t xml:space="preserve">. Enter a </w:t>
      </w:r>
      <w:r>
        <w:rPr>
          <w:rFonts w:eastAsia="Segoe UI" w:cs="Segoe UI" w:ascii="Segoe UI" w:hAnsi="Segoe UI"/>
          <w:b/>
          <w:color w:val="101820"/>
          <w:sz w:val="21"/>
        </w:rPr>
        <w:t>Theme name</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Layout</w:t>
      </w:r>
      <w:r>
        <w:rPr>
          <w:rFonts w:eastAsia="Segoe UI" w:cs="Segoe UI" w:ascii="Segoe UI" w:hAnsi="Segoe UI"/>
          <w:color w:val="101820"/>
          <w:sz w:val="21"/>
        </w:rPr>
        <w:t xml:space="preserve">, choose the </w:t>
      </w:r>
      <w:r>
        <w:rPr>
          <w:rFonts w:eastAsia="Segoe UI" w:cs="Segoe UI" w:ascii="Segoe UI" w:hAnsi="Segoe UI"/>
          <w:b/>
          <w:color w:val="101820"/>
          <w:sz w:val="21"/>
        </w:rPr>
        <w:t>Header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Coloured (secondary colour)</w:t>
      </w:r>
      <w:r>
        <w:rPr>
          <w:rFonts w:eastAsia="Segoe UI" w:cs="Segoe UI" w:ascii="Segoe UI" w:hAnsi="Segoe UI"/>
          <w:color w:val="101820"/>
          <w:sz w:val="21"/>
        </w:rPr>
        <w:t xml:space="preserve">), the </w:t>
      </w:r>
      <w:r>
        <w:rPr>
          <w:rFonts w:eastAsia="Segoe UI" w:cs="Segoe UI" w:ascii="Segoe UI" w:hAnsi="Segoe UI"/>
          <w:b/>
          <w:color w:val="101820"/>
          <w:sz w:val="21"/>
        </w:rPr>
        <w:t>Side bar style</w:t>
      </w:r>
      <w:r>
        <w:rPr>
          <w:rFonts w:eastAsia="Segoe UI" w:cs="Segoe UI" w:ascii="Segoe UI" w:hAnsi="Segoe UI"/>
          <w:color w:val="101820"/>
          <w:sz w:val="21"/>
        </w:rPr>
        <w:t xml:space="preserve"> (</w:t>
      </w:r>
      <w:r>
        <w:rPr>
          <w:rFonts w:eastAsia="Segoe UI" w:cs="Segoe UI" w:ascii="Segoe UI" w:hAnsi="Segoe UI"/>
          <w:b/>
          <w:color w:val="101820"/>
          <w:sz w:val="21"/>
        </w:rPr>
        <w:t>White</w:t>
      </w:r>
      <w:r>
        <w:rPr>
          <w:rFonts w:eastAsia="Segoe UI" w:cs="Segoe UI" w:ascii="Segoe UI" w:hAnsi="Segoe UI"/>
          <w:color w:val="101820"/>
          <w:sz w:val="21"/>
        </w:rPr>
        <w:t xml:space="preserve"> or </w:t>
      </w:r>
      <w:r>
        <w:rPr>
          <w:rFonts w:eastAsia="Segoe UI" w:cs="Segoe UI" w:ascii="Segoe UI" w:hAnsi="Segoe UI"/>
          <w:b/>
          <w:color w:val="101820"/>
          <w:sz w:val="21"/>
        </w:rPr>
        <w:t>Dark</w:t>
      </w:r>
      <w:r>
        <w:rPr>
          <w:rFonts w:eastAsia="Segoe UI" w:cs="Segoe UI" w:ascii="Segoe UI" w:hAnsi="Segoe UI"/>
          <w:color w:val="101820"/>
          <w:sz w:val="21"/>
        </w:rPr>
        <w:t xml:space="preserve">), the </w:t>
      </w:r>
      <w:r>
        <w:rPr>
          <w:rFonts w:eastAsia="Segoe UI" w:cs="Segoe UI" w:ascii="Segoe UI" w:hAnsi="Segoe UI"/>
          <w:b/>
          <w:color w:val="101820"/>
          <w:sz w:val="21"/>
        </w:rPr>
        <w:t>Density</w:t>
      </w:r>
      <w:r>
        <w:rPr>
          <w:rFonts w:eastAsia="Segoe UI" w:cs="Segoe UI" w:ascii="Segoe UI" w:hAnsi="Segoe UI"/>
          <w:color w:val="101820"/>
          <w:sz w:val="21"/>
        </w:rPr>
        <w:t xml:space="preserve"> (</w:t>
      </w:r>
      <w:r>
        <w:rPr>
          <w:rFonts w:eastAsia="Segoe UI" w:cs="Segoe UI" w:ascii="Segoe UI" w:hAnsi="Segoe UI"/>
          <w:b/>
          <w:color w:val="101820"/>
          <w:sz w:val="21"/>
        </w:rPr>
        <w:t>Comfortable</w:t>
      </w:r>
      <w:r>
        <w:rPr>
          <w:rFonts w:eastAsia="Segoe UI" w:cs="Segoe UI" w:ascii="Segoe UI" w:hAnsi="Segoe UI"/>
          <w:color w:val="101820"/>
          <w:sz w:val="21"/>
        </w:rPr>
        <w:t xml:space="preserve"> or </w:t>
      </w:r>
      <w:r>
        <w:rPr>
          <w:rFonts w:eastAsia="Segoe UI" w:cs="Segoe UI" w:ascii="Segoe UI" w:hAnsi="Segoe UI"/>
          <w:b/>
          <w:color w:val="101820"/>
          <w:sz w:val="21"/>
        </w:rPr>
        <w:t>Compact</w:t>
      </w:r>
      <w:r>
        <w:rPr>
          <w:rFonts w:eastAsia="Segoe UI" w:cs="Segoe UI" w:ascii="Segoe UI" w:hAnsi="Segoe UI"/>
          <w:color w:val="101820"/>
          <w:sz w:val="21"/>
        </w:rPr>
        <w:t xml:space="preserve">), the </w:t>
      </w:r>
      <w:r>
        <w:rPr>
          <w:rFonts w:eastAsia="Segoe UI" w:cs="Segoe UI" w:ascii="Segoe UI" w:hAnsi="Segoe UI"/>
          <w:b/>
          <w:color w:val="101820"/>
          <w:sz w:val="21"/>
        </w:rPr>
        <w:t>Table header style</w:t>
      </w:r>
      <w:r>
        <w:rPr>
          <w:rFonts w:eastAsia="Segoe UI" w:cs="Segoe UI" w:ascii="Segoe UI" w:hAnsi="Segoe UI"/>
          <w:color w:val="101820"/>
          <w:sz w:val="21"/>
        </w:rPr>
        <w:t xml:space="preserve"> (</w:t>
      </w:r>
      <w:r>
        <w:rPr>
          <w:rFonts w:eastAsia="Segoe UI" w:cs="Segoe UI" w:ascii="Segoe UI" w:hAnsi="Segoe UI"/>
          <w:b/>
          <w:color w:val="101820"/>
          <w:sz w:val="21"/>
        </w:rPr>
        <w:t>Solid (secondary colour)</w:t>
      </w:r>
      <w:r>
        <w:rPr>
          <w:rFonts w:eastAsia="Segoe UI" w:cs="Segoe UI" w:ascii="Segoe UI" w:hAnsi="Segoe UI"/>
          <w:color w:val="101820"/>
          <w:sz w:val="21"/>
        </w:rPr>
        <w:t xml:space="preserve"> or </w:t>
      </w:r>
      <w:r>
        <w:rPr>
          <w:rFonts w:eastAsia="Segoe UI" w:cs="Segoe UI" w:ascii="Segoe UI" w:hAnsi="Segoe UI"/>
          <w:b/>
          <w:color w:val="101820"/>
          <w:sz w:val="21"/>
        </w:rPr>
        <w:t>Light</w:t>
      </w:r>
      <w:r>
        <w:rPr>
          <w:rFonts w:eastAsia="Segoe UI" w:cs="Segoe UI" w:ascii="Segoe UI" w:hAnsi="Segoe UI"/>
          <w:color w:val="101820"/>
          <w:sz w:val="21"/>
        </w:rPr>
        <w:t xml:space="preserve">) and the </w:t>
      </w:r>
      <w:r>
        <w:rPr>
          <w:rFonts w:eastAsia="Segoe UI" w:cs="Segoe UI" w:ascii="Segoe UI" w:hAnsi="Segoe UI"/>
          <w:b/>
          <w:color w:val="101820"/>
          <w:sz w:val="21"/>
        </w:rPr>
        <w:t>Font</w:t>
      </w:r>
      <w:r>
        <w:rPr>
          <w:rFonts w:eastAsia="Segoe UI" w:cs="Segoe UI" w:ascii="Segoe UI" w:hAnsi="Segoe UI"/>
          <w:color w:val="101820"/>
          <w:sz w:val="21"/>
        </w:rPr>
        <w:t>: Nunito (bundled, the default), Arial / Helvetica and System UI from the user's computer, or Roboto, Open Sans, Lato, Source Sans 3, Inter, Montserrat, Poppins and Noto Sans from Google Fonts, only through this list. The sliders set the corner radius of fields, cards, panels and buttons in pixels.</w:t>
      </w:r>
    </w:p>
    <w:p>
      <w:pPr>
        <w:pStyle w:val="Normal"/>
        <w:numPr>
          <w:ilvl w:val="0"/>
          <w:numId w:val="18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Colours</w:t>
      </w:r>
      <w:r>
        <w:rPr>
          <w:rFonts w:eastAsia="Segoe UI" w:cs="Segoe UI" w:ascii="Segoe UI" w:hAnsi="Segoe UI"/>
          <w:color w:val="101820"/>
          <w:sz w:val="21"/>
        </w:rPr>
        <w:t xml:space="preserve">, set each colour of the groups </w:t>
      </w:r>
      <w:r>
        <w:rPr>
          <w:rFonts w:eastAsia="Segoe UI" w:cs="Segoe UI" w:ascii="Segoe UI" w:hAnsi="Segoe UI"/>
          <w:b/>
          <w:color w:val="101820"/>
          <w:sz w:val="21"/>
        </w:rPr>
        <w:t>Brand</w:t>
      </w:r>
      <w:r>
        <w:rPr>
          <w:rFonts w:eastAsia="Segoe UI" w:cs="Segoe UI" w:ascii="Segoe UI" w:hAnsi="Segoe UI"/>
          <w:color w:val="101820"/>
          <w:sz w:val="21"/>
        </w:rPr>
        <w:t xml:space="preserve"> (primary, primary hover, text on primary, light tint, secondary, accent), </w:t>
      </w:r>
      <w:r>
        <w:rPr>
          <w:rFonts w:eastAsia="Segoe UI" w:cs="Segoe UI" w:ascii="Segoe UI" w:hAnsi="Segoe UI"/>
          <w:b/>
          <w:color w:val="101820"/>
          <w:sz w:val="21"/>
        </w:rPr>
        <w:t>Header</w:t>
      </w:r>
      <w:r>
        <w:rPr>
          <w:rFonts w:eastAsia="Segoe UI" w:cs="Segoe UI" w:ascii="Segoe UI" w:hAnsi="Segoe UI"/>
          <w:color w:val="101820"/>
          <w:sz w:val="21"/>
        </w:rPr>
        <w:t xml:space="preserve">, </w:t>
      </w:r>
      <w:r>
        <w:rPr>
          <w:rFonts w:eastAsia="Segoe UI" w:cs="Segoe UI" w:ascii="Segoe UI" w:hAnsi="Segoe UI"/>
          <w:b/>
          <w:color w:val="101820"/>
          <w:sz w:val="21"/>
        </w:rPr>
        <w:t>Side bar</w:t>
      </w:r>
      <w:r>
        <w:rPr>
          <w:rFonts w:eastAsia="Segoe UI" w:cs="Segoe UI" w:ascii="Segoe UI" w:hAnsi="Segoe UI"/>
          <w:color w:val="101820"/>
          <w:sz w:val="21"/>
        </w:rPr>
        <w:t xml:space="preserve">, </w:t>
      </w:r>
      <w:r>
        <w:rPr>
          <w:rFonts w:eastAsia="Segoe UI" w:cs="Segoe UI" w:ascii="Segoe UI" w:hAnsi="Segoe UI"/>
          <w:b/>
          <w:color w:val="101820"/>
          <w:sz w:val="21"/>
        </w:rPr>
        <w:t>Tables</w:t>
      </w:r>
      <w:r>
        <w:rPr>
          <w:rFonts w:eastAsia="Segoe UI" w:cs="Segoe UI" w:ascii="Segoe UI" w:hAnsi="Segoe UI"/>
          <w:color w:val="101820"/>
          <w:sz w:val="21"/>
        </w:rPr>
        <w:t xml:space="preserve">, </w:t>
      </w:r>
      <w:r>
        <w:rPr>
          <w:rFonts w:eastAsia="Segoe UI" w:cs="Segoe UI" w:ascii="Segoe UI" w:hAnsi="Segoe UI"/>
          <w:b/>
          <w:color w:val="101820"/>
          <w:sz w:val="21"/>
        </w:rPr>
        <w:t>Buttons, links and fields</w:t>
      </w:r>
      <w:r>
        <w:rPr>
          <w:rFonts w:eastAsia="Segoe UI" w:cs="Segoe UI" w:ascii="Segoe UI" w:hAnsi="Segoe UI"/>
          <w:color w:val="101820"/>
          <w:sz w:val="21"/>
        </w:rPr>
        <w:t xml:space="preserve"> and </w:t>
      </w:r>
      <w:r>
        <w:rPr>
          <w:rFonts w:eastAsia="Segoe UI" w:cs="Segoe UI" w:ascii="Segoe UI" w:hAnsi="Segoe UI"/>
          <w:b/>
          <w:color w:val="101820"/>
          <w:sz w:val="21"/>
        </w:rPr>
        <w:t>Page</w:t>
      </w:r>
      <w:r>
        <w:rPr>
          <w:rFonts w:eastAsia="Segoe UI" w:cs="Segoe UI" w:ascii="Segoe UI" w:hAnsi="Segoe UI"/>
          <w:color w:val="101820"/>
          <w:sz w:val="21"/>
        </w:rPr>
        <w:t xml:space="preserve">, with the colour picker or by typing the hex value (#rrggbb). The badge next to a text colour shows its contrast against its background: green from 4.5:1, red below. </w:t>
      </w:r>
      <w:r>
        <w:rPr>
          <w:rFonts w:eastAsia="Segoe UI" w:cs="Segoe UI" w:ascii="Segoe UI" w:hAnsi="Segoe UI"/>
          <w:b/>
          <w:color w:val="101820"/>
          <w:sz w:val="21"/>
        </w:rPr>
        <w:t>Reset to default</w:t>
      </w:r>
      <w:r>
        <w:rPr>
          <w:rFonts w:eastAsia="Segoe UI" w:cs="Segoe UI" w:ascii="Segoe UI" w:hAnsi="Segoe UI"/>
          <w:color w:val="101820"/>
          <w:sz w:val="21"/>
        </w:rPr>
        <w:t xml:space="preserve"> on a group returns the values of the preset.</w:t>
      </w:r>
    </w:p>
    <w:p>
      <w:pPr>
        <w:pStyle w:val="Normal"/>
        <w:numPr>
          <w:ilvl w:val="0"/>
          <w:numId w:val="1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confirms that every signed-in user gets the theme on the next page and that documents, reports and e-mails use it from now on.</w:t>
      </w:r>
    </w:p>
    <w:p>
      <w:pPr>
        <w:pStyle w:val="Heading3"/>
        <w:rPr/>
      </w:pPr>
      <w:r>
        <w:rPr>
          <w:rFonts w:eastAsia="Segoe UI" w:cs="Segoe UI"/>
          <w:b/>
          <w:color w:val="0F4761"/>
          <w:sz w:val="23"/>
        </w:rPr>
        <w:t>6.9.2  Contrast check</w:t>
      </w:r>
    </w:p>
    <w:p>
      <w:pPr>
        <w:pStyle w:val="Normal"/>
        <w:spacing w:lineRule="auto" w:line="276" w:before="0" w:after="120"/>
        <w:rPr/>
      </w:pPr>
      <w:r>
        <w:rPr>
          <w:rFonts w:eastAsia="Segoe UI" w:cs="Segoe UI" w:ascii="Segoe UI" w:hAnsi="Segoe UI"/>
          <w:color w:val="101820"/>
          <w:sz w:val="21"/>
        </w:rPr>
        <w:t>The server checks the theme while it is edited, with the rules it applies on Save. Text on the buttons (normal and hover), on the primary colour, in the header, in the table headers and in the document table headers must reach WCAG AA, 4.5:1; below that the theme cannot be saved and the message reads, for example, Button text on button colour: contrast 2.1:1 is below WCAG AA 4.5:1. The other pairs (side bar text and active item, links on white cards, page headings, the e-mail header and the document section headings) only warn: the theme is saved and the warning is shown after Save. The list on the right shows every pair with its ratio and a tick, a warning triangle or a cross.</w:t>
      </w:r>
    </w:p>
    <w:p>
      <w:pPr>
        <w:pStyle w:val="Heading3"/>
        <w:rPr/>
      </w:pPr>
      <w:r>
        <w:rPr>
          <w:rFonts w:eastAsia="Segoe UI" w:cs="Segoe UI"/>
          <w:b/>
          <w:color w:val="0F4761"/>
          <w:sz w:val="23"/>
        </w:rPr>
        <w:t>6.9.3  Sign-in page</w:t>
      </w:r>
    </w:p>
    <w:p>
      <w:pPr>
        <w:pStyle w:val="Normal"/>
        <w:jc w:val="center"/>
        <w:rPr/>
      </w:pPr>
      <w:r>
        <w:rPr/>
        <w:drawing>
          <wp:inline distT="0" distB="0" distL="0" distR="0">
            <wp:extent cx="5760085" cy="5461635"/>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Sign-in page tab</w:t>
      </w:r>
    </w:p>
    <w:p>
      <w:pPr>
        <w:pStyle w:val="Normal"/>
        <w:numPr>
          <w:ilvl w:val="0"/>
          <w:numId w:val="189"/>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Sign-in page</w:t>
      </w:r>
      <w:r>
        <w:rPr>
          <w:rFonts w:eastAsia="Segoe UI" w:cs="Segoe UI" w:ascii="Segoe UI" w:hAnsi="Segoe UI"/>
          <w:color w:val="101820"/>
          <w:sz w:val="21"/>
        </w:rPr>
        <w:t xml:space="preserve">, choose the </w:t>
      </w:r>
      <w:r>
        <w:rPr>
          <w:rFonts w:eastAsia="Segoe UI" w:cs="Segoe UI" w:ascii="Segoe UI" w:hAnsi="Segoe UI"/>
          <w:b/>
          <w:color w:val="101820"/>
          <w:sz w:val="21"/>
        </w:rPr>
        <w:t>Picture</w:t>
      </w:r>
      <w:r>
        <w:rPr>
          <w:rFonts w:eastAsia="Segoe UI" w:cs="Segoe UI" w:ascii="Segoe UI" w:hAnsi="Segoe UI"/>
          <w:color w:val="101820"/>
          <w:sz w:val="21"/>
        </w:rPr>
        <w:t xml:space="preserve">: </w:t>
      </w:r>
      <w:r>
        <w:rPr>
          <w:rFonts w:eastAsia="Segoe UI" w:cs="Segoe UI" w:ascii="Segoe UI" w:hAnsi="Segoe UI"/>
          <w:b/>
          <w:color w:val="101820"/>
          <w:sz w:val="21"/>
        </w:rPr>
        <w:t>Picture library</w:t>
      </w:r>
      <w:r>
        <w:rPr>
          <w:rFonts w:eastAsia="Segoe UI" w:cs="Segoe UI" w:ascii="Segoe UI" w:hAnsi="Segoe UI"/>
          <w:color w:val="101820"/>
          <w:sz w:val="21"/>
        </w:rPr>
        <w:t xml:space="preserve"> (the pictures delivered with the product: Philippine insurance (default), Motor: road and city, Property: homes and buildings, Travel and accident: islands, Neutral pattern), </w:t>
      </w:r>
      <w:r>
        <w:rPr>
          <w:rFonts w:eastAsia="Segoe UI" w:cs="Segoe UI" w:ascii="Segoe UI" w:hAnsi="Segoe UI"/>
          <w:b/>
          <w:color w:val="101820"/>
          <w:sz w:val="21"/>
        </w:rPr>
        <w:t>Own picture (upload)</w:t>
      </w:r>
      <w:r>
        <w:rPr>
          <w:rFonts w:eastAsia="Segoe UI" w:cs="Segoe UI" w:ascii="Segoe UI" w:hAnsi="Segoe UI"/>
          <w:color w:val="101820"/>
          <w:sz w:val="21"/>
        </w:rPr>
        <w:t xml:space="preserve"> or </w:t>
      </w:r>
      <w:r>
        <w:rPr>
          <w:rFonts w:eastAsia="Segoe UI" w:cs="Segoe UI" w:ascii="Segoe UI" w:hAnsi="Segoe UI"/>
          <w:b/>
          <w:color w:val="101820"/>
          <w:sz w:val="21"/>
        </w:rPr>
        <w:t>Colour only</w:t>
      </w:r>
      <w:r>
        <w:rPr>
          <w:rFonts w:eastAsia="Segoe UI" w:cs="Segoe UI" w:ascii="Segoe UI" w:hAnsi="Segoe UI"/>
          <w:color w:val="101820"/>
          <w:sz w:val="21"/>
        </w:rPr>
        <w:t>.</w:t>
      </w:r>
    </w:p>
    <w:p>
      <w:pPr>
        <w:pStyle w:val="Normal"/>
        <w:numPr>
          <w:ilvl w:val="0"/>
          <w:numId w:val="190"/>
        </w:numPr>
        <w:spacing w:before="0" w:after="60"/>
        <w:rPr/>
      </w:pPr>
      <w:r>
        <w:rPr>
          <w:rFonts w:eastAsia="Segoe UI" w:cs="Segoe UI" w:ascii="Segoe UI" w:hAnsi="Segoe UI"/>
          <w:color w:val="101820"/>
          <w:sz w:val="21"/>
        </w:rPr>
        <w:t xml:space="preserve">For an own picture select </w:t>
      </w:r>
      <w:r>
        <w:rPr>
          <w:rFonts w:eastAsia="Segoe UI" w:cs="Segoe UI" w:ascii="Segoe UI" w:hAnsi="Segoe UI"/>
          <w:b/>
          <w:color w:val="101820"/>
          <w:sz w:val="21"/>
        </w:rPr>
        <w:t>Upload picture</w:t>
      </w:r>
      <w:r>
        <w:rPr>
          <w:rFonts w:eastAsia="Segoe UI" w:cs="Segoe UI" w:ascii="Segoe UI" w:hAnsi="Segoe UI"/>
          <w:color w:val="101820"/>
          <w:sz w:val="21"/>
        </w:rPr>
        <w:t xml:space="preserve">: JPG, PNG, WebP or SVG (a plain drawing), up to 5 MB, at least 1600 x 1200 px for sharp desktops. Set the </w:t>
      </w:r>
      <w:r>
        <w:rPr>
          <w:rFonts w:eastAsia="Segoe UI" w:cs="Segoe UI" w:ascii="Segoe UI" w:hAnsi="Segoe UI"/>
          <w:b/>
          <w:color w:val="101820"/>
          <w:sz w:val="21"/>
        </w:rPr>
        <w:t>Focal point</w:t>
      </w:r>
      <w:r>
        <w:rPr>
          <w:rFonts w:eastAsia="Segoe UI" w:cs="Segoe UI" w:ascii="Segoe UI" w:hAnsi="Segoe UI"/>
          <w:color w:val="101820"/>
          <w:sz w:val="21"/>
        </w:rPr>
        <w:t xml:space="preserve"> sliders (left to right, top to bottom) so that the important part of the picture stays visible on a narrow screen. </w:t>
      </w:r>
      <w:r>
        <w:rPr>
          <w:rFonts w:eastAsia="Segoe UI" w:cs="Segoe UI" w:ascii="Segoe UI" w:hAnsi="Segoe UI"/>
          <w:b/>
          <w:color w:val="101820"/>
          <w:sz w:val="21"/>
        </w:rPr>
        <w:t>Remove picture</w:t>
      </w:r>
      <w:r>
        <w:rPr>
          <w:rFonts w:eastAsia="Segoe UI" w:cs="Segoe UI" w:ascii="Segoe UI" w:hAnsi="Segoe UI"/>
          <w:color w:val="101820"/>
          <w:sz w:val="21"/>
        </w:rPr>
        <w:t xml:space="preserve"> goes back to the library.</w:t>
      </w:r>
    </w:p>
    <w:p>
      <w:pPr>
        <w:pStyle w:val="Normal"/>
        <w:numPr>
          <w:ilvl w:val="0"/>
          <w:numId w:val="191"/>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Gradient from</w:t>
      </w:r>
      <w:r>
        <w:rPr>
          <w:rFonts w:eastAsia="Segoe UI" w:cs="Segoe UI" w:ascii="Segoe UI" w:hAnsi="Segoe UI"/>
          <w:color w:val="101820"/>
          <w:sz w:val="21"/>
        </w:rPr>
        <w:t xml:space="preserve"> and </w:t>
      </w:r>
      <w:r>
        <w:rPr>
          <w:rFonts w:eastAsia="Segoe UI" w:cs="Segoe UI" w:ascii="Segoe UI" w:hAnsi="Segoe UI"/>
          <w:b/>
          <w:color w:val="101820"/>
          <w:sz w:val="21"/>
        </w:rPr>
        <w:t>Gradient to</w:t>
      </w:r>
      <w:r>
        <w:rPr>
          <w:rFonts w:eastAsia="Segoe UI" w:cs="Segoe UI" w:ascii="Segoe UI" w:hAnsi="Segoe UI"/>
          <w:color w:val="101820"/>
          <w:sz w:val="21"/>
        </w:rPr>
        <w:t xml:space="preserve"> (the colours behind the picture), </w:t>
      </w:r>
      <w:r>
        <w:rPr>
          <w:rFonts w:eastAsia="Segoe UI" w:cs="Segoe UI" w:ascii="Segoe UI" w:hAnsi="Segoe UI"/>
          <w:b/>
          <w:color w:val="101820"/>
          <w:sz w:val="21"/>
        </w:rPr>
        <w:t>Darken the picture</w:t>
      </w:r>
      <w:r>
        <w:rPr>
          <w:rFonts w:eastAsia="Segoe UI" w:cs="Segoe UI" w:ascii="Segoe UI" w:hAnsi="Segoe UI"/>
          <w:color w:val="101820"/>
          <w:sz w:val="21"/>
        </w:rPr>
        <w:t xml:space="preserve"> (0 to 80%) and </w:t>
      </w:r>
      <w:r>
        <w:rPr>
          <w:rFonts w:eastAsia="Segoe UI" w:cs="Segoe UI" w:ascii="Segoe UI" w:hAnsi="Segoe UI"/>
          <w:b/>
          <w:color w:val="101820"/>
          <w:sz w:val="21"/>
        </w:rPr>
        <w:t>Show the picture on phones (as a banner)</w:t>
      </w:r>
      <w:r>
        <w:rPr>
          <w:rFonts w:eastAsia="Segoe UI" w:cs="Segoe UI" w:ascii="Segoe UI" w:hAnsi="Segoe UI"/>
          <w:color w:val="101820"/>
          <w:sz w:val="21"/>
        </w:rPr>
        <w:t xml:space="preserve">. The frame below shows the panel as a desktop or, with </w:t>
      </w:r>
      <w:r>
        <w:rPr>
          <w:rFonts w:eastAsia="Segoe UI" w:cs="Segoe UI" w:ascii="Segoe UI" w:hAnsi="Segoe UI"/>
          <w:b/>
          <w:color w:val="101820"/>
          <w:sz w:val="21"/>
        </w:rPr>
        <w:t>Phone</w:t>
      </w:r>
      <w:r>
        <w:rPr>
          <w:rFonts w:eastAsia="Segoe UI" w:cs="Segoe UI" w:ascii="Segoe UI" w:hAnsi="Segoe UI"/>
          <w:color w:val="101820"/>
          <w:sz w:val="21"/>
        </w:rPr>
        <w:t>, as a phone.</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Texts</w:t>
      </w:r>
      <w:r>
        <w:rPr>
          <w:rFonts w:eastAsia="Segoe UI" w:cs="Segoe UI" w:ascii="Segoe UI" w:hAnsi="Segoe UI"/>
          <w:color w:val="101820"/>
          <w:sz w:val="21"/>
        </w:rPr>
        <w:t xml:space="preserve">, enter the </w:t>
      </w:r>
      <w:r>
        <w:rPr>
          <w:rFonts w:eastAsia="Segoe UI" w:cs="Segoe UI" w:ascii="Segoe UI" w:hAnsi="Segoe UI"/>
          <w:b/>
          <w:color w:val="101820"/>
          <w:sz w:val="21"/>
        </w:rPr>
        <w:t>Headline</w:t>
      </w:r>
      <w:r>
        <w:rPr>
          <w:rFonts w:eastAsia="Segoe UI" w:cs="Segoe UI" w:ascii="Segoe UI" w:hAnsi="Segoe UI"/>
          <w:color w:val="101820"/>
          <w:sz w:val="21"/>
        </w:rPr>
        <w:t xml:space="preserve"> (empty: the delivered title, Welcome to followed by the application name), the </w:t>
      </w:r>
      <w:r>
        <w:rPr>
          <w:rFonts w:eastAsia="Segoe UI" w:cs="Segoe UI" w:ascii="Segoe UI" w:hAnsi="Segoe UI"/>
          <w:b/>
          <w:color w:val="101820"/>
          <w:sz w:val="21"/>
        </w:rPr>
        <w:t>Tagline</w:t>
      </w:r>
      <w:r>
        <w:rPr>
          <w:rFonts w:eastAsia="Segoe UI" w:cs="Segoe UI" w:ascii="Segoe UI" w:hAnsi="Segoe UI"/>
          <w:color w:val="101820"/>
          <w:sz w:val="21"/>
        </w:rPr>
        <w:t xml:space="preserve"> (empty: Sign in with your user ID and password.), whether to </w:t>
      </w:r>
      <w:r>
        <w:rPr>
          <w:rFonts w:eastAsia="Segoe UI" w:cs="Segoe UI" w:ascii="Segoe UI" w:hAnsi="Segoe UI"/>
          <w:b/>
          <w:color w:val="101820"/>
          <w:sz w:val="21"/>
        </w:rPr>
        <w:t>Show "Powered by iorta TechNXT"</w:t>
      </w:r>
      <w:r>
        <w:rPr>
          <w:rFonts w:eastAsia="Segoe UI" w:cs="Segoe UI" w:ascii="Segoe UI" w:hAnsi="Segoe UI"/>
          <w:color w:val="101820"/>
          <w:sz w:val="21"/>
        </w:rPr>
        <w:t xml:space="preserve"> and the </w:t>
      </w:r>
      <w:r>
        <w:rPr>
          <w:rFonts w:eastAsia="Segoe UI" w:cs="Segoe UI" w:ascii="Segoe UI" w:hAnsi="Segoe UI"/>
          <w:b/>
          <w:color w:val="101820"/>
          <w:sz w:val="21"/>
        </w:rPr>
        <w:t>Logo height on the sign-in page (px)</w:t>
      </w:r>
      <w:r>
        <w:rPr>
          <w:rFonts w:eastAsia="Segoe UI" w:cs="Segoe UI" w:ascii="Segoe UI" w:hAnsi="Segoe UI"/>
          <w:color w:val="101820"/>
          <w:sz w:val="21"/>
        </w:rPr>
        <w:t xml:space="preserve"> (24 to 140).</w:t>
      </w:r>
    </w:p>
    <w:p>
      <w:pPr>
        <w:pStyle w:val="Normal"/>
        <w:numPr>
          <w:ilvl w:val="0"/>
          <w:numId w:val="1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6.9.4  Documents and reports</w:t>
      </w:r>
    </w:p>
    <w:p>
      <w:pPr>
        <w:pStyle w:val="Normal"/>
        <w:spacing w:lineRule="auto" w:line="276" w:before="0" w:after="120"/>
        <w:rPr/>
      </w:pPr>
      <w:r>
        <w:rPr>
          <w:rFonts w:eastAsia="Segoe UI" w:cs="Segoe UI" w:ascii="Segoe UI" w:hAnsi="Segoe UI"/>
          <w:color w:val="101820"/>
          <w:sz w:val="21"/>
        </w:rPr>
        <w:t>Every printed document (quotation, policy schedule, slips, endorsement, receipts, billing statements, vouchers, debit notes, claim letters) and every report PDF or Excel file is printed with these values together with the logo, legal name, TIN, licence and address of the primary company (Master &gt; Organization &gt; Company).</w:t>
      </w:r>
    </w:p>
    <w:p>
      <w:pPr>
        <w:pStyle w:val="Normal"/>
        <w:numPr>
          <w:ilvl w:val="0"/>
          <w:numId w:val="19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Print colours</w:t>
      </w:r>
      <w:r>
        <w:rPr>
          <w:rFonts w:eastAsia="Segoe UI" w:cs="Segoe UI" w:ascii="Segoe UI" w:hAnsi="Segoe UI"/>
          <w:color w:val="101820"/>
          <w:sz w:val="21"/>
        </w:rPr>
        <w:t xml:space="preserve">, set the </w:t>
      </w:r>
      <w:r>
        <w:rPr>
          <w:rFonts w:eastAsia="Segoe UI" w:cs="Segoe UI" w:ascii="Segoe UI" w:hAnsi="Segoe UI"/>
          <w:b/>
          <w:color w:val="101820"/>
          <w:sz w:val="21"/>
        </w:rPr>
        <w:t>Accent (rules, marker)</w:t>
      </w:r>
      <w:r>
        <w:rPr>
          <w:rFonts w:eastAsia="Segoe UI" w:cs="Segoe UI" w:ascii="Segoe UI" w:hAnsi="Segoe UI"/>
          <w:color w:val="101820"/>
          <w:sz w:val="21"/>
        </w:rPr>
        <w:t xml:space="preserve">, the </w:t>
      </w:r>
      <w:r>
        <w:rPr>
          <w:rFonts w:eastAsia="Segoe UI" w:cs="Segoe UI" w:ascii="Segoe UI" w:hAnsi="Segoe UI"/>
          <w:b/>
          <w:color w:val="101820"/>
          <w:sz w:val="21"/>
        </w:rPr>
        <w:t>Titles and section headings</w:t>
      </w:r>
      <w:r>
        <w:rPr>
          <w:rFonts w:eastAsia="Segoe UI" w:cs="Segoe UI" w:ascii="Segoe UI" w:hAnsi="Segoe UI"/>
          <w:color w:val="101820"/>
          <w:sz w:val="21"/>
        </w:rPr>
        <w:t xml:space="preserve">, the </w:t>
      </w:r>
      <w:r>
        <w:rPr>
          <w:rFonts w:eastAsia="Segoe UI" w:cs="Segoe UI" w:ascii="Segoe UI" w:hAnsi="Segoe UI"/>
          <w:b/>
          <w:color w:val="101820"/>
          <w:sz w:val="21"/>
        </w:rPr>
        <w:t>Section heading band</w:t>
      </w:r>
      <w:r>
        <w:rPr>
          <w:rFonts w:eastAsia="Segoe UI" w:cs="Segoe UI" w:ascii="Segoe UI" w:hAnsi="Segoe UI"/>
          <w:color w:val="101820"/>
          <w:sz w:val="21"/>
        </w:rPr>
        <w:t xml:space="preserve">, the </w:t>
      </w:r>
      <w:r>
        <w:rPr>
          <w:rFonts w:eastAsia="Segoe UI" w:cs="Segoe UI" w:ascii="Segoe UI" w:hAnsi="Segoe UI"/>
          <w:b/>
          <w:color w:val="101820"/>
          <w:sz w:val="21"/>
        </w:rPr>
        <w:t>Table header</w:t>
      </w:r>
      <w:r>
        <w:rPr>
          <w:rFonts w:eastAsia="Segoe UI" w:cs="Segoe UI" w:ascii="Segoe UI" w:hAnsi="Segoe UI"/>
          <w:color w:val="101820"/>
          <w:sz w:val="21"/>
        </w:rPr>
        <w:t xml:space="preserve"> and the </w:t>
      </w:r>
      <w:r>
        <w:rPr>
          <w:rFonts w:eastAsia="Segoe UI" w:cs="Segoe UI" w:ascii="Segoe UI" w:hAnsi="Segoe UI"/>
          <w:b/>
          <w:color w:val="101820"/>
          <w:sz w:val="21"/>
        </w:rPr>
        <w:t>Table header text</w:t>
      </w:r>
      <w:r>
        <w:rPr>
          <w:rFonts w:eastAsia="Segoe UI" w:cs="Segoe UI" w:ascii="Segoe UI" w:hAnsi="Segoe UI"/>
          <w:color w:val="101820"/>
          <w:sz w:val="21"/>
        </w:rPr>
        <w:t xml:space="preserve"> (an empty colour follows the accent), the </w:t>
      </w:r>
      <w:r>
        <w:rPr>
          <w:rFonts w:eastAsia="Segoe UI" w:cs="Segoe UI" w:ascii="Segoe UI" w:hAnsi="Segoe UI"/>
          <w:b/>
          <w:color w:val="101820"/>
          <w:sz w:val="21"/>
        </w:rPr>
        <w:t>Logo height on documents (pt)</w:t>
      </w:r>
      <w:r>
        <w:rPr>
          <w:rFonts w:eastAsia="Segoe UI" w:cs="Segoe UI" w:ascii="Segoe UI" w:hAnsi="Segoe UI"/>
          <w:color w:val="101820"/>
          <w:sz w:val="21"/>
        </w:rPr>
        <w:t xml:space="preserve"> (24 to 80) and whether to </w:t>
      </w:r>
      <w:r>
        <w:rPr>
          <w:rFonts w:eastAsia="Segoe UI" w:cs="Segoe UI" w:ascii="Segoe UI" w:hAnsi="Segoe UI"/>
          <w:b/>
          <w:color w:val="101820"/>
          <w:sz w:val="21"/>
        </w:rPr>
        <w:t>Print the logo on documents</w:t>
      </w:r>
      <w:r>
        <w:rPr>
          <w:rFonts w:eastAsia="Segoe UI" w:cs="Segoe UI" w:ascii="Segoe UI" w:hAnsi="Segoe UI"/>
          <w:color w:val="101820"/>
          <w:sz w:val="21"/>
        </w:rPr>
        <w:t>.</w:t>
      </w:r>
    </w:p>
    <w:p>
      <w:pPr>
        <w:pStyle w:val="Normal"/>
        <w:numPr>
          <w:ilvl w:val="0"/>
          <w:numId w:val="1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Footer lines</w:t>
      </w:r>
      <w:r>
        <w:rPr>
          <w:rFonts w:eastAsia="Segoe UI" w:cs="Segoe UI" w:ascii="Segoe UI" w:hAnsi="Segoe UI"/>
          <w:color w:val="101820"/>
          <w:sz w:val="21"/>
        </w:rPr>
        <w:t xml:space="preserve">, write the </w:t>
      </w:r>
      <w:r>
        <w:rPr>
          <w:rFonts w:eastAsia="Segoe UI" w:cs="Segoe UI" w:ascii="Segoe UI" w:hAnsi="Segoe UI"/>
          <w:b/>
          <w:color w:val="101820"/>
          <w:sz w:val="21"/>
        </w:rPr>
        <w:t>Footer on every document and report</w:t>
      </w:r>
      <w:r>
        <w:rPr>
          <w:rFonts w:eastAsia="Segoe UI" w:cs="Segoe UI" w:ascii="Segoe UI" w:hAnsi="Segoe UI"/>
          <w:color w:val="101820"/>
          <w:sz w:val="21"/>
        </w:rPr>
        <w:t xml:space="preserve">, with the placeholders {{licence}}, {{tin}} and {{companyName}} (delivered: Authorized by the Insurance Commission to act as an Insurance Broker, Licence No. {{licence}}), and an optional </w:t>
      </w:r>
      <w:r>
        <w:rPr>
          <w:rFonts w:eastAsia="Segoe UI" w:cs="Segoe UI" w:ascii="Segoe UI" w:hAnsi="Segoe UI"/>
          <w:b/>
          <w:color w:val="101820"/>
          <w:sz w:val="21"/>
        </w:rPr>
        <w:t>Extra line on report files</w:t>
      </w:r>
      <w:r>
        <w:rPr>
          <w:rFonts w:eastAsia="Segoe UI" w:cs="Segoe UI" w:ascii="Segoe UI" w:hAnsi="Segoe UI"/>
          <w:color w:val="101820"/>
          <w:sz w:val="21"/>
        </w:rPr>
        <w:t>.</w:t>
      </w:r>
    </w:p>
    <w:p>
      <w:pPr>
        <w:pStyle w:val="Normal"/>
        <w:numPr>
          <w:ilvl w:val="0"/>
          <w:numId w:val="19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Excel report files</w:t>
      </w:r>
      <w:r>
        <w:rPr>
          <w:rFonts w:eastAsia="Segoe UI" w:cs="Segoe UI" w:ascii="Segoe UI" w:hAnsi="Segoe UI"/>
          <w:color w:val="101820"/>
          <w:sz w:val="21"/>
        </w:rPr>
        <w:t xml:space="preserve">, set the colour and text of the </w:t>
      </w:r>
      <w:r>
        <w:rPr>
          <w:rFonts w:eastAsia="Segoe UI" w:cs="Segoe UI" w:ascii="Segoe UI" w:hAnsi="Segoe UI"/>
          <w:b/>
          <w:color w:val="101820"/>
          <w:sz w:val="21"/>
        </w:rPr>
        <w:t>Header row</w:t>
      </w:r>
      <w:r>
        <w:rPr>
          <w:rFonts w:eastAsia="Segoe UI" w:cs="Segoe UI" w:ascii="Segoe UI" w:hAnsi="Segoe UI"/>
          <w:color w:val="101820"/>
          <w:sz w:val="21"/>
        </w:rPr>
        <w:t xml:space="preserve"> and whether the </w:t>
      </w:r>
      <w:r>
        <w:rPr>
          <w:rFonts w:eastAsia="Segoe UI" w:cs="Segoe UI" w:ascii="Segoe UI" w:hAnsi="Segoe UI"/>
          <w:b/>
          <w:color w:val="101820"/>
          <w:sz w:val="21"/>
        </w:rPr>
        <w:t>Logo and company banner above the table</w:t>
      </w:r>
      <w:r>
        <w:rPr>
          <w:rFonts w:eastAsia="Segoe UI" w:cs="Segoe UI" w:ascii="Segoe UI" w:hAnsi="Segoe UI"/>
          <w:color w:val="101820"/>
          <w:sz w:val="21"/>
        </w:rPr>
        <w:t xml:space="preserve"> are printed (the header row then moves down).</w:t>
      </w:r>
    </w:p>
    <w:p>
      <w:pPr>
        <w:pStyle w:val="Normal"/>
        <w:numPr>
          <w:ilvl w:val="0"/>
          <w:numId w:val="1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Sample document</w:t>
      </w:r>
      <w:r>
        <w:rPr>
          <w:rFonts w:eastAsia="Segoe UI" w:cs="Segoe UI" w:ascii="Segoe UI" w:hAnsi="Segoe UI"/>
          <w:color w:val="101820"/>
          <w:sz w:val="21"/>
        </w:rPr>
        <w:t xml:space="preserve"> to check the result as a PDF, then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6.9.5  E-mail</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E-mail</w:t>
      </w:r>
      <w:r>
        <w:rPr>
          <w:rFonts w:eastAsia="Segoe UI" w:cs="Segoe UI" w:ascii="Segoe UI" w:hAnsi="Segoe UI"/>
          <w:color w:val="101820"/>
          <w:sz w:val="21"/>
        </w:rPr>
        <w:t xml:space="preserve">, switch </w:t>
      </w:r>
      <w:r>
        <w:rPr>
          <w:rFonts w:eastAsia="Segoe UI" w:cs="Segoe UI" w:ascii="Segoe UI" w:hAnsi="Segoe UI"/>
          <w:b/>
          <w:color w:val="101820"/>
          <w:sz w:val="21"/>
        </w:rPr>
        <w:t>Send e-mails in the branded layout (header with the logo, footer line)</w:t>
      </w:r>
      <w:r>
        <w:rPr>
          <w:rFonts w:eastAsia="Segoe UI" w:cs="Segoe UI" w:ascii="Segoe UI" w:hAnsi="Segoe UI"/>
          <w:color w:val="101820"/>
          <w:sz w:val="21"/>
        </w:rPr>
        <w:t xml:space="preserve"> on or off, set the </w:t>
      </w:r>
      <w:r>
        <w:rPr>
          <w:rFonts w:eastAsia="Segoe UI" w:cs="Segoe UI" w:ascii="Segoe UI" w:hAnsi="Segoe UI"/>
          <w:b/>
          <w:color w:val="101820"/>
          <w:sz w:val="21"/>
        </w:rPr>
        <w:t>Header background</w:t>
      </w:r>
      <w:r>
        <w:rPr>
          <w:rFonts w:eastAsia="Segoe UI" w:cs="Segoe UI" w:ascii="Segoe UI" w:hAnsi="Segoe UI"/>
          <w:color w:val="101820"/>
          <w:sz w:val="21"/>
        </w:rPr>
        <w:t xml:space="preserve">, the </w:t>
      </w:r>
      <w:r>
        <w:rPr>
          <w:rFonts w:eastAsia="Segoe UI" w:cs="Segoe UI" w:ascii="Segoe UI" w:hAnsi="Segoe UI"/>
          <w:b/>
          <w:color w:val="101820"/>
          <w:sz w:val="21"/>
        </w:rPr>
        <w:t>Header text</w:t>
      </w:r>
      <w:r>
        <w:rPr>
          <w:rFonts w:eastAsia="Segoe UI" w:cs="Segoe UI" w:ascii="Segoe UI" w:hAnsi="Segoe UI"/>
          <w:color w:val="101820"/>
          <w:sz w:val="21"/>
        </w:rPr>
        <w:t xml:space="preserve"> and the </w:t>
      </w:r>
      <w:r>
        <w:rPr>
          <w:rFonts w:eastAsia="Segoe UI" w:cs="Segoe UI" w:ascii="Segoe UI" w:hAnsi="Segoe UI"/>
          <w:b/>
          <w:color w:val="101820"/>
          <w:sz w:val="21"/>
        </w:rPr>
        <w:t>Line under the header</w:t>
      </w:r>
      <w:r>
        <w:rPr>
          <w:rFonts w:eastAsia="Segoe UI" w:cs="Segoe UI" w:ascii="Segoe UI" w:hAnsi="Segoe UI"/>
          <w:color w:val="101820"/>
          <w:sz w:val="21"/>
        </w:rPr>
        <w:t xml:space="preserve">, whether the </w:t>
      </w:r>
      <w:r>
        <w:rPr>
          <w:rFonts w:eastAsia="Segoe UI" w:cs="Segoe UI" w:ascii="Segoe UI" w:hAnsi="Segoe UI"/>
          <w:b/>
          <w:color w:val="101820"/>
          <w:sz w:val="21"/>
        </w:rPr>
        <w:t>Logo in the header</w:t>
      </w:r>
      <w:r>
        <w:rPr>
          <w:rFonts w:eastAsia="Segoe UI" w:cs="Segoe UI" w:ascii="Segoe UI" w:hAnsi="Segoe UI"/>
          <w:color w:val="101820"/>
          <w:sz w:val="21"/>
        </w:rPr>
        <w:t xml:space="preserve"> is shown, and the </w:t>
      </w:r>
      <w:r>
        <w:rPr>
          <w:rFonts w:eastAsia="Segoe UI" w:cs="Segoe UI" w:ascii="Segoe UI" w:hAnsi="Segoe UI"/>
          <w:b/>
          <w:color w:val="101820"/>
          <w:sz w:val="21"/>
        </w:rPr>
        <w:t>Footer</w:t>
      </w:r>
      <w:r>
        <w:rPr>
          <w:rFonts w:eastAsia="Segoe UI" w:cs="Segoe UI" w:ascii="Segoe UI" w:hAnsi="Segoe UI"/>
          <w:color w:val="101820"/>
          <w:sz w:val="21"/>
        </w:rPr>
        <w:t xml:space="preserve"> with the placeholders {{companyName}}, {{address}}, {{licence}} and {{tin}}. </w:t>
      </w:r>
      <w:r>
        <w:rPr>
          <w:rFonts w:eastAsia="Segoe UI" w:cs="Segoe UI" w:ascii="Segoe UI" w:hAnsi="Segoe UI"/>
          <w:b/>
          <w:color w:val="101820"/>
          <w:sz w:val="21"/>
        </w:rPr>
        <w:t>Show a sample e-mail</w:t>
      </w:r>
      <w:r>
        <w:rPr>
          <w:rFonts w:eastAsia="Segoe UI" w:cs="Segoe UI" w:ascii="Segoe UI" w:hAnsi="Segoe UI"/>
          <w:color w:val="101820"/>
          <w:sz w:val="21"/>
        </w:rPr>
        <w:t xml:space="preserve"> renders a sample message in the layout. Every e-mail the system sends (quotation links, notices, receipts, reminders, debit notes) uses it.</w:t>
      </w:r>
    </w:p>
    <w:p>
      <w:pPr>
        <w:pStyle w:val="Heading3"/>
        <w:rPr/>
      </w:pPr>
      <w:r>
        <w:rPr>
          <w:rFonts w:eastAsia="Segoe UI" w:cs="Segoe UI"/>
          <w:b/>
          <w:color w:val="0F4761"/>
          <w:sz w:val="23"/>
        </w:rPr>
        <w:t>6.9.6  Name and images</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Name and images</w:t>
      </w:r>
      <w:r>
        <w:rPr>
          <w:rFonts w:eastAsia="Segoe UI" w:cs="Segoe UI" w:ascii="Segoe UI" w:hAnsi="Segoe UI"/>
          <w:color w:val="101820"/>
          <w:sz w:val="21"/>
        </w:rPr>
        <w:t xml:space="preserve">, enter the </w:t>
      </w:r>
      <w:r>
        <w:rPr>
          <w:rFonts w:eastAsia="Segoe UI" w:cs="Segoe UI" w:ascii="Segoe UI" w:hAnsi="Segoe UI"/>
          <w:b/>
          <w:color w:val="101820"/>
          <w:sz w:val="21"/>
        </w:rPr>
        <w:t>Application name (sign-in page, side bar, browser tab)</w:t>
      </w:r>
      <w:r>
        <w:rPr>
          <w:rFonts w:eastAsia="Segoe UI" w:cs="Segoe UI" w:ascii="Segoe UI" w:hAnsi="Segoe UI"/>
          <w:color w:val="101820"/>
          <w:sz w:val="21"/>
        </w:rPr>
        <w:t xml:space="preserve"> and keep the images: the </w:t>
      </w:r>
      <w:r>
        <w:rPr>
          <w:rFonts w:eastAsia="Segoe UI" w:cs="Segoe UI" w:ascii="Segoe UI" w:hAnsi="Segoe UI"/>
          <w:b/>
          <w:color w:val="101820"/>
          <w:sz w:val="21"/>
        </w:rPr>
        <w:t>Application logo (side bar, sign-in page)</w:t>
      </w:r>
      <w:r>
        <w:rPr>
          <w:rFonts w:eastAsia="Segoe UI" w:cs="Segoe UI" w:ascii="Segoe UI" w:hAnsi="Segoe UI"/>
          <w:color w:val="101820"/>
          <w:sz w:val="21"/>
        </w:rPr>
        <w:t xml:space="preserve"> (PNG, JPG, WebP or SVG, up to 2 MB) and the </w:t>
      </w:r>
      <w:r>
        <w:rPr>
          <w:rFonts w:eastAsia="Segoe UI" w:cs="Segoe UI" w:ascii="Segoe UI" w:hAnsi="Segoe UI"/>
          <w:b/>
          <w:color w:val="101820"/>
          <w:sz w:val="21"/>
        </w:rPr>
        <w:t>Favicon (browser tab)</w:t>
      </w:r>
      <w:r>
        <w:rPr>
          <w:rFonts w:eastAsia="Segoe UI" w:cs="Segoe UI" w:ascii="Segoe UI" w:hAnsi="Segoe UI"/>
          <w:color w:val="101820"/>
          <w:sz w:val="21"/>
        </w:rPr>
        <w:t xml:space="preserve"> (PNG, ICO or SVG, up to 512 KB), each with </w:t>
      </w:r>
      <w:r>
        <w:rPr>
          <w:rFonts w:eastAsia="Segoe UI" w:cs="Segoe UI" w:ascii="Segoe UI" w:hAnsi="Segoe UI"/>
          <w:b/>
          <w:color w:val="101820"/>
          <w:sz w:val="21"/>
        </w:rPr>
        <w:t>Upload</w:t>
      </w:r>
      <w:r>
        <w:rPr>
          <w:rFonts w:eastAsia="Segoe UI" w:cs="Segoe UI" w:ascii="Segoe UI" w:hAnsi="Segoe UI"/>
          <w:color w:val="101820"/>
          <w:sz w:val="21"/>
        </w:rPr>
        <w:t xml:space="preserve"> and </w:t>
      </w:r>
      <w:r>
        <w:rPr>
          <w:rFonts w:eastAsia="Segoe UI" w:cs="Segoe UI" w:ascii="Segoe UI" w:hAnsi="Segoe UI"/>
          <w:b/>
          <w:color w:val="101820"/>
          <w:sz w:val="21"/>
        </w:rPr>
        <w:t>Use default</w:t>
      </w:r>
      <w:r>
        <w:rPr>
          <w:rFonts w:eastAsia="Segoe UI" w:cs="Segoe UI" w:ascii="Segoe UI" w:hAnsi="Segoe UI"/>
          <w:color w:val="101820"/>
          <w:sz w:val="21"/>
        </w:rPr>
        <w:t xml:space="preserve">, and the </w:t>
      </w:r>
      <w:r>
        <w:rPr>
          <w:rFonts w:eastAsia="Segoe UI" w:cs="Segoe UI" w:ascii="Segoe UI" w:hAnsi="Segoe UI"/>
          <w:b/>
          <w:color w:val="101820"/>
          <w:sz w:val="21"/>
        </w:rPr>
        <w:t>Logo height in the side bar (px)</w:t>
      </w:r>
      <w:r>
        <w:rPr>
          <w:rFonts w:eastAsia="Segoe UI" w:cs="Segoe UI" w:ascii="Segoe UI" w:hAnsi="Segoe UI"/>
          <w:color w:val="101820"/>
          <w:sz w:val="21"/>
        </w:rPr>
        <w:t xml:space="preserve"> (20 to 80). An uploaded image applies at once; an SVG must be a plain drawing, so a file with scripts or links is refused. The logo on printed documents is the logo of the primary company in Master &gt; Organization &gt; Company; a brand pack import can set it.</w:t>
      </w:r>
    </w:p>
    <w:p>
      <w:pPr>
        <w:pStyle w:val="Heading3"/>
        <w:rPr/>
      </w:pPr>
      <w:r>
        <w:rPr>
          <w:rFonts w:eastAsia="Segoe UI" w:cs="Segoe UI"/>
          <w:b/>
          <w:color w:val="0F4761"/>
          <w:sz w:val="23"/>
        </w:rPr>
        <w:t>6.9.7  Document signatures</w:t>
      </w:r>
    </w:p>
    <w:p>
      <w:pPr>
        <w:pStyle w:val="Normal"/>
        <w:spacing w:lineRule="auto" w:line="276" w:before="0" w:after="120"/>
        <w:rPr/>
      </w:pPr>
      <w:r>
        <w:rPr>
          <w:rFonts w:eastAsia="Segoe UI" w:cs="Segoe UI" w:ascii="Segoe UI" w:hAnsi="Segoe UI"/>
          <w:color w:val="101820"/>
          <w:sz w:val="21"/>
        </w:rPr>
        <w:t xml:space="preserve">Signatures are captured in Master &gt; Insurance &gt; Signatories (the company's signatories: the </w:t>
      </w:r>
      <w:r>
        <w:rPr>
          <w:rFonts w:eastAsia="Segoe UI" w:cs="Segoe UI" w:ascii="Segoe UI" w:hAnsi="Segoe UI"/>
          <w:b/>
          <w:color w:val="101820"/>
          <w:sz w:val="21"/>
        </w:rPr>
        <w:t>E-signature</w:t>
      </w:r>
      <w:r>
        <w:rPr>
          <w:rFonts w:eastAsia="Segoe UI" w:cs="Segoe UI" w:ascii="Segoe UI" w:hAnsi="Segoe UI"/>
          <w:color w:val="101820"/>
          <w:sz w:val="21"/>
        </w:rPr>
        <w:t xml:space="preserve"> icon on the row opens the capture: </w:t>
      </w:r>
      <w:r>
        <w:rPr>
          <w:rFonts w:eastAsia="Segoe UI" w:cs="Segoe UI" w:ascii="Segoe UI" w:hAnsi="Segoe UI"/>
          <w:b/>
          <w:color w:val="101820"/>
          <w:sz w:val="21"/>
        </w:rPr>
        <w:t>Draw</w:t>
      </w:r>
      <w:r>
        <w:rPr>
          <w:rFonts w:eastAsia="Segoe UI" w:cs="Segoe UI" w:ascii="Segoe UI" w:hAnsi="Segoe UI"/>
          <w:color w:val="101820"/>
          <w:sz w:val="21"/>
        </w:rPr>
        <w:t xml:space="preserve"> the signature or </w:t>
      </w:r>
      <w:r>
        <w:rPr>
          <w:rFonts w:eastAsia="Segoe UI" w:cs="Segoe UI" w:ascii="Segoe UI" w:hAnsi="Segoe UI"/>
          <w:b/>
          <w:color w:val="101820"/>
          <w:sz w:val="21"/>
        </w:rPr>
        <w:t>Upload image</w:t>
      </w:r>
      <w:r>
        <w:rPr>
          <w:rFonts w:eastAsia="Segoe UI" w:cs="Segoe UI" w:ascii="Segoe UI" w:hAnsi="Segoe UI"/>
          <w:color w:val="101820"/>
          <w:sz w:val="21"/>
        </w:rPr>
        <w:t xml:space="preserve">, PNG with a transparent background or JPEG up to 512 KB, set </w:t>
      </w:r>
      <w:r>
        <w:rPr>
          <w:rFonts w:eastAsia="Segoe UI" w:cs="Segoe UI" w:ascii="Segoe UI" w:hAnsi="Segoe UI"/>
          <w:b/>
          <w:color w:val="101820"/>
          <w:sz w:val="21"/>
        </w:rPr>
        <w:t>Effective from</w:t>
      </w:r>
      <w:r>
        <w:rPr>
          <w:rFonts w:eastAsia="Segoe UI" w:cs="Segoe UI" w:ascii="Segoe UI" w:hAnsi="Segoe UI"/>
          <w:color w:val="101820"/>
          <w:sz w:val="21"/>
        </w:rPr>
        <w:t xml:space="preserve">, tick the consent statement and select </w:t>
      </w:r>
      <w:r>
        <w:rPr>
          <w:rFonts w:eastAsia="Segoe UI" w:cs="Segoe UI" w:ascii="Segoe UI" w:hAnsi="Segoe UI"/>
          <w:b/>
          <w:color w:val="101820"/>
          <w:sz w:val="21"/>
        </w:rPr>
        <w:t>Save signature</w:t>
      </w:r>
      <w:r>
        <w:rPr>
          <w:rFonts w:eastAsia="Segoe UI" w:cs="Segoe UI" w:ascii="Segoe UI" w:hAnsi="Segoe UI"/>
          <w:color w:val="101820"/>
          <w:sz w:val="21"/>
        </w:rPr>
        <w:t xml:space="preserve">; every version is kept under </w:t>
      </w:r>
      <w:r>
        <w:rPr>
          <w:rFonts w:eastAsia="Segoe UI" w:cs="Segoe UI" w:ascii="Segoe UI" w:hAnsi="Segoe UI"/>
          <w:b/>
          <w:color w:val="101820"/>
          <w:sz w:val="21"/>
        </w:rPr>
        <w:t>Versions</w:t>
      </w:r>
      <w:r>
        <w:rPr>
          <w:rFonts w:eastAsia="Segoe UI" w:cs="Segoe UI" w:ascii="Segoe UI" w:hAnsi="Segoe UI"/>
          <w:color w:val="101820"/>
          <w:sz w:val="21"/>
        </w:rPr>
        <w:t xml:space="preserve"> and </w:t>
      </w:r>
      <w:r>
        <w:rPr>
          <w:rFonts w:eastAsia="Segoe UI" w:cs="Segoe UI" w:ascii="Segoe UI" w:hAnsi="Segoe UI"/>
          <w:b/>
          <w:color w:val="101820"/>
          <w:sz w:val="21"/>
        </w:rPr>
        <w:t>Revoke</w:t>
      </w:r>
      <w:r>
        <w:rPr>
          <w:rFonts w:eastAsia="Segoe UI" w:cs="Segoe UI" w:ascii="Segoe UI" w:hAnsi="Segoe UI"/>
          <w:color w:val="101820"/>
          <w:sz w:val="21"/>
        </w:rPr>
        <w:t xml:space="preserve"> ends one with a reason) and on My Profile (</w:t>
      </w:r>
      <w:r>
        <w:rPr>
          <w:rFonts w:eastAsia="Segoe UI" w:cs="Segoe UI" w:ascii="Segoe UI" w:hAnsi="Segoe UI"/>
          <w:b/>
          <w:color w:val="101820"/>
          <w:sz w:val="21"/>
        </w:rPr>
        <w:t>My e-signature</w:t>
      </w:r>
      <w:r>
        <w:rPr>
          <w:rFonts w:eastAsia="Segoe UI" w:cs="Segoe UI" w:ascii="Segoe UI" w:hAnsi="Segoe UI"/>
          <w:color w:val="101820"/>
          <w:sz w:val="21"/>
        </w:rPr>
        <w:t>: a user's own signature, printed where a document is signed by the user who issued or approved it).</w:t>
      </w:r>
    </w:p>
    <w:p>
      <w:pPr>
        <w:pStyle w:val="Normal"/>
        <w:jc w:val="center"/>
        <w:rPr/>
      </w:pPr>
      <w:r>
        <w:rPr/>
        <w:drawing>
          <wp:inline distT="0" distB="0" distL="0" distR="0">
            <wp:extent cx="5760085" cy="4469130"/>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Document signatures tab</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Document signatures</w:t>
      </w:r>
      <w:r>
        <w:rPr>
          <w:rFonts w:eastAsia="Segoe UI" w:cs="Segoe UI" w:ascii="Segoe UI" w:hAnsi="Segoe UI"/>
          <w:color w:val="101820"/>
          <w:sz w:val="21"/>
        </w:rPr>
        <w:t xml:space="preserve"> says which signature prints on which document:</w:t>
      </w:r>
    </w:p>
    <w:p>
      <w:pPr>
        <w:pStyle w:val="Normal"/>
        <w:numPr>
          <w:ilvl w:val="0"/>
          <w:numId w:val="19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Document</w:t>
      </w:r>
      <w:r>
        <w:rPr>
          <w:rFonts w:eastAsia="Segoe UI" w:cs="Segoe UI" w:ascii="Segoe UI" w:hAnsi="Segoe UI"/>
          <w:color w:val="101820"/>
          <w:sz w:val="21"/>
        </w:rPr>
        <w:t>: Quotation slip, Policy schedule, Endorsement, Official receipt, Acknowledgement receipt, Payment voucher, Commission debit note, Billing statement / invoice, Statement of account, Journal voucher or Claim settlement letter.</w:t>
      </w:r>
    </w:p>
    <w:p>
      <w:pPr>
        <w:pStyle w:val="Normal"/>
        <w:numPr>
          <w:ilvl w:val="0"/>
          <w:numId w:val="199"/>
        </w:numPr>
        <w:spacing w:before="0" w:after="60"/>
        <w:rPr/>
      </w:pPr>
      <w:r>
        <w:rPr>
          <w:rFonts w:eastAsia="Segoe UI" w:cs="Segoe UI" w:ascii="Segoe UI" w:hAnsi="Segoe UI"/>
          <w:color w:val="101820"/>
          <w:sz w:val="21"/>
        </w:rPr>
        <w:t xml:space="preserve">For each slot set the </w:t>
      </w:r>
      <w:r>
        <w:rPr>
          <w:rFonts w:eastAsia="Segoe UI" w:cs="Segoe UI" w:ascii="Segoe UI" w:hAnsi="Segoe UI"/>
          <w:b/>
          <w:color w:val="101820"/>
          <w:sz w:val="21"/>
        </w:rPr>
        <w:t>Slot</w:t>
      </w:r>
      <w:r>
        <w:rPr>
          <w:rFonts w:eastAsia="Segoe UI" w:cs="Segoe UI" w:ascii="Segoe UI" w:hAnsi="Segoe UI"/>
          <w:color w:val="101820"/>
          <w:sz w:val="21"/>
        </w:rPr>
        <w:t xml:space="preserve"> code (lower-case letters, digits and hyphens; fixed once saved), the </w:t>
      </w:r>
      <w:r>
        <w:rPr>
          <w:rFonts w:eastAsia="Segoe UI" w:cs="Segoe UI" w:ascii="Segoe UI" w:hAnsi="Segoe UI"/>
          <w:b/>
          <w:color w:val="101820"/>
          <w:sz w:val="21"/>
        </w:rPr>
        <w:t>Label</w:t>
      </w:r>
      <w:r>
        <w:rPr>
          <w:rFonts w:eastAsia="Segoe UI" w:cs="Segoe UI" w:ascii="Segoe UI" w:hAnsi="Segoe UI"/>
          <w:color w:val="101820"/>
          <w:sz w:val="21"/>
        </w:rPr>
        <w:t xml:space="preserve"> printed under the signature (for example Prepared by, Approved by), </w:t>
      </w:r>
      <w:r>
        <w:rPr>
          <w:rFonts w:eastAsia="Segoe UI" w:cs="Segoe UI" w:ascii="Segoe UI" w:hAnsi="Segoe UI"/>
          <w:b/>
          <w:color w:val="101820"/>
          <w:sz w:val="21"/>
        </w:rPr>
        <w:t>Signed by</w:t>
      </w:r>
      <w:r>
        <w:rPr>
          <w:rFonts w:eastAsia="Segoe UI" w:cs="Segoe UI" w:ascii="Segoe UI" w:hAnsi="Segoe UI"/>
          <w:color w:val="101820"/>
          <w:sz w:val="21"/>
        </w:rPr>
        <w:t xml:space="preserve"> (Signatory chosen on the document (else the default signatory); A named signatory, with the signatory chosen next to it; The default signatory (documents.default_signatory); The user who approved the document; The user who issued / prepared the document) and </w:t>
      </w:r>
      <w:r>
        <w:rPr>
          <w:rFonts w:eastAsia="Segoe UI" w:cs="Segoe UI" w:ascii="Segoe UI" w:hAnsi="Segoe UI"/>
          <w:b/>
          <w:color w:val="101820"/>
          <w:sz w:val="21"/>
        </w:rPr>
        <w:t>Prints</w:t>
      </w:r>
      <w:r>
        <w:rPr>
          <w:rFonts w:eastAsia="Segoe UI" w:cs="Segoe UI" w:ascii="Segoe UI" w:hAnsi="Segoe UI"/>
          <w:color w:val="101820"/>
          <w:sz w:val="21"/>
        </w:rPr>
        <w:t xml:space="preserve"> (Once the document is issued; Once the document is approved; Always (also on drafts)). </w:t>
      </w:r>
      <w:r>
        <w:rPr>
          <w:rFonts w:eastAsia="Segoe UI" w:cs="Segoe UI" w:ascii="Segoe UI" w:hAnsi="Segoe UI"/>
          <w:b/>
          <w:color w:val="101820"/>
          <w:sz w:val="21"/>
        </w:rPr>
        <w:t>Active</w:t>
      </w:r>
      <w:r>
        <w:rPr>
          <w:rFonts w:eastAsia="Segoe UI" w:cs="Segoe UI" w:ascii="Segoe UI" w:hAnsi="Segoe UI"/>
          <w:color w:val="101820"/>
          <w:sz w:val="21"/>
        </w:rPr>
        <w:t xml:space="preserve"> switches a slot off without deleting it; the bin removes it.</w:t>
      </w:r>
    </w:p>
    <w:p>
      <w:pPr>
        <w:pStyle w:val="Normal"/>
        <w:numPr>
          <w:ilvl w:val="0"/>
          <w:numId w:val="200"/>
        </w:numPr>
        <w:spacing w:before="0" w:after="60"/>
        <w:rPr/>
      </w:pPr>
      <w:r>
        <w:rPr>
          <w:rFonts w:eastAsia="Segoe UI" w:cs="Segoe UI" w:ascii="Segoe UI" w:hAnsi="Segoe UI"/>
          <w:b/>
          <w:color w:val="101820"/>
          <w:sz w:val="21"/>
        </w:rPr>
        <w:t>Add slot</w:t>
      </w:r>
      <w:r>
        <w:rPr>
          <w:rFonts w:eastAsia="Segoe UI" w:cs="Segoe UI" w:ascii="Segoe UI" w:hAnsi="Segoe UI"/>
          <w:color w:val="101820"/>
          <w:sz w:val="21"/>
        </w:rPr>
        <w:t xml:space="preserve"> adds one more; </w:t>
      </w:r>
      <w:r>
        <w:rPr>
          <w:rFonts w:eastAsia="Segoe UI" w:cs="Segoe UI" w:ascii="Segoe UI" w:hAnsi="Segoe UI"/>
          <w:b/>
          <w:color w:val="101820"/>
          <w:sz w:val="21"/>
        </w:rPr>
        <w:t>Save</w:t>
      </w:r>
      <w:r>
        <w:rPr>
          <w:rFonts w:eastAsia="Segoe UI" w:cs="Segoe UI" w:ascii="Segoe UI" w:hAnsi="Segoe UI"/>
          <w:color w:val="101820"/>
          <w:sz w:val="21"/>
        </w:rPr>
        <w:t xml:space="preserve"> stores the mapping of the document chosen.</w:t>
      </w:r>
    </w:p>
    <w:p>
      <w:pPr>
        <w:pStyle w:val="Normal"/>
        <w:spacing w:lineRule="auto" w:line="276" w:before="0" w:after="120"/>
        <w:rPr/>
      </w:pPr>
      <w:r>
        <w:rPr>
          <w:rFonts w:eastAsia="Segoe UI" w:cs="Segoe UI" w:ascii="Segoe UI" w:hAnsi="Segoe UI"/>
          <w:color w:val="101820"/>
          <w:sz w:val="21"/>
        </w:rPr>
        <w:t>A draft prints its slots unsigned with an UNSIGNED DRAFT watermark; a cancelled document prints a CANCELLED watermark and no signature. In an uploaded document template (Product Configurator &gt; Document Manager) a signature is placed with {{signature:slot}}, slot being the slot code.</w:t>
      </w:r>
    </w:p>
    <w:p>
      <w:pPr>
        <w:pStyle w:val="Heading3"/>
        <w:rPr/>
      </w:pPr>
      <w:r>
        <w:rPr>
          <w:rFonts w:eastAsia="Segoe UI" w:cs="Segoe UI"/>
          <w:b/>
          <w:color w:val="0F4761"/>
          <w:sz w:val="23"/>
        </w:rPr>
        <w:t>6.9.8  Brand packs</w:t>
      </w:r>
    </w:p>
    <w:p>
      <w:pPr>
        <w:pStyle w:val="Normal"/>
        <w:spacing w:lineRule="auto" w:line="276" w:before="0" w:after="120"/>
        <w:rPr/>
      </w:pPr>
      <w:r>
        <w:rPr>
          <w:rFonts w:eastAsia="Segoe UI" w:cs="Segoe UI" w:ascii="Segoe UI" w:hAnsi="Segoe UI"/>
          <w:color w:val="101820"/>
          <w:sz w:val="21"/>
        </w:rPr>
        <w:t>A brand pack is the whole branding of an environment in one file: the theme (colours, layout, sign-in page, documents, e-mail), the application name, the logo, the favicon, the sign-in picture and the print logo.</w:t>
      </w:r>
    </w:p>
    <w:p>
      <w:pPr>
        <w:pStyle w:val="Normal"/>
        <w:jc w:val="center"/>
        <w:rPr/>
      </w:pPr>
      <w:r>
        <w:rPr/>
        <w:drawing>
          <wp:inline distT="0" distB="0" distL="0" distR="0">
            <wp:extent cx="5760085" cy="347599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3475990"/>
                    </a:xfrm>
                    <a:prstGeom prst="rect">
                      <a:avLst/>
                    </a:prstGeom>
                  </pic:spPr>
                </pic:pic>
              </a:graphicData>
            </a:graphic>
          </wp:inline>
        </w:drawing>
      </w:r>
    </w:p>
    <w:p>
      <w:pPr>
        <w:pStyle w:val="Normal"/>
        <w:jc w:val="center"/>
        <w:rPr/>
      </w:pPr>
      <w:r>
        <w:rPr>
          <w:rFonts w:eastAsia="Segoe UI" w:cs="Segoe UI" w:ascii="Segoe UI" w:hAnsi="Segoe UI"/>
          <w:i/>
          <w:color w:val="555F6D"/>
          <w:sz w:val="18"/>
        </w:rPr>
        <w:t>Theme and Branding: the Brand packs tab</w:t>
      </w:r>
    </w:p>
    <w:p>
      <w:pPr>
        <w:pStyle w:val="Normal"/>
        <w:numPr>
          <w:ilvl w:val="0"/>
          <w:numId w:val="1"/>
        </w:numPr>
        <w:spacing w:before="0" w:after="60"/>
        <w:rPr/>
      </w:pPr>
      <w:r>
        <w:rPr>
          <w:rFonts w:eastAsia="Segoe UI" w:cs="Segoe UI" w:ascii="Segoe UI" w:hAnsi="Segoe UI"/>
          <w:b/>
          <w:color w:val="101820"/>
          <w:sz w:val="21"/>
        </w:rPr>
        <w:t>Export .zip</w:t>
      </w:r>
      <w:r>
        <w:rPr>
          <w:rFonts w:eastAsia="Segoe UI" w:cs="Segoe UI" w:ascii="Segoe UI" w:hAnsi="Segoe UI"/>
          <w:color w:val="101820"/>
          <w:sz w:val="21"/>
        </w:rPr>
        <w:t xml:space="preserve"> or </w:t>
      </w:r>
      <w:r>
        <w:rPr>
          <w:rFonts w:eastAsia="Segoe UI" w:cs="Segoe UI" w:ascii="Segoe UI" w:hAnsi="Segoe UI"/>
          <w:b/>
          <w:color w:val="101820"/>
          <w:sz w:val="21"/>
        </w:rPr>
        <w:t>Export .json</w:t>
      </w:r>
      <w:r>
        <w:rPr>
          <w:rFonts w:eastAsia="Segoe UI" w:cs="Segoe UI" w:ascii="Segoe UI" w:hAnsi="Segoe UI"/>
          <w:color w:val="101820"/>
          <w:sz w:val="21"/>
        </w:rPr>
        <w:t xml:space="preserve"> downloads the pack of this environment. Import it in another environment to promote the branding, for example from UAT to Production.</w:t>
      </w:r>
    </w:p>
    <w:p>
      <w:pPr>
        <w:pStyle w:val="Normal"/>
        <w:numPr>
          <w:ilvl w:val="0"/>
          <w:numId w:val="1"/>
        </w:numPr>
        <w:spacing w:before="0" w:after="60"/>
        <w:rPr/>
      </w:pPr>
      <w:r>
        <w:rPr>
          <w:rFonts w:eastAsia="Segoe UI" w:cs="Segoe UI" w:ascii="Segoe UI" w:hAnsi="Segoe UI"/>
          <w:b/>
          <w:color w:val="101820"/>
          <w:sz w:val="21"/>
        </w:rPr>
        <w:t>Choose brand pack</w:t>
      </w:r>
      <w:r>
        <w:rPr>
          <w:rFonts w:eastAsia="Segoe UI" w:cs="Segoe UI" w:ascii="Segoe UI" w:hAnsi="Segoe UI"/>
          <w:color w:val="101820"/>
          <w:sz w:val="21"/>
        </w:rPr>
        <w:t xml:space="preserve"> checks the file first without changing anything: the message says that the pack is valid, what it contains (theme, logo, favicon, sign-in picture, document logo) and any contrast warnings, with swatches of its main colours. Tick </w:t>
      </w:r>
      <w:r>
        <w:rPr>
          <w:rFonts w:eastAsia="Segoe UI" w:cs="Segoe UI" w:ascii="Segoe UI" w:hAnsi="Segoe UI"/>
          <w:b/>
          <w:color w:val="101820"/>
          <w:sz w:val="21"/>
        </w:rPr>
        <w:t>Also use the logo on printed documents (print logo of the primary company)</w:t>
      </w:r>
      <w:r>
        <w:rPr>
          <w:rFonts w:eastAsia="Segoe UI" w:cs="Segoe UI" w:ascii="Segoe UI" w:hAnsi="Segoe UI"/>
          <w:color w:val="101820"/>
          <w:sz w:val="21"/>
        </w:rPr>
        <w:t xml:space="preserve"> and </w:t>
      </w:r>
      <w:r>
        <w:rPr>
          <w:rFonts w:eastAsia="Segoe UI" w:cs="Segoe UI" w:ascii="Segoe UI" w:hAnsi="Segoe UI"/>
          <w:b/>
          <w:color w:val="101820"/>
          <w:sz w:val="21"/>
        </w:rPr>
        <w:t>Also set the application name of the pack</w:t>
      </w:r>
      <w:r>
        <w:rPr>
          <w:rFonts w:eastAsia="Segoe UI" w:cs="Segoe UI" w:ascii="Segoe UI" w:hAnsi="Segoe UI"/>
          <w:color w:val="101820"/>
          <w:sz w:val="21"/>
        </w:rPr>
        <w:t xml:space="preserve"> as needed, then select </w:t>
      </w:r>
      <w:r>
        <w:rPr>
          <w:rFonts w:eastAsia="Segoe UI" w:cs="Segoe UI" w:ascii="Segoe UI" w:hAnsi="Segoe UI"/>
          <w:b/>
          <w:color w:val="101820"/>
          <w:sz w:val="21"/>
        </w:rPr>
        <w:t>Apply brand pack</w:t>
      </w:r>
      <w:r>
        <w:rPr>
          <w:rFonts w:eastAsia="Segoe UI" w:cs="Segoe UI" w:ascii="Segoe UI" w:hAnsi="Segoe UI"/>
          <w:color w:val="101820"/>
          <w:sz w:val="21"/>
        </w:rPr>
        <w:t>. The message lists what was applied, and the theme, images and name are in force at once.</w:t>
      </w:r>
    </w:p>
    <w:p>
      <w:pPr>
        <w:pStyle w:val="Normal"/>
        <w:spacing w:lineRule="auto" w:line="276" w:before="0" w:after="120"/>
        <w:rPr/>
      </w:pPr>
      <w:r>
        <w:rPr>
          <w:rFonts w:eastAsia="Segoe UI" w:cs="Segoe UI" w:ascii="Segoe UI" w:hAnsi="Segoe UI"/>
          <w:color w:val="101820"/>
          <w:sz w:val="21"/>
        </w:rPr>
        <w:t>A pack that the application would refuse (a colour that is not a hex value, a font outside the list, text on buttons, header or table headers below WCAG AA) is refused at the check. The optional Toyota Insurance Services pack delivered with the product carries a third party's marks and may only be applied with the client's written permission; the same holds for any client pack. Every save, upload and import of this screen is in the audit trail.</w:t>
      </w:r>
    </w:p>
    <w:p>
      <w:pPr>
        <w:pStyle w:val="Heading2"/>
        <w:rPr/>
      </w:pPr>
      <w:bookmarkStart w:id="34" w:name="__RefHeading___Toc24336_3350804041"/>
      <w:bookmarkEnd w:id="34"/>
      <w:r>
        <w:rPr>
          <w:rFonts w:eastAsia="Segoe UI" w:cs="Segoe UI"/>
          <w:b/>
          <w:color w:val="0F4761"/>
          <w:sz w:val="26"/>
        </w:rPr>
        <w:t>6.10  Schedules</w:t>
      </w:r>
    </w:p>
    <w:p>
      <w:pPr>
        <w:pStyle w:val="Normal"/>
        <w:jc w:val="center"/>
        <w:rPr/>
      </w:pPr>
      <w:r>
        <w:rPr/>
        <w:drawing>
          <wp:inline distT="0" distB="0" distL="0" distR="0">
            <wp:extent cx="5760085" cy="446913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146810"/>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1146810"/>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5" w:name="__RefHeading___Toc24338_3350804041"/>
      <w:bookmarkEnd w:id="35"/>
      <w:r>
        <w:rPr>
          <w:rFonts w:eastAsia="Segoe UI" w:cs="Segoe UI"/>
          <w:b/>
          <w:color w:val="0F4761"/>
          <w:sz w:val="26"/>
        </w:rPr>
        <w:t>6.11  E-mail Outbox</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6" w:name="__RefHeading___Toc24340_3350804041"/>
      <w:bookmarkEnd w:id="36"/>
      <w:r>
        <w:rPr>
          <w:rFonts w:eastAsia="Segoe UI" w:cs="Segoe UI"/>
          <w:b/>
          <w:color w:val="0F4761"/>
          <w:sz w:val="26"/>
        </w:rPr>
        <w:t>6.12  Integrations</w:t>
      </w:r>
    </w:p>
    <w:p>
      <w:pPr>
        <w:pStyle w:val="Normal"/>
        <w:spacing w:lineRule="auto" w:line="276" w:before="0" w:after="120"/>
        <w:rPr/>
      </w:pPr>
      <w:r>
        <w:rPr>
          <w:rFonts w:eastAsia="Segoe UI" w:cs="Segoe UI" w:ascii="Segoe UI" w:hAnsi="Segoe UI"/>
          <w:color w:val="101820"/>
          <w:sz w:val="21"/>
        </w:rPr>
        <w:t xml:space="preserve">Master &gt; System &gt; Integrations is where every connection to a third party is set up and watched: the SMS gateways and the optional Viber business messages, the CTPL authentication provider accredited by the Insurance Commission and the LTO feed, the insurers' systems and the bank payment files. The screen needs </w:t>
      </w:r>
      <w:r>
        <w:rPr>
          <w:rFonts w:eastAsia="Consolas" w:cs="Consolas" w:ascii="Consolas" w:hAnsi="Consolas"/>
          <w:color w:val="101820"/>
          <w:sz w:val="19"/>
        </w:rPr>
        <w:t>read:integrations</w:t>
      </w:r>
      <w:r>
        <w:rPr>
          <w:rFonts w:eastAsia="Segoe UI" w:cs="Segoe UI" w:ascii="Segoe UI" w:hAnsi="Segoe UI"/>
          <w:color w:val="101820"/>
          <w:sz w:val="21"/>
        </w:rPr>
        <w:t xml:space="preserve"> (changes: </w:t>
      </w:r>
      <w:r>
        <w:rPr>
          <w:rFonts w:eastAsia="Consolas" w:cs="Consolas" w:ascii="Consolas" w:hAnsi="Consolas"/>
          <w:color w:val="101820"/>
          <w:sz w:val="19"/>
        </w:rPr>
        <w:t>write:integrations</w:t>
      </w:r>
      <w:r>
        <w:rPr>
          <w:rFonts w:eastAsia="Segoe UI" w:cs="Segoe UI" w:ascii="Segoe UI" w:hAnsi="Segoe UI"/>
          <w:color w:val="101820"/>
          <w:sz w:val="21"/>
        </w:rPr>
        <w:t>); both are held by the System Administrator only.</w:t>
      </w:r>
    </w:p>
    <w:p>
      <w:pPr>
        <w:pStyle w:val="Normal"/>
        <w:jc w:val="center"/>
        <w:rPr/>
      </w:pPr>
      <w:r>
        <w:rPr/>
        <w:drawing>
          <wp:inline distT="0" distB="0" distL="0" distR="0">
            <wp:extent cx="5760085" cy="446913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Integrations: the Connectors tab</w:t>
      </w:r>
    </w:p>
    <w:p>
      <w:pPr>
        <w:pStyle w:val="Heading3"/>
        <w:rPr/>
      </w:pPr>
      <w:r>
        <w:rPr>
          <w:rFonts w:eastAsia="Segoe UI" w:cs="Segoe UI"/>
          <w:b/>
          <w:color w:val="0F4761"/>
          <w:sz w:val="23"/>
        </w:rPr>
        <w:t>6.12.1  Connectors</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Connectors</w:t>
      </w:r>
      <w:r>
        <w:rPr>
          <w:rFonts w:eastAsia="Segoe UI" w:cs="Segoe UI" w:ascii="Segoe UI" w:hAnsi="Segoe UI"/>
          <w:color w:val="101820"/>
          <w:sz w:val="21"/>
        </w:rPr>
        <w:t xml:space="preserve"> tab lists each connector with its </w:t>
      </w:r>
      <w:r>
        <w:rPr>
          <w:rFonts w:eastAsia="Segoe UI" w:cs="Segoe UI" w:ascii="Segoe UI" w:hAnsi="Segoe UI"/>
          <w:b/>
          <w:color w:val="101820"/>
          <w:sz w:val="21"/>
        </w:rPr>
        <w:t>Type</w:t>
      </w:r>
      <w:r>
        <w:rPr>
          <w:rFonts w:eastAsia="Segoe UI" w:cs="Segoe UI" w:ascii="Segoe UI" w:hAnsi="Segoe UI"/>
          <w:color w:val="101820"/>
          <w:sz w:val="21"/>
        </w:rPr>
        <w:t xml:space="preserve">, </w:t>
      </w: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Test mode</w:t>
      </w:r>
      <w:r>
        <w:rPr>
          <w:rFonts w:eastAsia="Segoe UI" w:cs="Segoe UI" w:ascii="Segoe UI" w:hAnsi="Segoe UI"/>
          <w:color w:val="101820"/>
          <w:sz w:val="21"/>
        </w:rPr>
        <w:t xml:space="preserve"> or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Cancelled</w:t>
      </w:r>
      <w:r>
        <w:rPr>
          <w:rFonts w:eastAsia="Segoe UI" w:cs="Segoe UI" w:ascii="Segoe UI" w:hAnsi="Segoe UI"/>
          <w:color w:val="101820"/>
          <w:sz w:val="21"/>
        </w:rPr>
        <w:t xml:space="preserve"> when it is switched off), the </w:t>
      </w:r>
      <w:r>
        <w:rPr>
          <w:rFonts w:eastAsia="Segoe UI" w:cs="Segoe UI" w:ascii="Segoe UI" w:hAnsi="Segoe UI"/>
          <w:b/>
          <w:color w:val="101820"/>
          <w:sz w:val="21"/>
        </w:rPr>
        <w:t>Credentials</w:t>
      </w:r>
      <w:r>
        <w:rPr>
          <w:rFonts w:eastAsia="Segoe UI" w:cs="Segoe UI" w:ascii="Segoe UI" w:hAnsi="Segoe UI"/>
          <w:color w:val="101820"/>
          <w:sz w:val="21"/>
        </w:rPr>
        <w:t xml:space="preserve"> it needs (a green tick when the environment variable is set on the server), the messages </w:t>
      </w:r>
      <w:r>
        <w:rPr>
          <w:rFonts w:eastAsia="Segoe UI" w:cs="Segoe UI" w:ascii="Segoe UI" w:hAnsi="Segoe UI"/>
          <w:b/>
          <w:color w:val="101820"/>
          <w:sz w:val="21"/>
        </w:rPr>
        <w:t>Waiting</w:t>
      </w:r>
      <w:r>
        <w:rPr>
          <w:rFonts w:eastAsia="Segoe UI" w:cs="Segoe UI" w:ascii="Segoe UI" w:hAnsi="Segoe UI"/>
          <w:color w:val="101820"/>
          <w:sz w:val="21"/>
        </w:rPr>
        <w:t xml:space="preserve">, </w:t>
      </w:r>
      <w:r>
        <w:rPr>
          <w:rFonts w:eastAsia="Segoe UI" w:cs="Segoe UI" w:ascii="Segoe UI" w:hAnsi="Segoe UI"/>
          <w:b/>
          <w:color w:val="101820"/>
          <w:sz w:val="21"/>
        </w:rPr>
        <w:t>Failed</w:t>
      </w:r>
      <w:r>
        <w:rPr>
          <w:rFonts w:eastAsia="Segoe UI" w:cs="Segoe UI" w:ascii="Segoe UI" w:hAnsi="Segoe UI"/>
          <w:color w:val="101820"/>
          <w:sz w:val="21"/>
        </w:rPr>
        <w:t xml:space="preserve"> and </w:t>
      </w:r>
      <w:r>
        <w:rPr>
          <w:rFonts w:eastAsia="Segoe UI" w:cs="Segoe UI" w:ascii="Segoe UI" w:hAnsi="Segoe UI"/>
          <w:b/>
          <w:color w:val="101820"/>
          <w:sz w:val="21"/>
        </w:rPr>
        <w:t>Sent today</w:t>
      </w:r>
      <w:r>
        <w:rPr>
          <w:rFonts w:eastAsia="Segoe UI" w:cs="Segoe UI" w:ascii="Segoe UI" w:hAnsi="Segoe UI"/>
          <w:color w:val="101820"/>
          <w:sz w:val="21"/>
        </w:rPr>
        <w:t xml:space="preserve">, what is missing </w:t>
      </w:r>
      <w:r>
        <w:rPr>
          <w:rFonts w:eastAsia="Segoe UI" w:cs="Segoe UI" w:ascii="Segoe UI" w:hAnsi="Segoe UI"/>
          <w:b/>
          <w:color w:val="101820"/>
          <w:sz w:val="21"/>
        </w:rPr>
        <w:t>Before going live</w:t>
      </w:r>
      <w:r>
        <w:rPr>
          <w:rFonts w:eastAsia="Segoe UI" w:cs="Segoe UI" w:ascii="Segoe UI" w:hAnsi="Segoe UI"/>
          <w:color w:val="101820"/>
          <w:sz w:val="21"/>
        </w:rPr>
        <w:t>, and the last success and failure.</w:t>
      </w:r>
    </w:p>
    <w:p>
      <w:pPr>
        <w:pStyle w:val="Normal"/>
        <w:spacing w:lineRule="auto" w:line="276" w:before="0" w:after="120"/>
        <w:rPr/>
      </w:pPr>
      <w:r>
        <w:rPr>
          <w:rFonts w:eastAsia="Segoe UI" w:cs="Segoe UI" w:ascii="Segoe UI" w:hAnsi="Segoe UI"/>
          <w:color w:val="101820"/>
          <w:sz w:val="21"/>
        </w:rPr>
        <w:t>The system is delivered with these connectors, all in test mode except the bank files: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8"/>
        <w:gridCol w:w="3747"/>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Connector</w:t>
            </w:r>
          </w:p>
        </w:tc>
        <w:tc>
          <w:tcPr>
            <w:tcW w:w="3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c>
          <w:tcPr>
            <w:tcW w:w="3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SMS_SEMAPHORE</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API: form post with an API key)</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 the default SMS connector (</w:t>
            </w:r>
            <w:r>
              <w:rPr>
                <w:rFonts w:eastAsia="Consolas" w:cs="Consolas" w:ascii="Consolas" w:hAnsi="Consolas"/>
                <w:color w:val="101820"/>
                <w:kern w:val="0"/>
                <w:sz w:val="16"/>
                <w:szCs w:val="24"/>
                <w:lang w:val="en-US" w:eastAsia="ja-JP" w:bidi="ar-SA"/>
              </w:rPr>
              <w:t>messaging.sms_connector</w:t>
            </w:r>
            <w:r>
              <w:rPr>
                <w:rFonts w:eastAsia="Segoe UI" w:cs="Segoe UI" w:ascii="Segoe UI" w:hAnsi="Segoe UI"/>
                <w:color w:val="101820"/>
                <w:kern w:val="0"/>
                <w:sz w:val="18"/>
                <w:szCs w:val="24"/>
                <w:lang w:val="en-US" w:eastAsia="ja-JP" w:bidi="ar-SA"/>
              </w:rPr>
              <w:t>)</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SMS_GLOBE_LABS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(Globe Labs-style API: access token and short code)</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SMS_GENERIC</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through any HTTP API (path, body, headers and the answer's message id are options)</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VIBER_BUSINESS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Viber business messages through an aggregator (optional)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LTO_FEED</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Authenticated COCs sent to the LTO, when the provider does not do it</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off</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INSURER_API</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 (one mapping per insurer on Insurer Integration)</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 test mode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BANK_FILES</w:t>
            </w:r>
          </w:p>
        </w:tc>
        <w:tc>
          <w:tcPr>
            <w:tcW w:w="3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(download and upload on the bank portal)</w:t>
            </w:r>
          </w:p>
        </w:tc>
        <w:tc>
          <w:tcPr>
            <w:tcW w:w="3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Enabled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In </w:t>
      </w:r>
      <w:r>
        <w:rPr>
          <w:rFonts w:eastAsia="Segoe UI" w:cs="Segoe UI" w:ascii="Segoe UI" w:hAnsi="Segoe UI"/>
          <w:b/>
          <w:color w:val="101820"/>
          <w:sz w:val="21"/>
        </w:rPr>
        <w:t>test mode</w:t>
      </w:r>
      <w:r>
        <w:rPr>
          <w:rFonts w:eastAsia="Segoe UI" w:cs="Segoe UI" w:ascii="Segoe UI" w:hAnsi="Segoe UI"/>
          <w:color w:val="101820"/>
          <w:sz w:val="21"/>
        </w:rPr>
        <w:t xml:space="preserve"> a connector answers from a built-in test provider: SMS are recorded as sent, a COC gets a test authentication code, an insurer returns a test policy number. Nothing leaves the system, so the whole process can be tried before the contract with the provider is signed.</w:t>
      </w:r>
    </w:p>
    <w:p>
      <w:pPr>
        <w:pStyle w:val="Normal"/>
        <w:spacing w:lineRule="auto" w:line="276" w:before="0" w:after="120"/>
        <w:rPr/>
      </w:pPr>
      <w:r>
        <w:rPr>
          <w:rFonts w:eastAsia="Segoe UI" w:cs="Segoe UI" w:ascii="Segoe UI" w:hAnsi="Segoe UI"/>
          <w:color w:val="101820"/>
          <w:sz w:val="21"/>
        </w:rPr>
        <w:t>To change a connector, select the pencil (</w:t>
      </w:r>
      <w:r>
        <w:rPr>
          <w:rFonts w:eastAsia="Segoe UI" w:cs="Segoe UI" w:ascii="Segoe UI" w:hAnsi="Segoe UI"/>
          <w:b/>
          <w:color w:val="101820"/>
          <w:sz w:val="21"/>
        </w:rPr>
        <w:t>Edit</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b/>
          <w:color w:val="101820"/>
          <w:sz w:val="21"/>
        </w:rPr>
        <w:t>Endpoint</w:t>
      </w:r>
      <w:r>
        <w:rPr>
          <w:rFonts w:eastAsia="Segoe UI" w:cs="Segoe UI" w:ascii="Segoe UI" w:hAnsi="Segoe UI"/>
          <w:color w:val="101820"/>
          <w:sz w:val="21"/>
        </w:rPr>
        <w:t>: the address of the provider's service, from the provider.</w:t>
      </w:r>
    </w:p>
    <w:p>
      <w:pPr>
        <w:pStyle w:val="Normal"/>
        <w:numPr>
          <w:ilvl w:val="0"/>
          <w:numId w:val="202"/>
        </w:numPr>
        <w:spacing w:before="0" w:after="60"/>
        <w:rPr/>
      </w:pPr>
      <w:r>
        <w:rPr>
          <w:rFonts w:eastAsia="Segoe UI" w:cs="Segoe UI" w:ascii="Segoe UI" w:hAnsi="Segoe UI"/>
          <w:b/>
          <w:color w:val="101820"/>
          <w:sz w:val="21"/>
        </w:rPr>
        <w:t>Credentials</w:t>
      </w:r>
      <w:r>
        <w:rPr>
          <w:rFonts w:eastAsia="Segoe UI" w:cs="Segoe UI" w:ascii="Segoe UI" w:hAnsi="Segoe UI"/>
          <w:color w:val="101820"/>
          <w:sz w:val="21"/>
        </w:rPr>
        <w:t xml:space="preserve">: one line per credential with the NAME of the environment variable that holds it, for example </w:t>
      </w:r>
      <w:r>
        <w:rPr>
          <w:rFonts w:eastAsia="Consolas" w:cs="Consolas" w:ascii="Consolas" w:hAnsi="Consolas"/>
          <w:color w:val="101820"/>
          <w:sz w:val="19"/>
        </w:rPr>
        <w:t>SEMAPHORE_API_KEY</w:t>
      </w:r>
      <w:r>
        <w:rPr>
          <w:rFonts w:eastAsia="Segoe UI" w:cs="Segoe UI" w:ascii="Segoe UI" w:hAnsi="Segoe UI"/>
          <w:color w:val="101820"/>
          <w:sz w:val="21"/>
        </w:rPr>
        <w:t>. The value itself is never entered on the screen or stored in the database: the server administrator sets it in the secret store of the environment. The tag shows whether the variable is set.</w:t>
      </w:r>
    </w:p>
    <w:p>
      <w:pPr>
        <w:pStyle w:val="Normal"/>
        <w:numPr>
          <w:ilvl w:val="0"/>
          <w:numId w:val="203"/>
        </w:numPr>
        <w:spacing w:before="0" w:after="60"/>
        <w:rPr/>
      </w:pPr>
      <w:r>
        <w:rPr>
          <w:rFonts w:eastAsia="Segoe UI" w:cs="Segoe UI" w:ascii="Segoe UI" w:hAnsi="Segoe UI"/>
          <w:b/>
          <w:color w:val="101820"/>
          <w:sz w:val="21"/>
        </w:rPr>
        <w:t>Adapter options</w:t>
      </w:r>
      <w:r>
        <w:rPr>
          <w:rFonts w:eastAsia="Segoe UI" w:cs="Segoe UI" w:ascii="Segoe UI" w:hAnsi="Segoe UI"/>
          <w:color w:val="101820"/>
          <w:sz w:val="21"/>
        </w:rPr>
        <w:t>: the provider's details in JSON (sender name, short code, number format, paths, field names). The defaults match the provider style named in the connector.</w:t>
      </w:r>
    </w:p>
    <w:p>
      <w:pPr>
        <w:pStyle w:val="Normal"/>
        <w:numPr>
          <w:ilvl w:val="0"/>
          <w:numId w:val="204"/>
        </w:numPr>
        <w:spacing w:before="0" w:after="60"/>
        <w:rPr/>
      </w:pP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First retry after</w:t>
      </w:r>
      <w:r>
        <w:rPr>
          <w:rFonts w:eastAsia="Segoe UI" w:cs="Segoe UI" w:ascii="Segoe UI" w:hAnsi="Segoe UI"/>
          <w:color w:val="101820"/>
          <w:sz w:val="21"/>
        </w:rPr>
        <w:t xml:space="preserve"> and </w:t>
      </w:r>
      <w:r>
        <w:rPr>
          <w:rFonts w:eastAsia="Segoe UI" w:cs="Segoe UI" w:ascii="Segoe UI" w:hAnsi="Segoe UI"/>
          <w:b/>
          <w:color w:val="101820"/>
          <w:sz w:val="21"/>
        </w:rPr>
        <w:t>Longest wait</w:t>
      </w:r>
      <w:r>
        <w:rPr>
          <w:rFonts w:eastAsia="Segoe UI" w:cs="Segoe UI" w:ascii="Segoe UI" w:hAnsi="Segoe UI"/>
          <w:color w:val="101820"/>
          <w:sz w:val="21"/>
        </w:rPr>
        <w:t>: a message that fails is tried again after the first wait, then twice as long each time, up to the longest wait, until the number of attempts is reached. A request the provider refuses (for example an invalid number) is not retried.</w:t>
      </w:r>
    </w:p>
    <w:p>
      <w:pPr>
        <w:pStyle w:val="Normal"/>
        <w:numPr>
          <w:ilvl w:val="0"/>
          <w:numId w:val="205"/>
        </w:numPr>
        <w:spacing w:before="0" w:after="60"/>
        <w:rPr/>
      </w:pPr>
      <w:r>
        <w:rPr>
          <w:rFonts w:eastAsia="Segoe UI" w:cs="Segoe UI" w:ascii="Segoe UI" w:hAnsi="Segoe UI"/>
          <w:b/>
          <w:color w:val="101820"/>
          <w:sz w:val="21"/>
        </w:rPr>
        <w:t>Mode</w:t>
      </w:r>
      <w:r>
        <w:rPr>
          <w:rFonts w:eastAsia="Segoe UI" w:cs="Segoe UI" w:ascii="Segoe UI" w:hAnsi="Segoe UI"/>
          <w:color w:val="101820"/>
          <w:sz w:val="21"/>
        </w:rPr>
        <w:t xml:space="preserve"> </w:t>
      </w:r>
      <w:r>
        <w:rPr>
          <w:rFonts w:eastAsia="Segoe UI" w:cs="Segoe UI" w:ascii="Segoe UI" w:hAnsi="Segoe UI"/>
          <w:b/>
          <w:color w:val="101820"/>
          <w:sz w:val="21"/>
        </w:rPr>
        <w:t>Live</w:t>
      </w:r>
      <w:r>
        <w:rPr>
          <w:rFonts w:eastAsia="Segoe UI" w:cs="Segoe UI" w:ascii="Segoe UI" w:hAnsi="Segoe UI"/>
          <w:color w:val="101820"/>
          <w:sz w:val="21"/>
        </w:rPr>
        <w:t xml:space="preserve"> and </w:t>
      </w:r>
      <w:r>
        <w:rPr>
          <w:rFonts w:eastAsia="Segoe UI" w:cs="Segoe UI" w:ascii="Segoe UI" w:hAnsi="Segoe UI"/>
          <w:b/>
          <w:color w:val="101820"/>
          <w:sz w:val="21"/>
        </w:rPr>
        <w:t>Enabled</w:t>
      </w:r>
      <w:r>
        <w:rPr>
          <w:rFonts w:eastAsia="Segoe UI" w:cs="Segoe UI" w:ascii="Segoe UI" w:hAnsi="Segoe UI"/>
          <w:color w:val="101820"/>
          <w:sz w:val="21"/>
        </w:rPr>
        <w:t>. Live is refused while the endpoint or a credential variable is missing; the message says what is missing.</w:t>
      </w:r>
    </w:p>
    <w:p>
      <w:pPr>
        <w:pStyle w:val="Normal"/>
        <w:spacing w:lineRule="auto" w:line="276" w:before="0" w:after="120"/>
        <w:rPr/>
      </w:pPr>
      <w:r>
        <w:rPr>
          <w:rFonts w:eastAsia="Segoe UI" w:cs="Segoe UI" w:ascii="Segoe UI" w:hAnsi="Segoe UI"/>
          <w:b/>
          <w:color w:val="101820"/>
          <w:sz w:val="21"/>
        </w:rPr>
        <w:t>Test connection</w:t>
      </w:r>
      <w:r>
        <w:rPr>
          <w:rFonts w:eastAsia="Segoe UI" w:cs="Segoe UI" w:ascii="Segoe UI" w:hAnsi="Segoe UI"/>
          <w:color w:val="101820"/>
          <w:sz w:val="21"/>
        </w:rPr>
        <w:t xml:space="preserve"> checks the connector without sending a business message: in test mode it confirms the test provider, in live mode it calls the provider's health-check path when one is set in the options. Every change and test is in the audit trail.</w:t>
      </w:r>
    </w:p>
    <w:p>
      <w:pPr>
        <w:pStyle w:val="Heading3"/>
        <w:rPr/>
      </w:pPr>
      <w:r>
        <w:rPr>
          <w:rFonts w:eastAsia="Segoe UI" w:cs="Segoe UI"/>
          <w:b/>
          <w:color w:val="0F4761"/>
          <w:sz w:val="23"/>
        </w:rPr>
        <w:t>6.12.2  Outbox and inbox</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Outbox</w:t>
      </w:r>
      <w:r>
        <w:rPr>
          <w:rFonts w:eastAsia="Segoe UI" w:cs="Segoe UI" w:ascii="Segoe UI" w:hAnsi="Segoe UI"/>
          <w:color w:val="101820"/>
          <w:sz w:val="21"/>
        </w:rPr>
        <w:t xml:space="preserve"> tab lists every message sent or waiting: SMS and Viber messages, CTPL authentication requests, LTO feeds, insurer requests and bank files, with </w:t>
      </w:r>
      <w:r>
        <w:rPr>
          <w:rFonts w:eastAsia="Segoe UI" w:cs="Segoe UI" w:ascii="Segoe UI" w:hAnsi="Segoe UI"/>
          <w:b/>
          <w:color w:val="101820"/>
          <w:sz w:val="21"/>
        </w:rPr>
        <w:t>Status</w:t>
      </w:r>
      <w:r>
        <w:rPr>
          <w:rFonts w:eastAsia="Segoe UI" w:cs="Segoe UI" w:ascii="Segoe UI" w:hAnsi="Segoe UI"/>
          <w:color w:val="101820"/>
          <w:sz w:val="21"/>
        </w:rPr>
        <w:t xml:space="preserve"> (Queued, Retry scheduled, Sending, Sent, Failed, Cancelled, Not sent),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and </w:t>
      </w:r>
      <w:r>
        <w:rPr>
          <w:rFonts w:eastAsia="Segoe UI" w:cs="Segoe UI" w:ascii="Segoe UI" w:hAnsi="Segoe UI"/>
          <w:b/>
          <w:color w:val="101820"/>
          <w:sz w:val="21"/>
        </w:rPr>
        <w:t>Next attempt</w:t>
      </w:r>
      <w:r>
        <w:rPr>
          <w:rFonts w:eastAsia="Segoe UI" w:cs="Segoe UI" w:ascii="Segoe UI" w:hAnsi="Segoe UI"/>
          <w:color w:val="101820"/>
          <w:sz w:val="21"/>
        </w:rPr>
        <w:t>. Filter by status or connector, or search a mobile number, COC, policy or error text.</w:t>
      </w:r>
    </w:p>
    <w:p>
      <w:pPr>
        <w:pStyle w:val="Normal"/>
        <w:numPr>
          <w:ilvl w:val="0"/>
          <w:numId w:val="1"/>
        </w:numPr>
        <w:spacing w:before="0" w:after="60"/>
        <w:rPr/>
      </w:pPr>
      <w:r>
        <w:rPr>
          <w:rFonts w:eastAsia="Segoe UI" w:cs="Segoe UI" w:ascii="Segoe UI" w:hAnsi="Segoe UI"/>
          <w:color w:val="101820"/>
          <w:sz w:val="21"/>
        </w:rPr>
        <w:t>The eye (</w:t>
      </w:r>
      <w:r>
        <w:rPr>
          <w:rFonts w:eastAsia="Segoe UI" w:cs="Segoe UI" w:ascii="Segoe UI" w:hAnsi="Segoe UI"/>
          <w:b/>
          <w:color w:val="101820"/>
          <w:sz w:val="21"/>
        </w:rPr>
        <w:t>View</w:t>
      </w:r>
      <w:r>
        <w:rPr>
          <w:rFonts w:eastAsia="Segoe UI" w:cs="Segoe UI" w:ascii="Segoe UI" w:hAnsi="Segoe UI"/>
          <w:color w:val="101820"/>
          <w:sz w:val="21"/>
        </w:rPr>
        <w:t>) shows what was sent, the provider's answer and every attempt with its duration and error.</w:t>
      </w:r>
    </w:p>
    <w:p>
      <w:pPr>
        <w:pStyle w:val="Normal"/>
        <w:numPr>
          <w:ilvl w:val="0"/>
          <w:numId w:val="1"/>
        </w:numPr>
        <w:spacing w:before="0" w:after="60"/>
        <w:rPr/>
      </w:pPr>
      <w:r>
        <w:rPr>
          <w:rFonts w:eastAsia="Segoe UI" w:cs="Segoe UI" w:ascii="Segoe UI" w:hAnsi="Segoe UI"/>
          <w:b/>
          <w:color w:val="101820"/>
          <w:sz w:val="21"/>
        </w:rPr>
        <w:t>Resend</w:t>
      </w:r>
      <w:r>
        <w:rPr>
          <w:rFonts w:eastAsia="Segoe UI" w:cs="Segoe UI" w:ascii="Segoe UI" w:hAnsi="Segoe UI"/>
          <w:color w:val="101820"/>
          <w:sz w:val="21"/>
        </w:rPr>
        <w:t xml:space="preserve"> queues a failed, cancelled or not sent message again with a fresh attempt count and sends it at once; a message waiting for its next attempt is sent now.</w:t>
      </w:r>
    </w:p>
    <w:p>
      <w:pPr>
        <w:pStyle w:val="Normal"/>
        <w:numPr>
          <w:ilvl w:val="0"/>
          <w:numId w:val="1"/>
        </w:numPr>
        <w:spacing w:before="0" w:after="60"/>
        <w:rPr/>
      </w:pPr>
      <w:r>
        <w:rPr>
          <w:rFonts w:eastAsia="Segoe UI" w:cs="Segoe UI" w:ascii="Segoe UI" w:hAnsi="Segoe UI"/>
          <w:b/>
          <w:color w:val="101820"/>
          <w:sz w:val="21"/>
        </w:rPr>
        <w:t>Cancel message</w:t>
      </w:r>
      <w:r>
        <w:rPr>
          <w:rFonts w:eastAsia="Segoe UI" w:cs="Segoe UI" w:ascii="Segoe UI" w:hAnsi="Segoe UI"/>
          <w:color w:val="101820"/>
          <w:sz w:val="21"/>
        </w:rPr>
        <w:t xml:space="preserve"> stops a message that has not been sent.</w:t>
      </w:r>
    </w:p>
    <w:p>
      <w:pPr>
        <w:pStyle w:val="Normal"/>
        <w:numPr>
          <w:ilvl w:val="0"/>
          <w:numId w:val="1"/>
        </w:numPr>
        <w:spacing w:before="0" w:after="60"/>
        <w:rPr/>
      </w:pPr>
      <w:r>
        <w:rPr>
          <w:rFonts w:eastAsia="Segoe UI" w:cs="Segoe UI" w:ascii="Segoe UI" w:hAnsi="Segoe UI"/>
          <w:b/>
          <w:color w:val="101820"/>
          <w:sz w:val="21"/>
        </w:rPr>
        <w:t>Send due messages</w:t>
      </w:r>
      <w:r>
        <w:rPr>
          <w:rFonts w:eastAsia="Segoe UI" w:cs="Segoe UI" w:ascii="Segoe UI" w:hAnsi="Segoe UI"/>
          <w:color w:val="101820"/>
          <w:sz w:val="21"/>
        </w:rPr>
        <w:t xml:space="preserve"> (top right) sends what is due now. The job </w:t>
      </w:r>
      <w:r>
        <w:rPr>
          <w:rFonts w:eastAsia="Consolas" w:cs="Consolas" w:ascii="Consolas" w:hAnsi="Consolas"/>
          <w:color w:val="101820"/>
          <w:sz w:val="19"/>
        </w:rPr>
        <w:t>integration-outbox</w:t>
      </w:r>
      <w:r>
        <w:rPr>
          <w:rFonts w:eastAsia="Segoe UI" w:cs="Segoe UI" w:ascii="Segoe UI" w:hAnsi="Segoe UI"/>
          <w:color w:val="101820"/>
          <w:sz w:val="21"/>
        </w:rPr>
        <w:t xml:space="preserve"> (Master &gt; Schedules) does the same every 2 minutes.</w:t>
      </w:r>
    </w:p>
    <w:p>
      <w:pPr>
        <w:pStyle w:val="Normal"/>
        <w:spacing w:lineRule="auto" w:line="276" w:before="0" w:after="120"/>
        <w:rPr/>
      </w:pPr>
      <w:r>
        <w:rPr>
          <w:rFonts w:eastAsia="Segoe UI" w:cs="Segoe UI" w:ascii="Segoe UI" w:hAnsi="Segoe UI"/>
          <w:color w:val="101820"/>
          <w:sz w:val="21"/>
        </w:rPr>
        <w:t xml:space="preserve">A message </w:t>
      </w:r>
      <w:r>
        <w:rPr>
          <w:rFonts w:eastAsia="Segoe UI" w:cs="Segoe UI" w:ascii="Segoe UI" w:hAnsi="Segoe UI"/>
          <w:b/>
          <w:color w:val="101820"/>
          <w:sz w:val="21"/>
        </w:rPr>
        <w:t>Not sent</w:t>
      </w:r>
      <w:r>
        <w:rPr>
          <w:rFonts w:eastAsia="Segoe UI" w:cs="Segoe UI" w:ascii="Segoe UI" w:hAnsi="Segoe UI"/>
          <w:color w:val="101820"/>
          <w:sz w:val="21"/>
        </w:rPr>
        <w:t xml:space="preserve"> was deliberately not sent: the client has no valid mobile number, or the consent check refused it (see SMS and message templates). A switched-off connector keeps its messages queued until it is enabled again.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Inbox</w:t>
      </w:r>
      <w:r>
        <w:rPr>
          <w:rFonts w:eastAsia="Segoe UI" w:cs="Segoe UI" w:ascii="Segoe UI" w:hAnsi="Segoe UI"/>
          <w:color w:val="101820"/>
          <w:sz w:val="21"/>
        </w:rPr>
        <w:t xml:space="preserve"> tab lists what third parties sent to the system: claim statuses pushed by an insurer, CTPL authentication results pushed by the provider, and the files imported by users (bank status files, claim status files). A message pushed by a third party must be signed with the connector's webhook secret; an unsigned or wrongly signed message is kept as </w:t>
      </w:r>
      <w:r>
        <w:rPr>
          <w:rFonts w:eastAsia="Segoe UI" w:cs="Segoe UI" w:ascii="Segoe UI" w:hAnsi="Segoe UI"/>
          <w:b/>
          <w:color w:val="101820"/>
          <w:sz w:val="21"/>
        </w:rPr>
        <w:t>Ignored</w:t>
      </w:r>
      <w:r>
        <w:rPr>
          <w:rFonts w:eastAsia="Segoe UI" w:cs="Segoe UI" w:ascii="Segoe UI" w:hAnsi="Segoe UI"/>
          <w:color w:val="101820"/>
          <w:sz w:val="21"/>
        </w:rPr>
        <w:t xml:space="preserve"> and never applied. </w:t>
      </w:r>
      <w:r>
        <w:rPr>
          <w:rFonts w:eastAsia="Segoe UI" w:cs="Segoe UI" w:ascii="Segoe UI" w:hAnsi="Segoe UI"/>
          <w:b/>
          <w:color w:val="101820"/>
          <w:sz w:val="21"/>
        </w:rPr>
        <w:t>Process again</w:t>
      </w:r>
      <w:r>
        <w:rPr>
          <w:rFonts w:eastAsia="Segoe UI" w:cs="Segoe UI" w:ascii="Segoe UI" w:hAnsi="Segoe UI"/>
          <w:color w:val="101820"/>
          <w:sz w:val="21"/>
        </w:rPr>
        <w:t xml:space="preserve"> retries a failed message once its cause is fixed.</w:t>
      </w:r>
    </w:p>
    <w:p>
      <w:pPr>
        <w:pStyle w:val="Heading3"/>
        <w:rPr/>
      </w:pPr>
      <w:r>
        <w:rPr>
          <w:rFonts w:eastAsia="Segoe UI" w:cs="Segoe UI"/>
          <w:b/>
          <w:color w:val="0F4761"/>
          <w:sz w:val="23"/>
        </w:rPr>
        <w:t>6.12.3  Go live with a provider</w:t>
      </w:r>
    </w:p>
    <w:p>
      <w:pPr>
        <w:pStyle w:val="Normal"/>
        <w:numPr>
          <w:ilvl w:val="0"/>
          <w:numId w:val="206"/>
        </w:numPr>
        <w:spacing w:before="0" w:after="60"/>
        <w:rPr/>
      </w:pPr>
      <w:r>
        <w:rPr>
          <w:rFonts w:eastAsia="Segoe UI" w:cs="Segoe UI" w:ascii="Segoe UI" w:hAnsi="Segoe UI"/>
          <w:color w:val="101820"/>
          <w:sz w:val="21"/>
        </w:rPr>
        <w:t>Sign the contract with the provider and obtain the endpoint, the credentials and the sender name or short code.</w:t>
      </w:r>
    </w:p>
    <w:p>
      <w:pPr>
        <w:pStyle w:val="Normal"/>
        <w:numPr>
          <w:ilvl w:val="0"/>
          <w:numId w:val="207"/>
        </w:numPr>
        <w:spacing w:before="0" w:after="60"/>
        <w:rPr/>
      </w:pPr>
      <w:r>
        <w:rPr>
          <w:rFonts w:eastAsia="Segoe UI" w:cs="Segoe UI" w:ascii="Segoe UI" w:hAnsi="Segoe UI"/>
          <w:color w:val="101820"/>
          <w:sz w:val="21"/>
        </w:rPr>
        <w:t>Ask the server administrator to set the credentials as environment variables (secret store) and restart the service.</w:t>
      </w:r>
    </w:p>
    <w:p>
      <w:pPr>
        <w:pStyle w:val="Normal"/>
        <w:numPr>
          <w:ilvl w:val="0"/>
          <w:numId w:val="208"/>
        </w:numPr>
        <w:spacing w:before="0" w:after="60"/>
        <w:rPr/>
      </w:pPr>
      <w:r>
        <w:rPr>
          <w:rFonts w:eastAsia="Segoe UI" w:cs="Segoe UI" w:ascii="Segoe UI" w:hAnsi="Segoe UI"/>
          <w:color w:val="101820"/>
          <w:sz w:val="21"/>
        </w:rPr>
        <w:t xml:space="preserve">On the connector, enter the endpoint and the variable names; </w:t>
      </w:r>
      <w:r>
        <w:rPr>
          <w:rFonts w:eastAsia="Segoe UI" w:cs="Segoe UI" w:ascii="Segoe UI" w:hAnsi="Segoe UI"/>
          <w:b/>
          <w:color w:val="101820"/>
          <w:sz w:val="21"/>
        </w:rPr>
        <w:t>Test connection</w:t>
      </w:r>
      <w:r>
        <w:rPr>
          <w:rFonts w:eastAsia="Segoe UI" w:cs="Segoe UI" w:ascii="Segoe UI" w:hAnsi="Segoe UI"/>
          <w:color w:val="101820"/>
          <w:sz w:val="21"/>
        </w:rPr>
        <w:t xml:space="preserve"> in live mode.</w:t>
      </w:r>
    </w:p>
    <w:p>
      <w:pPr>
        <w:pStyle w:val="Normal"/>
        <w:numPr>
          <w:ilvl w:val="0"/>
          <w:numId w:val="209"/>
        </w:numPr>
        <w:spacing w:before="0" w:after="60"/>
        <w:rPr/>
      </w:pPr>
      <w:r>
        <w:rPr>
          <w:rFonts w:eastAsia="Segoe UI" w:cs="Segoe UI" w:ascii="Segoe UI" w:hAnsi="Segoe UI"/>
          <w:color w:val="101820"/>
          <w:sz w:val="21"/>
        </w:rPr>
        <w:t xml:space="preserve">Switch the mode to </w:t>
      </w:r>
      <w:r>
        <w:rPr>
          <w:rFonts w:eastAsia="Segoe UI" w:cs="Segoe UI" w:ascii="Segoe UI" w:hAnsi="Segoe UI"/>
          <w:b/>
          <w:color w:val="101820"/>
          <w:sz w:val="21"/>
        </w:rPr>
        <w:t>Live</w:t>
      </w:r>
      <w:r>
        <w:rPr>
          <w:rFonts w:eastAsia="Segoe UI" w:cs="Segoe UI" w:ascii="Segoe UI" w:hAnsi="Segoe UI"/>
          <w:color w:val="101820"/>
          <w:sz w:val="21"/>
        </w:rPr>
        <w:t>. Send a test SMS from Message Templates, or authenticate one COC, and check the outbox.</w:t>
      </w:r>
    </w:p>
    <w:p>
      <w:pPr>
        <w:pStyle w:val="Normal"/>
        <w:spacing w:lineRule="auto" w:line="276" w:before="0" w:after="120"/>
        <w:rPr/>
      </w:pPr>
      <w:r>
        <w:rPr>
          <w:rFonts w:eastAsia="Segoe UI" w:cs="Segoe UI" w:ascii="Segoe UI" w:hAnsi="Segoe UI"/>
          <w:color w:val="101820"/>
          <w:sz w:val="21"/>
        </w:rPr>
        <w:t>What is certified with each partner (the provider's acceptance of the requests, the LTO interface, an insurer's API and each bank's file) is done during onboarding with the partner; the system cannot certify it alone.</w:t>
      </w:r>
    </w:p>
    <w:p>
      <w:pPr>
        <w:pStyle w:val="Heading2"/>
        <w:rPr/>
      </w:pPr>
      <w:bookmarkStart w:id="37" w:name="__RefHeading___Toc24342_3350804041"/>
      <w:bookmarkEnd w:id="37"/>
      <w:r>
        <w:rPr>
          <w:rFonts w:eastAsia="Segoe UI" w:cs="Segoe UI"/>
          <w:b/>
          <w:color w:val="0F4761"/>
          <w:sz w:val="26"/>
        </w:rPr>
        <w:t>6.13  SMS and message templates</w:t>
      </w:r>
    </w:p>
    <w:p>
      <w:pPr>
        <w:pStyle w:val="Normal"/>
        <w:spacing w:lineRule="auto" w:line="276" w:before="0" w:after="120"/>
        <w:rPr/>
      </w:pPr>
      <w:r>
        <w:rPr>
          <w:rFonts w:eastAsia="Segoe UI" w:cs="Segoe UI" w:ascii="Segoe UI" w:hAnsi="Segoe UI"/>
          <w:color w:val="101820"/>
          <w:sz w:val="21"/>
        </w:rPr>
        <w:t>Master &gt; System &gt; Message Templates holds the texts sent to clients by SMS (or Viber).</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Message Templates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81"/>
        <w:gridCol w:w="2278"/>
        <w:gridCol w:w="4755"/>
      </w:tblGrid>
      <w:tr>
        <w:trPr>
          <w:tblHeader w:val="true"/>
        </w:trPr>
        <w:tc>
          <w:tcPr>
            <w:tcW w:w="1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2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4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Sent</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messaging.renewal_notice_days</w:t>
            </w:r>
            <w:r>
              <w:rPr>
                <w:rFonts w:eastAsia="Segoe UI" w:cs="Segoe UI" w:ascii="Segoe UI" w:hAnsi="Segoe UI"/>
                <w:color w:val="101820"/>
                <w:kern w:val="0"/>
                <w:sz w:val="18"/>
                <w:szCs w:val="24"/>
                <w:lang w:val="en-US" w:eastAsia="ja-JP" w:bidi="ar-SA"/>
              </w:rPr>
              <w:t xml:space="preserve"> (30 and 7) before expiry</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PAYMENT_REMINDER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reminder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By the job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on the days </w:t>
            </w:r>
            <w:r>
              <w:rPr>
                <w:rFonts w:eastAsia="Consolas" w:cs="Consolas" w:ascii="Consolas" w:hAnsi="Consolas"/>
                <w:color w:val="101820"/>
                <w:kern w:val="0"/>
                <w:sz w:val="16"/>
                <w:szCs w:val="24"/>
                <w:lang w:val="en-US" w:eastAsia="ja-JP" w:bidi="ar-SA"/>
              </w:rPr>
              <w:t>messaging.payment_reminder_days</w:t>
            </w:r>
            <w:r>
              <w:rPr>
                <w:rFonts w:eastAsia="Segoe UI" w:cs="Segoe UI" w:ascii="Segoe UI" w:hAnsi="Segoe UI"/>
                <w:color w:val="101820"/>
                <w:kern w:val="0"/>
                <w:sz w:val="18"/>
                <w:szCs w:val="24"/>
                <w:lang w:val="en-US" w:eastAsia="ja-JP" w:bidi="ar-SA"/>
              </w:rPr>
              <w:t xml:space="preserve"> (3 and 0) before an open bill is due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CLAIM_UPDATE</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update</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When a claim moves to a status of </w:t>
            </w:r>
            <w:r>
              <w:rPr>
                <w:rFonts w:eastAsia="Consolas" w:cs="Consolas" w:ascii="Consolas" w:hAnsi="Consolas"/>
                <w:color w:val="101820"/>
                <w:kern w:val="0"/>
                <w:sz w:val="16"/>
                <w:szCs w:val="24"/>
                <w:lang w:val="en-US" w:eastAsia="ja-JP" w:bidi="ar-SA"/>
              </w:rPr>
              <w:t>messaging.claim_update_statuses</w:t>
            </w:r>
            <w:r>
              <w:rPr>
                <w:rFonts w:eastAsia="Segoe UI" w:cs="Segoe UI" w:ascii="Segoe UI" w:hAnsi="Segoe UI"/>
                <w:color w:val="101820"/>
                <w:kern w:val="0"/>
                <w:sz w:val="18"/>
                <w:szCs w:val="24"/>
                <w:lang w:val="en-US" w:eastAsia="ja-JP" w:bidi="ar-SA"/>
              </w:rPr>
              <w:t xml:space="preserve"> (in review, approved, settled, rejected, closed)</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CTPL_AUTHENTICATED</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authenticated</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authentication code of a COC is received (delivered inactive)</w:t>
            </w:r>
          </w:p>
        </w:tc>
      </w:tr>
      <w:tr>
        <w:trPr/>
        <w:tc>
          <w:tcPr>
            <w:tcW w:w="1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RENEWAL_NOTICE_VIBER</w:t>
            </w:r>
          </w:p>
        </w:tc>
        <w:tc>
          <w:tcPr>
            <w:tcW w:w="2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by Viber</w:t>
            </w:r>
          </w:p>
        </w:tc>
        <w:tc>
          <w:tcPr>
            <w:tcW w:w="4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inactive; activate it and deactivate the SMS one to send renewal notices by Viber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a template, select the pencil:</w:t>
      </w:r>
    </w:p>
    <w:p>
      <w:pPr>
        <w:pStyle w:val="Normal"/>
        <w:numPr>
          <w:ilvl w:val="0"/>
          <w:numId w:val="210"/>
        </w:numPr>
        <w:spacing w:before="0" w:after="60"/>
        <w:rPr/>
      </w:pPr>
      <w:r>
        <w:rPr>
          <w:rFonts w:eastAsia="Segoe UI" w:cs="Segoe UI" w:ascii="Segoe UI" w:hAnsi="Segoe UI"/>
          <w:color w:val="101820"/>
          <w:sz w:val="21"/>
        </w:rPr>
        <w:t xml:space="preserve">Change the </w:t>
      </w:r>
      <w:r>
        <w:rPr>
          <w:rFonts w:eastAsia="Segoe UI" w:cs="Segoe UI" w:ascii="Segoe UI" w:hAnsi="Segoe UI"/>
          <w:b/>
          <w:color w:val="101820"/>
          <w:sz w:val="21"/>
        </w:rPr>
        <w:t>Text</w:t>
      </w:r>
      <w:r>
        <w:rPr>
          <w:rFonts w:eastAsia="Segoe UI" w:cs="Segoe UI" w:ascii="Segoe UI" w:hAnsi="Segoe UI"/>
          <w:color w:val="101820"/>
          <w:sz w:val="21"/>
        </w:rPr>
        <w:t xml:space="preserve">. The placeholders in double braces are filled when the message is sent, for example </w:t>
      </w:r>
      <w:r>
        <w:rPr>
          <w:rFonts w:eastAsia="Consolas" w:cs="Consolas" w:ascii="Consolas" w:hAnsi="Consolas"/>
          <w:color w:val="101820"/>
          <w:sz w:val="19"/>
        </w:rPr>
        <w:t>{{clientName}}</w:t>
      </w:r>
      <w:r>
        <w:rPr>
          <w:rFonts w:eastAsia="Segoe UI" w:cs="Segoe UI" w:ascii="Segoe UI" w:hAnsi="Segoe UI"/>
          <w:color w:val="101820"/>
          <w:sz w:val="21"/>
        </w:rPr>
        <w:t xml:space="preserve">, </w:t>
      </w:r>
      <w:r>
        <w:rPr>
          <w:rFonts w:eastAsia="Consolas" w:cs="Consolas" w:ascii="Consolas" w:hAnsi="Consolas"/>
          <w:color w:val="101820"/>
          <w:sz w:val="19"/>
        </w:rPr>
        <w:t>{{policyNumber}}</w:t>
      </w:r>
      <w:r>
        <w:rPr>
          <w:rFonts w:eastAsia="Segoe UI" w:cs="Segoe UI" w:ascii="Segoe UI" w:hAnsi="Segoe UI"/>
          <w:color w:val="101820"/>
          <w:sz w:val="21"/>
        </w:rPr>
        <w:t xml:space="preserve">, </w:t>
      </w:r>
      <w:r>
        <w:rPr>
          <w:rFonts w:eastAsia="Consolas" w:cs="Consolas" w:ascii="Consolas" w:hAnsi="Consolas"/>
          <w:color w:val="101820"/>
          <w:sz w:val="19"/>
        </w:rPr>
        <w:t>{{expiryDate}}</w:t>
      </w:r>
      <w:r>
        <w:rPr>
          <w:rFonts w:eastAsia="Segoe UI" w:cs="Segoe UI" w:ascii="Segoe UI" w:hAnsi="Segoe UI"/>
          <w:color w:val="101820"/>
          <w:sz w:val="21"/>
        </w:rPr>
        <w:t xml:space="preserve">, </w:t>
      </w:r>
      <w:r>
        <w:rPr>
          <w:rFonts w:eastAsia="Consolas" w:cs="Consolas" w:ascii="Consolas" w:hAnsi="Consolas"/>
          <w:color w:val="101820"/>
          <w:sz w:val="19"/>
        </w:rPr>
        <w:t>{{amountDue}}</w:t>
      </w:r>
      <w:r>
        <w:rPr>
          <w:rFonts w:eastAsia="Segoe UI" w:cs="Segoe UI" w:ascii="Segoe UI" w:hAnsi="Segoe UI"/>
          <w:color w:val="101820"/>
          <w:sz w:val="21"/>
        </w:rPr>
        <w:t xml:space="preserve">, </w:t>
      </w:r>
      <w:r>
        <w:rPr>
          <w:rFonts w:eastAsia="Consolas" w:cs="Consolas" w:ascii="Consolas" w:hAnsi="Consolas"/>
          <w:color w:val="101820"/>
          <w:sz w:val="19"/>
        </w:rPr>
        <w:t>{{dueDate}}</w:t>
      </w:r>
      <w:r>
        <w:rPr>
          <w:rFonts w:eastAsia="Segoe UI" w:cs="Segoe UI" w:ascii="Segoe UI" w:hAnsi="Segoe UI"/>
          <w:color w:val="101820"/>
          <w:sz w:val="21"/>
        </w:rPr>
        <w:t xml:space="preserve">, </w:t>
      </w:r>
      <w:r>
        <w:rPr>
          <w:rFonts w:eastAsia="Consolas" w:cs="Consolas" w:ascii="Consolas" w:hAnsi="Consolas"/>
          <w:color w:val="101820"/>
          <w:sz w:val="19"/>
        </w:rPr>
        <w:t>{{claimNumber}}</w:t>
      </w:r>
      <w:r>
        <w:rPr>
          <w:rFonts w:eastAsia="Segoe UI" w:cs="Segoe UI" w:ascii="Segoe UI" w:hAnsi="Segoe UI"/>
          <w:color w:val="101820"/>
          <w:sz w:val="21"/>
        </w:rPr>
        <w:t xml:space="preserve">, </w:t>
      </w:r>
      <w:r>
        <w:rPr>
          <w:rFonts w:eastAsia="Consolas" w:cs="Consolas" w:ascii="Consolas" w:hAnsi="Consolas"/>
          <w:color w:val="101820"/>
          <w:sz w:val="19"/>
        </w:rPr>
        <w:t>{{claimStatus}}</w:t>
      </w:r>
      <w:r>
        <w:rPr>
          <w:rFonts w:eastAsia="Segoe UI" w:cs="Segoe UI" w:ascii="Segoe UI" w:hAnsi="Segoe UI"/>
          <w:color w:val="101820"/>
          <w:sz w:val="21"/>
        </w:rPr>
        <w:t xml:space="preserve">, </w:t>
      </w:r>
      <w:r>
        <w:rPr>
          <w:rFonts w:eastAsia="Consolas" w:cs="Consolas" w:ascii="Consolas" w:hAnsi="Consolas"/>
          <w:color w:val="101820"/>
          <w:sz w:val="19"/>
        </w:rPr>
        <w:t>{{cocNumber}}</w:t>
      </w:r>
      <w:r>
        <w:rPr>
          <w:rFonts w:eastAsia="Segoe UI" w:cs="Segoe UI" w:ascii="Segoe UI" w:hAnsi="Segoe UI"/>
          <w:color w:val="101820"/>
          <w:sz w:val="21"/>
        </w:rPr>
        <w:t xml:space="preserve">, </w:t>
      </w:r>
      <w:r>
        <w:rPr>
          <w:rFonts w:eastAsia="Consolas" w:cs="Consolas" w:ascii="Consolas" w:hAnsi="Consolas"/>
          <w:color w:val="101820"/>
          <w:sz w:val="19"/>
        </w:rPr>
        <w:t>{{authCode}}</w:t>
      </w:r>
      <w:r>
        <w:rPr>
          <w:rFonts w:eastAsia="Segoe UI" w:cs="Segoe UI" w:ascii="Segoe UI" w:hAnsi="Segoe UI"/>
          <w:color w:val="101820"/>
          <w:sz w:val="21"/>
        </w:rPr>
        <w:t xml:space="preserve"> and </w:t>
      </w:r>
      <w:r>
        <w:rPr>
          <w:rFonts w:eastAsia="Consolas" w:cs="Consolas" w:ascii="Consolas" w:hAnsi="Consolas"/>
          <w:color w:val="101820"/>
          <w:sz w:val="19"/>
        </w:rPr>
        <w:t>{{companyName}}</w:t>
      </w:r>
      <w:r>
        <w:rPr>
          <w:rFonts w:eastAsia="Segoe UI" w:cs="Segoe UI" w:ascii="Segoe UI" w:hAnsi="Segoe UI"/>
          <w:color w:val="101820"/>
          <w:sz w:val="21"/>
        </w:rPr>
        <w:t xml:space="preserve">. The </w:t>
      </w:r>
      <w:r>
        <w:rPr>
          <w:rFonts w:eastAsia="Segoe UI" w:cs="Segoe UI" w:ascii="Segoe UI" w:hAnsi="Segoe UI"/>
          <w:b/>
          <w:color w:val="101820"/>
          <w:sz w:val="21"/>
        </w:rPr>
        <w:t>Preview</w:t>
      </w:r>
      <w:r>
        <w:rPr>
          <w:rFonts w:eastAsia="Segoe UI" w:cs="Segoe UI" w:ascii="Segoe UI" w:hAnsi="Segoe UI"/>
          <w:color w:val="101820"/>
          <w:sz w:val="21"/>
        </w:rPr>
        <w:t xml:space="preserve"> shows the text with example values, its length and the number of SMS parts (160 characters each).</w:t>
      </w:r>
    </w:p>
    <w:p>
      <w:pPr>
        <w:pStyle w:val="Normal"/>
        <w:numPr>
          <w:ilvl w:val="0"/>
          <w:numId w:val="21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Consent needed</w:t>
      </w:r>
      <w:r>
        <w:rPr>
          <w:rFonts w:eastAsia="Segoe UI" w:cs="Segoe UI" w:ascii="Segoe UI" w:hAnsi="Segoe UI"/>
          <w:color w:val="101820"/>
          <w:sz w:val="21"/>
        </w:rPr>
        <w:t xml:space="preserve">: </w:t>
      </w:r>
      <w:r>
        <w:rPr>
          <w:rFonts w:eastAsia="Segoe UI" w:cs="Segoe UI" w:ascii="Segoe UI" w:hAnsi="Segoe UI"/>
          <w:b/>
          <w:color w:val="101820"/>
          <w:sz w:val="21"/>
        </w:rPr>
        <w:t>Processing (service message)</w:t>
      </w:r>
      <w:r>
        <w:rPr>
          <w:rFonts w:eastAsia="Segoe UI" w:cs="Segoe UI" w:ascii="Segoe UI" w:hAnsi="Segoe UI"/>
          <w:color w:val="101820"/>
          <w:sz w:val="21"/>
        </w:rPr>
        <w:t xml:space="preserve"> for renewal notices, reminders and claim updates; </w:t>
      </w:r>
      <w:r>
        <w:rPr>
          <w:rFonts w:eastAsia="Segoe UI" w:cs="Segoe UI" w:ascii="Segoe UI" w:hAnsi="Segoe UI"/>
          <w:b/>
          <w:color w:val="101820"/>
          <w:sz w:val="21"/>
        </w:rPr>
        <w:t>Marketing</w:t>
      </w:r>
      <w:r>
        <w:rPr>
          <w:rFonts w:eastAsia="Segoe UI" w:cs="Segoe UI" w:ascii="Segoe UI" w:hAnsi="Segoe UI"/>
          <w:color w:val="101820"/>
          <w:sz w:val="21"/>
        </w:rPr>
        <w:t xml:space="preserve"> for promotions; </w:t>
      </w:r>
      <w:r>
        <w:rPr>
          <w:rFonts w:eastAsia="Segoe UI" w:cs="Segoe UI" w:ascii="Segoe UI" w:hAnsi="Segoe UI"/>
          <w:b/>
          <w:color w:val="101820"/>
          <w:sz w:val="21"/>
        </w:rPr>
        <w:t>None</w:t>
      </w:r>
      <w:r>
        <w:rPr>
          <w:rFonts w:eastAsia="Segoe UI" w:cs="Segoe UI" w:ascii="Segoe UI" w:hAnsi="Segoe UI"/>
          <w:color w:val="101820"/>
          <w:sz w:val="21"/>
        </w:rPr>
        <w:t xml:space="preserve"> only for messages that need no consent.</w:t>
      </w:r>
    </w:p>
    <w:p>
      <w:pPr>
        <w:pStyle w:val="Normal"/>
        <w:numPr>
          <w:ilvl w:val="0"/>
          <w:numId w:val="21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Connector</w:t>
      </w:r>
      <w:r>
        <w:rPr>
          <w:rFonts w:eastAsia="Segoe UI" w:cs="Segoe UI" w:ascii="Segoe UI" w:hAnsi="Segoe UI"/>
          <w:color w:val="101820"/>
          <w:sz w:val="21"/>
        </w:rPr>
        <w:t xml:space="preserve"> empty to use the default connector of the channel, or choose another one.</w:t>
      </w:r>
    </w:p>
    <w:p>
      <w:pPr>
        <w:pStyle w:val="Normal"/>
        <w:numPr>
          <w:ilvl w:val="0"/>
          <w:numId w:val="213"/>
        </w:numPr>
        <w:spacing w:before="0" w:after="60"/>
        <w:rPr/>
      </w:pPr>
      <w:r>
        <w:rPr>
          <w:rFonts w:eastAsia="Segoe UI" w:cs="Segoe UI" w:ascii="Segoe UI" w:hAnsi="Segoe UI"/>
          <w:color w:val="101820"/>
          <w:sz w:val="21"/>
        </w:rPr>
        <w:t xml:space="preserve">Save. </w:t>
      </w:r>
      <w:r>
        <w:rPr>
          <w:rFonts w:eastAsia="Segoe UI" w:cs="Segoe UI" w:ascii="Segoe UI" w:hAnsi="Segoe UI"/>
          <w:b/>
          <w:color w:val="101820"/>
          <w:sz w:val="21"/>
        </w:rPr>
        <w:t>Send a test</w:t>
      </w:r>
      <w:r>
        <w:rPr>
          <w:rFonts w:eastAsia="Segoe UI" w:cs="Segoe UI" w:ascii="Segoe UI" w:hAnsi="Segoe UI"/>
          <w:color w:val="101820"/>
          <w:sz w:val="21"/>
        </w:rPr>
        <w:t xml:space="preserve"> sends the template with example values to a mobile number you enter.</w:t>
      </w:r>
    </w:p>
    <w:p>
      <w:pPr>
        <w:pStyle w:val="Normal"/>
        <w:spacing w:lineRule="auto" w:line="276" w:before="0" w:after="120"/>
        <w:rPr/>
      </w:pPr>
      <w:r>
        <w:rPr>
          <w:rFonts w:eastAsia="Segoe UI" w:cs="Segoe UI" w:ascii="Segoe UI" w:hAnsi="Segoe UI"/>
          <w:b/>
          <w:color w:val="101820"/>
          <w:sz w:val="21"/>
        </w:rPr>
        <w:t>Consent check.</w:t>
      </w:r>
      <w:r>
        <w:rPr>
          <w:rFonts w:eastAsia="Segoe UI" w:cs="Segoe UI" w:ascii="Segoe UI" w:hAnsi="Segoe UI"/>
          <w:color w:val="101820"/>
          <w:sz w:val="21"/>
        </w:rPr>
        <w:t xml:space="preserve"> Before a message is queued the system reads the client's consents (Master &gt; Data Privacy). A marketing message needs a granted marketing consent. A service message is sent unless the client refused or withdrew consent for processing; with </w:t>
      </w:r>
      <w:r>
        <w:rPr>
          <w:rFonts w:eastAsia="Consolas" w:cs="Consolas" w:ascii="Consolas" w:hAnsi="Consolas"/>
          <w:color w:val="101820"/>
          <w:sz w:val="19"/>
        </w:rPr>
        <w:t>messaging.service_consent</w:t>
      </w:r>
      <w:r>
        <w:rPr>
          <w:rFonts w:eastAsia="Segoe UI" w:cs="Segoe UI" w:ascii="Segoe UI" w:hAnsi="Segoe UI"/>
          <w:color w:val="101820"/>
          <w:sz w:val="21"/>
        </w:rPr>
        <w:t xml:space="preserve"> set to </w:t>
      </w:r>
      <w:r>
        <w:rPr>
          <w:rFonts w:eastAsia="Consolas" w:cs="Consolas" w:ascii="Consolas" w:hAnsi="Consolas"/>
          <w:color w:val="101820"/>
          <w:sz w:val="19"/>
        </w:rPr>
        <w:t>opt-in</w:t>
      </w:r>
      <w:r>
        <w:rPr>
          <w:rFonts w:eastAsia="Segoe UI" w:cs="Segoe UI" w:ascii="Segoe UI" w:hAnsi="Segoe UI"/>
          <w:color w:val="101820"/>
          <w:sz w:val="21"/>
        </w:rPr>
        <w:t xml:space="preserve"> it needs a granted consent. A message that fails the check, or a client without a valid mobile number, is recorded in the outbox as </w:t>
      </w:r>
      <w:r>
        <w:rPr>
          <w:rFonts w:eastAsia="Segoe UI" w:cs="Segoe UI" w:ascii="Segoe UI" w:hAnsi="Segoe UI"/>
          <w:b/>
          <w:color w:val="101820"/>
          <w:sz w:val="21"/>
        </w:rPr>
        <w:t>Not sent</w:t>
      </w:r>
      <w:r>
        <w:rPr>
          <w:rFonts w:eastAsia="Segoe UI" w:cs="Segoe UI" w:ascii="Segoe UI" w:hAnsi="Segoe UI"/>
          <w:color w:val="101820"/>
          <w:sz w:val="21"/>
        </w:rPr>
        <w:t xml:space="preserve"> with the reason.</w:t>
      </w:r>
    </w:p>
    <w:p>
      <w:pPr>
        <w:pStyle w:val="Normal"/>
        <w:spacing w:lineRule="auto" w:line="276" w:before="0" w:after="120"/>
        <w:rPr/>
      </w:pPr>
      <w:r>
        <w:rPr>
          <w:rFonts w:eastAsia="Segoe UI" w:cs="Segoe UI" w:ascii="Segoe UI" w:hAnsi="Segoe UI"/>
          <w:color w:val="101820"/>
          <w:sz w:val="21"/>
        </w:rPr>
        <w:t xml:space="preserve">The jobs </w:t>
      </w:r>
      <w:r>
        <w:rPr>
          <w:rFonts w:eastAsia="Consolas" w:cs="Consolas" w:ascii="Consolas" w:hAnsi="Consolas"/>
          <w:color w:val="101820"/>
          <w:sz w:val="19"/>
        </w:rPr>
        <w:t>sms-renewal-notices</w:t>
      </w:r>
      <w:r>
        <w:rPr>
          <w:rFonts w:eastAsia="Segoe UI" w:cs="Segoe UI" w:ascii="Segoe UI" w:hAnsi="Segoe UI"/>
          <w:color w:val="101820"/>
          <w:sz w:val="21"/>
        </w:rPr>
        <w:t xml:space="preserve"> and </w:t>
      </w:r>
      <w:r>
        <w:rPr>
          <w:rFonts w:eastAsia="Consolas" w:cs="Consolas" w:ascii="Consolas" w:hAnsi="Consolas"/>
          <w:color w:val="101820"/>
          <w:sz w:val="19"/>
        </w:rPr>
        <w:t>sms-payment-reminders</w:t>
      </w:r>
      <w:r>
        <w:rPr>
          <w:rFonts w:eastAsia="Segoe UI" w:cs="Segoe UI" w:ascii="Segoe UI" w:hAnsi="Segoe UI"/>
          <w:color w:val="101820"/>
          <w:sz w:val="21"/>
        </w:rPr>
        <w:t xml:space="preserve"> are delivered switched off: switch them on in Master &gt; Schedules when the SMS connector is live. Each notice is sent once per policy and day; running a job again sends nothing twice. The </w:t>
      </w:r>
      <w:r>
        <w:rPr>
          <w:rFonts w:eastAsia="Segoe UI" w:cs="Segoe UI" w:ascii="Segoe UI" w:hAnsi="Segoe UI"/>
          <w:b/>
          <w:color w:val="101820"/>
          <w:sz w:val="21"/>
        </w:rPr>
        <w:t>Messages sent</w:t>
      </w:r>
      <w:r>
        <w:rPr>
          <w:rFonts w:eastAsia="Segoe UI" w:cs="Segoe UI" w:ascii="Segoe UI" w:hAnsi="Segoe UI"/>
          <w:color w:val="101820"/>
          <w:sz w:val="21"/>
        </w:rPr>
        <w:t xml:space="preserve"> tab lists every SMS and Viber message.</w:t>
      </w:r>
    </w:p>
    <w:p>
      <w:pPr>
        <w:pStyle w:val="Heading2"/>
        <w:rPr/>
      </w:pPr>
      <w:bookmarkStart w:id="38" w:name="__RefHeading___Toc24344_3350804041"/>
      <w:bookmarkEnd w:id="38"/>
      <w:r>
        <w:rPr>
          <w:rFonts w:eastAsia="Segoe UI" w:cs="Segoe UI"/>
          <w:b/>
          <w:color w:val="0F4761"/>
          <w:sz w:val="26"/>
        </w:rPr>
        <w:t>6.14  Insurer integration</w:t>
      </w:r>
    </w:p>
    <w:p>
      <w:pPr>
        <w:pStyle w:val="Normal"/>
        <w:spacing w:lineRule="auto" w:line="276" w:before="0" w:after="120"/>
        <w:rPr/>
      </w:pPr>
      <w:r>
        <w:rPr>
          <w:rFonts w:eastAsia="Segoe UI" w:cs="Segoe UI" w:ascii="Segoe UI" w:hAnsi="Segoe UI"/>
          <w:color w:val="101820"/>
          <w:sz w:val="21"/>
        </w:rPr>
        <w:t>Master &gt; System &gt; Insurer Integration connects BrokerVerse to the insurers' systems.</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&gt; Insurer Integration</w:t>
      </w:r>
    </w:p>
    <w:p>
      <w:pPr>
        <w:pStyle w:val="Normal"/>
        <w:spacing w:lineRule="auto" w:line="276" w:before="0" w:after="120"/>
        <w:rPr/>
      </w:pPr>
      <w:r>
        <w:rPr>
          <w:rFonts w:eastAsia="Segoe UI" w:cs="Segoe UI" w:ascii="Segoe UI" w:hAnsi="Segoe UI"/>
          <w:b/>
          <w:color w:val="101820"/>
          <w:sz w:val="21"/>
        </w:rPr>
        <w:t>Mappings.</w:t>
      </w:r>
      <w:r>
        <w:rPr>
          <w:rFonts w:eastAsia="Segoe UI" w:cs="Segoe UI" w:ascii="Segoe UI" w:hAnsi="Segoe UI"/>
          <w:color w:val="101820"/>
          <w:sz w:val="21"/>
        </w:rPr>
        <w:t xml:space="preserve"> Select </w:t>
      </w:r>
      <w:r>
        <w:rPr>
          <w:rFonts w:eastAsia="Segoe UI" w:cs="Segoe UI" w:ascii="Segoe UI" w:hAnsi="Segoe UI"/>
          <w:b/>
          <w:color w:val="101820"/>
          <w:sz w:val="21"/>
        </w:rPr>
        <w:t>New mapping</w:t>
      </w:r>
      <w:r>
        <w:rPr>
          <w:rFonts w:eastAsia="Segoe UI" w:cs="Segoe UI" w:ascii="Segoe UI" w:hAnsi="Segoe UI"/>
          <w:color w:val="101820"/>
          <w:sz w:val="21"/>
        </w:rPr>
        <w:t xml:space="preserve"> (or the pencil of an insurer):</w:t>
      </w:r>
    </w:p>
    <w:p>
      <w:pPr>
        <w:pStyle w:val="Normal"/>
        <w:numPr>
          <w:ilvl w:val="0"/>
          <w:numId w:val="2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and the </w:t>
      </w:r>
      <w:r>
        <w:rPr>
          <w:rFonts w:eastAsia="Segoe UI" w:cs="Segoe UI" w:ascii="Segoe UI" w:hAnsi="Segoe UI"/>
          <w:b/>
          <w:color w:val="101820"/>
          <w:sz w:val="21"/>
        </w:rPr>
        <w:t>Connector</w:t>
      </w:r>
      <w:r>
        <w:rPr>
          <w:rFonts w:eastAsia="Segoe UI" w:cs="Segoe UI" w:ascii="Segoe UI" w:hAnsi="Segoe UI"/>
          <w:color w:val="101820"/>
          <w:sz w:val="21"/>
        </w:rPr>
        <w:t xml:space="preserve"> (INSURER_API, or a copy of it for an insurer or aggregator with its own endpoint and keys).</w:t>
      </w:r>
    </w:p>
    <w:p>
      <w:pPr>
        <w:pStyle w:val="Normal"/>
        <w:numPr>
          <w:ilvl w:val="0"/>
          <w:numId w:val="21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Broker code at the insurer</w:t>
      </w:r>
      <w:r>
        <w:rPr>
          <w:rFonts w:eastAsia="Segoe UI" w:cs="Segoe UI" w:ascii="Segoe UI" w:hAnsi="Segoe UI"/>
          <w:color w:val="101820"/>
          <w:sz w:val="21"/>
        </w:rPr>
        <w:t xml:space="preserve"> and the </w:t>
      </w:r>
      <w:r>
        <w:rPr>
          <w:rFonts w:eastAsia="Segoe UI" w:cs="Segoe UI" w:ascii="Segoe UI" w:hAnsi="Segoe UI"/>
          <w:b/>
          <w:color w:val="101820"/>
          <w:sz w:val="21"/>
        </w:rPr>
        <w:t>Product codes</w:t>
      </w:r>
      <w:r>
        <w:rPr>
          <w:rFonts w:eastAsia="Segoe UI" w:cs="Segoe UI" w:ascii="Segoe UI" w:hAnsi="Segoe UI"/>
          <w:color w:val="101820"/>
          <w:sz w:val="21"/>
        </w:rPr>
        <w:t xml:space="preserve"> (for example </w:t>
      </w:r>
      <w:r>
        <w:rPr>
          <w:rFonts w:eastAsia="Consolas" w:cs="Consolas" w:ascii="Consolas" w:hAnsi="Consolas"/>
          <w:color w:val="101820"/>
          <w:sz w:val="19"/>
        </w:rPr>
        <w:t>{"MOTOR": "PC", "FIRE": "FI"}</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b/>
          <w:color w:val="101820"/>
          <w:sz w:val="21"/>
        </w:rPr>
        <w:t>Issuance request map</w:t>
      </w:r>
      <w:r>
        <w:rPr>
          <w:rFonts w:eastAsia="Segoe UI" w:cs="Segoe UI" w:ascii="Segoe UI" w:hAnsi="Segoe UI"/>
          <w:color w:val="101820"/>
          <w:sz w:val="21"/>
        </w:rPr>
        <w:t xml:space="preserve">: the fields the insurer expects and where each comes from in the policy (for example </w:t>
      </w:r>
      <w:r>
        <w:rPr>
          <w:rFonts w:eastAsia="Consolas" w:cs="Consolas" w:ascii="Consolas" w:hAnsi="Consolas"/>
          <w:color w:val="101820"/>
          <w:sz w:val="19"/>
        </w:rPr>
        <w:t>"insuredName": "insuredName"</w:t>
      </w:r>
      <w:r>
        <w:rPr>
          <w:rFonts w:eastAsia="Segoe UI" w:cs="Segoe UI" w:ascii="Segoe UI" w:hAnsi="Segoe UI"/>
          <w:color w:val="101820"/>
          <w:sz w:val="21"/>
        </w:rPr>
        <w:t xml:space="preserve">, </w:t>
      </w:r>
      <w:r>
        <w:rPr>
          <w:rFonts w:eastAsia="Consolas" w:cs="Consolas" w:ascii="Consolas" w:hAnsi="Consolas"/>
          <w:color w:val="101820"/>
          <w:sz w:val="19"/>
        </w:rPr>
        <w:t>"plate": "vehicle.plateNumber"</w:t>
      </w:r>
      <w:r>
        <w:rPr>
          <w:rFonts w:eastAsia="Segoe UI" w:cs="Segoe UI" w:ascii="Segoe UI" w:hAnsi="Segoe UI"/>
          <w:color w:val="101820"/>
          <w:sz w:val="21"/>
        </w:rPr>
        <w:t xml:space="preserve">, </w:t>
      </w:r>
      <w:r>
        <w:rPr>
          <w:rFonts w:eastAsia="Consolas" w:cs="Consolas" w:ascii="Consolas" w:hAnsi="Consolas"/>
          <w:color w:val="101820"/>
          <w:sz w:val="19"/>
        </w:rPr>
        <w:t>"agent": "{{brokerCode}}"</w:t>
      </w:r>
      <w:r>
        <w:rPr>
          <w:rFonts w:eastAsia="Segoe UI" w:cs="Segoe UI" w:ascii="Segoe UI" w:hAnsi="Segoe UI"/>
          <w:color w:val="101820"/>
          <w:sz w:val="21"/>
        </w:rPr>
        <w:t>). Empty: the default map shown under the fields.</w:t>
      </w:r>
    </w:p>
    <w:p>
      <w:pPr>
        <w:pStyle w:val="Normal"/>
        <w:numPr>
          <w:ilvl w:val="0"/>
          <w:numId w:val="217"/>
        </w:numPr>
        <w:spacing w:before="0" w:after="60"/>
        <w:rPr/>
      </w:pPr>
      <w:r>
        <w:rPr>
          <w:rFonts w:eastAsia="Segoe UI" w:cs="Segoe UI" w:ascii="Segoe UI" w:hAnsi="Segoe UI"/>
          <w:b/>
          <w:color w:val="101820"/>
          <w:sz w:val="21"/>
        </w:rPr>
        <w:t>Answer map</w:t>
      </w:r>
      <w:r>
        <w:rPr>
          <w:rFonts w:eastAsia="Segoe UI" w:cs="Segoe UI" w:ascii="Segoe UI" w:hAnsi="Segoe UI"/>
          <w:color w:val="101820"/>
          <w:sz w:val="21"/>
        </w:rPr>
        <w:t xml:space="preserve">: where the insurer's answer holds the policy number, status and premium (for example </w:t>
      </w:r>
      <w:r>
        <w:rPr>
          <w:rFonts w:eastAsia="Consolas" w:cs="Consolas" w:ascii="Consolas" w:hAnsi="Consolas"/>
          <w:color w:val="101820"/>
          <w:sz w:val="19"/>
        </w:rPr>
        <w:t>"policyNumber": "data.policyNo"</w:t>
      </w:r>
      <w:r>
        <w:rPr>
          <w:rFonts w:eastAsia="Segoe UI" w:cs="Segoe UI" w:ascii="Segoe UI" w:hAnsi="Segoe UI"/>
          <w:color w:val="101820"/>
          <w:sz w:val="21"/>
        </w:rPr>
        <w:t>).</w:t>
      </w:r>
    </w:p>
    <w:p>
      <w:pPr>
        <w:pStyle w:val="Normal"/>
        <w:numPr>
          <w:ilvl w:val="0"/>
          <w:numId w:val="218"/>
        </w:numPr>
        <w:spacing w:before="0" w:after="60"/>
        <w:rPr/>
      </w:pPr>
      <w:r>
        <w:rPr>
          <w:rFonts w:eastAsia="Segoe UI" w:cs="Segoe UI" w:ascii="Segoe UI" w:hAnsi="Segoe UI"/>
          <w:b/>
          <w:color w:val="101820"/>
          <w:sz w:val="21"/>
        </w:rPr>
        <w:t>Claim statuses</w:t>
      </w:r>
      <w:r>
        <w:rPr>
          <w:rFonts w:eastAsia="Segoe UI" w:cs="Segoe UI" w:ascii="Segoe UI" w:hAnsi="Segoe UI"/>
          <w:color w:val="101820"/>
          <w:sz w:val="21"/>
        </w:rPr>
        <w:t xml:space="preserve">: how the insurer's statuses read in BrokerVerse (for example </w:t>
      </w:r>
      <w:r>
        <w:rPr>
          <w:rFonts w:eastAsia="Consolas" w:cs="Consolas" w:ascii="Consolas" w:hAnsi="Consolas"/>
          <w:color w:val="101820"/>
          <w:sz w:val="19"/>
        </w:rPr>
        <w:t>"UNDER EVALUATION": "In review"</w:t>
      </w:r>
      <w:r>
        <w:rPr>
          <w:rFonts w:eastAsia="Segoe UI" w:cs="Segoe UI" w:ascii="Segoe UI" w:hAnsi="Segoe UI"/>
          <w:color w:val="101820"/>
          <w:sz w:val="21"/>
        </w:rPr>
        <w:t>).</w:t>
      </w:r>
    </w:p>
    <w:p>
      <w:pPr>
        <w:pStyle w:val="Normal"/>
        <w:numPr>
          <w:ilvl w:val="0"/>
          <w:numId w:val="219"/>
        </w:numPr>
        <w:spacing w:before="0" w:after="60"/>
        <w:rPr/>
      </w:pPr>
      <w:r>
        <w:rPr>
          <w:rFonts w:eastAsia="Segoe UI" w:cs="Segoe UI" w:ascii="Segoe UI" w:hAnsi="Segoe UI"/>
          <w:b/>
          <w:color w:val="101820"/>
          <w:sz w:val="21"/>
        </w:rPr>
        <w:t>Send the issuance request when a policy is issued</w:t>
      </w:r>
      <w:r>
        <w:rPr>
          <w:rFonts w:eastAsia="Segoe UI" w:cs="Segoe UI" w:ascii="Segoe UI" w:hAnsi="Segoe UI"/>
          <w:color w:val="101820"/>
          <w:sz w:val="21"/>
        </w:rPr>
        <w:t xml:space="preserve"> sends the request automatically at issue.</w:t>
      </w:r>
    </w:p>
    <w:p>
      <w:pPr>
        <w:pStyle w:val="Normal"/>
        <w:numPr>
          <w:ilvl w:val="0"/>
          <w:numId w:val="220"/>
        </w:numPr>
        <w:spacing w:before="0" w:after="60"/>
        <w:rPr/>
      </w:pPr>
      <w:r>
        <w:rPr>
          <w:rFonts w:eastAsia="Segoe UI" w:cs="Segoe UI" w:ascii="Segoe UI" w:hAnsi="Segoe UI"/>
          <w:color w:val="101820"/>
          <w:sz w:val="21"/>
        </w:rPr>
        <w:t xml:space="preserve">Enter a policy number and 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request exactly as the insurer will receive it. Save.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w:t>
      </w:r>
      <w:r>
        <w:rPr>
          <w:rFonts w:eastAsia="Segoe UI" w:cs="Segoe UI" w:ascii="Segoe UI" w:hAnsi="Segoe UI"/>
          <w:b/>
          <w:color w:val="101820"/>
          <w:sz w:val="21"/>
        </w:rPr>
        <w:t>New request</w:t>
      </w:r>
      <w:r>
        <w:rPr>
          <w:rFonts w:eastAsia="Segoe UI" w:cs="Segoe UI" w:ascii="Segoe UI" w:hAnsi="Segoe UI"/>
          <w:color w:val="101820"/>
          <w:sz w:val="21"/>
        </w:rPr>
        <w:t xml:space="preserve"> sends a </w:t>
      </w:r>
      <w:r>
        <w:rPr>
          <w:rFonts w:eastAsia="Segoe UI" w:cs="Segoe UI" w:ascii="Segoe UI" w:hAnsi="Segoe UI"/>
          <w:b/>
          <w:color w:val="101820"/>
          <w:sz w:val="21"/>
        </w:rPr>
        <w:t>Policy issuance</w:t>
      </w:r>
      <w:r>
        <w:rPr>
          <w:rFonts w:eastAsia="Segoe UI" w:cs="Segoe UI" w:ascii="Segoe UI" w:hAnsi="Segoe UI"/>
          <w:color w:val="101820"/>
          <w:sz w:val="21"/>
        </w:rPr>
        <w:t xml:space="preserve"> (the insurer's policy number is stored on the policy and printed on the schedule), </w:t>
      </w:r>
      <w:r>
        <w:rPr>
          <w:rFonts w:eastAsia="Segoe UI" w:cs="Segoe UI" w:ascii="Segoe UI" w:hAnsi="Segoe UI"/>
          <w:b/>
          <w:color w:val="101820"/>
          <w:sz w:val="21"/>
        </w:rPr>
        <w:t>Policy and premium data</w:t>
      </w:r>
      <w:r>
        <w:rPr>
          <w:rFonts w:eastAsia="Segoe UI" w:cs="Segoe UI" w:ascii="Segoe UI" w:hAnsi="Segoe UI"/>
          <w:color w:val="101820"/>
          <w:sz w:val="21"/>
        </w:rPr>
        <w:t xml:space="preserve"> (the insurer's premium and status are stored on the policy; a difference above </w:t>
      </w:r>
      <w:r>
        <w:rPr>
          <w:rFonts w:eastAsia="Consolas" w:cs="Consolas" w:ascii="Consolas" w:hAnsi="Consolas"/>
          <w:color w:val="101820"/>
          <w:sz w:val="19"/>
        </w:rPr>
        <w:t>insurer_integration.premium_tolerance</w:t>
      </w:r>
      <w:r>
        <w:rPr>
          <w:rFonts w:eastAsia="Segoe UI" w:cs="Segoe UI" w:ascii="Segoe UI" w:hAnsi="Segoe UI"/>
          <w:color w:val="101820"/>
          <w:sz w:val="21"/>
        </w:rPr>
        <w:t xml:space="preserve"> is flagged) or a </w:t>
      </w:r>
      <w:r>
        <w:rPr>
          <w:rFonts w:eastAsia="Segoe UI" w:cs="Segoe UI" w:ascii="Segoe UI" w:hAnsi="Segoe UI"/>
          <w:b/>
          <w:color w:val="101820"/>
          <w:sz w:val="21"/>
        </w:rPr>
        <w:t>Claim status</w:t>
      </w:r>
      <w:r>
        <w:rPr>
          <w:rFonts w:eastAsia="Segoe UI" w:cs="Segoe UI" w:ascii="Segoe UI" w:hAnsi="Segoe UI"/>
          <w:color w:val="101820"/>
          <w:sz w:val="21"/>
        </w:rPr>
        <w:t xml:space="preserve"> (stored on the claim with a line in its history). The list shows each request with the insurer's answer.</w:t>
      </w:r>
    </w:p>
    <w:p>
      <w:pPr>
        <w:pStyle w:val="Normal"/>
        <w:spacing w:lineRule="auto" w:line="276" w:before="0" w:after="120"/>
        <w:rPr/>
      </w:pPr>
      <w:r>
        <w:rPr>
          <w:rFonts w:eastAsia="Segoe UI" w:cs="Segoe UI" w:ascii="Segoe UI" w:hAnsi="Segoe UI"/>
          <w:b/>
          <w:color w:val="101820"/>
          <w:sz w:val="21"/>
        </w:rPr>
        <w:t>Claim status file.</w:t>
      </w:r>
      <w:r>
        <w:rPr>
          <w:rFonts w:eastAsia="Segoe UI" w:cs="Segoe UI" w:ascii="Segoe UI" w:hAnsi="Segoe UI"/>
          <w:color w:val="101820"/>
          <w:sz w:val="21"/>
        </w:rPr>
        <w:t xml:space="preserve"> When an insurer has no API, import its claim status list as CSV with the columns Claim Number, Status, Remarks and Status Date: each row updates the claim through the inbox, and the result per row is shown. Premium and policy data by file go through the insurer statement import (Accounts &gt; Insurer Reconciliation).</w:t>
      </w:r>
    </w:p>
    <w:p>
      <w:pPr>
        <w:pStyle w:val="Heading2"/>
        <w:rPr/>
      </w:pPr>
      <w:bookmarkStart w:id="39" w:name="__RefHeading___Toc24346_3350804041"/>
      <w:bookmarkEnd w:id="39"/>
      <w:r>
        <w:rPr>
          <w:rFonts w:eastAsia="Segoe UI" w:cs="Segoe UI"/>
          <w:b/>
          <w:color w:val="0F4761"/>
          <w:sz w:val="26"/>
        </w:rPr>
        <w:t>6.15  Audit Trail</w:t>
      </w:r>
    </w:p>
    <w:p>
      <w:pPr>
        <w:pStyle w:val="Normal"/>
        <w:jc w:val="center"/>
        <w:rPr/>
      </w:pPr>
      <w:r>
        <w:rPr/>
        <w:drawing>
          <wp:inline distT="0" distB="0" distL="0" distR="0">
            <wp:extent cx="5760085" cy="446913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221"/>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22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40" w:name="__RefHeading___Toc24348_3350804041"/>
      <w:bookmarkEnd w:id="40"/>
      <w:r>
        <w:rPr>
          <w:rFonts w:eastAsia="Segoe UI" w:cs="Segoe UI"/>
          <w:b/>
          <w:color w:val="0F4761"/>
          <w:sz w:val="26"/>
        </w:rPr>
        <w:t>6.16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Data Privacy &gt; Data Subject Requests</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2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225"/>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227"/>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2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Normal"/>
        <w:spacing w:lineRule="auto" w:line="276" w:before="0" w:after="120"/>
        <w:rPr/>
      </w:pPr>
      <w:r>
        <w:rPr>
          <w:rFonts w:eastAsia="Segoe UI" w:cs="Segoe UI" w:ascii="Segoe UI" w:hAnsi="Segoe UI"/>
          <w:b/>
          <w:color w:val="101820"/>
          <w:sz w:val="21"/>
        </w:rPr>
        <w:t>Masking of personal identifiers.</w:t>
      </w:r>
      <w:r>
        <w:rPr>
          <w:rFonts w:eastAsia="Segoe UI" w:cs="Segoe UI" w:ascii="Segoe UI" w:hAnsi="Segoe UI"/>
          <w:color w:val="101820"/>
          <w:sz w:val="21"/>
        </w:rPr>
        <w:t xml:space="preserve"> A user whose role does not hold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sees TIN, government ID numbers, mobile numbers, e-mail addresses, bank account numbers and birth dates partially masked on every list and view, for example *</w:t>
      </w:r>
      <w:r>
        <w:rPr>
          <w:rFonts w:eastAsia="Segoe UI" w:cs="Segoe UI" w:ascii="Segoe UI" w:hAnsi="Segoe UI"/>
          <w:b/>
          <w:color w:val="101820"/>
          <w:sz w:val="21"/>
        </w:rPr>
        <w:t>-</w:t>
      </w:r>
      <w:r>
        <w:rPr>
          <w:rFonts w:eastAsia="Segoe UI" w:cs="Segoe UI" w:ascii="Segoe UI" w:hAnsi="Segoe UI"/>
          <w:color w:val="101820"/>
          <w:sz w:val="21"/>
        </w:rPr>
        <w:t>*-</w:t>
      </w:r>
      <w:r>
        <w:rPr>
          <w:rFonts w:eastAsia="Segoe UI" w:cs="Segoe UI" w:ascii="Segoe UI" w:hAnsi="Segoe UI"/>
          <w:b/>
          <w:color w:val="101820"/>
          <w:sz w:val="21"/>
        </w:rPr>
        <w:t>9-000, j</w:t>
      </w:r>
      <w:r>
        <w:rPr>
          <w:rFonts w:eastAsia="Segoe UI" w:cs="Segoe UI" w:ascii="Segoe UI" w:hAnsi="Segoe UI"/>
          <w:color w:val="101820"/>
          <w:sz w:val="21"/>
        </w:rPr>
        <w:t>*@example.ph or 1984-</w:t>
      </w:r>
      <w:r>
        <w:rPr>
          <w:rFonts w:eastAsia="Segoe UI" w:cs="Segoe UI" w:ascii="Segoe UI" w:hAnsi="Segoe UI"/>
          <w:b/>
          <w:color w:val="101820"/>
          <w:sz w:val="21"/>
        </w:rPr>
        <w:t>-</w:t>
      </w:r>
      <w:r>
        <w:rPr>
          <w:rFonts w:eastAsia="Segoe UI" w:cs="Segoe UI" w:ascii="Segoe UI" w:hAnsi="Segoe UI"/>
          <w:color w:val="101820"/>
          <w:sz w:val="21"/>
        </w:rPr>
        <w:t xml:space="preserve">, and in every Excel, CSV and PDF listing. Delivered to the System Administrator, Sales, Operations, Accounting and the Accounting Manager; Processing and Claims see masked values unless the role is given the permission (Master &gt; Users and Access &gt; Roles). A form opened with masked values keeps the stored values when it is saved. Which fields are personal comes from the personal data catalogue of the masking tool. Settings: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privacy.masking_exempt_paths</w:t>
      </w:r>
      <w:r>
        <w:rPr>
          <w:rFonts w:eastAsia="Segoe UI" w:cs="Segoe UI" w:ascii="Segoe UI" w:hAnsi="Segoe UI"/>
          <w:color w:val="101820"/>
          <w:sz w:val="21"/>
        </w:rPr>
        <w:t xml:space="preserve"> and </w:t>
      </w:r>
      <w:r>
        <w:rPr>
          <w:rFonts w:eastAsia="Consolas" w:cs="Consolas" w:ascii="Consolas" w:hAnsi="Consolas"/>
          <w:color w:val="101820"/>
          <w:sz w:val="19"/>
        </w:rPr>
        <w:t>privacy.pii_reveal_mode</w:t>
      </w:r>
      <w:r>
        <w:rPr>
          <w:rFonts w:eastAsia="Segoe UI" w:cs="Segoe UI" w:ascii="Segoe UI" w:hAnsi="Segoe UI"/>
          <w:color w:val="101820"/>
          <w:sz w:val="21"/>
        </w:rPr>
        <w:t xml:space="preserve">. With </w:t>
      </w:r>
      <w:r>
        <w:rPr>
          <w:rFonts w:eastAsia="Segoe UI" w:cs="Segoe UI" w:ascii="Segoe UI" w:hAnsi="Segoe UI"/>
          <w:b/>
          <w:color w:val="101820"/>
          <w:sz w:val="21"/>
        </w:rPr>
        <w:t>on-request</w:t>
      </w:r>
      <w:r>
        <w:rPr>
          <w:rFonts w:eastAsia="Segoe UI" w:cs="Segoe UI" w:ascii="Segoe UI" w:hAnsi="Segoe UI"/>
          <w:color w:val="101820"/>
          <w:sz w:val="21"/>
        </w:rPr>
        <w:t xml:space="preserve">, holders of the permission also see masked values until they choose </w:t>
      </w:r>
      <w:r>
        <w:rPr>
          <w:rFonts w:eastAsia="Segoe UI" w:cs="Segoe UI" w:ascii="Segoe UI" w:hAnsi="Segoe UI"/>
          <w:b/>
          <w:color w:val="101820"/>
          <w:sz w:val="21"/>
        </w:rPr>
        <w:t>Show full identifiers</w:t>
      </w:r>
      <w:r>
        <w:rPr>
          <w:rFonts w:eastAsia="Segoe UI" w:cs="Segoe UI" w:ascii="Segoe UI" w:hAnsi="Segoe UI"/>
          <w:color w:val="101820"/>
          <w:sz w:val="21"/>
        </w:rPr>
        <w:t xml:space="preserve"> in the user menu (top right; </w:t>
      </w:r>
      <w:r>
        <w:rPr>
          <w:rFonts w:eastAsia="Segoe UI" w:cs="Segoe UI" w:ascii="Segoe UI" w:hAnsi="Segoe UI"/>
          <w:b/>
          <w:color w:val="101820"/>
          <w:sz w:val="21"/>
        </w:rPr>
        <w:t>Hide full identifiers</w:t>
      </w:r>
      <w:r>
        <w:rPr>
          <w:rFonts w:eastAsia="Segoe UI" w:cs="Segoe UI" w:ascii="Segoe UI" w:hAnsi="Segoe UI"/>
          <w:color w:val="101820"/>
          <w:sz w:val="21"/>
        </w:rPr>
        <w:t xml:space="preserve"> turns it off); each screen opened with full identifiers is recorded in the audit trail (record type personal_data, action unmask).</w:t>
      </w:r>
    </w:p>
    <w:p>
      <w:pPr>
        <w:pStyle w:val="Normal"/>
        <w:spacing w:lineRule="auto" w:line="276" w:before="0" w:after="120"/>
        <w:rPr/>
      </w:pPr>
      <w:r>
        <w:rPr>
          <w:rFonts w:eastAsia="Segoe UI" w:cs="Segoe UI" w:ascii="Segoe UI" w:hAnsi="Segoe UI"/>
          <w:b/>
          <w:color w:val="101820"/>
          <w:sz w:val="21"/>
        </w:rPr>
        <w:t>Encryption at rest.</w:t>
      </w:r>
      <w:r>
        <w:rPr>
          <w:rFonts w:eastAsia="Segoe UI" w:cs="Segoe UI" w:ascii="Segoe UI" w:hAnsi="Segoe UI"/>
          <w:color w:val="101820"/>
          <w:sz w:val="21"/>
        </w:rPr>
        <w:t xml:space="preserve"> TIN, government ID numbers and bank account numbers of clients, prospects and referrers, the ID numbers captured when a policy is issued and the payee TIN of BIR Form 2307 are stored encrypted with the key of the environment (</w:t>
      </w:r>
      <w:r>
        <w:rPr>
          <w:rFonts w:eastAsia="Consolas" w:cs="Consolas" w:ascii="Consolas" w:hAnsi="Consolas"/>
          <w:color w:val="101820"/>
          <w:sz w:val="19"/>
        </w:rPr>
        <w:t>PII_ENCRYPTION_KEY</w:t>
      </w:r>
      <w:r>
        <w:rPr>
          <w:rFonts w:eastAsia="Segoe UI" w:cs="Segoe UI" w:ascii="Segoe UI" w:hAnsi="Segoe UI"/>
          <w:color w:val="101820"/>
          <w:sz w:val="21"/>
        </w:rPr>
        <w:t>). Search by an exact TIN still works (global search and the client list, in any format, with or without dashes). The key rotation is described in deploy/REFERENCE.md.</w:t>
      </w:r>
    </w:p>
    <w:p>
      <w:pPr>
        <w:pStyle w:val="Heading2"/>
        <w:rPr/>
      </w:pPr>
      <w:bookmarkStart w:id="41" w:name="__RefHeading___Toc24350_3350804041"/>
      <w:bookmarkEnd w:id="41"/>
      <w:r>
        <w:rPr>
          <w:rFonts w:eastAsia="Segoe UI" w:cs="Segoe UI"/>
          <w:b/>
          <w:color w:val="0F4761"/>
          <w:sz w:val="26"/>
        </w:rPr>
        <w:t>6.17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42" w:name="__RefHeading___Toc24352_3350804041"/>
      <w:bookmarkEnd w:id="42"/>
      <w:r>
        <w:rPr>
          <w:rFonts w:eastAsia="Segoe UI" w:cs="Segoe UI"/>
          <w:b/>
          <w:color w:val="0F4761"/>
          <w:sz w:val="26"/>
        </w:rPr>
        <w:t>6.18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43" w:name="__RefHeading___Toc24354_3350804041"/>
      <w:bookmarkEnd w:id="43"/>
      <w:r>
        <w:rPr>
          <w:rFonts w:eastAsia="Segoe UI" w:cs="Segoe UI"/>
          <w:b/>
          <w:color w:val="0F4761"/>
          <w:sz w:val="26"/>
        </w:rPr>
        <w:t>6.19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4" w:name="__RefHeading___Toc24356_3350804041"/>
      <w:bookmarkEnd w:id="44"/>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5" w:name="__RefHeading___Toc24358_3350804041"/>
      <w:bookmarkEnd w:id="45"/>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6" w:name="__RefHeading___Toc24360_3350804041"/>
      <w:bookmarkEnd w:id="46"/>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229"/>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2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7" w:name="__RefHeading___Toc24362_3350804041"/>
      <w:bookmarkEnd w:id="47"/>
      <w:r>
        <w:rPr>
          <w:rFonts w:eastAsia="Segoe UI" w:cs="Segoe UI"/>
          <w:b/>
          <w:color w:val="0F4761"/>
          <w:sz w:val="26"/>
        </w:rPr>
        <w:t>7.3  Upload and validate</w:t>
      </w:r>
    </w:p>
    <w:p>
      <w:pPr>
        <w:pStyle w:val="Normal"/>
        <w:numPr>
          <w:ilvl w:val="0"/>
          <w:numId w:val="232"/>
        </w:numPr>
        <w:spacing w:before="0" w:after="60"/>
        <w:rPr/>
      </w:pPr>
      <w:r>
        <w:rPr>
          <w:rFonts w:eastAsia="Segoe UI" w:cs="Segoe UI" w:ascii="Segoe UI" w:hAnsi="Segoe UI"/>
          <w:color w:val="101820"/>
          <w:sz w:val="21"/>
        </w:rPr>
        <w:t>Fill in the workbook and save it as .xlsx.</w:t>
      </w:r>
    </w:p>
    <w:p>
      <w:pPr>
        <w:pStyle w:val="Normal"/>
        <w:numPr>
          <w:ilvl w:val="0"/>
          <w:numId w:val="233"/>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234"/>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Users and Access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8" w:name="__RefHeading___Toc24364_3350804041"/>
      <w:bookmarkEnd w:id="48"/>
      <w:r>
        <w:rPr>
          <w:rFonts w:eastAsia="Segoe UI" w:cs="Segoe UI"/>
          <w:b/>
          <w:color w:val="0F4761"/>
          <w:sz w:val="26"/>
        </w:rPr>
        <w:t>7.4  Correct the errors</w:t>
      </w:r>
    </w:p>
    <w:p>
      <w:pPr>
        <w:pStyle w:val="Normal"/>
        <w:numPr>
          <w:ilvl w:val="0"/>
          <w:numId w:val="235"/>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236"/>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237"/>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9" w:name="__RefHeading___Toc24366_3350804041"/>
      <w:bookmarkEnd w:id="49"/>
      <w:r>
        <w:rPr>
          <w:rFonts w:eastAsia="Segoe UI" w:cs="Segoe UI"/>
          <w:b/>
          <w:color w:val="0F4761"/>
          <w:sz w:val="26"/>
        </w:rPr>
        <w:t>7.5  Load</w:t>
      </w:r>
    </w:p>
    <w:p>
      <w:pPr>
        <w:pStyle w:val="Normal"/>
        <w:numPr>
          <w:ilvl w:val="0"/>
          <w:numId w:val="238"/>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239"/>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2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50" w:name="__RefHeading___Toc24368_3350804041"/>
      <w:bookmarkEnd w:id="50"/>
      <w:r>
        <w:rPr>
          <w:rFonts w:eastAsia="Segoe UI" w:cs="Segoe UI"/>
          <w:b/>
          <w:color w:val="0F4761"/>
          <w:sz w:val="26"/>
        </w:rPr>
        <w:t>7.6  History</w:t>
      </w:r>
    </w:p>
    <w:p>
      <w:pPr>
        <w:pStyle w:val="Normal"/>
        <w:jc w:val="center"/>
        <w:rPr/>
      </w:pPr>
      <w:r>
        <w:rPr/>
        <w:drawing>
          <wp:inline distT="0" distB="0" distL="0" distR="0">
            <wp:extent cx="5760085" cy="198628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51" w:name="__RefHeading___Toc24370_3350804041"/>
      <w:bookmarkEnd w:id="51"/>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23456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223456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A line of business on the Commission Rates sheet of the configuration workbook, or on the Commission Rate Matrix screen,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 xml:space="preserve">Opening balances are the trial balance of the old system at the close of the day before the cutover date. Debits must equal credits, and the fiscal year of the cutover date must have no journal posted before it. A row with no debit and no credit (an account whose movements net to zero) is accepted and ignored, with a note above the counts. The sheet loads all or nothing: when it fails, the rows in error show their own error, the other rows are counted as </w:t>
      </w:r>
      <w:r>
        <w:rPr>
          <w:rFonts w:eastAsia="Segoe UI" w:cs="Segoe UI" w:ascii="Segoe UI" w:hAnsi="Segoe UI"/>
          <w:b/>
          <w:color w:val="101820"/>
          <w:sz w:val="21"/>
        </w:rPr>
        <w:t>Held</w:t>
      </w:r>
      <w:r>
        <w:rPr>
          <w:rFonts w:eastAsia="Segoe UI" w:cs="Segoe UI" w:ascii="Segoe UI" w:hAnsi="Segoe UI"/>
          <w:color w:val="101820"/>
          <w:sz w:val="21"/>
        </w:rPr>
        <w:t xml:space="preserve">, and one message with the row </w:t>
      </w:r>
      <w:r>
        <w:rPr>
          <w:rFonts w:eastAsia="Segoe UI" w:cs="Segoe UI" w:ascii="Segoe UI" w:hAnsi="Segoe UI"/>
          <w:b/>
          <w:color w:val="101820"/>
          <w:sz w:val="21"/>
        </w:rPr>
        <w:t>Sheet</w:t>
      </w:r>
      <w:r>
        <w:rPr>
          <w:rFonts w:eastAsia="Segoe UI" w:cs="Segoe UI" w:ascii="Segoe UI" w:hAnsi="Segoe UI"/>
          <w:color w:val="101820"/>
          <w:sz w:val="21"/>
        </w:rPr>
        <w:t xml:space="preserve"> says why nothing was loaded.</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each series at the next number the Numbering sheet set, so the sheet need not be loaded again after a reset.</w:t>
      </w:r>
    </w:p>
    <w:p>
      <w:pPr>
        <w:pStyle w:val="Normal"/>
        <w:numPr>
          <w:ilvl w:val="0"/>
          <w:numId w:val="1"/>
        </w:numPr>
        <w:spacing w:before="0" w:after="60"/>
        <w:rPr/>
      </w:pPr>
      <w:r>
        <w:rPr>
          <w:rFonts w:eastAsia="Segoe UI" w:cs="Segoe UI" w:ascii="Segoe UI" w:hAnsi="Segoe UI"/>
          <w:color w:val="101820"/>
          <w:sz w:val="21"/>
        </w:rPr>
        <w:t>An open item keeps the bill number of the old system as its bill number. Only when another bill already has that number (one debit note over several policies) does it get the next BrokerVerse invoice number; the old number is then shown with it, for example INV-2026-00011 (old system DN-OLD-77), on Add Receipt and the billing statements, and the open receivables can be searched by it.</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52" w:name="__RefHeading___Toc24372_3350804041"/>
      <w:bookmarkEnd w:id="52"/>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53" w:name="__RefHeading___Toc24374_3350804041"/>
      <w:bookmarkEnd w:id="53"/>
      <w:r>
        <w:rPr>
          <w:rFonts w:eastAsia="Segoe UI" w:cs="Segoe UI" w:ascii="Segoe UI" w:hAnsi="Segoe UI"/>
          <w:b/>
          <w:color w:val="0F4761"/>
          <w:sz w:val="32"/>
        </w:rPr>
        <w:t>8.  Sales &amp; Marketing (Account Executive)</w:t>
      </w:r>
    </w:p>
    <w:p>
      <w:pPr>
        <w:pStyle w:val="Heading2"/>
        <w:rPr/>
      </w:pPr>
      <w:bookmarkStart w:id="54" w:name="__RefHeading___Toc24376_3350804041"/>
      <w:bookmarkEnd w:id="54"/>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5" w:name="__RefHeading___Toc24378_3350804041"/>
      <w:bookmarkEnd w:id="55"/>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 (read only)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 Dealer Production);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Lead Assignment, Dealer Programmes, Comparison Reports, Campaigns, Fleet Schedules and Marine Open Covers are described in the chapter Distribution, programmes and products; Cover Notes, Policy Cancellation and CTPL Authentication in the Operations chapter; the complaints register in the chapter Compliance.</w:t>
      </w:r>
    </w:p>
    <w:p>
      <w:pPr>
        <w:pStyle w:val="Heading2"/>
        <w:rPr/>
      </w:pPr>
      <w:bookmarkStart w:id="56" w:name="__RefHeading___Toc24380_3350804041"/>
      <w:bookmarkEnd w:id="56"/>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 log every call, meeting, e-mail and visit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Sales Activities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the client the comparison of the insurers' offers; follow up the campaigns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 Campaigns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7" w:name="__RefHeading___Toc24382_3350804041"/>
      <w:bookmarkEnd w:id="57"/>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8" w:name="__RefHeading___Toc24384_3350804041"/>
      <w:bookmarkEnd w:id="58"/>
      <w:r>
        <w:rPr>
          <w:rFonts w:eastAsia="Segoe UI" w:cs="Segoe UI"/>
          <w:b/>
          <w:color w:val="0F4761"/>
          <w:sz w:val="26"/>
        </w:rPr>
        <w:t>8.5  Prospects</w:t>
      </w:r>
    </w:p>
    <w:p>
      <w:pPr>
        <w:pStyle w:val="Normal"/>
        <w:jc w:val="center"/>
        <w:rPr/>
      </w:pPr>
      <w:r>
        <w:rPr/>
        <w:drawing>
          <wp:inline distT="0" distB="0" distL="0" distR="0">
            <wp:extent cx="5760085" cy="446913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2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242"/>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243"/>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244"/>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446913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40258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540258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8"/>
        <w:gridCol w:w="1617"/>
        <w:gridCol w:w="3699"/>
      </w:tblGrid>
      <w:tr>
        <w:trPr>
          <w:tblHeader w:val="true"/>
        </w:trPr>
        <w:tc>
          <w:tcPr>
            <w:tcW w:w="36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6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(Region optional)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PSGC address masters; choose the country first (Philippines by default), then the region or the province, then the city or municipality, then the barangay.</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 filled in from the barangay or city when known.</w:t>
            </w:r>
          </w:p>
        </w:tc>
      </w:tr>
      <w:tr>
        <w:trPr/>
        <w:tc>
          <w:tcPr>
            <w:tcW w:w="36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 Unit No.</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Street / Subdivision</w:t>
            </w:r>
          </w:p>
        </w:tc>
        <w:tc>
          <w:tcPr>
            <w:tcW w:w="16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 / Unit No. yes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xml:space="preserve">) on a prospect row.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2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2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4335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43350"/>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9" w:name="__RefHeading___Toc24386_3350804041"/>
      <w:bookmarkEnd w:id="59"/>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1417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16141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60" w:name="__RefHeading___Toc24388_3350804041"/>
      <w:bookmarkEnd w:id="60"/>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249"/>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0"/>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1"/>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2"/>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53"/>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461635"/>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those of the product template (Acts of Nature, excess Bodily Injury and Property Damage, Roadside Assistance, Personal Accident and Auto Passenger PA, limit per person x seats covered, with the delivered template; see Covers and risk details of the product below).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3"/>
        <w:rPr/>
      </w:pPr>
      <w:r>
        <w:rPr>
          <w:rFonts w:eastAsia="Segoe UI" w:cs="Segoe UI"/>
          <w:b/>
          <w:color w:val="0F4761"/>
          <w:sz w:val="23"/>
        </w:rPr>
        <w:t>8.7.1  Covers and risk details of the product</w:t>
      </w:r>
    </w:p>
    <w:p>
      <w:pPr>
        <w:pStyle w:val="Normal"/>
        <w:spacing w:lineRule="auto" w:line="276" w:before="0" w:after="120"/>
        <w:rPr/>
      </w:pPr>
      <w:r>
        <w:rPr>
          <w:rFonts w:eastAsia="Segoe UI" w:cs="Segoe UI" w:ascii="Segoe UI" w:hAnsi="Segoe UI"/>
          <w:color w:val="101820"/>
          <w:sz w:val="21"/>
        </w:rPr>
        <w:t xml:space="preserve">The quotation follows the product template that governs it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Product Configurator &gt; Product Templates).</w:t>
      </w:r>
    </w:p>
    <w:p>
      <w:pPr>
        <w:pStyle w:val="Normal"/>
        <w:spacing w:lineRule="auto" w:line="276" w:before="0" w:after="120"/>
        <w:rPr/>
      </w:pPr>
      <w:r>
        <w:rPr>
          <w:rFonts w:eastAsia="Segoe UI" w:cs="Segoe UI" w:ascii="Segoe UI" w:hAnsi="Segoe UI"/>
          <w:b/>
          <w:color w:val="101820"/>
          <w:sz w:val="21"/>
        </w:rPr>
        <w:t>Risk details for the product rules</w:t>
      </w:r>
      <w:r>
        <w:rPr>
          <w:rFonts w:eastAsia="Segoe UI" w:cs="Segoe UI" w:ascii="Segoe UI" w:hAnsi="Segoe UI"/>
          <w:color w:val="101820"/>
          <w:sz w:val="21"/>
        </w:rPr>
        <w:t xml:space="preserve"> (step 1, below the vehicle): the wizard asks for the details the template's acceptance rules and rating factors test, so that every rule is checked when the quotation is priced. With the delivered motor template these are the </w:t>
      </w:r>
      <w:r>
        <w:rPr>
          <w:rFonts w:eastAsia="Segoe UI" w:cs="Segoe UI" w:ascii="Segoe UI" w:hAnsi="Segoe UI"/>
          <w:b/>
          <w:color w:val="101820"/>
          <w:sz w:val="21"/>
        </w:rPr>
        <w:t>Driver's date of birth</w:t>
      </w:r>
      <w:r>
        <w:rPr>
          <w:rFonts w:eastAsia="Segoe UI" w:cs="Segoe UI" w:ascii="Segoe UI" w:hAnsi="Segoe UI"/>
          <w:color w:val="101820"/>
          <w:sz w:val="21"/>
        </w:rPr>
        <w:t xml:space="preserve"> (the driver age is computed from it), </w:t>
      </w:r>
      <w:r>
        <w:rPr>
          <w:rFonts w:eastAsia="Segoe UI" w:cs="Segoe UI" w:ascii="Segoe UI" w:hAnsi="Segoe UI"/>
          <w:b/>
          <w:color w:val="101820"/>
          <w:sz w:val="21"/>
        </w:rPr>
        <w:t>Claims in the last 3 years</w:t>
      </w:r>
      <w:r>
        <w:rPr>
          <w:rFonts w:eastAsia="Segoe UI" w:cs="Segoe UI" w:ascii="Segoe UI" w:hAnsi="Segoe UI"/>
          <w:color w:val="101820"/>
          <w:sz w:val="21"/>
        </w:rPr>
        <w:t xml:space="preserve">, </w:t>
      </w:r>
      <w:r>
        <w:rPr>
          <w:rFonts w:eastAsia="Segoe UI" w:cs="Segoe UI" w:ascii="Segoe UI" w:hAnsi="Segoe UI"/>
          <w:b/>
          <w:color w:val="101820"/>
          <w:sz w:val="21"/>
        </w:rPr>
        <w:t>Fair market value of the vehicle</w:t>
      </w:r>
      <w:r>
        <w:rPr>
          <w:rFonts w:eastAsia="Segoe UI" w:cs="Segoe UI" w:ascii="Segoe UI" w:hAnsi="Segoe UI"/>
          <w:color w:val="101820"/>
          <w:sz w:val="21"/>
        </w:rPr>
        <w:t xml:space="preserve">, </w:t>
      </w:r>
      <w:r>
        <w:rPr>
          <w:rFonts w:eastAsia="Segoe UI" w:cs="Segoe UI" w:ascii="Segoe UI" w:hAnsi="Segoe UI"/>
          <w:b/>
          <w:color w:val="101820"/>
          <w:sz w:val="21"/>
        </w:rPr>
        <w:t>The vehicle has modifications</w:t>
      </w:r>
      <w:r>
        <w:rPr>
          <w:rFonts w:eastAsia="Segoe UI" w:cs="Segoe UI" w:ascii="Segoe UI" w:hAnsi="Segoe UI"/>
          <w:color w:val="101820"/>
          <w:sz w:val="21"/>
        </w:rPr>
        <w:t xml:space="preserve">, and the </w:t>
      </w:r>
      <w:r>
        <w:rPr>
          <w:rFonts w:eastAsia="Segoe UI" w:cs="Segoe UI" w:ascii="Segoe UI" w:hAnsi="Segoe UI"/>
          <w:b/>
          <w:color w:val="101820"/>
          <w:sz w:val="21"/>
        </w:rPr>
        <w:t>Claim-free years (NCB)</w:t>
      </w:r>
      <w:r>
        <w:rPr>
          <w:rFonts w:eastAsia="Segoe UI" w:cs="Segoe UI" w:ascii="Segoe UI" w:hAnsi="Segoe UI"/>
          <w:color w:val="101820"/>
          <w:sz w:val="21"/>
        </w:rPr>
        <w:t xml:space="preserve"> and </w:t>
      </w:r>
      <w:r>
        <w:rPr>
          <w:rFonts w:eastAsia="Segoe UI" w:cs="Segoe UI" w:ascii="Segoe UI" w:hAnsi="Segoe UI"/>
          <w:b/>
          <w:color w:val="101820"/>
          <w:sz w:val="21"/>
        </w:rPr>
        <w:t>Vehicles in the fleet</w:t>
      </w:r>
      <w:r>
        <w:rPr>
          <w:rFonts w:eastAsia="Segoe UI" w:cs="Segoe UI" w:ascii="Segoe UI" w:hAnsi="Segoe UI"/>
          <w:color w:val="101820"/>
          <w:sz w:val="21"/>
        </w:rPr>
        <w:t xml:space="preserve"> the rating factors use. A field marked * is tested by an acceptance rule and must be filled in before </w:t>
      </w:r>
      <w:r>
        <w:rPr>
          <w:rFonts w:eastAsia="Segoe UI" w:cs="Segoe UI" w:ascii="Segoe UI" w:hAnsi="Segoe UI"/>
          <w:b/>
          <w:color w:val="101820"/>
          <w:sz w:val="21"/>
        </w:rPr>
        <w:t>Next</w:t>
      </w:r>
      <w:r>
        <w:rPr>
          <w:rFonts w:eastAsia="Segoe UI" w:cs="Segoe UI" w:ascii="Segoe UI" w:hAnsi="Segoe UI"/>
          <w:color w:val="101820"/>
          <w:sz w:val="21"/>
        </w:rPr>
        <w:t xml:space="preserve">; a group or personal accident risk asks for the </w:t>
      </w:r>
      <w:r>
        <w:rPr>
          <w:rFonts w:eastAsia="Segoe UI" w:cs="Segoe UI" w:ascii="Segoe UI" w:hAnsi="Segoe UI"/>
          <w:b/>
          <w:color w:val="101820"/>
          <w:sz w:val="21"/>
        </w:rPr>
        <w:t>Number of members</w:t>
      </w:r>
      <w:r>
        <w:rPr>
          <w:rFonts w:eastAsia="Segoe UI" w:cs="Segoe UI" w:ascii="Segoe UI" w:hAnsi="Segoe UI"/>
          <w:color w:val="101820"/>
          <w:sz w:val="21"/>
        </w:rPr>
        <w:t>. The vehicle use, model year and sum insured are taken from the vehicle and cover fields. When a rule or factor is added on the Product Configurator, its field is asked for on the next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that uses it (delivered template)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Driver's date of birth</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Driver under 21: 15% loading; driver age rating factor</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in the last 3 years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claims: 20% loading</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Fair market value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insured above the fair market value by more than 10%: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vehicle has modifications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Modified vehicle: referred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use (step 1)</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utility vehicle: declined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Covers of the product</w:t>
      </w:r>
      <w:r>
        <w:rPr>
          <w:rFonts w:eastAsia="Segoe UI" w:cs="Segoe UI" w:ascii="Segoe UI" w:hAnsi="Segoe UI"/>
          <w:color w:val="101820"/>
          <w:sz w:val="21"/>
        </w:rPr>
        <w:t xml:space="preserve"> (coverage step, at the top): the covers of the template's Coverage Builder. A </w:t>
      </w:r>
      <w:r>
        <w:rPr>
          <w:rFonts w:eastAsia="Segoe UI" w:cs="Segoe UI" w:ascii="Segoe UI" w:hAnsi="Segoe UI"/>
          <w:b/>
          <w:color w:val="101820"/>
          <w:sz w:val="21"/>
        </w:rPr>
        <w:t>Mandatory</w:t>
      </w:r>
      <w:r>
        <w:rPr>
          <w:rFonts w:eastAsia="Segoe UI" w:cs="Segoe UI" w:ascii="Segoe UI" w:hAnsi="Segoe UI"/>
          <w:color w:val="101820"/>
          <w:sz w:val="21"/>
        </w:rPr>
        <w:t xml:space="preserve"> cover is always included and cannot be unticked; an </w:t>
      </w:r>
      <w:r>
        <w:rPr>
          <w:rFonts w:eastAsia="Segoe UI" w:cs="Segoe UI" w:ascii="Segoe UI" w:hAnsi="Segoe UI"/>
          <w:b/>
          <w:color w:val="101820"/>
          <w:sz w:val="21"/>
        </w:rPr>
        <w:t>Optional</w:t>
      </w:r>
      <w:r>
        <w:rPr>
          <w:rFonts w:eastAsia="Segoe UI" w:cs="Segoe UI" w:ascii="Segoe UI" w:hAnsi="Segoe UI"/>
          <w:color w:val="101820"/>
          <w:sz w:val="21"/>
        </w:rPr>
        <w:t xml:space="preserve"> cover is ticked to quote it and unticked to leave it out (its fields are then hidden and its premium is zero). Each cover is priced on the quotation premium of its </w:t>
      </w:r>
      <w:r>
        <w:rPr>
          <w:rFonts w:eastAsia="Segoe UI" w:cs="Segoe UI" w:ascii="Segoe UI" w:hAnsi="Segoe UI"/>
          <w:b/>
          <w:color w:val="101820"/>
          <w:sz w:val="21"/>
        </w:rPr>
        <w:t>Priced on quotation as</w:t>
      </w:r>
      <w:r>
        <w:rPr>
          <w:rFonts w:eastAsia="Segoe UI" w:cs="Segoe UI" w:ascii="Segoe UI" w:hAnsi="Segoe UI"/>
          <w:color w:val="101820"/>
          <w:sz w:val="21"/>
        </w:rPr>
        <w:t xml:space="preserve"> setting (own damage and theft, acts of nature, roadside assistance, personal accident, excess bodily injury, property damage, auto passenger PA, CTPL). A cover that the template does not list is not offered. A cover without a quotation premium is quoted for its terms only.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a change.</w:t>
      </w:r>
    </w:p>
    <w:p>
      <w:pPr>
        <w:pStyle w:val="Normal"/>
        <w:spacing w:lineRule="auto" w:line="276" w:before="0" w:after="120"/>
        <w:rPr/>
      </w:pPr>
      <w:r>
        <w:rPr>
          <w:rFonts w:eastAsia="Segoe UI" w:cs="Segoe UI" w:ascii="Segoe UI" w:hAnsi="Segoe UI"/>
          <w:color w:val="101820"/>
          <w:sz w:val="21"/>
        </w:rPr>
        <w:t xml:space="preserve">When the quotation is saved the server prices it on the same covers (a mandatory cover is added if missing; a cover that is not on the template is refused) and evaluates the acceptance rules on the risk details: none is left "not evaluated". With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on, the server also refuses a quotation that lacks a detail an acceptance rule tests (for example a quotation created by upload).</w:t>
      </w:r>
    </w:p>
    <w:p>
      <w:pPr>
        <w:pStyle w:val="Heading2"/>
        <w:rPr/>
      </w:pPr>
      <w:bookmarkStart w:id="61" w:name="__RefHeading___Toc24390_3350804041"/>
      <w:bookmarkEnd w:id="61"/>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w:t>
      </w:r>
      <w:r>
        <w:rPr>
          <w:rFonts w:eastAsia="Segoe UI" w:cs="Segoe UI" w:ascii="Segoe UI" w:hAnsi="Segoe UI"/>
          <w:b/>
          <w:color w:val="101820"/>
          <w:sz w:val="21"/>
        </w:rPr>
        <w:t>Pending Review</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(with the approval rate) and </w:t>
      </w:r>
      <w:r>
        <w:rPr>
          <w:rFonts w:eastAsia="Segoe UI" w:cs="Segoe UI" w:ascii="Segoe UI" w:hAnsi="Segoe UI"/>
          <w:b/>
          <w:color w:val="101820"/>
          <w:sz w:val="21"/>
        </w:rPr>
        <w:t>Converted to Policy</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254"/>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255"/>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256"/>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257"/>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706880"/>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170688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258"/>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260"/>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261"/>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62" w:name="__RefHeading___Toc24392_3350804041"/>
      <w:bookmarkEnd w:id="62"/>
      <w:r>
        <w:rPr>
          <w:rFonts w:eastAsia="Segoe UI" w:cs="Segoe UI"/>
          <w:b/>
          <w:color w:val="0F4761"/>
          <w:sz w:val="26"/>
        </w:rPr>
        <w:t>8.9  Sales activities</w:t>
      </w:r>
    </w:p>
    <w:p>
      <w:pPr>
        <w:pStyle w:val="Normal"/>
        <w:spacing w:lineRule="auto" w:line="276" w:before="0" w:after="120"/>
        <w:rPr/>
      </w:pPr>
      <w:r>
        <w:rPr>
          <w:rFonts w:eastAsia="Segoe UI" w:cs="Segoe UI" w:ascii="Segoe UI" w:hAnsi="Segoe UI"/>
          <w:color w:val="101820"/>
          <w:sz w:val="21"/>
        </w:rPr>
        <w:t>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w:pPr>
        <w:pStyle w:val="Normal"/>
        <w:spacing w:lineRule="auto" w:line="276" w:before="0" w:after="120"/>
        <w:rPr/>
      </w:pPr>
      <w:r>
        <w:rPr>
          <w:rFonts w:eastAsia="Segoe UI" w:cs="Segoe UI" w:ascii="Segoe UI" w:hAnsi="Segoe UI"/>
          <w:color w:val="101820"/>
          <w:sz w:val="21"/>
        </w:rPr>
        <w:t>To log an activity:</w:t>
      </w:r>
    </w:p>
    <w:p>
      <w:pPr>
        <w:pStyle w:val="Normal"/>
        <w:numPr>
          <w:ilvl w:val="0"/>
          <w:numId w:val="262"/>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the client (Clients &gt; </w:t>
      </w:r>
      <w:r>
        <w:rPr>
          <w:rFonts w:eastAsia="Segoe UI" w:cs="Segoe UI" w:ascii="Segoe UI" w:hAnsi="Segoe UI"/>
          <w:b/>
          <w:color w:val="101820"/>
          <w:sz w:val="21"/>
        </w:rPr>
        <w:t>View</w:t>
      </w:r>
      <w:r>
        <w:rPr>
          <w:rFonts w:eastAsia="Segoe UI" w:cs="Segoe UI" w:ascii="Segoe UI" w:hAnsi="Segoe UI"/>
          <w:color w:val="101820"/>
          <w:sz w:val="21"/>
        </w:rPr>
        <w:t xml:space="preserve">) or the quotation (Quotations &gt; </w:t>
      </w:r>
      <w:r>
        <w:rPr>
          <w:rFonts w:eastAsia="Segoe UI" w:cs="Segoe UI" w:ascii="Segoe UI" w:hAnsi="Segoe UI"/>
          <w:b/>
          <w:color w:val="101820"/>
          <w:sz w:val="21"/>
        </w:rPr>
        <w:t>View Details</w:t>
      </w:r>
      <w:r>
        <w:rPr>
          <w:rFonts w:eastAsia="Segoe UI" w:cs="Segoe UI" w:ascii="Segoe UI" w:hAnsi="Segoe UI"/>
          <w:color w:val="101820"/>
          <w:sz w:val="21"/>
        </w:rPr>
        <w:t xml:space="preserve"> &gt; </w:t>
      </w:r>
      <w:r>
        <w:rPr>
          <w:rFonts w:eastAsia="Segoe UI" w:cs="Segoe UI" w:ascii="Segoe UI" w:hAnsi="Segoe UI"/>
          <w:b/>
          <w:color w:val="101820"/>
          <w:sz w:val="21"/>
        </w:rPr>
        <w:t>Activities</w:t>
      </w:r>
      <w:r>
        <w:rPr>
          <w:rFonts w:eastAsia="Segoe UI" w:cs="Segoe UI" w:ascii="Segoe UI" w:hAnsi="Segoe UI"/>
          <w:color w:val="101820"/>
          <w:sz w:val="21"/>
        </w:rPr>
        <w:t xml:space="preserve"> tab).</w:t>
      </w:r>
    </w:p>
    <w:p>
      <w:pPr>
        <w:pStyle w:val="Normal"/>
        <w:numPr>
          <w:ilvl w:val="0"/>
          <w:numId w:val="26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Activities</w:t>
      </w:r>
      <w:r>
        <w:rPr>
          <w:rFonts w:eastAsia="Segoe UI" w:cs="Segoe UI" w:ascii="Segoe UI" w:hAnsi="Segoe UI"/>
          <w:color w:val="101820"/>
          <w:sz w:val="21"/>
        </w:rPr>
        <w:t xml:space="preserve">, select </w:t>
      </w:r>
      <w:r>
        <w:rPr>
          <w:rFonts w:eastAsia="Segoe UI" w:cs="Segoe UI" w:ascii="Segoe UI" w:hAnsi="Segoe UI"/>
          <w:b/>
          <w:color w:val="101820"/>
          <w:sz w:val="21"/>
        </w:rPr>
        <w:t>Log activity</w:t>
      </w:r>
      <w:r>
        <w:rPr>
          <w:rFonts w:eastAsia="Segoe UI" w:cs="Segoe UI" w:ascii="Segoe UI" w:hAnsi="Segoe UI"/>
          <w:color w:val="101820"/>
          <w:sz w:val="21"/>
        </w:rPr>
        <w:t>.</w:t>
      </w:r>
    </w:p>
    <w:p>
      <w:pPr>
        <w:pStyle w:val="Normal"/>
        <w:numPr>
          <w:ilvl w:val="0"/>
          <w:numId w:val="26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Activity type</w:t>
      </w:r>
      <w:r>
        <w:rPr>
          <w:rFonts w:eastAsia="Segoe UI" w:cs="Segoe UI" w:ascii="Segoe UI" w:hAnsi="Segoe UI"/>
          <w:color w:val="101820"/>
          <w:sz w:val="21"/>
        </w:rPr>
        <w:t xml:space="preserve"> (phone call, meeting, client or site visit, e-mail, video call, SMS or chat message, proposal presentation) and the </w:t>
      </w:r>
      <w:r>
        <w:rPr>
          <w:rFonts w:eastAsia="Segoe UI" w:cs="Segoe UI" w:ascii="Segoe UI" w:hAnsi="Segoe UI"/>
          <w:b/>
          <w:color w:val="101820"/>
          <w:sz w:val="21"/>
        </w:rPr>
        <w:t>Date and time</w:t>
      </w:r>
      <w:r>
        <w:rPr>
          <w:rFonts w:eastAsia="Segoe UI" w:cs="Segoe UI" w:ascii="Segoe UI" w:hAnsi="Segoe UI"/>
          <w:color w:val="101820"/>
          <w:sz w:val="21"/>
        </w:rPr>
        <w:t xml:space="preserve"> it took place. The subject takes the type's name unless you enter one.</w:t>
      </w:r>
    </w:p>
    <w:p>
      <w:pPr>
        <w:pStyle w:val="Normal"/>
        <w:numPr>
          <w:ilvl w:val="0"/>
          <w:numId w:val="265"/>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Duration</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and </w:t>
      </w:r>
      <w:r>
        <w:rPr>
          <w:rFonts w:eastAsia="Segoe UI" w:cs="Segoe UI" w:ascii="Segoe UI" w:hAnsi="Segoe UI"/>
          <w:b/>
          <w:color w:val="101820"/>
          <w:sz w:val="21"/>
        </w:rPr>
        <w:t>Notes</w:t>
      </w:r>
      <w:r>
        <w:rPr>
          <w:rFonts w:eastAsia="Segoe UI" w:cs="Segoe UI" w:ascii="Segoe UI" w:hAnsi="Segoe UI"/>
          <w:color w:val="101820"/>
          <w:sz w:val="21"/>
        </w:rPr>
        <w:t xml:space="preserve"> as needed, and the </w:t>
      </w:r>
      <w:r>
        <w:rPr>
          <w:rFonts w:eastAsia="Segoe UI" w:cs="Segoe UI" w:ascii="Segoe UI" w:hAnsi="Segoe UI"/>
          <w:b/>
          <w:color w:val="101820"/>
          <w:sz w:val="21"/>
        </w:rPr>
        <w:t>Outcome</w:t>
      </w:r>
      <w:r>
        <w:rPr>
          <w:rFonts w:eastAsia="Segoe UI" w:cs="Segoe UI" w:ascii="Segoe UI" w:hAnsi="Segoe UI"/>
          <w:color w:val="101820"/>
          <w:sz w:val="21"/>
        </w:rPr>
        <w:t xml:space="preserve"> (interested, documents requested, quotation presented, accepted, call back, no answer, not interested, placed elsewhere).</w:t>
      </w:r>
    </w:p>
    <w:p>
      <w:pPr>
        <w:pStyle w:val="Normal"/>
        <w:numPr>
          <w:ilvl w:val="0"/>
          <w:numId w:val="26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Next step</w:t>
      </w:r>
      <w:r>
        <w:rPr>
          <w:rFonts w:eastAsia="Segoe UI" w:cs="Segoe UI" w:ascii="Segoe UI" w:hAnsi="Segoe UI"/>
          <w:color w:val="101820"/>
          <w:sz w:val="21"/>
        </w:rPr>
        <w:t xml:space="preserve"> and its </w:t>
      </w:r>
      <w:r>
        <w:rPr>
          <w:rFonts w:eastAsia="Segoe UI" w:cs="Segoe UI" w:ascii="Segoe UI" w:hAnsi="Segoe UI"/>
          <w:b/>
          <w:color w:val="101820"/>
          <w:sz w:val="21"/>
        </w:rPr>
        <w:t>Next step date</w:t>
      </w:r>
      <w:r>
        <w:rPr>
          <w:rFonts w:eastAsia="Segoe UI" w:cs="Segoe UI" w:ascii="Segoe UI" w:hAnsi="Segoe UI"/>
          <w:color w:val="101820"/>
          <w:sz w:val="21"/>
        </w:rPr>
        <w:t xml:space="preserve"> (the date proposed is the type's default days to the next step). Select </w:t>
      </w:r>
      <w:r>
        <w:rPr>
          <w:rFonts w:eastAsia="Segoe UI" w:cs="Segoe UI" w:ascii="Segoe UI" w:hAnsi="Segoe UI"/>
          <w:b/>
          <w:color w:val="101820"/>
          <w:sz w:val="21"/>
        </w:rPr>
        <w:t>Save</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activity is logged once it has taken place, up to </w:t>
            </w:r>
            <w:r>
              <w:rPr>
                <w:rFonts w:eastAsia="Consolas" w:cs="Consolas" w:ascii="Consolas" w:hAnsi="Consolas"/>
                <w:color w:val="101820"/>
                <w:kern w:val="0"/>
                <w:sz w:val="16"/>
                <w:szCs w:val="24"/>
                <w:lang w:val="en-US" w:eastAsia="ja-JP" w:bidi="ar-SA"/>
              </w:rPr>
              <w:t>sales_activities.backdate_days</w:t>
            </w:r>
            <w:r>
              <w:rPr>
                <w:rFonts w:eastAsia="Segoe UI" w:cs="Segoe UI" w:ascii="Segoe UI" w:hAnsi="Segoe UI"/>
                <w:color w:val="101820"/>
                <w:kern w:val="0"/>
                <w:sz w:val="18"/>
                <w:szCs w:val="24"/>
                <w:lang w:val="en-US" w:eastAsia="ja-JP" w:bidi="ar-SA"/>
              </w:rPr>
              <w:t xml:space="preserve"> (30) days back.</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step</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next step with a date becomes a follow-up task in the account executive's My Work (source Sales activity next step), due on that date, with the usual reminder. A next step date needs the next step text; </w:t>
            </w:r>
            <w:r>
              <w:rPr>
                <w:rFonts w:eastAsia="Consolas" w:cs="Consolas" w:ascii="Consolas" w:hAnsi="Consolas"/>
                <w:color w:val="101820"/>
                <w:kern w:val="0"/>
                <w:sz w:val="16"/>
                <w:szCs w:val="24"/>
                <w:lang w:val="en-US" w:eastAsia="ja-JP" w:bidi="ar-SA"/>
              </w:rPr>
              <w:t>sales_activities.next_step_required</w:t>
            </w:r>
            <w:r>
              <w:rPr>
                <w:rFonts w:eastAsia="Segoe UI" w:cs="Segoe UI" w:ascii="Segoe UI" w:hAnsi="Segoe UI"/>
                <w:color w:val="101820"/>
                <w:kern w:val="0"/>
                <w:sz w:val="18"/>
                <w:szCs w:val="24"/>
                <w:lang w:val="en-US" w:eastAsia="ja-JP" w:bidi="ar-SA"/>
              </w:rPr>
              <w:t xml:space="preserve"> makes both compulsory.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Later activity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activity logged on the same record completes the open follow-up of the earlier activity (</w:t>
            </w:r>
            <w:r>
              <w:rPr>
                <w:rFonts w:eastAsia="Consolas" w:cs="Consolas" w:ascii="Consolas" w:hAnsi="Consolas"/>
                <w:color w:val="101820"/>
                <w:kern w:val="0"/>
                <w:sz w:val="16"/>
                <w:szCs w:val="24"/>
                <w:lang w:val="en-US" w:eastAsia="ja-JP" w:bidi="ar-SA"/>
              </w:rPr>
              <w:t>sales_activities.close_previous_follow_up</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or cancel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pencil changes an activity (a new next step date moves its task); the cross cancels an activity logged in error with a reason, and cancels its open task. Only the account executive, who logged it or their manager can do this.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status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prospect becomes Contacted with its first activity.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Operations log activities (write:sales-activities); the Processing Team reads them; a scoped role sees only its own book.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follow-up task priority is </w:t>
      </w:r>
      <w:r>
        <w:rPr>
          <w:rFonts w:eastAsia="Consolas" w:cs="Consolas" w:ascii="Consolas" w:hAnsi="Consolas"/>
          <w:color w:val="101820"/>
          <w:sz w:val="19"/>
        </w:rPr>
        <w:t>sales_activities.follow_up_priority</w:t>
      </w:r>
      <w:r>
        <w:rPr>
          <w:rFonts w:eastAsia="Segoe UI" w:cs="Segoe UI" w:ascii="Segoe UI" w:hAnsi="Segoe UI"/>
          <w:color w:val="101820"/>
          <w:sz w:val="21"/>
        </w:rPr>
        <w:t xml:space="preserve"> (normal). The activity types (channel and default days to the next step) and outcomes (positive, neutral or negative, used by the report) are kept by the System Administrator on Master &gt; Organization &gt; </w:t>
      </w:r>
      <w:r>
        <w:rPr>
          <w:rFonts w:eastAsia="Segoe UI" w:cs="Segoe UI" w:ascii="Segoe UI" w:hAnsi="Segoe UI"/>
          <w:b/>
          <w:color w:val="101820"/>
          <w:sz w:val="21"/>
        </w:rPr>
        <w:t>Sales Activity Types</w:t>
      </w:r>
      <w:r>
        <w:rPr>
          <w:rFonts w:eastAsia="Segoe UI" w:cs="Segoe UI" w:ascii="Segoe UI" w:hAnsi="Segoe UI"/>
          <w:color w:val="101820"/>
          <w:sz w:val="21"/>
        </w:rPr>
        <w:t xml:space="preserve"> and </w:t>
      </w:r>
      <w:r>
        <w:rPr>
          <w:rFonts w:eastAsia="Segoe UI" w:cs="Segoe UI" w:ascii="Segoe UI" w:hAnsi="Segoe UI"/>
          <w:b/>
          <w:color w:val="101820"/>
          <w:sz w:val="21"/>
        </w:rPr>
        <w:t>Sales Activity Outcomes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Sales Activities</w:t>
      </w:r>
    </w:p>
    <w:p>
      <w:pPr>
        <w:pStyle w:val="Normal"/>
        <w:spacing w:lineRule="auto" w:line="276" w:before="0" w:after="120"/>
        <w:rPr/>
      </w:pPr>
      <w:r>
        <w:rPr>
          <w:rFonts w:eastAsia="Segoe UI" w:cs="Segoe UI" w:ascii="Segoe UI" w:hAnsi="Segoe UI"/>
          <w:color w:val="101820"/>
          <w:sz w:val="21"/>
        </w:rPr>
        <w:t xml:space="preserve">Operations &gt; Sales &amp; Marketing &gt; </w:t>
      </w:r>
      <w:r>
        <w:rPr>
          <w:rFonts w:eastAsia="Segoe UI" w:cs="Segoe UI" w:ascii="Segoe UI" w:hAnsi="Segoe UI"/>
          <w:b/>
          <w:color w:val="101820"/>
          <w:sz w:val="21"/>
        </w:rPr>
        <w:t>Sales Activities</w:t>
      </w:r>
      <w:r>
        <w:rPr>
          <w:rFonts w:eastAsia="Segoe UI" w:cs="Segoe UI" w:ascii="Segoe UI" w:hAnsi="Segoe UI"/>
          <w:color w:val="101820"/>
          <w:sz w:val="21"/>
        </w:rPr>
        <w:t xml:space="preserve"> lists the activities of a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with filters for the account executive, type and outcome and a search; select a row to open the prospect, client or quotation. The </w:t>
      </w:r>
      <w:r>
        <w:rPr>
          <w:rFonts w:eastAsia="Segoe UI" w:cs="Segoe UI" w:ascii="Segoe UI" w:hAnsi="Segoe UI"/>
          <w:b/>
          <w:color w:val="101820"/>
          <w:sz w:val="21"/>
        </w:rPr>
        <w:t>Activity Report</w:t>
      </w:r>
      <w:r>
        <w:rPr>
          <w:rFonts w:eastAsia="Segoe UI" w:cs="Segoe UI" w:ascii="Segoe UI" w:hAnsi="Segoe UI"/>
          <w:color w:val="101820"/>
          <w:sz w:val="21"/>
        </w:rPr>
        <w:t xml:space="preserve"> tab sums, per account executive, the activities by channel (calls, meetings, e-mails, visits), the prospects, clients and quotations worked, the positive outcomes, the next steps set and their follow-ups done, open and overdue, with the totals by activity type and by outcome.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list or the report.</w:t>
      </w:r>
    </w:p>
    <w:p>
      <w:pPr>
        <w:pStyle w:val="Heading2"/>
        <w:rPr/>
      </w:pPr>
      <w:bookmarkStart w:id="63" w:name="__RefHeading___Toc24394_3350804041"/>
      <w:bookmarkEnd w:id="63"/>
      <w:r>
        <w:rPr>
          <w:rFonts w:eastAsia="Segoe UI" w:cs="Segoe UI"/>
          <w:b/>
          <w:color w:val="0F4761"/>
          <w:sz w:val="26"/>
        </w:rPr>
        <w:t>8.10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64" w:name="__RefHeading___Toc24396_3350804041"/>
      <w:bookmarkEnd w:id="64"/>
      <w:r>
        <w:rPr>
          <w:rFonts w:eastAsia="Segoe UI" w:cs="Segoe UI"/>
          <w:b/>
          <w:color w:val="0F4761"/>
          <w:sz w:val="26"/>
        </w:rPr>
        <w:t>8.11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9077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4890770"/>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267"/>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26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270"/>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2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5" w:name="__RefHeading___Toc24398_3350804041"/>
      <w:bookmarkEnd w:id="65"/>
      <w:r>
        <w:rPr>
          <w:rFonts w:eastAsia="Segoe UI" w:cs="Segoe UI"/>
          <w:b/>
          <w:color w:val="0F4761"/>
          <w:sz w:val="26"/>
        </w:rPr>
        <w:t>8.12  Policies</w:t>
      </w:r>
    </w:p>
    <w:p>
      <w:pPr>
        <w:pStyle w:val="Normal"/>
        <w:jc w:val="center"/>
        <w:rPr/>
      </w:pPr>
      <w:r>
        <w:rPr/>
        <w:drawing>
          <wp:inline distT="0" distB="0" distL="0" distR="0">
            <wp:extent cx="5760085" cy="44691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search box finds a policy by number or client.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eye on a row (</w:t>
      </w:r>
      <w:r>
        <w:rPr>
          <w:rFonts w:eastAsia="Segoe UI" w:cs="Segoe UI" w:ascii="Segoe UI" w:hAnsi="Segoe UI"/>
          <w:b/>
          <w:color w:val="101820"/>
          <w:sz w:val="21"/>
        </w:rPr>
        <w:t>View policy</w:t>
      </w:r>
      <w:r>
        <w:rPr>
          <w:rFonts w:eastAsia="Segoe UI" w:cs="Segoe UI" w:ascii="Segoe UI" w:hAnsi="Segoe UI"/>
          <w:color w:val="101820"/>
          <w:sz w:val="21"/>
        </w:rPr>
        <w:t>) opens the policy; the three dots (</w:t>
      </w:r>
      <w:r>
        <w:rPr>
          <w:rFonts w:eastAsia="Segoe UI" w:cs="Segoe UI" w:ascii="Segoe UI" w:hAnsi="Segoe UI"/>
          <w:b/>
          <w:color w:val="101820"/>
          <w:sz w:val="21"/>
        </w:rPr>
        <w:t>More actions</w:t>
      </w:r>
      <w:r>
        <w:rPr>
          <w:rFonts w:eastAsia="Segoe UI" w:cs="Segoe UI" w:ascii="Segoe UI" w:hAnsi="Segoe UI"/>
          <w:color w:val="101820"/>
          <w:sz w:val="21"/>
        </w:rPr>
        <w:t xml:space="preserve">) open </w:t>
      </w:r>
      <w:r>
        <w:rPr>
          <w:rFonts w:eastAsia="Segoe UI" w:cs="Segoe UI" w:ascii="Segoe UI" w:hAnsi="Segoe UI"/>
          <w:b/>
          <w:color w:val="101820"/>
          <w:sz w:val="21"/>
        </w:rPr>
        <w:t>Claim</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Both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6" w:name="__RefHeading___Toc24400_3350804041"/>
      <w:bookmarkEnd w:id="66"/>
      <w:r>
        <w:rPr>
          <w:rFonts w:eastAsia="Segoe UI" w:cs="Segoe UI"/>
          <w:b/>
          <w:color w:val="0F4761"/>
          <w:sz w:val="26"/>
        </w:rPr>
        <w:t>8.13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My Work</w:t>
      </w:r>
      <w:r>
        <w:rPr>
          <w:rFonts w:eastAsia="Segoe UI" w:cs="Segoe UI" w:ascii="Segoe UI" w:hAnsi="Segoe UI"/>
          <w:color w:val="101820"/>
          <w:sz w:val="21"/>
        </w:rPr>
        <w:t xml:space="preserve"> shows your daily worklist (quotations, renewals, premiums due, collection follow-ups, claims, approvals and your tasks);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7" w:name="__RefHeading___Toc24402_3350804041"/>
      <w:bookmarkEnd w:id="67"/>
      <w:r>
        <w:rPr>
          <w:rFonts w:eastAsia="Segoe UI" w:cs="Segoe UI"/>
          <w:b/>
          <w:color w:val="0F4761"/>
          <w:sz w:val="26"/>
        </w:rPr>
        <w:t>8.14  Commission and reports</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Reports &gt; Report Builder answers ad hoc questions over the policies, clients, bills, claims and commissions of your own book (chapter Distribution, programmes and products);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8" w:name="__RefHeading___Toc24404_3350804041"/>
      <w:bookmarkEnd w:id="68"/>
      <w:r>
        <w:rPr>
          <w:rFonts w:eastAsia="Segoe UI" w:cs="Segoe UI"/>
          <w:b/>
          <w:color w:val="0F4761"/>
          <w:sz w:val="26"/>
        </w:rPr>
        <w:t>8.15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9" w:name="__RefHeading___Toc24406_3350804041"/>
      <w:bookmarkEnd w:id="69"/>
      <w:r>
        <w:rPr>
          <w:rFonts w:eastAsia="Segoe UI" w:cs="Segoe UI" w:ascii="Segoe UI" w:hAnsi="Segoe UI"/>
          <w:b/>
          <w:color w:val="0F4761"/>
          <w:sz w:val="32"/>
        </w:rPr>
        <w:t>9.  Processing Team</w:t>
      </w:r>
    </w:p>
    <w:p>
      <w:pPr>
        <w:pStyle w:val="Heading2"/>
        <w:rPr/>
      </w:pPr>
      <w:bookmarkStart w:id="70" w:name="__RefHeading___Toc24408_3350804041"/>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71" w:name="__RefHeading___Toc24410_3350804041"/>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Dealer Programmes, Comparison Reports, Sales Activities); Clients; Policy; Fleet Schedules; Marine Open Covers; Claims; Renewals (all items);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 Facultative Placements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and their sales activities but does not create them, and has no Quick Quote: Quick Quote creates prospects and quotations, which is Sales and Operations work. Dealer Programmes, Comparison Reports, Fleet Schedules, Marine Open Covers and Facultative Placements are described in the chapter Distribution, programmes and products.</w:t>
      </w:r>
    </w:p>
    <w:p>
      <w:pPr>
        <w:pStyle w:val="Heading2"/>
        <w:rPr/>
      </w:pPr>
      <w:bookmarkStart w:id="72" w:name="__RefHeading___Toc24412_3350804041"/>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 facultative placements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 Facultative Placements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a cover note while the insurer issues the policy; issue a fleet schedule or a marine open cover</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 Fleet Schedules, Marine Open Covers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73" w:name="__RefHeading___Toc24414_3350804041"/>
      <w:bookmarkEnd w:id="73"/>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74" w:name="__RefHeading___Toc24416_3350804041"/>
      <w:bookmarkEnd w:id="74"/>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28828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5288280"/>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2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27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27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27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2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2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2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07670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076700"/>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280"/>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281"/>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282"/>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283"/>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2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051935"/>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285"/>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28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28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28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2841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2841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5" w:name="__RefHeading___Toc24418_3350804041"/>
      <w:bookmarkEnd w:id="75"/>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6" w:name="__RefHeading___Toc24420_3350804041"/>
      <w:bookmarkEnd w:id="76"/>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109210"/>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510921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2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29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29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2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294"/>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2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296"/>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297"/>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7" w:name="__RefHeading___Toc24422_3350804041"/>
      <w:bookmarkEnd w:id="77"/>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536565"/>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5536565"/>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298"/>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99"/>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3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30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3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8" w:name="__RefHeading___Toc24424_3350804041"/>
      <w:bookmarkEnd w:id="78"/>
      <w:r>
        <w:rPr>
          <w:rFonts w:eastAsia="Segoe UI" w:cs="Segoe UI"/>
          <w:b/>
          <w:color w:val="0F4761"/>
          <w:sz w:val="26"/>
        </w:rPr>
        <w:t>9.9  Co-insured policies and premium accounting entries</w:t>
      </w:r>
    </w:p>
    <w:p>
      <w:pPr>
        <w:pStyle w:val="Normal"/>
        <w:jc w:val="center"/>
        <w:rPr/>
      </w:pPr>
      <w:r>
        <w:rPr/>
        <w:drawing>
          <wp:inline distT="0" distB="0" distL="0" distR="0">
            <wp:extent cx="5760085" cy="6901815"/>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6901815"/>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of a co-insured policy shows </w:t>
      </w:r>
      <w:r>
        <w:rPr>
          <w:rFonts w:eastAsia="Segoe UI" w:cs="Segoe UI" w:ascii="Segoe UI" w:hAnsi="Segoe UI"/>
          <w:b/>
          <w:color w:val="101820"/>
          <w:sz w:val="21"/>
        </w:rPr>
        <w:t>CO-INSURANCE DETAILS</w:t>
      </w:r>
      <w:r>
        <w:rPr>
          <w:rFonts w:eastAsia="Segoe UI" w:cs="Segoe UI" w:ascii="Segoe UI" w:hAnsi="Segoe UI"/>
          <w:color w:val="101820"/>
          <w:sz w:val="21"/>
        </w:rPr>
        <w:t xml:space="preserve">: each insurer with </w:t>
      </w:r>
      <w:r>
        <w:rPr>
          <w:rFonts w:eastAsia="Segoe UI" w:cs="Segoe UI" w:ascii="Segoe UI" w:hAnsi="Segoe UI"/>
          <w:b/>
          <w:color w:val="101820"/>
          <w:sz w:val="21"/>
        </w:rPr>
        <w:t>Insurer share (%)</w:t>
      </w:r>
      <w:r>
        <w:rPr>
          <w:rFonts w:eastAsia="Segoe UI" w:cs="Segoe UI" w:ascii="Segoe UI" w:hAnsi="Segoe UI"/>
          <w:color w:val="101820"/>
          <w:sz w:val="21"/>
        </w:rPr>
        <w:t xml:space="preserve">, </w:t>
      </w:r>
      <w:r>
        <w:rPr>
          <w:rFonts w:eastAsia="Segoe UI" w:cs="Segoe UI" w:ascii="Segoe UI" w:hAnsi="Segoe UI"/>
          <w:b/>
          <w:color w:val="101820"/>
          <w:sz w:val="21"/>
        </w:rPr>
        <w:t>Premium allocation (LC)</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and the total. The placement slip of the policy shows each participant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9" w:name="__RefHeading___Toc24426_3350804041"/>
      <w:bookmarkEnd w:id="79"/>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303"/>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3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305"/>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80" w:name="__RefHeading___Toc24428_3350804041"/>
      <w:bookmarkEnd w:id="80"/>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81" w:name="__RefHeading___Toc24430_3350804041"/>
      <w:bookmarkEnd w:id="81"/>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82" w:name="__RefHeading___Toc24432_3350804041"/>
      <w:bookmarkEnd w:id="82"/>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83" w:name="__RefHeading___Toc24434_3350804041"/>
      <w:bookmarkEnd w:id="83"/>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84" w:name="__RefHeading___Toc24436_3350804041"/>
      <w:bookmarkEnd w:id="84"/>
      <w:r>
        <w:rPr>
          <w:rFonts w:eastAsia="Segoe UI" w:cs="Segoe UI" w:ascii="Segoe UI" w:hAnsi="Segoe UI"/>
          <w:b/>
          <w:color w:val="0F4761"/>
          <w:sz w:val="32"/>
        </w:rPr>
        <w:t>10.  Operations (client servicing)</w:t>
      </w:r>
    </w:p>
    <w:p>
      <w:pPr>
        <w:pStyle w:val="Heading2"/>
        <w:rPr/>
      </w:pPr>
      <w:bookmarkStart w:id="85" w:name="__RefHeading___Toc24438_3350804041"/>
      <w:bookmarkEnd w:id="85"/>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onboarding and due diligence, client records, endorsement requests, cover notes, cancellations, CTPL authentication, recording the client's payment, the daily worklist, renewals and the documents sent to clients. Operations can also record prospects and quote package products in the same way as Sales &amp; Marketing, keeps the Insurance Commission registers with the Compliance Officer and supports the Data Protection Officer.</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My Work, the daily worklist of the role</w:t>
      </w:r>
    </w:p>
    <w:p>
      <w:pPr>
        <w:pStyle w:val="Heading2"/>
        <w:rPr/>
      </w:pPr>
      <w:bookmarkStart w:id="86" w:name="__RefHeading___Toc24440_3350804041"/>
      <w:bookmarkEnd w:id="86"/>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Lead Assignment, Dealer Programmes, Comparison Reports, Campaigns, Sales Activities); Clients; Policy; Fleet Schedules; Marine Open Covers; Claims; Renewals (Renewal Policy, Renewal Batch, Renewal Queue, Retention Analytics, At-Risk Policies, Negotiations, Lapse Management, Performance); My Work; Payments; CTPL Authentication; Cover Notes; Policy Cancellation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 Insurance Commission (Licence Register, Fit and Proper, Insurer Authority, Complaints, IC Annual Statement, IC Production Report); Data Privacy (NPC) (Breach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 Data Privacy (Data Subject Requests, Consent Register)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Insurance Commission registers and the breach register are described in the chapter Compliance, the EDD reviews in the Compliance Officer chapter, Data Privacy in the System Administrator chapter, and Lead Assignment, Dealer Programmes, Comparison Reports, Campaigns, Fleet Schedules and Marine Open Covers in the chapter Distribution, programmes and products.</w:t>
      </w:r>
    </w:p>
    <w:p>
      <w:pPr>
        <w:pStyle w:val="Heading2"/>
        <w:rPr/>
      </w:pPr>
      <w:bookmarkStart w:id="87" w:name="__RefHeading___Toc24442_3350804041"/>
      <w:bookmarkEnd w:id="87"/>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8"/>
        <w:gridCol w:w="40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 new clients and complete their identification</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&gt; </w:t>
            </w:r>
            <w:r>
              <w:rPr>
                <w:rFonts w:eastAsia="Segoe UI" w:cs="Segoe UI" w:ascii="Segoe UI" w:hAnsi="Segoe UI"/>
                <w:b/>
                <w:color w:val="101820"/>
                <w:kern w:val="0"/>
                <w:sz w:val="18"/>
                <w:szCs w:val="24"/>
                <w:lang w:val="en-US" w:eastAsia="ja-JP" w:bidi="ar-SA"/>
              </w:rPr>
              <w:t>Onboard client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 compute cancellations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r>
              <w:rPr>
                <w:rFonts w:eastAsia="Segoe UI" w:cs="Segoe UI" w:ascii="Segoe UI" w:hAnsi="Segoe UI"/>
                <w:color w:val="101820"/>
                <w:kern w:val="0"/>
                <w:sz w:val="18"/>
                <w:szCs w:val="24"/>
                <w:lang w:val="en-US" w:eastAsia="ja-JP" w:bidi="ar-SA"/>
              </w:rPr>
              <w:t>; Policy Cancellation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cover notes while the insurer issues the policy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every CTPL certificate of cover is authenticated</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complaints received and work their deadlines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fit and proper reviews due, insurer certificates of authority</w:t>
            </w:r>
          </w:p>
        </w:tc>
        <w:tc>
          <w:tcPr>
            <w:tcW w:w="4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bl>
    <w:p>
      <w:pPr>
        <w:pStyle w:val="Normal"/>
        <w:spacing w:before="0" w:after="80"/>
        <w:rPr/>
      </w:pPr>
      <w:r>
        <w:rPr/>
      </w:r>
    </w:p>
    <w:p>
      <w:pPr>
        <w:pStyle w:val="Heading2"/>
        <w:rPr/>
      </w:pPr>
      <w:bookmarkStart w:id="88" w:name="__RefHeading___Toc24444_3350804041"/>
      <w:bookmarkEnd w:id="88"/>
      <w:r>
        <w:rPr>
          <w:rFonts w:eastAsia="Segoe UI" w:cs="Segoe UI"/>
          <w:b/>
          <w:color w:val="0F4761"/>
          <w:sz w:val="26"/>
        </w:rPr>
        <w:t>10.4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(the first item of the menu),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Upcoming events</w:t>
      </w:r>
      <w:r>
        <w:rPr>
          <w:rFonts w:eastAsia="Segoe UI" w:cs="Segoe UI" w:ascii="Segoe UI" w:hAnsi="Segoe UI"/>
          <w:color w:val="101820"/>
          <w:sz w:val="21"/>
        </w:rPr>
        <w:t xml:space="preserve"> on Home lists the events of the coming days. The daily worklist is </w:t>
      </w:r>
      <w:r>
        <w:rPr>
          <w:rFonts w:eastAsia="Segoe UI" w:cs="Segoe UI" w:ascii="Segoe UI" w:hAnsi="Segoe UI"/>
          <w:b/>
          <w:color w:val="101820"/>
          <w:sz w:val="21"/>
        </w:rPr>
        <w:t>My Work</w:t>
      </w:r>
      <w:r>
        <w:rPr>
          <w:rFonts w:eastAsia="Segoe UI" w:cs="Segoe UI" w:ascii="Segoe UI" w:hAnsi="Segoe UI"/>
          <w:color w:val="101820"/>
          <w:sz w:val="21"/>
        </w:rPr>
        <w:t xml:space="preserve"> (next section).</w:t>
      </w:r>
    </w:p>
    <w:p>
      <w:pPr>
        <w:pStyle w:val="Heading2"/>
        <w:rPr/>
      </w:pPr>
      <w:bookmarkStart w:id="89" w:name="__RefHeading___Toc24446_3350804041"/>
      <w:bookmarkEnd w:id="89"/>
      <w:r>
        <w:rPr>
          <w:rFonts w:eastAsia="Segoe UI" w:cs="Segoe UI"/>
          <w:b/>
          <w:color w:val="0F4761"/>
          <w:sz w:val="26"/>
        </w:rPr>
        <w:t>10.5  My Work</w:t>
      </w:r>
    </w:p>
    <w:p>
      <w:pPr>
        <w:pStyle w:val="Normal"/>
        <w:spacing w:lineRule="auto" w:line="276" w:before="0" w:after="120"/>
        <w:rPr/>
      </w:pPr>
      <w:r>
        <w:rPr>
          <w:rFonts w:eastAsia="Segoe UI" w:cs="Segoe UI" w:ascii="Segoe UI" w:hAnsi="Segoe UI"/>
          <w:b/>
          <w:color w:val="101820"/>
          <w:sz w:val="21"/>
        </w:rPr>
        <w:t>My Work</w:t>
      </w:r>
      <w:r>
        <w:rPr>
          <w:rFonts w:eastAsia="Segoe UI" w:cs="Segoe UI" w:ascii="Segoe UI" w:hAnsi="Segoe UI"/>
          <w:color w:val="101820"/>
          <w:sz w:val="21"/>
        </w:rPr>
        <w:t xml:space="preserve"> (Operations &gt; My Work) is the one place where each user finds what is waiting for them. It replaces the former Open Items screen; its old addresses open My Work.</w:t>
      </w:r>
    </w:p>
    <w:p>
      <w:pPr>
        <w:pStyle w:val="Normal"/>
        <w:spacing w:lineRule="auto" w:line="276" w:before="0" w:after="120"/>
        <w:rPr/>
      </w:pPr>
      <w:r>
        <w:rPr>
          <w:rFonts w:eastAsia="Segoe UI" w:cs="Segoe UI" w:ascii="Segoe UI" w:hAnsi="Segoe UI"/>
          <w:color w:val="101820"/>
          <w:sz w:val="21"/>
        </w:rPr>
        <w:t xml:space="preserve">The header shows five figures: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Due today</w:t>
      </w:r>
      <w:r>
        <w:rPr>
          <w:rFonts w:eastAsia="Segoe UI" w:cs="Segoe UI" w:ascii="Segoe UI" w:hAnsi="Segoe UI"/>
          <w:color w:val="101820"/>
          <w:sz w:val="21"/>
        </w:rPr>
        <w:t xml:space="preserve">, </w:t>
      </w:r>
      <w:r>
        <w:rPr>
          <w:rFonts w:eastAsia="Segoe UI" w:cs="Segoe UI" w:ascii="Segoe UI" w:hAnsi="Segoe UI"/>
          <w:b/>
          <w:color w:val="101820"/>
          <w:sz w:val="21"/>
        </w:rPr>
        <w:t>Next 7 days</w:t>
      </w:r>
      <w:r>
        <w:rPr>
          <w:rFonts w:eastAsia="Segoe UI" w:cs="Segoe UI" w:ascii="Segoe UI" w:hAnsi="Segoe UI"/>
          <w:color w:val="101820"/>
          <w:sz w:val="21"/>
        </w:rPr>
        <w:t xml:space="preserve"> (the number of days is the setting </w:t>
      </w:r>
      <w:r>
        <w:rPr>
          <w:rFonts w:eastAsia="Consolas" w:cs="Consolas" w:ascii="Consolas" w:hAnsi="Consolas"/>
          <w:color w:val="101820"/>
          <w:sz w:val="19"/>
        </w:rPr>
        <w:t>myWork.due_soon_days</w:t>
      </w:r>
      <w:r>
        <w:rPr>
          <w:rFonts w:eastAsia="Segoe UI" w:cs="Segoe UI" w:ascii="Segoe UI" w:hAnsi="Segoe UI"/>
          <w:color w:val="101820"/>
          <w:sz w:val="21"/>
        </w:rPr>
        <w:t xml:space="preserve">), </w:t>
      </w:r>
      <w:r>
        <w:rPr>
          <w:rFonts w:eastAsia="Segoe UI" w:cs="Segoe UI" w:ascii="Segoe UI" w:hAnsi="Segoe UI"/>
          <w:b/>
          <w:color w:val="101820"/>
          <w:sz w:val="21"/>
        </w:rPr>
        <w:t>Open items</w:t>
      </w:r>
      <w:r>
        <w:rPr>
          <w:rFonts w:eastAsia="Segoe UI" w:cs="Segoe UI" w:ascii="Segoe UI" w:hAnsi="Segoe UI"/>
          <w:color w:val="101820"/>
          <w:sz w:val="21"/>
        </w:rPr>
        <w:t xml:space="preserve"> (with the number of high-priority items) and </w:t>
      </w:r>
      <w:r>
        <w:rPr>
          <w:rFonts w:eastAsia="Segoe UI" w:cs="Segoe UI" w:ascii="Segoe UI" w:hAnsi="Segoe UI"/>
          <w:b/>
          <w:color w:val="101820"/>
          <w:sz w:val="21"/>
        </w:rPr>
        <w:t>Open tasks</w:t>
      </w:r>
      <w:r>
        <w:rPr>
          <w:rFonts w:eastAsia="Segoe UI" w:cs="Segoe UI" w:ascii="Segoe UI" w:hAnsi="Segoe UI"/>
          <w:color w:val="101820"/>
          <w:sz w:val="21"/>
        </w:rPr>
        <w:t>. Select a figure to filter the list.</w:t>
      </w:r>
    </w:p>
    <w:p>
      <w:pPr>
        <w:pStyle w:val="Normal"/>
        <w:spacing w:lineRule="auto" w:line="276" w:before="0" w:after="120"/>
        <w:rPr/>
      </w:pPr>
      <w:r>
        <w:rPr>
          <w:rFonts w:eastAsia="Segoe UI" w:cs="Segoe UI" w:ascii="Segoe UI" w:hAnsi="Segoe UI"/>
          <w:color w:val="101820"/>
          <w:sz w:val="21"/>
        </w:rPr>
        <w:t>The screen has four tabs: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open item you own or may act on, by category: quotations, Requests for Quotation, placement slips, renewals and expiring policies, premiums due, collection follow-ups, endorsements, claims, approvals waiting for you, missing documents and your tasks. Only the categories your role may read appear.</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Team</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managers only: one row per person reporting to you (directly or below), with open, overdue and due-today counts, and the team's items.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xml:space="preserve"> moves a claim, a data subject request or a task to yourself or to someone in your team.</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Tasks</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work diary: tasks you created, tasks given to you and, for managers, tasks given to others.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tasks and items falling due by day, for one day or the next 7 days, with an </w:t>
            </w:r>
            <w:r>
              <w:rPr>
                <w:rFonts w:eastAsia="Segoe UI" w:cs="Segoe UI" w:ascii="Segoe UI" w:hAnsi="Segoe UI"/>
                <w:b/>
                <w:color w:val="101820"/>
                <w:kern w:val="0"/>
                <w:sz w:val="18"/>
                <w:szCs w:val="24"/>
                <w:lang w:val="en-US" w:eastAsia="ja-JP" w:bidi="ar-SA"/>
              </w:rPr>
              <w:t>Overdue</w:t>
            </w:r>
            <w:r>
              <w:rPr>
                <w:rFonts w:eastAsia="Segoe UI" w:cs="Segoe UI" w:ascii="Segoe UI" w:hAnsi="Segoe UI"/>
                <w:color w:val="101820"/>
                <w:kern w:val="0"/>
                <w:sz w:val="18"/>
                <w:szCs w:val="24"/>
                <w:lang w:val="en-US" w:eastAsia="ja-JP" w:bidi="ar-SA"/>
              </w:rPr>
              <w:t xml:space="preserve"> strip above.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work your items:</w:t>
      </w:r>
    </w:p>
    <w:p>
      <w:pPr>
        <w:pStyle w:val="Normal"/>
        <w:numPr>
          <w:ilvl w:val="0"/>
          <w:numId w:val="306"/>
        </w:numPr>
        <w:spacing w:before="0" w:after="60"/>
        <w:rPr/>
      </w:pPr>
      <w:r>
        <w:rPr>
          <w:rFonts w:eastAsia="Segoe UI" w:cs="Segoe UI" w:ascii="Segoe UI" w:hAnsi="Segoe UI"/>
          <w:color w:val="101820"/>
          <w:sz w:val="21"/>
        </w:rPr>
        <w:t xml:space="preserve">Choose Operations &gt; My Work. </w:t>
      </w:r>
      <w:r>
        <w:rPr>
          <w:rFonts w:eastAsia="Segoe UI" w:cs="Segoe UI" w:ascii="Segoe UI" w:hAnsi="Segoe UI"/>
          <w:b/>
          <w:color w:val="101820"/>
          <w:sz w:val="21"/>
        </w:rPr>
        <w:t>My Items</w:t>
      </w:r>
      <w:r>
        <w:rPr>
          <w:rFonts w:eastAsia="Segoe UI" w:cs="Segoe UI" w:ascii="Segoe UI" w:hAnsi="Segoe UI"/>
          <w:color w:val="101820"/>
          <w:sz w:val="21"/>
        </w:rPr>
        <w:t xml:space="preserve"> opens with </w:t>
      </w:r>
      <w:r>
        <w:rPr>
          <w:rFonts w:eastAsia="Segoe UI" w:cs="Segoe UI" w:ascii="Segoe UI" w:hAnsi="Segoe UI"/>
          <w:b/>
          <w:color w:val="101820"/>
          <w:sz w:val="21"/>
        </w:rPr>
        <w:t>Mine</w:t>
      </w:r>
      <w:r>
        <w:rPr>
          <w:rFonts w:eastAsia="Segoe UI" w:cs="Segoe UI" w:ascii="Segoe UI" w:hAnsi="Segoe UI"/>
          <w:color w:val="101820"/>
          <w:sz w:val="21"/>
        </w:rPr>
        <w:t xml:space="preserve"> selected; a manager can switch to </w:t>
      </w:r>
      <w:r>
        <w:rPr>
          <w:rFonts w:eastAsia="Segoe UI" w:cs="Segoe UI" w:ascii="Segoe UI" w:hAnsi="Segoe UI"/>
          <w:b/>
          <w:color w:val="101820"/>
          <w:sz w:val="21"/>
        </w:rPr>
        <w:t>Everyone</w:t>
      </w:r>
      <w:r>
        <w:rPr>
          <w:rFonts w:eastAsia="Segoe UI" w:cs="Segoe UI" w:ascii="Segoe UI" w:hAnsi="Segoe UI"/>
          <w:color w:val="101820"/>
          <w:sz w:val="21"/>
        </w:rPr>
        <w:t xml:space="preserve"> for the team.</w:t>
      </w:r>
    </w:p>
    <w:p>
      <w:pPr>
        <w:pStyle w:val="Normal"/>
        <w:numPr>
          <w:ilvl w:val="0"/>
          <w:numId w:val="307"/>
        </w:numPr>
        <w:spacing w:before="0" w:after="60"/>
        <w:rPr/>
      </w:pPr>
      <w:r>
        <w:rPr>
          <w:rFonts w:eastAsia="Segoe UI" w:cs="Segoe UI" w:ascii="Segoe UI" w:hAnsi="Segoe UI"/>
          <w:color w:val="101820"/>
          <w:sz w:val="21"/>
        </w:rPr>
        <w:t xml:space="preserve">Pick a category on the left (the red badge is the number overdue), or use </w:t>
      </w:r>
      <w:r>
        <w:rPr>
          <w:rFonts w:eastAsia="Segoe UI" w:cs="Segoe UI" w:ascii="Segoe UI" w:hAnsi="Segoe UI"/>
          <w:b/>
          <w:color w:val="101820"/>
          <w:sz w:val="21"/>
        </w:rPr>
        <w:t>Search</w:t>
      </w:r>
      <w:r>
        <w:rPr>
          <w:rFonts w:eastAsia="Segoe UI" w:cs="Segoe UI" w:ascii="Segoe UI" w:hAnsi="Segoe UI"/>
          <w:color w:val="101820"/>
          <w:sz w:val="21"/>
        </w:rPr>
        <w:t xml:space="preserve">, </w:t>
      </w:r>
      <w:r>
        <w:rPr>
          <w:rFonts w:eastAsia="Segoe UI" w:cs="Segoe UI" w:ascii="Segoe UI" w:hAnsi="Segoe UI"/>
          <w:b/>
          <w:color w:val="101820"/>
          <w:sz w:val="21"/>
        </w:rPr>
        <w:t>Due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and </w:t>
      </w:r>
      <w:r>
        <w:rPr>
          <w:rFonts w:eastAsia="Segoe UI" w:cs="Segoe UI" w:ascii="Segoe UI" w:hAnsi="Segoe UI"/>
          <w:b/>
          <w:color w:val="101820"/>
          <w:sz w:val="21"/>
        </w:rPr>
        <w:t>Sort</w:t>
      </w:r>
      <w:r>
        <w:rPr>
          <w:rFonts w:eastAsia="Segoe UI" w:cs="Segoe UI" w:ascii="Segoe UI" w:hAnsi="Segoe UI"/>
          <w:color w:val="101820"/>
          <w:sz w:val="21"/>
        </w:rPr>
        <w:t>.</w:t>
      </w:r>
    </w:p>
    <w:p>
      <w:pPr>
        <w:pStyle w:val="Normal"/>
        <w:numPr>
          <w:ilvl w:val="0"/>
          <w:numId w:val="308"/>
        </w:numPr>
        <w:spacing w:before="0" w:after="60"/>
        <w:rPr/>
      </w:pPr>
      <w:r>
        <w:rPr>
          <w:rFonts w:eastAsia="Segoe UI" w:cs="Segoe UI" w:ascii="Segoe UI" w:hAnsi="Segoe UI"/>
          <w:color w:val="101820"/>
          <w:sz w:val="21"/>
        </w:rPr>
        <w:t>Select a row to open the record (quotation, bill, claim, approval) and act on it there. When the record is done it leaves the list.</w:t>
      </w:r>
    </w:p>
    <w:p>
      <w:pPr>
        <w:pStyle w:val="Normal"/>
        <w:jc w:val="center"/>
        <w:rPr/>
      </w:pPr>
      <w:r>
        <w:rPr/>
        <w:drawing>
          <wp:inline distT="0" distB="0" distL="0" distR="0">
            <wp:extent cx="5760085" cy="4712970"/>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My Work: New task</w:t>
      </w:r>
    </w:p>
    <w:p>
      <w:pPr>
        <w:pStyle w:val="Normal"/>
        <w:spacing w:lineRule="auto" w:line="276" w:before="0" w:after="120"/>
        <w:rPr/>
      </w:pPr>
      <w:r>
        <w:rPr>
          <w:rFonts w:eastAsia="Segoe UI" w:cs="Segoe UI" w:ascii="Segoe UI" w:hAnsi="Segoe UI"/>
          <w:color w:val="101820"/>
          <w:sz w:val="21"/>
        </w:rPr>
        <w:t>To add a task:</w:t>
      </w:r>
    </w:p>
    <w:p>
      <w:pPr>
        <w:pStyle w:val="Normal"/>
        <w:numPr>
          <w:ilvl w:val="0"/>
          <w:numId w:val="3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task</w:t>
      </w:r>
      <w:r>
        <w:rPr>
          <w:rFonts w:eastAsia="Segoe UI" w:cs="Segoe UI" w:ascii="Segoe UI" w:hAnsi="Segoe UI"/>
          <w:color w:val="101820"/>
          <w:sz w:val="21"/>
        </w:rPr>
        <w:t>.</w:t>
      </w:r>
    </w:p>
    <w:p>
      <w:pPr>
        <w:pStyle w:val="Normal"/>
        <w:numPr>
          <w:ilvl w:val="0"/>
          <w:numId w:val="3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Title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and optional </w:t>
      </w:r>
      <w:r>
        <w:rPr>
          <w:rFonts w:eastAsia="Segoe UI" w:cs="Segoe UI" w:ascii="Segoe UI" w:hAnsi="Segoe UI"/>
          <w:b/>
          <w:color w:val="101820"/>
          <w:sz w:val="21"/>
        </w:rPr>
        <w:t>Time</w:t>
      </w:r>
      <w:r>
        <w:rPr>
          <w:rFonts w:eastAsia="Segoe UI" w:cs="Segoe UI" w:ascii="Segoe UI" w:hAnsi="Segoe UI"/>
          <w:color w:val="101820"/>
          <w:sz w:val="21"/>
        </w:rPr>
        <w:t xml:space="preserve">, </w:t>
      </w:r>
      <w:r>
        <w:rPr>
          <w:rFonts w:eastAsia="Segoe UI" w:cs="Segoe UI" w:ascii="Segoe UI" w:hAnsi="Segoe UI"/>
          <w:b/>
          <w:color w:val="101820"/>
          <w:sz w:val="21"/>
        </w:rPr>
        <w:t>Priority</w:t>
      </w:r>
      <w:r>
        <w:rPr>
          <w:rFonts w:eastAsia="Segoe UI" w:cs="Segoe UI" w:ascii="Segoe UI" w:hAnsi="Segoe UI"/>
          <w:color w:val="101820"/>
          <w:sz w:val="21"/>
        </w:rPr>
        <w:t xml:space="preserve">, </w:t>
      </w:r>
      <w:r>
        <w:rPr>
          <w:rFonts w:eastAsia="Segoe UI" w:cs="Segoe UI" w:ascii="Segoe UI" w:hAnsi="Segoe UI"/>
          <w:b/>
          <w:color w:val="101820"/>
          <w:sz w:val="21"/>
        </w:rPr>
        <w:t>Reminder</w:t>
      </w:r>
      <w:r>
        <w:rPr>
          <w:rFonts w:eastAsia="Segoe UI" w:cs="Segoe UI" w:ascii="Segoe UI" w:hAnsi="Segoe UI"/>
          <w:color w:val="101820"/>
          <w:sz w:val="21"/>
        </w:rPr>
        <w:t xml:space="preserve"> (minutes before) and </w:t>
      </w:r>
      <w:r>
        <w:rPr>
          <w:rFonts w:eastAsia="Segoe UI" w:cs="Segoe UI" w:ascii="Segoe UI" w:hAnsi="Segoe UI"/>
          <w:b/>
          <w:color w:val="101820"/>
          <w:sz w:val="21"/>
        </w:rPr>
        <w:t>Notes</w:t>
      </w:r>
      <w:r>
        <w:rPr>
          <w:rFonts w:eastAsia="Segoe UI" w:cs="Segoe UI" w:ascii="Segoe UI" w:hAnsi="Segoe UI"/>
          <w:color w:val="101820"/>
          <w:sz w:val="21"/>
        </w:rPr>
        <w:t xml:space="preserve">. A manager can choose </w:t>
      </w:r>
      <w:r>
        <w:rPr>
          <w:rFonts w:eastAsia="Segoe UI" w:cs="Segoe UI" w:ascii="Segoe UI" w:hAnsi="Segoe UI"/>
          <w:b/>
          <w:color w:val="101820"/>
          <w:sz w:val="21"/>
        </w:rPr>
        <w:t>Assigned to</w:t>
      </w:r>
      <w:r>
        <w:rPr>
          <w:rFonts w:eastAsia="Segoe UI" w:cs="Segoe UI" w:ascii="Segoe UI" w:hAnsi="Segoe UI"/>
          <w:color w:val="101820"/>
          <w:sz w:val="21"/>
        </w:rPr>
        <w:t xml:space="preserve"> from the team.</w:t>
      </w:r>
    </w:p>
    <w:p>
      <w:pPr>
        <w:pStyle w:val="Normal"/>
        <w:numPr>
          <w:ilvl w:val="0"/>
          <w:numId w:val="311"/>
        </w:numPr>
        <w:spacing w:before="0" w:after="60"/>
        <w:rPr/>
      </w:pPr>
      <w:r>
        <w:rPr>
          <w:rFonts w:eastAsia="Segoe UI" w:cs="Segoe UI" w:ascii="Segoe UI" w:hAnsi="Segoe UI"/>
          <w:color w:val="101820"/>
          <w:sz w:val="21"/>
        </w:rPr>
        <w:t xml:space="preserve">Optionally link a </w:t>
      </w:r>
      <w:r>
        <w:rPr>
          <w:rFonts w:eastAsia="Segoe UI" w:cs="Segoe UI" w:ascii="Segoe UI" w:hAnsi="Segoe UI"/>
          <w:b/>
          <w:color w:val="101820"/>
          <w:sz w:val="21"/>
        </w:rPr>
        <w:t>Related record</w:t>
      </w:r>
      <w:r>
        <w:rPr>
          <w:rFonts w:eastAsia="Segoe UI" w:cs="Segoe UI" w:ascii="Segoe UI" w:hAnsi="Segoe UI"/>
          <w:color w:val="101820"/>
          <w:sz w:val="21"/>
        </w:rPr>
        <w:t xml:space="preserve"> (search by number or client name).</w:t>
      </w:r>
    </w:p>
    <w:p>
      <w:pPr>
        <w:pStyle w:val="Normal"/>
        <w:numPr>
          <w:ilvl w:val="0"/>
          <w:numId w:val="3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reminder arrives as a notification at the time chosen; the notification opens the task.</w:t>
      </w:r>
    </w:p>
    <w:p>
      <w:pPr>
        <w:pStyle w:val="Normal"/>
        <w:spacing w:lineRule="auto" w:line="276" w:before="0" w:after="120"/>
        <w:rPr/>
      </w:pPr>
      <w:r>
        <w:rPr>
          <w:rFonts w:eastAsia="Segoe UI" w:cs="Segoe UI" w:ascii="Segoe UI" w:hAnsi="Segoe UI"/>
          <w:color w:val="101820"/>
          <w:sz w:val="21"/>
        </w:rPr>
        <w:t xml:space="preserve">Mark a task </w:t>
      </w:r>
      <w:r>
        <w:rPr>
          <w:rFonts w:eastAsia="Segoe UI" w:cs="Segoe UI" w:ascii="Segoe UI" w:hAnsi="Segoe UI"/>
          <w:b/>
          <w:color w:val="101820"/>
          <w:sz w:val="21"/>
        </w:rPr>
        <w:t>Done</w:t>
      </w:r>
      <w:r>
        <w:rPr>
          <w:rFonts w:eastAsia="Segoe UI" w:cs="Segoe UI" w:ascii="Segoe UI" w:hAnsi="Segoe UI"/>
          <w:color w:val="101820"/>
          <w:sz w:val="21"/>
        </w:rPr>
        <w:t xml:space="preserve"> when finished (</w:t>
      </w:r>
      <w:r>
        <w:rPr>
          <w:rFonts w:eastAsia="Segoe UI" w:cs="Segoe UI" w:ascii="Segoe UI" w:hAnsi="Segoe UI"/>
          <w:b/>
          <w:color w:val="101820"/>
          <w:sz w:val="21"/>
        </w:rPr>
        <w:t>Reopen</w:t>
      </w:r>
      <w:r>
        <w:rPr>
          <w:rFonts w:eastAsia="Segoe UI" w:cs="Segoe UI" w:ascii="Segoe UI" w:hAnsi="Segoe UI"/>
          <w:color w:val="101820"/>
          <w:sz w:val="21"/>
        </w:rPr>
        <w:t xml:space="preserve"> if needed). Follow-up tasks are also created by the system from collection promises to pay, renewal next steps and claim follow-up dates, and close by themselves when the record closes (setting </w:t>
      </w:r>
      <w:r>
        <w:rPr>
          <w:rFonts w:eastAsia="Consolas" w:cs="Consolas" w:ascii="Consolas" w:hAnsi="Consolas"/>
          <w:color w:val="101820"/>
          <w:sz w:val="19"/>
        </w:rPr>
        <w:t>myWork.auto_tasks</w:t>
      </w:r>
      <w:r>
        <w:rPr>
          <w:rFonts w:eastAsia="Segoe UI" w:cs="Segoe UI" w:ascii="Segoe UI" w:hAnsi="Segoe UI"/>
          <w:color w:val="101820"/>
          <w:sz w:val="21"/>
        </w:rPr>
        <w:t xml:space="preserve">). An overdue task sends one alert to its owner (setting </w:t>
      </w:r>
      <w:r>
        <w:rPr>
          <w:rFonts w:eastAsia="Consolas" w:cs="Consolas" w:ascii="Consolas" w:hAnsi="Consolas"/>
          <w:color w:val="101820"/>
          <w:sz w:val="19"/>
        </w:rPr>
        <w:t>myWork.overdue_task_alert</w:t>
      </w:r>
      <w:r>
        <w:rPr>
          <w:rFonts w:eastAsia="Segoe UI" w:cs="Segoe UI" w:ascii="Segoe UI" w:hAnsi="Segoe UI"/>
          <w:color w:val="101820"/>
          <w:sz w:val="21"/>
        </w:rPr>
        <w:t>).</w:t>
      </w:r>
    </w:p>
    <w:p>
      <w:pPr>
        <w:pStyle w:val="Heading2"/>
        <w:rPr/>
      </w:pPr>
      <w:bookmarkStart w:id="90" w:name="__RefHeading___Toc24448_3350804041"/>
      <w:bookmarkEnd w:id="90"/>
      <w:r>
        <w:rPr>
          <w:rFonts w:eastAsia="Segoe UI" w:cs="Segoe UI"/>
          <w:b/>
          <w:color w:val="0F4761"/>
          <w:sz w:val="26"/>
        </w:rPr>
        <w:t>10.6  Clients</w:t>
      </w:r>
    </w:p>
    <w:p>
      <w:pPr>
        <w:pStyle w:val="Normal"/>
        <w:jc w:val="center"/>
        <w:rPr/>
      </w:pPr>
      <w:r>
        <w:rPr/>
        <w:drawing>
          <wp:inline distT="0" distB="0" distL="0" distR="0">
            <wp:extent cx="5760085" cy="43097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 xml:space="preserve">A client is a person or company that holds or has held a policy, or that was onboarded before its first policy. BrokerVerse creates the client, with its client code CL-YYYY-NNNNN, on </w:t>
      </w:r>
      <w:r>
        <w:rPr>
          <w:rFonts w:eastAsia="Segoe UI" w:cs="Segoe UI" w:ascii="Segoe UI" w:hAnsi="Segoe UI"/>
          <w:b/>
          <w:color w:val="101820"/>
          <w:sz w:val="21"/>
        </w:rPr>
        <w:t>Onboard client</w:t>
      </w:r>
      <w:r>
        <w:rPr>
          <w:rFonts w:eastAsia="Segoe UI" w:cs="Segoe UI" w:ascii="Segoe UI" w:hAnsi="Segoe UI"/>
          <w:color w:val="101820"/>
          <w:sz w:val="21"/>
        </w:rPr>
        <w:t xml:space="preserve"> (below) or, for a new insured, when the first policy is issued.</w:t>
      </w:r>
    </w:p>
    <w:p>
      <w:pPr>
        <w:pStyle w:val="Normal"/>
        <w:numPr>
          <w:ilvl w:val="0"/>
          <w:numId w:val="313"/>
        </w:numPr>
        <w:spacing w:before="0" w:after="60"/>
        <w:rPr/>
      </w:pPr>
      <w:r>
        <w:rPr>
          <w:rFonts w:eastAsia="Segoe UI" w:cs="Segoe UI" w:ascii="Segoe UI" w:hAnsi="Segoe UI"/>
          <w:color w:val="101820"/>
          <w:sz w:val="21"/>
        </w:rPr>
        <w:t>Choose Operations &gt; Clients.</w:t>
      </w:r>
    </w:p>
    <w:p>
      <w:pPr>
        <w:pStyle w:val="Normal"/>
        <w:numPr>
          <w:ilvl w:val="0"/>
          <w:numId w:val="314"/>
        </w:numPr>
        <w:spacing w:before="0" w:after="60"/>
        <w:rPr/>
      </w:pPr>
      <w:r>
        <w:rPr>
          <w:rFonts w:eastAsia="Segoe UI" w:cs="Segoe UI" w:ascii="Segoe UI" w:hAnsi="Segoe UI"/>
          <w:color w:val="101820"/>
          <w:sz w:val="21"/>
        </w:rPr>
        <w:t>Use the tabs (</w:t>
      </w:r>
      <w:r>
        <w:rPr>
          <w:rFonts w:eastAsia="Segoe UI" w:cs="Segoe UI" w:ascii="Segoe UI" w:hAnsi="Segoe UI"/>
          <w:b/>
          <w:color w:val="101820"/>
          <w:sz w:val="21"/>
        </w:rPr>
        <w:t>All</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w:t>
      </w:r>
      <w:r>
        <w:rPr>
          <w:rFonts w:eastAsia="Segoe UI" w:cs="Segoe UI" w:ascii="Segoe UI" w:hAnsi="Segoe UI"/>
          <w:b/>
          <w:color w:val="101820"/>
          <w:sz w:val="21"/>
        </w:rPr>
        <w:t>Corporate</w:t>
      </w:r>
      <w:r>
        <w:rPr>
          <w:rFonts w:eastAsia="Segoe UI" w:cs="Segoe UI" w:ascii="Segoe UI" w:hAnsi="Segoe UI"/>
          <w:color w:val="101820"/>
          <w:sz w:val="21"/>
        </w:rPr>
        <w:t xml:space="preserve">) or the search box to find the client. The list shows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Assured 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Client Since</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the latest policy status.</w:t>
      </w:r>
    </w:p>
    <w:p>
      <w:pPr>
        <w:pStyle w:val="Normal"/>
        <w:numPr>
          <w:ilvl w:val="0"/>
          <w:numId w:val="315"/>
        </w:numPr>
        <w:spacing w:before="0" w:after="60"/>
        <w:rPr/>
      </w:pPr>
      <w:r>
        <w:rPr>
          <w:rFonts w:eastAsia="Segoe UI" w:cs="Segoe UI" w:ascii="Segoe UI" w:hAnsi="Segoe UI"/>
          <w:color w:val="101820"/>
          <w:sz w:val="21"/>
        </w:rPr>
        <w:t>Select the eye (</w:t>
      </w:r>
      <w:r>
        <w:rPr>
          <w:rFonts w:eastAsia="Segoe UI" w:cs="Segoe UI" w:ascii="Segoe UI" w:hAnsi="Segoe UI"/>
          <w:b/>
          <w:color w:val="101820"/>
          <w:sz w:val="21"/>
        </w:rPr>
        <w:t>View</w:t>
      </w:r>
      <w:r>
        <w:rPr>
          <w:rFonts w:eastAsia="Segoe UI" w:cs="Segoe UI" w:ascii="Segoe UI" w:hAnsi="Segoe UI"/>
          <w:color w:val="101820"/>
          <w:sz w:val="21"/>
        </w:rPr>
        <w:t>) at the end of the row to open the client; the pencil (</w:t>
      </w:r>
      <w:r>
        <w:rPr>
          <w:rFonts w:eastAsia="Segoe UI" w:cs="Segoe UI" w:ascii="Segoe UI" w:hAnsi="Segoe UI"/>
          <w:b/>
          <w:color w:val="101820"/>
          <w:sz w:val="21"/>
        </w:rPr>
        <w:t>Edit</w:t>
      </w:r>
      <w:r>
        <w:rPr>
          <w:rFonts w:eastAsia="Segoe UI" w:cs="Segoe UI" w:ascii="Segoe UI" w:hAnsi="Segoe UI"/>
          <w:color w:val="101820"/>
          <w:sz w:val="21"/>
        </w:rPr>
        <w:t>) edits it.</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3"/>
        <w:rPr/>
      </w:pPr>
      <w:r>
        <w:rPr>
          <w:rFonts w:eastAsia="Segoe UI" w:cs="Segoe UI"/>
          <w:b/>
          <w:color w:val="0F4761"/>
          <w:sz w:val="23"/>
        </w:rPr>
        <w:t>10.6.1  Onboard a client before the first policy</w:t>
      </w:r>
    </w:p>
    <w:p>
      <w:pPr>
        <w:pStyle w:val="Normal"/>
        <w:spacing w:lineRule="auto" w:line="276" w:before="0" w:after="120"/>
        <w:rPr/>
      </w:pPr>
      <w:r>
        <w:rPr>
          <w:rFonts w:eastAsia="Segoe UI" w:cs="Segoe UI" w:ascii="Segoe UI" w:hAnsi="Segoe UI"/>
          <w:color w:val="101820"/>
          <w:sz w:val="21"/>
        </w:rPr>
        <w:t xml:space="preserve">A client can be created, identified and checked before any quotation or policy, as customer due diligence requires. A client created by the first policy (a prospect converted, a direct placement) is completed the same way, from </w:t>
      </w:r>
      <w:r>
        <w:rPr>
          <w:rFonts w:eastAsia="Segoe UI" w:cs="Segoe UI" w:ascii="Segoe UI" w:hAnsi="Segoe UI"/>
          <w:b/>
          <w:color w:val="101820"/>
          <w:sz w:val="21"/>
        </w:rPr>
        <w:t>Identification and due diligence</w:t>
      </w:r>
      <w:r>
        <w:rPr>
          <w:rFonts w:eastAsia="Segoe UI" w:cs="Segoe UI" w:ascii="Segoe UI" w:hAnsi="Segoe UI"/>
          <w:color w:val="101820"/>
          <w:sz w:val="21"/>
        </w:rPr>
        <w:t xml:space="preserve"> on the client view.</w:t>
      </w:r>
    </w:p>
    <w:p>
      <w:pPr>
        <w:pStyle w:val="Normal"/>
        <w:jc w:val="center"/>
        <w:rPr/>
      </w:pPr>
      <w:r>
        <w:rPr/>
        <w:drawing>
          <wp:inline distT="0" distB="0" distL="0" distR="0">
            <wp:extent cx="5760085" cy="5461635"/>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546163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 &gt; Onboard client</w:t>
      </w:r>
    </w:p>
    <w:p>
      <w:pPr>
        <w:pStyle w:val="Normal"/>
        <w:numPr>
          <w:ilvl w:val="0"/>
          <w:numId w:val="316"/>
        </w:numPr>
        <w:spacing w:before="0" w:after="60"/>
        <w:rPr/>
      </w:pPr>
      <w:r>
        <w:rPr>
          <w:rFonts w:eastAsia="Segoe UI" w:cs="Segoe UI" w:ascii="Segoe UI" w:hAnsi="Segoe UI"/>
          <w:color w:val="101820"/>
          <w:sz w:val="21"/>
        </w:rPr>
        <w:t xml:space="preserve">Choose Operations &gt; Clients and select </w:t>
      </w:r>
      <w:r>
        <w:rPr>
          <w:rFonts w:eastAsia="Segoe UI" w:cs="Segoe UI" w:ascii="Segoe UI" w:hAnsi="Segoe UI"/>
          <w:b/>
          <w:color w:val="101820"/>
          <w:sz w:val="21"/>
        </w:rPr>
        <w:t>Onboard client</w:t>
      </w:r>
      <w:r>
        <w:rPr>
          <w:rFonts w:eastAsia="Segoe UI" w:cs="Segoe UI" w:ascii="Segoe UI" w:hAnsi="Segoe UI"/>
          <w:color w:val="101820"/>
          <w:sz w:val="21"/>
        </w:rPr>
        <w:t xml:space="preserve"> (or, on a client view, </w:t>
      </w:r>
      <w:r>
        <w:rPr>
          <w:rFonts w:eastAsia="Segoe UI" w:cs="Segoe UI" w:ascii="Segoe UI" w:hAnsi="Segoe UI"/>
          <w:b/>
          <w:color w:val="101820"/>
          <w:sz w:val="21"/>
        </w:rPr>
        <w:t>Identification and due diligence</w:t>
      </w:r>
      <w:r>
        <w:rPr>
          <w:rFonts w:eastAsia="Segoe UI" w:cs="Segoe UI" w:ascii="Segoe UI" w:hAnsi="Segoe UI"/>
          <w:color w:val="101820"/>
          <w:sz w:val="21"/>
        </w:rPr>
        <w:t>).</w:t>
      </w:r>
    </w:p>
    <w:p>
      <w:pPr>
        <w:pStyle w:val="Normal"/>
        <w:numPr>
          <w:ilvl w:val="0"/>
          <w:numId w:val="3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Individual</w:t>
      </w:r>
      <w:r>
        <w:rPr>
          <w:rFonts w:eastAsia="Segoe UI" w:cs="Segoe UI" w:ascii="Segoe UI" w:hAnsi="Segoe UI"/>
          <w:color w:val="101820"/>
          <w:sz w:val="21"/>
        </w:rPr>
        <w:t xml:space="preserve">, or </w:t>
      </w:r>
      <w:r>
        <w:rPr>
          <w:rFonts w:eastAsia="Segoe UI" w:cs="Segoe UI" w:ascii="Segoe UI" w:hAnsi="Segoe UI"/>
          <w:b/>
          <w:color w:val="101820"/>
          <w:sz w:val="21"/>
        </w:rPr>
        <w:t>Juridical</w:t>
      </w:r>
      <w:r>
        <w:rPr>
          <w:rFonts w:eastAsia="Segoe UI" w:cs="Segoe UI" w:ascii="Segoe UI" w:hAnsi="Segoe UI"/>
          <w:color w:val="101820"/>
          <w:sz w:val="21"/>
        </w:rPr>
        <w:t xml:space="preserve"> for a company, cooperative, partnership or sole proprietorship.</w:t>
      </w:r>
    </w:p>
    <w:p>
      <w:pPr>
        <w:pStyle w:val="Normal"/>
        <w:numPr>
          <w:ilvl w:val="0"/>
          <w:numId w:val="318"/>
        </w:numPr>
        <w:spacing w:before="0" w:after="60"/>
        <w:rPr/>
      </w:pPr>
      <w:r>
        <w:rPr>
          <w:rFonts w:eastAsia="Segoe UI" w:cs="Segoe UI" w:ascii="Segoe UI" w:hAnsi="Segoe UI"/>
          <w:color w:val="101820"/>
          <w:sz w:val="21"/>
        </w:rPr>
        <w:t xml:space="preserve">Individual: enter </w:t>
      </w:r>
      <w:r>
        <w:rPr>
          <w:rFonts w:eastAsia="Segoe UI" w:cs="Segoe UI" w:ascii="Segoe UI" w:hAnsi="Segoe UI"/>
          <w:b/>
          <w:color w:val="101820"/>
          <w:sz w:val="21"/>
        </w:rPr>
        <w:t>First name</w:t>
      </w:r>
      <w:r>
        <w:rPr>
          <w:rFonts w:eastAsia="Segoe UI" w:cs="Segoe UI" w:ascii="Segoe UI" w:hAnsi="Segoe UI"/>
          <w:color w:val="101820"/>
          <w:sz w:val="21"/>
        </w:rPr>
        <w:t xml:space="preserve">, </w:t>
      </w:r>
      <w:r>
        <w:rPr>
          <w:rFonts w:eastAsia="Segoe UI" w:cs="Segoe UI" w:ascii="Segoe UI" w:hAnsi="Segoe UI"/>
          <w:b/>
          <w:color w:val="101820"/>
          <w:sz w:val="21"/>
        </w:rPr>
        <w:t>Middle name</w:t>
      </w:r>
      <w:r>
        <w:rPr>
          <w:rFonts w:eastAsia="Segoe UI" w:cs="Segoe UI" w:ascii="Segoe UI" w:hAnsi="Segoe UI"/>
          <w:color w:val="101820"/>
          <w:sz w:val="21"/>
        </w:rPr>
        <w:t xml:space="preserve">, </w:t>
      </w:r>
      <w:r>
        <w:rPr>
          <w:rFonts w:eastAsia="Segoe UI" w:cs="Segoe UI" w:ascii="Segoe UI" w:hAnsi="Segoe UI"/>
          <w:b/>
          <w:color w:val="101820"/>
          <w:sz w:val="21"/>
        </w:rPr>
        <w:t>Last name</w:t>
      </w:r>
      <w:r>
        <w:rPr>
          <w:rFonts w:eastAsia="Segoe UI" w:cs="Segoe UI" w:ascii="Segoe UI" w:hAnsi="Segoe UI"/>
          <w:color w:val="101820"/>
          <w:sz w:val="21"/>
        </w:rPr>
        <w:t xml:space="preserve">, </w:t>
      </w:r>
      <w:r>
        <w:rPr>
          <w:rFonts w:eastAsia="Segoe UI" w:cs="Segoe UI" w:ascii="Segoe UI" w:hAnsi="Segoe UI"/>
          <w:b/>
          <w:color w:val="101820"/>
          <w:sz w:val="21"/>
        </w:rPr>
        <w:t>Date of birth</w:t>
      </w:r>
      <w:r>
        <w:rPr>
          <w:rFonts w:eastAsia="Segoe UI" w:cs="Segoe UI" w:ascii="Segoe UI" w:hAnsi="Segoe UI"/>
          <w:color w:val="101820"/>
          <w:sz w:val="21"/>
        </w:rPr>
        <w:t xml:space="preserve">, </w:t>
      </w:r>
      <w:r>
        <w:rPr>
          <w:rFonts w:eastAsia="Segoe UI" w:cs="Segoe UI" w:ascii="Segoe UI" w:hAnsi="Segoe UI"/>
          <w:b/>
          <w:color w:val="101820"/>
          <w:sz w:val="21"/>
        </w:rPr>
        <w:t>Place of birth</w:t>
      </w:r>
      <w:r>
        <w:rPr>
          <w:rFonts w:eastAsia="Segoe UI" w:cs="Segoe UI" w:ascii="Segoe UI" w:hAnsi="Segoe UI"/>
          <w:color w:val="101820"/>
          <w:sz w:val="21"/>
        </w:rPr>
        <w:t xml:space="preserve">, </w:t>
      </w:r>
      <w:r>
        <w:rPr>
          <w:rFonts w:eastAsia="Segoe UI" w:cs="Segoe UI" w:ascii="Segoe UI" w:hAnsi="Segoe UI"/>
          <w:b/>
          <w:color w:val="101820"/>
          <w:sz w:val="21"/>
        </w:rPr>
        <w:t>Civil status</w:t>
      </w:r>
      <w:r>
        <w:rPr>
          <w:rFonts w:eastAsia="Segoe UI" w:cs="Segoe UI" w:ascii="Segoe UI" w:hAnsi="Segoe UI"/>
          <w:color w:val="101820"/>
          <w:sz w:val="21"/>
        </w:rPr>
        <w:t xml:space="preserve">, </w:t>
      </w:r>
      <w:r>
        <w:rPr>
          <w:rFonts w:eastAsia="Segoe UI" w:cs="Segoe UI" w:ascii="Segoe UI" w:hAnsi="Segoe UI"/>
          <w:b/>
          <w:color w:val="101820"/>
          <w:sz w:val="21"/>
        </w:rPr>
        <w:t>Nationality</w:t>
      </w:r>
      <w:r>
        <w:rPr>
          <w:rFonts w:eastAsia="Segoe UI" w:cs="Segoe UI" w:ascii="Segoe UI" w:hAnsi="Segoe UI"/>
          <w:color w:val="101820"/>
          <w:sz w:val="21"/>
        </w:rPr>
        <w:t xml:space="preserve">, </w:t>
      </w:r>
      <w:r>
        <w:rPr>
          <w:rFonts w:eastAsia="Segoe UI" w:cs="Segoe UI" w:ascii="Segoe UI" w:hAnsi="Segoe UI"/>
          <w:b/>
          <w:color w:val="101820"/>
          <w:sz w:val="21"/>
        </w:rPr>
        <w:t>Occupation or nature of work</w:t>
      </w:r>
      <w:r>
        <w:rPr>
          <w:rFonts w:eastAsia="Segoe UI" w:cs="Segoe UI" w:ascii="Segoe UI" w:hAnsi="Segoe UI"/>
          <w:color w:val="101820"/>
          <w:sz w:val="21"/>
        </w:rPr>
        <w:t xml:space="preserve">, </w:t>
      </w:r>
      <w:r>
        <w:rPr>
          <w:rFonts w:eastAsia="Segoe UI" w:cs="Segoe UI" w:ascii="Segoe UI" w:hAnsi="Segoe UI"/>
          <w:b/>
          <w:color w:val="101820"/>
          <w:sz w:val="21"/>
        </w:rPr>
        <w:t>Employer or business name</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 xml:space="preserve">, then the </w:t>
      </w:r>
      <w:r>
        <w:rPr>
          <w:rFonts w:eastAsia="Segoe UI" w:cs="Segoe UI" w:ascii="Segoe UI" w:hAnsi="Segoe UI"/>
          <w:b/>
          <w:color w:val="101820"/>
          <w:sz w:val="21"/>
        </w:rPr>
        <w:t>Government ID presented</w:t>
      </w:r>
      <w:r>
        <w:rPr>
          <w:rFonts w:eastAsia="Segoe UI" w:cs="Segoe UI" w:ascii="Segoe UI" w:hAnsi="Segoe UI"/>
          <w:color w:val="101820"/>
          <w:sz w:val="21"/>
        </w:rPr>
        <w:t xml:space="preserve"> (ID type from the Government ID Type master, </w:t>
      </w:r>
      <w:r>
        <w:rPr>
          <w:rFonts w:eastAsia="Segoe UI" w:cs="Segoe UI" w:ascii="Segoe UI" w:hAnsi="Segoe UI"/>
          <w:b/>
          <w:color w:val="101820"/>
          <w:sz w:val="21"/>
        </w:rPr>
        <w:t>ID number</w:t>
      </w:r>
      <w:r>
        <w:rPr>
          <w:rFonts w:eastAsia="Segoe UI" w:cs="Segoe UI" w:ascii="Segoe UI" w:hAnsi="Segoe UI"/>
          <w:color w:val="101820"/>
          <w:sz w:val="21"/>
        </w:rPr>
        <w:t xml:space="preserve">, </w:t>
      </w:r>
      <w:r>
        <w:rPr>
          <w:rFonts w:eastAsia="Segoe UI" w:cs="Segoe UI" w:ascii="Segoe UI" w:hAnsi="Segoe UI"/>
          <w:b/>
          <w:color w:val="101820"/>
          <w:sz w:val="21"/>
        </w:rPr>
        <w:t>ID expiry date</w:t>
      </w:r>
      <w:r>
        <w:rPr>
          <w:rFonts w:eastAsia="Segoe UI" w:cs="Segoe UI" w:ascii="Segoe UI" w:hAnsi="Segoe UI"/>
          <w:color w:val="101820"/>
          <w:sz w:val="21"/>
        </w:rPr>
        <w:t xml:space="preserve">). Juridical: enter the </w:t>
      </w:r>
      <w:r>
        <w:rPr>
          <w:rFonts w:eastAsia="Segoe UI" w:cs="Segoe UI" w:ascii="Segoe UI" w:hAnsi="Segoe UI"/>
          <w:b/>
          <w:color w:val="101820"/>
          <w:sz w:val="21"/>
        </w:rPr>
        <w:t>Registered name</w:t>
      </w:r>
      <w:r>
        <w:rPr>
          <w:rFonts w:eastAsia="Segoe UI" w:cs="Segoe UI" w:ascii="Segoe UI" w:hAnsi="Segoe UI"/>
          <w:color w:val="101820"/>
          <w:sz w:val="21"/>
        </w:rPr>
        <w:t xml:space="preserve">, </w:t>
      </w:r>
      <w:r>
        <w:rPr>
          <w:rFonts w:eastAsia="Segoe UI" w:cs="Segoe UI" w:ascii="Segoe UI" w:hAnsi="Segoe UI"/>
          <w:b/>
          <w:color w:val="101820"/>
          <w:sz w:val="21"/>
        </w:rPr>
        <w:t>Trade name</w:t>
      </w:r>
      <w:r>
        <w:rPr>
          <w:rFonts w:eastAsia="Segoe UI" w:cs="Segoe UI" w:ascii="Segoe UI" w:hAnsi="Segoe UI"/>
          <w:color w:val="101820"/>
          <w:sz w:val="21"/>
        </w:rPr>
        <w:t xml:space="preserve">, </w:t>
      </w:r>
      <w:r>
        <w:rPr>
          <w:rFonts w:eastAsia="Segoe UI" w:cs="Segoe UI" w:ascii="Segoe UI" w:hAnsi="Segoe UI"/>
          <w:b/>
          <w:color w:val="101820"/>
          <w:sz w:val="21"/>
        </w:rPr>
        <w:t>Customer type</w:t>
      </w:r>
      <w:r>
        <w:rPr>
          <w:rFonts w:eastAsia="Segoe UI" w:cs="Segoe UI" w:ascii="Segoe UI" w:hAnsi="Segoe UI"/>
          <w:color w:val="101820"/>
          <w:sz w:val="21"/>
        </w:rPr>
        <w:t xml:space="preserve">, </w:t>
      </w:r>
      <w:r>
        <w:rPr>
          <w:rFonts w:eastAsia="Segoe UI" w:cs="Segoe UI" w:ascii="Segoe UI" w:hAnsi="Segoe UI"/>
          <w:b/>
          <w:color w:val="101820"/>
          <w:sz w:val="21"/>
        </w:rPr>
        <w:t>Registered with</w:t>
      </w:r>
      <w:r>
        <w:rPr>
          <w:rFonts w:eastAsia="Segoe UI" w:cs="Segoe UI" w:ascii="Segoe UI" w:hAnsi="Segoe UI"/>
          <w:color w:val="101820"/>
          <w:sz w:val="21"/>
        </w:rPr>
        <w:t xml:space="preserve"> (SEC, DTI or CDA), </w:t>
      </w:r>
      <w:r>
        <w:rPr>
          <w:rFonts w:eastAsia="Segoe UI" w:cs="Segoe UI" w:ascii="Segoe UI" w:hAnsi="Segoe UI"/>
          <w:b/>
          <w:color w:val="101820"/>
          <w:sz w:val="21"/>
        </w:rPr>
        <w:t>Registration number</w:t>
      </w:r>
      <w:r>
        <w:rPr>
          <w:rFonts w:eastAsia="Segoe UI" w:cs="Segoe UI" w:ascii="Segoe UI" w:hAnsi="Segoe UI"/>
          <w:color w:val="101820"/>
          <w:sz w:val="21"/>
        </w:rPr>
        <w:t xml:space="preserve">, </w:t>
      </w:r>
      <w:r>
        <w:rPr>
          <w:rFonts w:eastAsia="Segoe UI" w:cs="Segoe UI" w:ascii="Segoe UI" w:hAnsi="Segoe UI"/>
          <w:b/>
          <w:color w:val="101820"/>
          <w:sz w:val="21"/>
        </w:rPr>
        <w:t>Date of registration</w:t>
      </w:r>
      <w:r>
        <w:rPr>
          <w:rFonts w:eastAsia="Segoe UI" w:cs="Segoe UI" w:ascii="Segoe UI" w:hAnsi="Segoe UI"/>
          <w:color w:val="101820"/>
          <w:sz w:val="21"/>
        </w:rPr>
        <w:t xml:space="preserve">, </w:t>
      </w:r>
      <w:r>
        <w:rPr>
          <w:rFonts w:eastAsia="Segoe UI" w:cs="Segoe UI" w:ascii="Segoe UI" w:hAnsi="Segoe UI"/>
          <w:b/>
          <w:color w:val="101820"/>
          <w:sz w:val="21"/>
        </w:rPr>
        <w:t>Nature of business</w:t>
      </w:r>
      <w:r>
        <w:rPr>
          <w:rFonts w:eastAsia="Segoe UI" w:cs="Segoe UI" w:ascii="Segoe UI" w:hAnsi="Segoe UI"/>
          <w:color w:val="101820"/>
          <w:sz w:val="21"/>
        </w:rPr>
        <w:t xml:space="preserve">, </w:t>
      </w:r>
      <w:r>
        <w:rPr>
          <w:rFonts w:eastAsia="Segoe UI" w:cs="Segoe UI" w:ascii="Segoe UI" w:hAnsi="Segoe UI"/>
          <w:b/>
          <w:color w:val="101820"/>
          <w:sz w:val="21"/>
        </w:rPr>
        <w:t>Country of incorporation</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31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Mobile number</w:t>
      </w:r>
      <w:r>
        <w:rPr>
          <w:rFonts w:eastAsia="Segoe UI" w:cs="Segoe UI" w:ascii="Segoe UI" w:hAnsi="Segoe UI"/>
          <w:color w:val="101820"/>
          <w:sz w:val="21"/>
        </w:rPr>
        <w:t xml:space="preserve"> (09XXXXXXXXX or +639XXXXXXXXX), the e-mail and the Philippine address: ZIP code, region, province, city or municipality and barangay come from the PSGC masters.</w:t>
      </w:r>
    </w:p>
    <w:p>
      <w:pPr>
        <w:pStyle w:val="Normal"/>
        <w:numPr>
          <w:ilvl w:val="0"/>
          <w:numId w:val="32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Expected business and PEP</w:t>
      </w:r>
      <w:r>
        <w:rPr>
          <w:rFonts w:eastAsia="Segoe UI" w:cs="Segoe UI" w:ascii="Segoe UI" w:hAnsi="Segoe UI"/>
          <w:color w:val="101820"/>
          <w:sz w:val="21"/>
        </w:rPr>
        <w:t xml:space="preserve"> enter the lines of business expected, the usual payment mode and the expected annual premium (they rate the client before its first policy), and switch on </w:t>
      </w:r>
      <w:r>
        <w:rPr>
          <w:rFonts w:eastAsia="Segoe UI" w:cs="Segoe UI" w:ascii="Segoe UI" w:hAnsi="Segoe UI"/>
          <w:b/>
          <w:color w:val="101820"/>
          <w:sz w:val="21"/>
        </w:rPr>
        <w:t>Politically exposed person</w:t>
      </w:r>
      <w:r>
        <w:rPr>
          <w:rFonts w:eastAsia="Segoe UI" w:cs="Segoe UI" w:ascii="Segoe UI" w:hAnsi="Segoe UI"/>
          <w:color w:val="101820"/>
          <w:sz w:val="21"/>
        </w:rPr>
        <w:t xml:space="preserve"> with the details when the client, a family member or a close associate holds a prominent public position.</w:t>
      </w:r>
    </w:p>
    <w:p>
      <w:pPr>
        <w:pStyle w:val="Normal"/>
        <w:numPr>
          <w:ilvl w:val="0"/>
          <w:numId w:val="321"/>
        </w:numPr>
        <w:spacing w:before="0" w:after="60"/>
        <w:rPr/>
      </w:pPr>
      <w:r>
        <w:rPr>
          <w:rFonts w:eastAsia="Segoe UI" w:cs="Segoe UI" w:ascii="Segoe UI" w:hAnsi="Segoe UI"/>
          <w:color w:val="101820"/>
          <w:sz w:val="21"/>
        </w:rPr>
        <w:t xml:space="preserve">Juridical client: </w:t>
      </w:r>
      <w:r>
        <w:rPr>
          <w:rFonts w:eastAsia="Segoe UI" w:cs="Segoe UI" w:ascii="Segoe UI" w:hAnsi="Segoe UI"/>
          <w:b/>
          <w:color w:val="101820"/>
          <w:sz w:val="21"/>
        </w:rPr>
        <w:t>Add signatory</w:t>
      </w:r>
      <w:r>
        <w:rPr>
          <w:rFonts w:eastAsia="Segoe UI" w:cs="Segoe UI" w:ascii="Segoe UI" w:hAnsi="Segoe UI"/>
          <w:color w:val="101820"/>
          <w:sz w:val="21"/>
        </w:rPr>
        <w:t xml:space="preserve"> for each authorised signatory with the board resolution or secretary's certificate that authorises him or her (number and date), and </w:t>
      </w:r>
      <w:r>
        <w:rPr>
          <w:rFonts w:eastAsia="Segoe UI" w:cs="Segoe UI" w:ascii="Segoe UI" w:hAnsi="Segoe UI"/>
          <w:b/>
          <w:color w:val="101820"/>
          <w:sz w:val="21"/>
        </w:rPr>
        <w:t>Add beneficial owner</w:t>
      </w:r>
      <w:r>
        <w:rPr>
          <w:rFonts w:eastAsia="Segoe UI" w:cs="Segoe UI" w:ascii="Segoe UI" w:hAnsi="Segoe UI"/>
          <w:color w:val="101820"/>
          <w:sz w:val="21"/>
        </w:rPr>
        <w:t xml:space="preserve"> for each natural person who owns at least the beneficial owner threshold (25% by default, </w:t>
      </w:r>
      <w:r>
        <w:rPr>
          <w:rFonts w:eastAsia="Consolas" w:cs="Consolas" w:ascii="Consolas" w:hAnsi="Consolas"/>
          <w:color w:val="101820"/>
          <w:sz w:val="19"/>
        </w:rPr>
        <w:t>aml.beneficial_owner_threshold</w:t>
      </w:r>
      <w:r>
        <w:rPr>
          <w:rFonts w:eastAsia="Segoe UI" w:cs="Segoe UI" w:ascii="Segoe UI" w:hAnsi="Segoe UI"/>
          <w:color w:val="101820"/>
          <w:sz w:val="21"/>
        </w:rPr>
        <w:t>) or controls the client by other means; when no one does, record the senior managing official.</w:t>
      </w:r>
    </w:p>
    <w:p>
      <w:pPr>
        <w:pStyle w:val="Normal"/>
        <w:numPr>
          <w:ilvl w:val="0"/>
          <w:numId w:val="3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Onboard client</w:t>
      </w:r>
      <w:r>
        <w:rPr>
          <w:rFonts w:eastAsia="Segoe UI" w:cs="Segoe UI" w:ascii="Segoe UI" w:hAnsi="Segoe UI"/>
          <w:color w:val="101820"/>
          <w:sz w:val="21"/>
        </w:rPr>
        <w:t>. The client gets its client code and is rated (Low, Normal or High) and screened against the sanctions, PEP and negative lists together with its owners and signatories. The rating and the KYC status show at the top. A potential match is queued for the compliance officer.</w:t>
      </w:r>
    </w:p>
    <w:p>
      <w:pPr>
        <w:pStyle w:val="Normal"/>
        <w:numPr>
          <w:ilvl w:val="0"/>
          <w:numId w:val="323"/>
        </w:numPr>
        <w:spacing w:before="0" w:after="60"/>
        <w:rPr/>
      </w:pPr>
      <w:r>
        <w:rPr>
          <w:rFonts w:eastAsia="Segoe UI" w:cs="Segoe UI" w:ascii="Segoe UI" w:hAnsi="Segoe UI"/>
          <w:color w:val="101820"/>
          <w:sz w:val="21"/>
        </w:rPr>
        <w:t xml:space="preserve">Upload the ID, the registration certificate, the General Information Sheet and the board resolution or secretary's certificate under </w:t>
      </w:r>
      <w:r>
        <w:rPr>
          <w:rFonts w:eastAsia="Segoe UI" w:cs="Segoe UI" w:ascii="Segoe UI" w:hAnsi="Segoe UI"/>
          <w:b/>
          <w:color w:val="101820"/>
          <w:sz w:val="21"/>
        </w:rPr>
        <w:t>KYC documents</w:t>
      </w:r>
      <w:r>
        <w:rPr>
          <w:rFonts w:eastAsia="Segoe UI" w:cs="Segoe UI" w:ascii="Segoe UI" w:hAnsi="Segoe UI"/>
          <w:color w:val="101820"/>
          <w:sz w:val="21"/>
        </w:rPr>
        <w:t xml:space="preserve">: choose the document type, what it relates to (client, signatory or owner), an expiry date when there is one, the file,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mobile number, TIN and the identification required for the client type are checked when you save. A High-risk client gets no policy until the compliance officer approves its EDD review, and a client with an undecided or confirmed screening match gets no policy and no refund or claim payment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91" w:name="__RefHeading___Toc24450_3350804041"/>
      <w:bookmarkEnd w:id="91"/>
      <w:r>
        <w:rPr>
          <w:rFonts w:eastAsia="Segoe UI" w:cs="Segoe UI"/>
          <w:b/>
          <w:color w:val="0F4761"/>
          <w:sz w:val="26"/>
        </w:rPr>
        <w:t>10.7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324"/>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325"/>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326"/>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327"/>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32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68195"/>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2068195"/>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57835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57835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92" w:name="__RefHeading___Toc24452_3350804041"/>
      <w:bookmarkEnd w:id="92"/>
      <w:r>
        <w:rPr>
          <w:rFonts w:eastAsia="Segoe UI" w:cs="Segoe UI"/>
          <w:b/>
          <w:color w:val="0F4761"/>
          <w:sz w:val="26"/>
        </w:rPr>
        <w:t>10.8  Cover notes (binders)</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Cover Notes</w:t>
      </w:r>
    </w:p>
    <w:p>
      <w:pPr>
        <w:pStyle w:val="Normal"/>
        <w:spacing w:lineRule="auto" w:line="276" w:before="0" w:after="120"/>
        <w:rPr/>
      </w:pPr>
      <w:r>
        <w:rPr>
          <w:rFonts w:eastAsia="Segoe UI" w:cs="Segoe UI" w:ascii="Segoe UI" w:hAnsi="Segoe UI"/>
          <w:color w:val="101820"/>
          <w:sz w:val="21"/>
        </w:rPr>
        <w:t xml:space="preserve">A cover note is temporary evidence of cover that the broker gives the client while the insurer issues the policy. It is issued from a quotation the customer accepted or from a placement slip sent to (or bound by) the insurers, and it stays in force for the cover period (30 days by default, setting </w:t>
      </w:r>
      <w:r>
        <w:rPr>
          <w:rFonts w:eastAsia="Consolas" w:cs="Consolas" w:ascii="Consolas" w:hAnsi="Consolas"/>
          <w:color w:val="101820"/>
          <w:sz w:val="19"/>
        </w:rPr>
        <w:t>cover_note.validity_days</w:t>
      </w:r>
      <w:r>
        <w:rPr>
          <w:rFonts w:eastAsia="Segoe UI" w:cs="Segoe UI" w:ascii="Segoe UI" w:hAnsi="Segoe UI"/>
          <w:color w:val="101820"/>
          <w:sz w:val="21"/>
        </w:rPr>
        <w:t>).</w:t>
      </w:r>
    </w:p>
    <w:p>
      <w:pPr>
        <w:pStyle w:val="Normal"/>
        <w:numPr>
          <w:ilvl w:val="0"/>
          <w:numId w:val="329"/>
        </w:numPr>
        <w:spacing w:before="0" w:after="60"/>
        <w:rPr/>
      </w:pPr>
      <w:r>
        <w:rPr>
          <w:rFonts w:eastAsia="Segoe UI" w:cs="Segoe UI" w:ascii="Segoe UI" w:hAnsi="Segoe UI"/>
          <w:color w:val="101820"/>
          <w:sz w:val="21"/>
        </w:rPr>
        <w:t xml:space="preserve">Choose Operations &gt; Cover Notes and select </w:t>
      </w:r>
      <w:r>
        <w:rPr>
          <w:rFonts w:eastAsia="Segoe UI" w:cs="Segoe UI" w:ascii="Segoe UI" w:hAnsi="Segoe UI"/>
          <w:b/>
          <w:color w:val="101820"/>
          <w:sz w:val="21"/>
        </w:rPr>
        <w:t>Issue cover note</w:t>
      </w:r>
      <w:r>
        <w:rPr>
          <w:rFonts w:eastAsia="Segoe UI" w:cs="Segoe UI" w:ascii="Segoe UI" w:hAnsi="Segoe UI"/>
          <w:color w:val="101820"/>
          <w:sz w:val="21"/>
        </w:rPr>
        <w:t>.</w:t>
      </w:r>
    </w:p>
    <w:p>
      <w:pPr>
        <w:pStyle w:val="Normal"/>
        <w:numPr>
          <w:ilvl w:val="0"/>
          <w:numId w:val="330"/>
        </w:numPr>
        <w:spacing w:before="0" w:after="60"/>
        <w:rPr/>
      </w:pPr>
      <w:r>
        <w:rPr>
          <w:rFonts w:eastAsia="Segoe UI" w:cs="Segoe UI" w:ascii="Segoe UI" w:hAnsi="Segoe UI"/>
          <w:color w:val="101820"/>
          <w:sz w:val="21"/>
        </w:rPr>
        <w:t xml:space="preserve">Search the quotation, placement slip or client and select the row. Only quotations whose status is in </w:t>
      </w:r>
      <w:r>
        <w:rPr>
          <w:rFonts w:eastAsia="Consolas" w:cs="Consolas" w:ascii="Consolas" w:hAnsi="Consolas"/>
          <w:color w:val="101820"/>
          <w:sz w:val="19"/>
        </w:rPr>
        <w:t>cover_note.quote_statuses</w:t>
      </w:r>
      <w:r>
        <w:rPr>
          <w:rFonts w:eastAsia="Segoe UI" w:cs="Segoe UI" w:ascii="Segoe UI" w:hAnsi="Segoe UI"/>
          <w:color w:val="101820"/>
          <w:sz w:val="21"/>
        </w:rPr>
        <w:t xml:space="preserve"> (accepted, approved, submitted) and placement slips in </w:t>
      </w:r>
      <w:r>
        <w:rPr>
          <w:rFonts w:eastAsia="Consolas" w:cs="Consolas" w:ascii="Consolas" w:hAnsi="Consolas"/>
          <w:color w:val="101820"/>
          <w:sz w:val="19"/>
        </w:rPr>
        <w:t>cover_note.placement_statuses</w:t>
      </w:r>
      <w:r>
        <w:rPr>
          <w:rFonts w:eastAsia="Segoe UI" w:cs="Segoe UI" w:ascii="Segoe UI" w:hAnsi="Segoe UI"/>
          <w:color w:val="101820"/>
          <w:sz w:val="21"/>
        </w:rPr>
        <w:t xml:space="preserve"> (sent, bound) without a policy or an active cover note are listed.</w:t>
      </w:r>
    </w:p>
    <w:p>
      <w:pPr>
        <w:pStyle w:val="Normal"/>
        <w:numPr>
          <w:ilvl w:val="0"/>
          <w:numId w:val="33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Cover from</w:t>
      </w:r>
      <w:r>
        <w:rPr>
          <w:rFonts w:eastAsia="Segoe UI" w:cs="Segoe UI" w:ascii="Segoe UI" w:hAnsi="Segoe UI"/>
          <w:color w:val="101820"/>
          <w:sz w:val="21"/>
        </w:rPr>
        <w:t xml:space="preserve"> (the inception of the placement, else today), the </w:t>
      </w:r>
      <w:r>
        <w:rPr>
          <w:rFonts w:eastAsia="Segoe UI" w:cs="Segoe UI" w:ascii="Segoe UI" w:hAnsi="Segoe UI"/>
          <w:b/>
          <w:color w:val="101820"/>
          <w:sz w:val="21"/>
        </w:rPr>
        <w:t>Cover period (days)</w:t>
      </w:r>
      <w:r>
        <w:rPr>
          <w:rFonts w:eastAsia="Segoe UI" w:cs="Segoe UI" w:ascii="Segoe UI" w:hAnsi="Segoe UI"/>
          <w:color w:val="101820"/>
          <w:sz w:val="21"/>
        </w:rPr>
        <w:t xml:space="preserve"> (empty: the default; at most </w:t>
      </w:r>
      <w:r>
        <w:rPr>
          <w:rFonts w:eastAsia="Consolas" w:cs="Consolas" w:ascii="Consolas" w:hAnsi="Consolas"/>
          <w:color w:val="101820"/>
          <w:sz w:val="19"/>
        </w:rPr>
        <w:t>cover_note.max_validity_days</w:t>
      </w:r>
      <w:r>
        <w:rPr>
          <w:rFonts w:eastAsia="Segoe UI" w:cs="Segoe UI" w:ascii="Segoe UI" w:hAnsi="Segoe UI"/>
          <w:color w:val="101820"/>
          <w:sz w:val="21"/>
        </w:rPr>
        <w:t xml:space="preserve">), the </w:t>
      </w:r>
      <w:r>
        <w:rPr>
          <w:rFonts w:eastAsia="Segoe UI" w:cs="Segoe UI" w:ascii="Segoe UI" w:hAnsi="Segoe UI"/>
          <w:b/>
          <w:color w:val="101820"/>
          <w:sz w:val="21"/>
        </w:rPr>
        <w:t>Insurer binder reference</w:t>
      </w:r>
      <w:r>
        <w:rPr>
          <w:rFonts w:eastAsia="Segoe UI" w:cs="Segoe UI" w:ascii="Segoe UI" w:hAnsi="Segoe UI"/>
          <w:color w:val="101820"/>
          <w:sz w:val="21"/>
        </w:rPr>
        <w:t xml:space="preserve"> and any </w:t>
      </w:r>
      <w:r>
        <w:rPr>
          <w:rFonts w:eastAsia="Segoe UI" w:cs="Segoe UI" w:ascii="Segoe UI" w:hAnsi="Segoe UI"/>
          <w:b/>
          <w:color w:val="101820"/>
          <w:sz w:val="21"/>
        </w:rPr>
        <w:t>Special conditions</w:t>
      </w:r>
      <w:r>
        <w:rPr>
          <w:rFonts w:eastAsia="Segoe UI" w:cs="Segoe UI" w:ascii="Segoe UI" w:hAnsi="Segoe UI"/>
          <w:color w:val="101820"/>
          <w:sz w:val="21"/>
        </w:rPr>
        <w:t>.</w:t>
      </w:r>
    </w:p>
    <w:p>
      <w:pPr>
        <w:pStyle w:val="Normal"/>
        <w:numPr>
          <w:ilvl w:val="0"/>
          <w:numId w:val="33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cover note</w:t>
      </w:r>
      <w:r>
        <w:rPr>
          <w:rFonts w:eastAsia="Segoe UI" w:cs="Segoe UI" w:ascii="Segoe UI" w:hAnsi="Segoe UI"/>
          <w:color w:val="101820"/>
          <w:sz w:val="21"/>
        </w:rPr>
        <w:t>. The number is CVN-YYYY-NNNNN (Master &gt; Document Numbering, series cover_note).</w:t>
      </w:r>
    </w:p>
    <w:p>
      <w:pPr>
        <w:pStyle w:val="Normal"/>
        <w:spacing w:lineRule="auto" w:line="276" w:before="0" w:after="120"/>
        <w:rPr/>
      </w:pPr>
      <w:r>
        <w:rPr>
          <w:rFonts w:eastAsia="Segoe UI" w:cs="Segoe UI" w:ascii="Segoe UI" w:hAnsi="Segoe UI"/>
          <w:color w:val="101820"/>
          <w:sz w:val="21"/>
        </w:rPr>
        <w:t xml:space="preserve">On the list, </w:t>
      </w:r>
      <w:r>
        <w:rPr>
          <w:rFonts w:eastAsia="Segoe UI" w:cs="Segoe UI" w:ascii="Segoe UI" w:hAnsi="Segoe UI"/>
          <w:b/>
          <w:color w:val="101820"/>
          <w:sz w:val="21"/>
        </w:rPr>
        <w:t>Print</w:t>
      </w:r>
      <w:r>
        <w:rPr>
          <w:rFonts w:eastAsia="Segoe UI" w:cs="Segoe UI" w:ascii="Segoe UI" w:hAnsi="Segoe UI"/>
          <w:color w:val="101820"/>
          <w:sz w:val="21"/>
        </w:rPr>
        <w:t xml:space="preserve"> opens the cover note with the company letterhead, the cover, the risk, the wording of </w:t>
      </w:r>
      <w:r>
        <w:rPr>
          <w:rFonts w:eastAsia="Consolas" w:cs="Consolas" w:ascii="Consolas" w:hAnsi="Consolas"/>
          <w:color w:val="101820"/>
          <w:sz w:val="19"/>
        </w:rPr>
        <w:t>cover_note.wording</w:t>
      </w:r>
      <w:r>
        <w:rPr>
          <w:rFonts w:eastAsia="Segoe UI" w:cs="Segoe UI" w:ascii="Segoe UI" w:hAnsi="Segoe UI"/>
          <w:color w:val="101820"/>
          <w:sz w:val="21"/>
        </w:rPr>
        <w:t xml:space="preserve"> and the signature block; </w:t>
      </w:r>
      <w:r>
        <w:rPr>
          <w:rFonts w:eastAsia="Segoe UI" w:cs="Segoe UI" w:ascii="Segoe UI" w:hAnsi="Segoe UI"/>
          <w:b/>
          <w:color w:val="101820"/>
          <w:sz w:val="21"/>
        </w:rPr>
        <w:t>E-mail to the client</w:t>
      </w:r>
      <w:r>
        <w:rPr>
          <w:rFonts w:eastAsia="Segoe UI" w:cs="Segoe UI" w:ascii="Segoe UI" w:hAnsi="Segoe UI"/>
          <w:color w:val="101820"/>
          <w:sz w:val="21"/>
        </w:rPr>
        <w:t xml:space="preserve"> sends the PDF (e-mail template </w:t>
      </w:r>
      <w:r>
        <w:rPr>
          <w:rFonts w:eastAsia="Consolas" w:cs="Consolas" w:ascii="Consolas" w:hAnsi="Consolas"/>
          <w:color w:val="101820"/>
          <w:sz w:val="19"/>
        </w:rPr>
        <w:t>cover_note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asks for a reason.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 note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 until the end of the cover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Superseded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of the quotation or placement slip was issued; the policy number is shown and the cover note ends.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cover period ended before the policy was issued. The policy is still linked when it is issued later.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a user (reason kept in the audit trail).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daily job </w:t>
      </w:r>
      <w:r>
        <w:rPr>
          <w:rFonts w:eastAsia="Segoe UI" w:cs="Segoe UI" w:ascii="Segoe UI" w:hAnsi="Segoe UI"/>
          <w:b/>
          <w:color w:val="101820"/>
          <w:sz w:val="21"/>
        </w:rPr>
        <w:t>Cover note expiry</w:t>
      </w:r>
      <w:r>
        <w:rPr>
          <w:rFonts w:eastAsia="Segoe UI" w:cs="Segoe UI" w:ascii="Segoe UI" w:hAnsi="Segoe UI"/>
          <w:color w:val="101820"/>
          <w:sz w:val="21"/>
        </w:rPr>
        <w:t xml:space="preserve"> (Master &gt; Schedules) reminds the owner of the quotation or placement </w:t>
      </w:r>
      <w:r>
        <w:rPr>
          <w:rFonts w:eastAsia="Consolas" w:cs="Consolas" w:ascii="Consolas" w:hAnsi="Consolas"/>
          <w:color w:val="101820"/>
          <w:sz w:val="19"/>
        </w:rPr>
        <w:t>cover_note.reminder_days_before</w:t>
      </w:r>
      <w:r>
        <w:rPr>
          <w:rFonts w:eastAsia="Segoe UI" w:cs="Segoe UI" w:ascii="Segoe UI" w:hAnsi="Segoe UI"/>
          <w:color w:val="101820"/>
          <w:sz w:val="21"/>
        </w:rPr>
        <w:t xml:space="preserve"> days (7) before the end date, expires cover notes past their end date and links issued policies.</w:t>
      </w:r>
    </w:p>
    <w:p>
      <w:pPr>
        <w:pStyle w:val="Heading2"/>
        <w:rPr/>
      </w:pPr>
      <w:bookmarkStart w:id="93" w:name="__RefHeading___Toc24454_3350804041"/>
      <w:bookmarkEnd w:id="93"/>
      <w:r>
        <w:rPr>
          <w:rFonts w:eastAsia="Segoe UI" w:cs="Segoe UI"/>
          <w:b/>
          <w:color w:val="0F4761"/>
          <w:sz w:val="26"/>
        </w:rPr>
        <w:t>10.9  Cancel a policy: computed return premium</w:t>
      </w:r>
    </w:p>
    <w:p>
      <w:pPr>
        <w:pStyle w:val="Normal"/>
        <w:spacing w:lineRule="auto" w:line="276" w:before="0" w:after="120"/>
        <w:rPr/>
      </w:pPr>
      <w:r>
        <w:rPr>
          <w:rFonts w:eastAsia="Segoe UI" w:cs="Segoe UI" w:ascii="Segoe UI" w:hAnsi="Segoe UI"/>
          <w:color w:val="101820"/>
          <w:sz w:val="21"/>
        </w:rPr>
        <w:t xml:space="preserve">The return premium of a cancellation is computed from the days left, never typed in (setting </w:t>
      </w:r>
      <w:r>
        <w:rPr>
          <w:rFonts w:eastAsia="Consolas" w:cs="Consolas" w:ascii="Consolas" w:hAnsi="Consolas"/>
          <w:color w:val="101820"/>
          <w:sz w:val="19"/>
        </w:rPr>
        <w:t>endorsements.compute_cancellation_return</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3857"/>
        <w:gridCol w:w="383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Method</w:t>
            </w:r>
          </w:p>
        </w:tc>
        <w:tc>
          <w:tcPr>
            <w:tcW w:w="38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Return net premium</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Pro-rata</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cancels (reason initiated by the insurer, for example non-payment)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x days left / days of the policy period.</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Short-period</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insured cancels (</w:t>
            </w:r>
            <w:r>
              <w:rPr>
                <w:rFonts w:eastAsia="Consolas" w:cs="Consolas" w:ascii="Consolas" w:hAnsi="Consolas"/>
                <w:color w:val="101820"/>
                <w:kern w:val="0"/>
                <w:sz w:val="16"/>
                <w:szCs w:val="24"/>
                <w:lang w:val="en-US" w:eastAsia="ja-JP" w:bidi="ar-SA"/>
              </w:rPr>
              <w:t>endorsements.short_period_for_insured</w:t>
            </w:r>
            <w:r>
              <w:rPr>
                <w:rFonts w:eastAsia="Segoe UI" w:cs="Segoe UI" w:ascii="Segoe UI" w:hAnsi="Segoe UI"/>
                <w:color w:val="101820"/>
                <w:kern w:val="0"/>
                <w:sz w:val="18"/>
                <w:szCs w:val="24"/>
                <w:lang w:val="en-US" w:eastAsia="ja-JP" w:bidi="ar-SA"/>
              </w:rPr>
              <w:t>)</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less the percentage the insurer keeps for the days in force, from Master &gt; Insurance &gt; Short-Period Rates (a shorter term is scaled to a year).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Flat</w:t>
            </w:r>
          </w:p>
        </w:tc>
        <w:tc>
          <w:tcPr>
            <w:tcW w:w="38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from inception, or a reason whose method is flat (not taken up, duplicate)</w:t>
            </w:r>
          </w:p>
        </w:tc>
        <w:tc>
          <w:tcPr>
            <w:tcW w:w="3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whole net premium.</w:t>
            </w:r>
          </w:p>
        </w:tc>
      </w:tr>
    </w:tbl>
    <w:p>
      <w:pPr>
        <w:pStyle w:val="Normal"/>
        <w:spacing w:before="0" w:after="80"/>
        <w:rPr/>
      </w:pPr>
      <w:r>
        <w:rPr/>
      </w:r>
    </w:p>
    <w:p>
      <w:pPr>
        <w:pStyle w:val="Normal"/>
        <w:numPr>
          <w:ilvl w:val="0"/>
          <w:numId w:val="333"/>
        </w:numPr>
        <w:spacing w:before="0" w:after="60"/>
        <w:rPr/>
      </w:pPr>
      <w:r>
        <w:rPr>
          <w:rFonts w:eastAsia="Segoe UI" w:cs="Segoe UI" w:ascii="Segoe UI" w:hAnsi="Segoe UI"/>
          <w:color w:val="101820"/>
          <w:sz w:val="21"/>
        </w:rPr>
        <w:t>Choose Operations &gt; Policy Cancellation and enter the policy number.</w:t>
      </w:r>
    </w:p>
    <w:p>
      <w:pPr>
        <w:pStyle w:val="Normal"/>
        <w:numPr>
          <w:ilvl w:val="0"/>
          <w:numId w:val="334"/>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Cancellation date</w:t>
      </w:r>
      <w:r>
        <w:rPr>
          <w:rFonts w:eastAsia="Segoe UI" w:cs="Segoe UI" w:ascii="Segoe UI" w:hAnsi="Segoe UI"/>
          <w:color w:val="101820"/>
          <w:sz w:val="21"/>
        </w:rPr>
        <w:t xml:space="preserve"> and choose the </w:t>
      </w:r>
      <w:r>
        <w:rPr>
          <w:rFonts w:eastAsia="Segoe UI" w:cs="Segoe UI" w:ascii="Segoe UI" w:hAnsi="Segoe UI"/>
          <w:b/>
          <w:color w:val="101820"/>
          <w:sz w:val="21"/>
        </w:rPr>
        <w:t>Reason</w:t>
      </w:r>
      <w:r>
        <w:rPr>
          <w:rFonts w:eastAsia="Segoe UI" w:cs="Segoe UI" w:ascii="Segoe UI" w:hAnsi="Segoe UI"/>
          <w:color w:val="101820"/>
          <w:sz w:val="21"/>
        </w:rPr>
        <w:t xml:space="preserve"> (Master &gt; Insurance &gt; Cancellation Reasons says who initiates it and the method). </w:t>
      </w:r>
      <w:r>
        <w:rPr>
          <w:rFonts w:eastAsia="Segoe UI" w:cs="Segoe UI" w:ascii="Segoe UI" w:hAnsi="Segoe UI"/>
          <w:b/>
          <w:color w:val="101820"/>
          <w:sz w:val="21"/>
        </w:rPr>
        <w:t>Return premium method</w:t>
      </w:r>
      <w:r>
        <w:rPr>
          <w:rFonts w:eastAsia="Segoe UI" w:cs="Segoe UI" w:ascii="Segoe UI" w:hAnsi="Segoe UI"/>
          <w:color w:val="101820"/>
          <w:sz w:val="21"/>
        </w:rPr>
        <w:t xml:space="preserve"> = From the reason, unless you choose another one.</w:t>
      </w:r>
    </w:p>
    <w:p>
      <w:pPr>
        <w:pStyle w:val="Normal"/>
        <w:numPr>
          <w:ilvl w:val="0"/>
          <w:numId w:val="335"/>
        </w:numPr>
        <w:spacing w:before="0" w:after="60"/>
        <w:rPr/>
      </w:pPr>
      <w:r>
        <w:rPr>
          <w:rFonts w:eastAsia="Segoe UI" w:cs="Segoe UI" w:ascii="Segoe UI" w:hAnsi="Segoe UI"/>
          <w:color w:val="101820"/>
          <w:sz w:val="21"/>
        </w:rPr>
        <w:t xml:space="preserve">For a cancellation of part of the cover choose </w:t>
      </w:r>
      <w:r>
        <w:rPr>
          <w:rFonts w:eastAsia="Segoe UI" w:cs="Segoe UI" w:ascii="Segoe UI" w:hAnsi="Segoe UI"/>
          <w:b/>
          <w:color w:val="101820"/>
          <w:sz w:val="21"/>
        </w:rPr>
        <w:t>Part of the cover</w:t>
      </w:r>
      <w:r>
        <w:rPr>
          <w:rFonts w:eastAsia="Segoe UI" w:cs="Segoe UI" w:ascii="Segoe UI" w:hAnsi="Segoe UI"/>
          <w:color w:val="101820"/>
          <w:sz w:val="21"/>
        </w:rPr>
        <w:t xml:space="preserve"> and enter the percentage or the net premium of the part cancelled; the policy stays in force.</w:t>
      </w:r>
    </w:p>
    <w:p>
      <w:pPr>
        <w:pStyle w:val="Normal"/>
        <w:numPr>
          <w:ilvl w:val="0"/>
          <w:numId w:val="3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 return premium</w:t>
      </w:r>
      <w:r>
        <w:rPr>
          <w:rFonts w:eastAsia="Segoe UI" w:cs="Segoe UI" w:ascii="Segoe UI" w:hAnsi="Segoe UI"/>
          <w:color w:val="101820"/>
          <w:sz w:val="21"/>
        </w:rPr>
        <w:t xml:space="preserve">. The page shows the days in force and left, the premium kept by the insurer, the return net premium, the premium taxes returned (from Master &gt; Finance &gt; Premium Taxes &amp; LGU Rates on the return premium; the taxes returned are set in </w:t>
      </w:r>
      <w:r>
        <w:rPr>
          <w:rFonts w:eastAsia="Consolas" w:cs="Consolas" w:ascii="Consolas" w:hAnsi="Consolas"/>
          <w:color w:val="101820"/>
          <w:sz w:val="19"/>
        </w:rPr>
        <w:t>endorsements.cancellation_returned_taxes</w:t>
      </w:r>
      <w:r>
        <w:rPr>
          <w:rFonts w:eastAsia="Segoe UI" w:cs="Segoe UI" w:ascii="Segoe UI" w:hAnsi="Segoe UI"/>
          <w:color w:val="101820"/>
          <w:sz w:val="21"/>
        </w:rPr>
        <w:t>, documentary stamp tax is not refundable by default), the return premium and the commission taken back.</w:t>
      </w:r>
    </w:p>
    <w:p>
      <w:pPr>
        <w:pStyle w:val="Normal"/>
        <w:numPr>
          <w:ilvl w:val="0"/>
          <w:numId w:val="3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cancellation endorsement</w:t>
      </w:r>
      <w:r>
        <w:rPr>
          <w:rFonts w:eastAsia="Segoe UI" w:cs="Segoe UI" w:ascii="Segoe UI" w:hAnsi="Segoe UI"/>
          <w:color w:val="101820"/>
          <w:sz w:val="21"/>
        </w:rPr>
        <w:t>. The endorsement summary opens; send it to the customer and complete it as any cancellation (Processing Team chapter). The server computes the same figures again, so a figure changed on the screen is not used.</w:t>
      </w:r>
    </w:p>
    <w:p>
      <w:pPr>
        <w:pStyle w:val="Normal"/>
        <w:spacing w:lineRule="auto" w:line="276" w:before="0" w:after="120"/>
        <w:rPr/>
      </w:pPr>
      <w:r>
        <w:rPr>
          <w:rFonts w:eastAsia="Segoe UI" w:cs="Segoe UI" w:ascii="Segoe UI" w:hAnsi="Segoe UI"/>
          <w:color w:val="101820"/>
          <w:sz w:val="21"/>
        </w:rPr>
        <w:t>When the endorsement is completed the open bills are credited with the return premium (what the client already paid becomes a refund), and the journal (posting rule policy.cancel, or endorsement.return_premium for a partial cancellation) reverses the premium due to the insurer, the premium taxes and the commission at the computed amounts. A cancellation raised from the endorsement screens is computed the same way.</w:t>
      </w:r>
    </w:p>
    <w:p>
      <w:pPr>
        <w:pStyle w:val="Heading2"/>
        <w:rPr/>
      </w:pPr>
      <w:bookmarkStart w:id="94" w:name="__RefHeading___Toc24456_3350804041"/>
      <w:bookmarkEnd w:id="94"/>
      <w:r>
        <w:rPr>
          <w:rFonts w:eastAsia="Segoe UI" w:cs="Segoe UI"/>
          <w:b/>
          <w:color w:val="0F4761"/>
          <w:sz w:val="26"/>
        </w:rPr>
        <w:t>10.10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95" w:name="__RefHeading___Toc24458_3350804041"/>
      <w:bookmarkEnd w:id="95"/>
      <w:r>
        <w:rPr>
          <w:rFonts w:eastAsia="Segoe UI" w:cs="Segoe UI"/>
          <w:b/>
          <w:color w:val="0F4761"/>
          <w:sz w:val="26"/>
        </w:rPr>
        <w:t>10.11  Payments</w:t>
      </w:r>
    </w:p>
    <w:p>
      <w:pPr>
        <w:pStyle w:val="Normal"/>
        <w:jc w:val="center"/>
        <w:rPr/>
      </w:pPr>
      <w:r>
        <w:rPr/>
        <w:drawing>
          <wp:inline distT="0" distB="0" distL="0" distR="0">
            <wp:extent cx="5760085" cy="446913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w:t>
      </w:r>
      <w:r>
        <w:rPr>
          <w:rFonts w:eastAsia="Segoe UI" w:cs="Segoe UI" w:ascii="Segoe UI" w:hAnsi="Segoe UI"/>
          <w:b/>
          <w:color w:val="101820"/>
          <w:sz w:val="21"/>
        </w:rPr>
        <w:t>Policy</w:t>
      </w:r>
      <w:r>
        <w:rPr>
          <w:rFonts w:eastAsia="Segoe UI" w:cs="Segoe UI" w:ascii="Segoe UI" w:hAnsi="Segoe UI"/>
          <w:color w:val="101820"/>
          <w:sz w:val="21"/>
        </w:rPr>
        <w:t xml:space="preserve">, a </w:t>
      </w:r>
      <w:r>
        <w:rPr>
          <w:rFonts w:eastAsia="Segoe UI" w:cs="Segoe UI" w:ascii="Segoe UI" w:hAnsi="Segoe UI"/>
          <w:b/>
          <w:color w:val="101820"/>
          <w:sz w:val="21"/>
        </w:rPr>
        <w:t>Renewal Policy</w:t>
      </w:r>
      <w:r>
        <w:rPr>
          <w:rFonts w:eastAsia="Segoe UI" w:cs="Segoe UI" w:ascii="Segoe UI" w:hAnsi="Segoe UI"/>
          <w:color w:val="101820"/>
          <w:sz w:val="21"/>
        </w:rPr>
        <w:t xml:space="preserve"> or an </w:t>
      </w:r>
      <w:r>
        <w:rPr>
          <w:rFonts w:eastAsia="Segoe UI" w:cs="Segoe UI" w:ascii="Segoe UI" w:hAnsi="Segoe UI"/>
          <w:b/>
          <w:color w:val="101820"/>
          <w:sz w:val="21"/>
        </w:rPr>
        <w:t>Endorsement</w:t>
      </w:r>
      <w:r>
        <w:rPr>
          <w:rFonts w:eastAsia="Segoe UI" w:cs="Segoe UI" w:ascii="Segoe UI" w:hAnsi="Segoe UI"/>
          <w:color w:val="101820"/>
          <w:sz w:val="21"/>
        </w:rPr>
        <w:t>. Receipts are posted by Accounting; this screen shows the result.</w:t>
      </w:r>
    </w:p>
    <w:p>
      <w:pPr>
        <w:pStyle w:val="Heading2"/>
        <w:rPr/>
      </w:pPr>
      <w:bookmarkStart w:id="96" w:name="__RefHeading___Toc24460_3350804041"/>
      <w:bookmarkEnd w:id="96"/>
      <w:r>
        <w:rPr>
          <w:rFonts w:eastAsia="Segoe UI" w:cs="Segoe UI"/>
          <w:b/>
          <w:color w:val="0F4761"/>
          <w:sz w:val="26"/>
        </w:rPr>
        <w:t>10.12  CTPL authentication</w:t>
      </w:r>
    </w:p>
    <w:p>
      <w:pPr>
        <w:pStyle w:val="Normal"/>
        <w:spacing w:lineRule="auto" w:line="276" w:before="0" w:after="120"/>
        <w:rPr/>
      </w:pPr>
      <w:r>
        <w:rPr>
          <w:rFonts w:eastAsia="Segoe UI" w:cs="Segoe UI" w:ascii="Segoe UI" w:hAnsi="Segoe UI"/>
          <w:color w:val="101820"/>
          <w:sz w:val="21"/>
        </w:rPr>
        <w:t>Every CTPL certificate of cover (COC) must be authenticated with the IC-accredited authentication provider before it is released. Operations &gt; CTPL Authentication does it for every CTPL cover issued.</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CTPL Authentication</w:t>
      </w:r>
    </w:p>
    <w:p>
      <w:pPr>
        <w:pStyle w:val="Normal"/>
        <w:spacing w:lineRule="auto" w:line="276" w:before="0" w:after="120"/>
        <w:rPr/>
      </w:pPr>
      <w:r>
        <w:rPr>
          <w:rFonts w:eastAsia="Segoe UI" w:cs="Segoe UI" w:ascii="Segoe UI" w:hAnsi="Segoe UI"/>
          <w:b/>
          <w:color w:val="101820"/>
          <w:sz w:val="21"/>
        </w:rPr>
        <w:t>COC series.</w:t>
      </w:r>
      <w:r>
        <w:rPr>
          <w:rFonts w:eastAsia="Segoe UI" w:cs="Segoe UI" w:ascii="Segoe UI" w:hAnsi="Segoe UI"/>
          <w:color w:val="101820"/>
          <w:sz w:val="21"/>
        </w:rPr>
        <w:t xml:space="preserve"> On the </w:t>
      </w:r>
      <w:r>
        <w:rPr>
          <w:rFonts w:eastAsia="Segoe UI" w:cs="Segoe UI" w:ascii="Segoe UI" w:hAnsi="Segoe UI"/>
          <w:b/>
          <w:color w:val="101820"/>
          <w:sz w:val="21"/>
        </w:rPr>
        <w:t>COC series</w:t>
      </w:r>
      <w:r>
        <w:rPr>
          <w:rFonts w:eastAsia="Segoe UI" w:cs="Segoe UI" w:ascii="Segoe UI" w:hAnsi="Segoe UI"/>
          <w:color w:val="101820"/>
          <w:sz w:val="21"/>
        </w:rPr>
        <w:t xml:space="preserve"> tab, record each series of COC numbers received from an insurer: </w:t>
      </w:r>
      <w:r>
        <w:rPr>
          <w:rFonts w:eastAsia="Segoe UI" w:cs="Segoe UI" w:ascii="Segoe UI" w:hAnsi="Segoe UI"/>
          <w:b/>
          <w:color w:val="101820"/>
          <w:sz w:val="21"/>
        </w:rPr>
        <w:t>New COC series</w:t>
      </w:r>
      <w:r>
        <w:rPr>
          <w:rFonts w:eastAsia="Segoe UI" w:cs="Segoe UI" w:ascii="Segoe UI" w:hAnsi="Segoe UI"/>
          <w:color w:val="101820"/>
          <w:sz w:val="21"/>
        </w:rPr>
        <w:t xml:space="preserv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Branch</w:t>
      </w:r>
      <w:r>
        <w:rPr>
          <w:rFonts w:eastAsia="Segoe UI" w:cs="Segoe UI" w:ascii="Segoe UI" w:hAnsi="Segoe UI"/>
          <w:color w:val="101820"/>
          <w:sz w:val="21"/>
        </w:rPr>
        <w:t xml:space="preserve"> (empty for every branch), the </w:t>
      </w:r>
      <w:r>
        <w:rPr>
          <w:rFonts w:eastAsia="Segoe UI" w:cs="Segoe UI" w:ascii="Segoe UI" w:hAnsi="Segoe UI"/>
          <w:b/>
          <w:color w:val="101820"/>
          <w:sz w:val="21"/>
        </w:rPr>
        <w:t>Prefix</w:t>
      </w:r>
      <w:r>
        <w:rPr>
          <w:rFonts w:eastAsia="Segoe UI" w:cs="Segoe UI" w:ascii="Segoe UI" w:hAnsi="Segoe UI"/>
          <w:color w:val="101820"/>
          <w:sz w:val="21"/>
        </w:rPr>
        <w:t xml:space="preserve">, the first and last number and the number of digits. Numbers may not overlap another series of the insurer. The list shows the numbers </w:t>
      </w:r>
      <w:r>
        <w:rPr>
          <w:rFonts w:eastAsia="Segoe UI" w:cs="Segoe UI" w:ascii="Segoe UI" w:hAnsi="Segoe UI"/>
          <w:b/>
          <w:color w:val="101820"/>
          <w:sz w:val="21"/>
        </w:rPr>
        <w:t>Used</w:t>
      </w:r>
      <w:r>
        <w:rPr>
          <w:rFonts w:eastAsia="Segoe UI" w:cs="Segoe UI" w:ascii="Segoe UI" w:hAnsi="Segoe UI"/>
          <w:color w:val="101820"/>
          <w:sz w:val="21"/>
        </w:rPr>
        <w:t xml:space="preserve"> and </w:t>
      </w:r>
      <w:r>
        <w:rPr>
          <w:rFonts w:eastAsia="Segoe UI" w:cs="Segoe UI" w:ascii="Segoe UI" w:hAnsi="Segoe UI"/>
          <w:b/>
          <w:color w:val="101820"/>
          <w:sz w:val="21"/>
        </w:rPr>
        <w:t>Left</w:t>
      </w:r>
      <w:r>
        <w:rPr>
          <w:rFonts w:eastAsia="Segoe UI" w:cs="Segoe UI" w:ascii="Segoe UI" w:hAnsi="Segoe UI"/>
          <w:color w:val="101820"/>
          <w:sz w:val="21"/>
        </w:rPr>
        <w:t xml:space="preserve">, in orange below the low-stock threshold; a series whose numbers are all used becomes </w:t>
      </w:r>
      <w:r>
        <w:rPr>
          <w:rFonts w:eastAsia="Segoe UI" w:cs="Segoe UI" w:ascii="Segoe UI" w:hAnsi="Segoe UI"/>
          <w:b/>
          <w:color w:val="101820"/>
          <w:sz w:val="21"/>
        </w:rPr>
        <w:t>Used up</w:t>
      </w:r>
      <w:r>
        <w:rPr>
          <w:rFonts w:eastAsia="Segoe UI" w:cs="Segoe UI" w:ascii="Segoe UI" w:hAnsi="Segoe UI"/>
          <w:color w:val="101820"/>
          <w:sz w:val="21"/>
        </w:rPr>
        <w:t xml:space="preserve">. </w:t>
      </w:r>
      <w:r>
        <w:rPr>
          <w:rFonts w:eastAsia="Segoe UI" w:cs="Segoe UI" w:ascii="Segoe UI" w:hAnsi="Segoe UI"/>
          <w:b/>
          <w:color w:val="101820"/>
          <w:sz w:val="21"/>
        </w:rPr>
        <w:t>Make inactive</w:t>
      </w:r>
      <w:r>
        <w:rPr>
          <w:rFonts w:eastAsia="Segoe UI" w:cs="Segoe UI" w:ascii="Segoe UI" w:hAnsi="Segoe UI"/>
          <w:color w:val="101820"/>
          <w:sz w:val="21"/>
        </w:rPr>
        <w:t xml:space="preserve"> stops a series (for example numbers returned to the insurer).</w:t>
      </w:r>
    </w:p>
    <w:p>
      <w:pPr>
        <w:pStyle w:val="Normal"/>
        <w:spacing w:lineRule="auto" w:line="276" w:before="0" w:after="120"/>
        <w:rPr/>
      </w:pPr>
      <w:r>
        <w:rPr>
          <w:rFonts w:eastAsia="Segoe UI" w:cs="Segoe UI" w:ascii="Segoe UI" w:hAnsi="Segoe UI"/>
          <w:b/>
          <w:color w:val="101820"/>
          <w:sz w:val="21"/>
        </w:rPr>
        <w:t>At issue.</w:t>
      </w:r>
      <w:r>
        <w:rPr>
          <w:rFonts w:eastAsia="Segoe UI" w:cs="Segoe UI" w:ascii="Segoe UI" w:hAnsi="Segoe UI"/>
          <w:color w:val="101820"/>
          <w:sz w:val="21"/>
        </w:rPr>
        <w:t xml:space="preserve"> When a motor policy with CTPL is issued (</w:t>
      </w:r>
      <w:r>
        <w:rPr>
          <w:rFonts w:eastAsia="Consolas" w:cs="Consolas" w:ascii="Consolas" w:hAnsi="Consolas"/>
          <w:color w:val="101820"/>
          <w:sz w:val="19"/>
        </w:rPr>
        <w:t>ctpl.register_on_issue</w:t>
      </w:r>
      <w:r>
        <w:rPr>
          <w:rFonts w:eastAsia="Segoe UI" w:cs="Segoe UI" w:ascii="Segoe UI" w:hAnsi="Segoe UI"/>
          <w:color w:val="101820"/>
          <w:sz w:val="21"/>
        </w:rPr>
        <w:t>):</w:t>
      </w:r>
    </w:p>
    <w:p>
      <w:pPr>
        <w:pStyle w:val="Normal"/>
        <w:numPr>
          <w:ilvl w:val="0"/>
          <w:numId w:val="338"/>
        </w:numPr>
        <w:spacing w:before="0" w:after="60"/>
        <w:rPr/>
      </w:pPr>
      <w:r>
        <w:rPr>
          <w:rFonts w:eastAsia="Segoe UI" w:cs="Segoe UI" w:ascii="Segoe UI" w:hAnsi="Segoe UI"/>
          <w:color w:val="101820"/>
          <w:sz w:val="21"/>
        </w:rPr>
        <w:t>The next COC number of the insurer's series is allocated (the branch of the issuing user first) and written on the policy.</w:t>
      </w:r>
    </w:p>
    <w:p>
      <w:pPr>
        <w:pStyle w:val="Normal"/>
        <w:numPr>
          <w:ilvl w:val="0"/>
          <w:numId w:val="339"/>
        </w:numPr>
        <w:spacing w:before="0" w:after="60"/>
        <w:rPr/>
      </w:pPr>
      <w:r>
        <w:rPr>
          <w:rFonts w:eastAsia="Segoe UI" w:cs="Segoe UI" w:ascii="Segoe UI" w:hAnsi="Segoe UI"/>
          <w:color w:val="101820"/>
          <w:sz w:val="21"/>
        </w:rPr>
        <w:t>The plate number or MV file number, chassis and engine numbers are copied from the policy.</w:t>
      </w:r>
    </w:p>
    <w:p>
      <w:pPr>
        <w:pStyle w:val="Normal"/>
        <w:numPr>
          <w:ilvl w:val="0"/>
          <w:numId w:val="340"/>
        </w:numPr>
        <w:spacing w:before="0" w:after="60"/>
        <w:rPr/>
      </w:pPr>
      <w:r>
        <w:rPr>
          <w:rFonts w:eastAsia="Segoe UI" w:cs="Segoe UI" w:ascii="Segoe UI" w:hAnsi="Segoe UI"/>
          <w:color w:val="101820"/>
          <w:sz w:val="21"/>
        </w:rPr>
        <w:t>The authentication request is sent to the provider (</w:t>
      </w:r>
      <w:r>
        <w:rPr>
          <w:rFonts w:eastAsia="Consolas" w:cs="Consolas" w:ascii="Consolas" w:hAnsi="Consolas"/>
          <w:color w:val="101820"/>
          <w:sz w:val="19"/>
        </w:rPr>
        <w:t>ctpl.authenticate_on_issue</w:t>
      </w:r>
      <w:r>
        <w:rPr>
          <w:rFonts w:eastAsia="Segoe UI" w:cs="Segoe UI" w:ascii="Segoe UI" w:hAnsi="Segoe UI"/>
          <w:color w:val="101820"/>
          <w:sz w:val="21"/>
        </w:rPr>
        <w:t>). The answer's authentication code is stored, and the COC number and the code are printed on the policy schedule.</w:t>
      </w:r>
    </w:p>
    <w:p>
      <w:pPr>
        <w:pStyle w:val="Normal"/>
        <w:spacing w:lineRule="auto" w:line="276" w:before="0" w:after="120"/>
        <w:rPr/>
      </w:pPr>
      <w:r>
        <w:rPr>
          <w:rFonts w:eastAsia="Segoe UI" w:cs="Segoe UI" w:ascii="Segoe UI" w:hAnsi="Segoe UI"/>
          <w:b/>
          <w:color w:val="101820"/>
          <w:sz w:val="21"/>
        </w:rPr>
        <w:t>The list.</w:t>
      </w:r>
      <w:r>
        <w:rPr>
          <w:rFonts w:eastAsia="Segoe UI" w:cs="Segoe UI" w:ascii="Segoe UI" w:hAnsi="Segoe UI"/>
          <w:color w:val="101820"/>
          <w:sz w:val="21"/>
        </w:rPr>
        <w:t xml:space="preserve"> The cards count the covers </w:t>
      </w:r>
      <w:r>
        <w:rPr>
          <w:rFonts w:eastAsia="Segoe UI" w:cs="Segoe UI" w:ascii="Segoe UI" w:hAnsi="Segoe UI"/>
          <w:b/>
          <w:color w:val="101820"/>
          <w:sz w:val="21"/>
        </w:rPr>
        <w:t>Pending</w:t>
      </w:r>
      <w:r>
        <w:rPr>
          <w:rFonts w:eastAsia="Segoe UI" w:cs="Segoe UI" w:ascii="Segoe UI" w:hAnsi="Segoe UI"/>
          <w:color w:val="101820"/>
          <w:sz w:val="21"/>
        </w:rPr>
        <w:t xml:space="preserve">, </w:t>
      </w:r>
      <w:r>
        <w:rPr>
          <w:rFonts w:eastAsia="Segoe UI" w:cs="Segoe UI" w:ascii="Segoe UI" w:hAnsi="Segoe UI"/>
          <w:b/>
          <w:color w:val="101820"/>
          <w:sz w:val="21"/>
        </w:rPr>
        <w:t>Requested</w:t>
      </w:r>
      <w:r>
        <w:rPr>
          <w:rFonts w:eastAsia="Segoe UI" w:cs="Segoe UI" w:ascii="Segoe UI" w:hAnsi="Segoe UI"/>
          <w:color w:val="101820"/>
          <w:sz w:val="21"/>
        </w:rPr>
        <w:t xml:space="preserve">, </w:t>
      </w:r>
      <w:r>
        <w:rPr>
          <w:rFonts w:eastAsia="Segoe UI" w:cs="Segoe UI" w:ascii="Segoe UI" w:hAnsi="Segoe UI"/>
          <w:b/>
          <w:color w:val="101820"/>
          <w:sz w:val="21"/>
        </w:rPr>
        <w:t>Authenticated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t>
      </w:r>
      <w:r>
        <w:rPr>
          <w:rFonts w:eastAsia="Segoe UI" w:cs="Segoe UI" w:ascii="Segoe UI" w:hAnsi="Segoe UI"/>
          <w:b/>
          <w:color w:val="101820"/>
          <w:sz w:val="21"/>
        </w:rPr>
        <w:t>Not yet authenticated only</w:t>
      </w:r>
      <w:r>
        <w:rPr>
          <w:rFonts w:eastAsia="Segoe UI" w:cs="Segoe UI" w:ascii="Segoe UI" w:hAnsi="Segoe UI"/>
          <w:color w:val="101820"/>
          <w:sz w:val="21"/>
        </w:rPr>
        <w:t xml:space="preserve"> shows the covers still waiting, flagged when they wait longer than </w:t>
      </w:r>
      <w:r>
        <w:rPr>
          <w:rFonts w:eastAsia="Consolas" w:cs="Consolas" w:ascii="Consolas" w:hAnsi="Consolas"/>
          <w:color w:val="101820"/>
          <w:sz w:val="19"/>
        </w:rPr>
        <w:t>ctpl.unauthenticated_alert_hours</w:t>
      </w:r>
      <w:r>
        <w:rPr>
          <w:rFonts w:eastAsia="Segoe UI" w:cs="Segoe UI" w:ascii="Segoe UI" w:hAnsi="Segoe UI"/>
          <w:color w:val="101820"/>
          <w:sz w:val="21"/>
        </w:rPr>
        <w:t xml:space="preserve"> (24). On a cover not yet authenticated:</w:t>
      </w:r>
    </w:p>
    <w:p>
      <w:pPr>
        <w:pStyle w:val="Normal"/>
        <w:numPr>
          <w:ilvl w:val="0"/>
          <w:numId w:val="1"/>
        </w:numPr>
        <w:spacing w:before="0" w:after="60"/>
        <w:rPr/>
      </w:pPr>
      <w:r>
        <w:rPr>
          <w:rFonts w:eastAsia="Segoe UI" w:cs="Segoe UI" w:ascii="Segoe UI" w:hAnsi="Segoe UI"/>
          <w:b/>
          <w:color w:val="101820"/>
          <w:sz w:val="21"/>
        </w:rPr>
        <w:t>Authenticate now</w:t>
      </w:r>
      <w:r>
        <w:rPr>
          <w:rFonts w:eastAsia="Segoe UI" w:cs="Segoe UI" w:ascii="Segoe UI" w:hAnsi="Segoe UI"/>
          <w:color w:val="101820"/>
          <w:sz w:val="21"/>
        </w:rPr>
        <w:t xml:space="preserve"> sends the request (again).</w:t>
      </w:r>
    </w:p>
    <w:p>
      <w:pPr>
        <w:pStyle w:val="Normal"/>
        <w:numPr>
          <w:ilvl w:val="0"/>
          <w:numId w:val="1"/>
        </w:numPr>
        <w:spacing w:before="0" w:after="60"/>
        <w:rPr/>
      </w:pPr>
      <w:r>
        <w:rPr>
          <w:rFonts w:eastAsia="Segoe UI" w:cs="Segoe UI" w:ascii="Segoe UI" w:hAnsi="Segoe UI"/>
          <w:b/>
          <w:color w:val="101820"/>
          <w:sz w:val="21"/>
        </w:rPr>
        <w:t>Vehicle details</w:t>
      </w:r>
      <w:r>
        <w:rPr>
          <w:rFonts w:eastAsia="Segoe UI" w:cs="Segoe UI" w:ascii="Segoe UI" w:hAnsi="Segoe UI"/>
          <w:color w:val="101820"/>
          <w:sz w:val="21"/>
        </w:rPr>
        <w:t xml:space="preserve"> corrects the plate, MV file, chassis or engine number, or enters the COC number when no series had numbers left. A request is not sent while the plate (or MV file) and chassis numbers are missing (</w:t>
      </w:r>
      <w:r>
        <w:rPr>
          <w:rFonts w:eastAsia="Consolas" w:cs="Consolas" w:ascii="Consolas" w:hAnsi="Consolas"/>
          <w:color w:val="101820"/>
          <w:sz w:val="19"/>
        </w:rPr>
        <w:t>ctpl.require_vehicle_ids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Enter code from the provider portal</w:t>
      </w:r>
      <w:r>
        <w:rPr>
          <w:rFonts w:eastAsia="Segoe UI" w:cs="Segoe UI" w:ascii="Segoe UI" w:hAnsi="Segoe UI"/>
          <w:color w:val="101820"/>
          <w:sz w:val="21"/>
        </w:rPr>
        <w:t xml:space="preserve"> is the fallback when the COC was authenticated on the provider's own portal: enter the authentication code, the provider's reference and the date. The code is stored and printed like one received by the system (method </w:t>
      </w:r>
      <w:r>
        <w:rPr>
          <w:rFonts w:eastAsia="Segoe UI" w:cs="Segoe UI" w:ascii="Segoe UI" w:hAnsi="Segoe UI"/>
          <w:b/>
          <w:color w:val="101820"/>
          <w:sz w:val="21"/>
        </w:rPr>
        <w:t>Keyed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Register a policy</w:t>
      </w:r>
      <w:r>
        <w:rPr>
          <w:rFonts w:eastAsia="Segoe UI" w:cs="Segoe UI" w:ascii="Segoe UI" w:hAnsi="Segoe UI"/>
          <w:color w:val="101820"/>
          <w:sz w:val="21"/>
        </w:rPr>
        <w:t xml:space="preserve"> adds a CTPL cover issued before the automatic registration (for example a policy uploaded at go-live). </w:t>
      </w:r>
      <w:r>
        <w:rPr>
          <w:rFonts w:eastAsia="Segoe UI" w:cs="Segoe UI" w:ascii="Segoe UI" w:hAnsi="Segoe UI"/>
          <w:b/>
          <w:color w:val="101820"/>
          <w:sz w:val="21"/>
        </w:rPr>
        <w:t>Unauthenticated CTPL report</w:t>
      </w:r>
      <w:r>
        <w:rPr>
          <w:rFonts w:eastAsia="Segoe UI" w:cs="Segoe UI" w:ascii="Segoe UI" w:hAnsi="Segoe UI"/>
          <w:color w:val="101820"/>
          <w:sz w:val="21"/>
        </w:rPr>
        <w:t xml:space="preserve"> downloads the covers still waiting as Excel. When the provider does not transmit to the LTO itself, switch on </w:t>
      </w:r>
      <w:r>
        <w:rPr>
          <w:rFonts w:eastAsia="Consolas" w:cs="Consolas" w:ascii="Consolas" w:hAnsi="Consolas"/>
          <w:color w:val="101820"/>
          <w:sz w:val="19"/>
        </w:rPr>
        <w:t>ctpl.lto_feed</w:t>
      </w:r>
      <w:r>
        <w:rPr>
          <w:rFonts w:eastAsia="Segoe UI" w:cs="Segoe UI" w:ascii="Segoe UI" w:hAnsi="Segoe UI"/>
          <w:color w:val="101820"/>
          <w:sz w:val="21"/>
        </w:rPr>
        <w:t xml:space="preserve"> and the LTO_FEED connector: each authenticated COC is sent to the LTO and the </w:t>
      </w:r>
      <w:r>
        <w:rPr>
          <w:rFonts w:eastAsia="Segoe UI" w:cs="Segoe UI" w:ascii="Segoe UI" w:hAnsi="Segoe UI"/>
          <w:b/>
          <w:color w:val="101820"/>
          <w:sz w:val="21"/>
        </w:rPr>
        <w:t>LTO</w:t>
      </w:r>
      <w:r>
        <w:rPr>
          <w:rFonts w:eastAsia="Segoe UI" w:cs="Segoe UI" w:ascii="Segoe UI" w:hAnsi="Segoe UI"/>
          <w:color w:val="101820"/>
          <w:sz w:val="21"/>
        </w:rPr>
        <w:t xml:space="preserve"> column shows the result.</w:t>
      </w:r>
    </w:p>
    <w:p>
      <w:pPr>
        <w:pStyle w:val="Heading2"/>
        <w:rPr/>
      </w:pPr>
      <w:bookmarkStart w:id="97" w:name="__RefHeading___Toc24462_3350804041"/>
      <w:bookmarkEnd w:id="97"/>
      <w:r>
        <w:rPr>
          <w:rFonts w:eastAsia="Segoe UI" w:cs="Segoe UI"/>
          <w:b/>
          <w:color w:val="0F4761"/>
          <w:sz w:val="26"/>
        </w:rPr>
        <w:t>10.13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10.13.1  Renew a policy</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341"/>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3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343"/>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344"/>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345"/>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10.13.2  Renewal Queue and At-Risk Policies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10.13.3  Negotiations</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10.13.4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98" w:name="__RefHeading___Toc24464_3350804041"/>
      <w:bookmarkEnd w:id="98"/>
      <w:r>
        <w:rPr>
          <w:rFonts w:eastAsia="Segoe UI" w:cs="Segoe UI"/>
          <w:b/>
          <w:color w:val="0F4761"/>
          <w:sz w:val="26"/>
        </w:rPr>
        <w:t>10.14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9" w:name="__RefHeading___Toc24466_3350804041"/>
      <w:bookmarkEnd w:id="99"/>
      <w:r>
        <w:rPr>
          <w:rFonts w:eastAsia="Segoe UI" w:cs="Segoe UI" w:ascii="Segoe UI" w:hAnsi="Segoe UI"/>
          <w:b/>
          <w:color w:val="0F4761"/>
          <w:sz w:val="32"/>
        </w:rPr>
        <w:t>11.  Claims</w:t>
      </w:r>
    </w:p>
    <w:p>
      <w:pPr>
        <w:pStyle w:val="Heading2"/>
        <w:rPr/>
      </w:pPr>
      <w:bookmarkStart w:id="100" w:name="__RefHeading___Toc24468_3350804041"/>
      <w:bookmarkEnd w:id="100"/>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101" w:name="__RefHeading___Toc24470_3350804041"/>
      <w:bookmarkEnd w:id="101"/>
      <w:r>
        <w:rPr>
          <w:rFonts w:eastAsia="Segoe UI" w:cs="Segoe UI"/>
          <w:b/>
          <w:color w:val="0F4761"/>
          <w:sz w:val="26"/>
        </w:rPr>
        <w:t>11.2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Fleet Schedules, Marine Open Covers, Claims, My Work, Claim Documents, Motor Claim Repairs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Report Builder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Claim Document Checklist, Repair Shops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 Fleet Schedules and Marine Open Covers are read only, to see the vehicles and shipments on cover when a loss is reported; the complaints register is described in the chapter Compliance.</w:t>
      </w:r>
    </w:p>
    <w:p>
      <w:pPr>
        <w:pStyle w:val="Heading2"/>
        <w:rPr/>
      </w:pPr>
      <w:bookmarkStart w:id="102" w:name="__RefHeading___Toc24472_3350804041"/>
      <w:bookmarkEnd w:id="102"/>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 and your own worklist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My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Chase missing claim documents; submit complete files to the insurer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repair estimates, adjuster decisions and letters of authority</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and handle complaints about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claim document checklist and the accredited repair shops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Claim Document Checklist, Repair Shops</w:t>
            </w:r>
          </w:p>
        </w:tc>
      </w:tr>
    </w:tbl>
    <w:p>
      <w:pPr>
        <w:pStyle w:val="Normal"/>
        <w:spacing w:before="0" w:after="80"/>
        <w:rPr/>
      </w:pPr>
      <w:r>
        <w:rPr/>
      </w:r>
    </w:p>
    <w:p>
      <w:pPr>
        <w:pStyle w:val="Heading2"/>
        <w:rPr/>
      </w:pPr>
      <w:bookmarkStart w:id="103" w:name="__RefHeading___Toc24474_3350804041"/>
      <w:bookmarkEnd w:id="103"/>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104" w:name="__RefHeading___Toc24476_3350804041"/>
      <w:bookmarkEnd w:id="104"/>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Reported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search by claim number, policy number or client and filter by status.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105" w:name="__RefHeading___Toc24478_3350804041"/>
      <w:bookmarkEnd w:id="105"/>
      <w:r>
        <w:rPr>
          <w:rFonts w:eastAsia="Segoe UI" w:cs="Segoe UI"/>
          <w:b/>
          <w:color w:val="0F4761"/>
          <w:sz w:val="26"/>
        </w:rPr>
        <w:t>11.6  Register a claim</w:t>
      </w:r>
    </w:p>
    <w:p>
      <w:pPr>
        <w:pStyle w:val="Normal"/>
        <w:numPr>
          <w:ilvl w:val="0"/>
          <w:numId w:val="346"/>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347"/>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34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349"/>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3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106" w:name="__RefHeading___Toc24480_3350804041"/>
      <w:bookmarkEnd w:id="106"/>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35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352"/>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35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354"/>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3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107" w:name="__RefHeading___Toc24482_3350804041"/>
      <w:bookmarkEnd w:id="107"/>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932555"/>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35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35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35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3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108" w:name="__RefHeading___Toc24484_3350804041"/>
      <w:bookmarkEnd w:id="108"/>
      <w:r>
        <w:rPr>
          <w:rFonts w:eastAsia="Segoe UI" w:cs="Segoe UI"/>
          <w:b/>
          <w:color w:val="0F4761"/>
          <w:sz w:val="26"/>
        </w:rPr>
        <w:t>11.9  Approve a settlement (checker)</w:t>
      </w:r>
    </w:p>
    <w:p>
      <w:pPr>
        <w:pStyle w:val="Normal"/>
        <w:numPr>
          <w:ilvl w:val="0"/>
          <w:numId w:val="360"/>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361"/>
        </w:numPr>
        <w:spacing w:before="0" w:after="60"/>
        <w:rPr/>
      </w:pPr>
      <w:r>
        <w:rPr>
          <w:rFonts w:eastAsia="Segoe UI" w:cs="Segoe UI" w:ascii="Segoe UI" w:hAnsi="Segoe UI"/>
          <w:color w:val="101820"/>
          <w:sz w:val="21"/>
        </w:rPr>
        <w:t>Check the claim summary and the settlement.</w:t>
      </w:r>
    </w:p>
    <w:p>
      <w:pPr>
        <w:pStyle w:val="Normal"/>
        <w:numPr>
          <w:ilvl w:val="0"/>
          <w:numId w:val="3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9" w:name="__RefHeading___Toc24486_3350804041"/>
      <w:bookmarkEnd w:id="109"/>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10" w:name="__RefHeading___Toc24488_3350804041"/>
      <w:bookmarkEnd w:id="110"/>
      <w:r>
        <w:rPr>
          <w:rFonts w:eastAsia="Segoe UI" w:cs="Segoe UI"/>
          <w:b/>
          <w:color w:val="0F4761"/>
          <w:sz w:val="26"/>
        </w:rPr>
        <w:t>11.11  Claim document checklist</w:t>
      </w:r>
    </w:p>
    <w:p>
      <w:pPr>
        <w:pStyle w:val="Normal"/>
        <w:spacing w:lineRule="auto" w:line="276" w:before="0" w:after="120"/>
        <w:rPr/>
      </w:pPr>
      <w:r>
        <w:rPr>
          <w:rFonts w:eastAsia="Segoe UI" w:cs="Segoe UI" w:ascii="Segoe UI" w:hAnsi="Segoe UI"/>
          <w:color w:val="101820"/>
          <w:sz w:val="21"/>
        </w:rPr>
        <w:t>Each claim has the list of documents it needs, taken from Master &gt; Insurance &gt; Claim Document Checklist by line of business and claim type (* for all), each one required or optional.</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 Documents</w:t>
      </w:r>
    </w:p>
    <w:p>
      <w:pPr>
        <w:pStyle w:val="Normal"/>
        <w:numPr>
          <w:ilvl w:val="0"/>
          <w:numId w:val="363"/>
        </w:numPr>
        <w:spacing w:before="0" w:after="60"/>
        <w:rPr/>
      </w:pPr>
      <w:r>
        <w:rPr>
          <w:rFonts w:eastAsia="Segoe UI" w:cs="Segoe UI" w:ascii="Segoe UI" w:hAnsi="Segoe UI"/>
          <w:color w:val="101820"/>
          <w:sz w:val="21"/>
        </w:rPr>
        <w:t>Choose Operations &gt; Claim Documents and select the claim on the left.</w:t>
      </w:r>
    </w:p>
    <w:p>
      <w:pPr>
        <w:pStyle w:val="Normal"/>
        <w:numPr>
          <w:ilvl w:val="0"/>
          <w:numId w:val="364"/>
        </w:numPr>
        <w:spacing w:before="0" w:after="60"/>
        <w:rPr/>
      </w:pPr>
      <w:r>
        <w:rPr>
          <w:rFonts w:eastAsia="Segoe UI" w:cs="Segoe UI" w:ascii="Segoe UI" w:hAnsi="Segoe UI"/>
          <w:color w:val="101820"/>
          <w:sz w:val="21"/>
        </w:rPr>
        <w:t xml:space="preserve">For each document: </w:t>
      </w:r>
      <w:r>
        <w:rPr>
          <w:rFonts w:eastAsia="Segoe UI" w:cs="Segoe UI" w:ascii="Segoe UI" w:hAnsi="Segoe UI"/>
          <w:b/>
          <w:color w:val="101820"/>
          <w:sz w:val="21"/>
        </w:rPr>
        <w:t>Received</w:t>
      </w:r>
      <w:r>
        <w:rPr>
          <w:rFonts w:eastAsia="Segoe UI" w:cs="Segoe UI" w:ascii="Segoe UI" w:hAnsi="Segoe UI"/>
          <w:color w:val="101820"/>
          <w:sz w:val="21"/>
        </w:rPr>
        <w:t xml:space="preserve"> (or upload a copy with the upload icon; an uploaded claim document with the same name is marked received by itself), </w:t>
      </w:r>
      <w:r>
        <w:rPr>
          <w:rFonts w:eastAsia="Segoe UI" w:cs="Segoe UI" w:ascii="Segoe UI" w:hAnsi="Segoe UI"/>
          <w:b/>
          <w:color w:val="101820"/>
          <w:sz w:val="21"/>
        </w:rPr>
        <w:t>Waive</w:t>
      </w:r>
      <w:r>
        <w:rPr>
          <w:rFonts w:eastAsia="Segoe UI" w:cs="Segoe UI" w:ascii="Segoe UI" w:hAnsi="Segoe UI"/>
          <w:color w:val="101820"/>
          <w:sz w:val="21"/>
        </w:rPr>
        <w:t xml:space="preserve"> with a reason when it does not apply, or </w:t>
      </w:r>
      <w:r>
        <w:rPr>
          <w:rFonts w:eastAsia="Segoe UI" w:cs="Segoe UI" w:ascii="Segoe UI" w:hAnsi="Segoe UI"/>
          <w:b/>
          <w:color w:val="101820"/>
          <w:sz w:val="21"/>
        </w:rPr>
        <w:t>Reopen</w:t>
      </w:r>
      <w:r>
        <w:rPr>
          <w:rFonts w:eastAsia="Segoe UI" w:cs="Segoe UI" w:ascii="Segoe UI" w:hAnsi="Segoe UI"/>
          <w:color w:val="101820"/>
          <w:sz w:val="21"/>
        </w:rPr>
        <w:t xml:space="preserve">. </w:t>
      </w:r>
      <w:r>
        <w:rPr>
          <w:rFonts w:eastAsia="Segoe UI" w:cs="Segoe UI" w:ascii="Segoe UI" w:hAnsi="Segoe UI"/>
          <w:b/>
          <w:color w:val="101820"/>
          <w:sz w:val="21"/>
        </w:rPr>
        <w:t>Add document</w:t>
      </w:r>
      <w:r>
        <w:rPr>
          <w:rFonts w:eastAsia="Segoe UI" w:cs="Segoe UI" w:ascii="Segoe UI" w:hAnsi="Segoe UI"/>
          <w:color w:val="101820"/>
          <w:sz w:val="21"/>
        </w:rPr>
        <w:t xml:space="preserve"> adds one the checklist does not list.</w:t>
      </w:r>
    </w:p>
    <w:p>
      <w:pPr>
        <w:pStyle w:val="Normal"/>
        <w:numPr>
          <w:ilvl w:val="0"/>
          <w:numId w:val="365"/>
        </w:numPr>
        <w:spacing w:before="0" w:after="60"/>
        <w:rPr/>
      </w:pPr>
      <w:r>
        <w:rPr>
          <w:rFonts w:eastAsia="Segoe UI" w:cs="Segoe UI" w:ascii="Segoe UI" w:hAnsi="Segoe UI"/>
          <w:b/>
          <w:color w:val="101820"/>
          <w:sz w:val="21"/>
        </w:rPr>
        <w:t>Remind the claimant</w:t>
      </w:r>
      <w:r>
        <w:rPr>
          <w:rFonts w:eastAsia="Segoe UI" w:cs="Segoe UI" w:ascii="Segoe UI" w:hAnsi="Segoe UI"/>
          <w:color w:val="101820"/>
          <w:sz w:val="21"/>
        </w:rPr>
        <w:t xml:space="preserve"> e-mails the documents still missing (e-mail template </w:t>
      </w:r>
      <w:r>
        <w:rPr>
          <w:rFonts w:eastAsia="Consolas" w:cs="Consolas" w:ascii="Consolas" w:hAnsi="Consolas"/>
          <w:color w:val="101820"/>
          <w:sz w:val="19"/>
        </w:rPr>
        <w:t>claim_missing_documents</w:t>
      </w:r>
      <w:r>
        <w:rPr>
          <w:rFonts w:eastAsia="Segoe UI" w:cs="Segoe UI" w:ascii="Segoe UI" w:hAnsi="Segoe UI"/>
          <w:color w:val="101820"/>
          <w:sz w:val="21"/>
        </w:rPr>
        <w:t xml:space="preserve">). The daily job </w:t>
      </w:r>
      <w:r>
        <w:rPr>
          <w:rFonts w:eastAsia="Segoe UI" w:cs="Segoe UI" w:ascii="Segoe UI" w:hAnsi="Segoe UI"/>
          <w:b/>
          <w:color w:val="101820"/>
          <w:sz w:val="21"/>
        </w:rPr>
        <w:t>Missing claim documents</w:t>
      </w:r>
      <w:r>
        <w:rPr>
          <w:rFonts w:eastAsia="Segoe UI" w:cs="Segoe UI" w:ascii="Segoe UI" w:hAnsi="Segoe UI"/>
          <w:color w:val="101820"/>
          <w:sz w:val="21"/>
        </w:rPr>
        <w:t xml:space="preserve"> sends the same reminder every </w:t>
      </w:r>
      <w:r>
        <w:rPr>
          <w:rFonts w:eastAsia="Consolas" w:cs="Consolas" w:ascii="Consolas" w:hAnsi="Consolas"/>
          <w:color w:val="101820"/>
          <w:sz w:val="19"/>
        </w:rPr>
        <w:t>claims.document_reminder_days</w:t>
      </w:r>
      <w:r>
        <w:rPr>
          <w:rFonts w:eastAsia="Segoe UI" w:cs="Segoe UI" w:ascii="Segoe UI" w:hAnsi="Segoe UI"/>
          <w:color w:val="101820"/>
          <w:sz w:val="21"/>
        </w:rPr>
        <w:t xml:space="preserve"> days (3; 0 switches it off) to claimants of open claims with a required document missing.</w:t>
      </w:r>
    </w:p>
    <w:p>
      <w:pPr>
        <w:pStyle w:val="Normal"/>
        <w:numPr>
          <w:ilvl w:val="0"/>
          <w:numId w:val="366"/>
        </w:numPr>
        <w:spacing w:before="0" w:after="60"/>
        <w:rPr/>
      </w:pPr>
      <w:r>
        <w:rPr>
          <w:rFonts w:eastAsia="Segoe UI" w:cs="Segoe UI" w:ascii="Segoe UI" w:hAnsi="Segoe UI"/>
          <w:b/>
          <w:color w:val="101820"/>
          <w:sz w:val="21"/>
        </w:rPr>
        <w:t>Submit to insurer</w:t>
      </w:r>
      <w:r>
        <w:rPr>
          <w:rFonts w:eastAsia="Segoe UI" w:cs="Segoe UI" w:ascii="Segoe UI" w:hAnsi="Segoe UI"/>
          <w:color w:val="101820"/>
          <w:sz w:val="21"/>
        </w:rPr>
        <w:t xml:space="preserve"> records that the claim file went to the insurer (the reference is written to the claim history). While a required document is missing the button is disabled and the server refuses it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Heading2"/>
        <w:rPr/>
      </w:pPr>
      <w:bookmarkStart w:id="111" w:name="__RefHeading___Toc24490_3350804041"/>
      <w:bookmarkEnd w:id="111"/>
      <w:r>
        <w:rPr>
          <w:rFonts w:eastAsia="Segoe UI" w:cs="Segoe UI"/>
          <w:b/>
          <w:color w:val="0F4761"/>
          <w:sz w:val="26"/>
        </w:rPr>
        <w:t>11.12  Motor claim repairs and letters of authority</w:t>
      </w:r>
    </w:p>
    <w:p>
      <w:pPr>
        <w:pStyle w:val="Normal"/>
        <w:spacing w:lineRule="auto" w:line="276" w:before="0" w:after="120"/>
        <w:rPr/>
      </w:pPr>
      <w:r>
        <w:rPr>
          <w:rFonts w:eastAsia="Segoe UI" w:cs="Segoe UI" w:ascii="Segoe UI" w:hAnsi="Segoe UI"/>
          <w:color w:val="101820"/>
          <w:sz w:val="21"/>
        </w:rPr>
        <w:t>Operations &gt; Motor Claim Repairs lists the motor claims with the stage of their repair: no estimate yet, awaiting approval, approved, in repair, released. Select a claim to open its repair file.</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Motor Claim Repairs</w:t>
      </w:r>
    </w:p>
    <w:p>
      <w:pPr>
        <w:pStyle w:val="Normal"/>
        <w:numPr>
          <w:ilvl w:val="0"/>
          <w:numId w:val="367"/>
        </w:numPr>
        <w:spacing w:before="0" w:after="60"/>
        <w:rPr/>
      </w:pPr>
      <w:r>
        <w:rPr>
          <w:rFonts w:eastAsia="Segoe UI" w:cs="Segoe UI" w:ascii="Segoe UI" w:hAnsi="Segoe UI"/>
          <w:b/>
          <w:color w:val="101820"/>
          <w:sz w:val="21"/>
        </w:rPr>
        <w:t>Record estimate</w:t>
      </w:r>
      <w:r>
        <w:rPr>
          <w:rFonts w:eastAsia="Segoe UI" w:cs="Segoe UI" w:ascii="Segoe UI" w:hAnsi="Segoe UI"/>
          <w:color w:val="101820"/>
          <w:sz w:val="21"/>
        </w:rPr>
        <w:t>: the repair shop (Master &gt; Insurance &gt; Repair Shops; only active, accredited shops), its estimate number and date, and the parts, labour, paint, other and VAT amounts. The first estimate is the initial one; an estimate recorded after one is approved is supplementary. One estimate at a time waits for the adjuster.</w:t>
      </w:r>
    </w:p>
    <w:p>
      <w:pPr>
        <w:pStyle w:val="Normal"/>
        <w:numPr>
          <w:ilvl w:val="0"/>
          <w:numId w:val="368"/>
        </w:numPr>
        <w:spacing w:before="0" w:after="60"/>
        <w:rPr/>
      </w:pPr>
      <w:r>
        <w:rPr>
          <w:rFonts w:eastAsia="Segoe UI" w:cs="Segoe UI" w:ascii="Segoe UI" w:hAnsi="Segoe UI"/>
          <w:b/>
          <w:color w:val="101820"/>
          <w:sz w:val="21"/>
        </w:rPr>
        <w:t>Record adjuster decision</w:t>
      </w:r>
      <w:r>
        <w:rPr>
          <w:rFonts w:eastAsia="Segoe UI" w:cs="Segoe UI" w:ascii="Segoe UI" w:hAnsi="Segoe UI"/>
          <w:color w:val="101820"/>
          <w:sz w:val="21"/>
        </w:rPr>
        <w:t>: approve with the approved amount (at most the estimate) or reject with the reason, the adjuster and adjusting company, and the insurer's approval reference.</w:t>
      </w:r>
    </w:p>
    <w:p>
      <w:pPr>
        <w:pStyle w:val="Normal"/>
        <w:numPr>
          <w:ilvl w:val="0"/>
          <w:numId w:val="369"/>
        </w:numPr>
        <w:spacing w:before="0" w:after="60"/>
        <w:rPr/>
      </w:pPr>
      <w:r>
        <w:rPr>
          <w:rFonts w:eastAsia="Segoe UI" w:cs="Segoe UI" w:ascii="Segoe UI" w:hAnsi="Segoe UI"/>
          <w:b/>
          <w:color w:val="101820"/>
          <w:sz w:val="21"/>
        </w:rPr>
        <w:t>Issue letter of authority</w:t>
      </w:r>
      <w:r>
        <w:rPr>
          <w:rFonts w:eastAsia="Segoe UI" w:cs="Segoe UI" w:ascii="Segoe UI" w:hAnsi="Segoe UI"/>
          <w:color w:val="101820"/>
          <w:sz w:val="21"/>
        </w:rPr>
        <w:t xml:space="preserve">: covers the approved estimates not yet on a letter. The participation of the insured comes from </w:t>
      </w:r>
      <w:r>
        <w:rPr>
          <w:rFonts w:eastAsia="Consolas" w:cs="Consolas" w:ascii="Consolas" w:hAnsi="Consolas"/>
          <w:color w:val="101820"/>
          <w:sz w:val="19"/>
        </w:rPr>
        <w:t>motor_claims.participation</w:t>
      </w:r>
      <w:r>
        <w:rPr>
          <w:rFonts w:eastAsia="Segoe UI" w:cs="Segoe UI" w:ascii="Segoe UI" w:hAnsi="Segoe UI"/>
          <w:color w:val="101820"/>
          <w:sz w:val="21"/>
        </w:rPr>
        <w:t xml:space="preserve"> (PHP 2,000 or 0.5% of the sum insured, whichever is higher) on the original letter only, and the depreciation on parts from </w:t>
      </w:r>
      <w:r>
        <w:rPr>
          <w:rFonts w:eastAsia="Consolas" w:cs="Consolas" w:ascii="Consolas" w:hAnsi="Consolas"/>
          <w:color w:val="101820"/>
          <w:sz w:val="19"/>
        </w:rPr>
        <w:t>motor_claims.parts_depreciation_percent</w:t>
      </w:r>
      <w:r>
        <w:rPr>
          <w:rFonts w:eastAsia="Segoe UI" w:cs="Segoe UI" w:ascii="Segoe UI" w:hAnsi="Segoe UI"/>
          <w:color w:val="101820"/>
          <w:sz w:val="21"/>
        </w:rPr>
        <w:t xml:space="preserve">; both can be changed. The letter (LOA-YYYY-NNNNN, valid </w:t>
      </w:r>
      <w:r>
        <w:rPr>
          <w:rFonts w:eastAsia="Consolas" w:cs="Consolas" w:ascii="Consolas" w:hAnsi="Consolas"/>
          <w:color w:val="101820"/>
          <w:sz w:val="19"/>
        </w:rPr>
        <w:t>motor_claims.loa_validity_days</w:t>
      </w:r>
      <w:r>
        <w:rPr>
          <w:rFonts w:eastAsia="Segoe UI" w:cs="Segoe UI" w:ascii="Segoe UI" w:hAnsi="Segoe UI"/>
          <w:color w:val="101820"/>
          <w:sz w:val="21"/>
        </w:rPr>
        <w:t xml:space="preserve">) shows the approved repair cost, the amount payable by the insurer and the amount the insured settles with the shop. </w:t>
      </w:r>
      <w:r>
        <w:rPr>
          <w:rFonts w:eastAsia="Segoe UI" w:cs="Segoe UI" w:ascii="Segoe UI" w:hAnsi="Segoe UI"/>
          <w:b/>
          <w:color w:val="101820"/>
          <w:sz w:val="21"/>
        </w:rPr>
        <w:t>Print</w:t>
      </w:r>
      <w:r>
        <w:rPr>
          <w:rFonts w:eastAsia="Segoe UI" w:cs="Segoe UI" w:ascii="Segoe UI" w:hAnsi="Segoe UI"/>
          <w:color w:val="101820"/>
          <w:sz w:val="21"/>
        </w:rPr>
        <w:t xml:space="preserve"> opens it with the letterhead; a supplementary estimate gets a supplementary letter.</w:t>
      </w:r>
    </w:p>
    <w:p>
      <w:pPr>
        <w:pStyle w:val="Normal"/>
        <w:numPr>
          <w:ilvl w:val="0"/>
          <w:numId w:val="370"/>
        </w:numPr>
        <w:spacing w:before="0" w:after="60"/>
        <w:rPr/>
      </w:pPr>
      <w:r>
        <w:rPr>
          <w:rFonts w:eastAsia="Segoe UI" w:cs="Segoe UI" w:ascii="Segoe UI" w:hAnsi="Segoe UI"/>
          <w:b/>
          <w:color w:val="101820"/>
          <w:sz w:val="21"/>
        </w:rPr>
        <w:t>Release vehicle</w:t>
      </w:r>
      <w:r>
        <w:rPr>
          <w:rFonts w:eastAsia="Segoe UI" w:cs="Segoe UI" w:ascii="Segoe UI" w:hAnsi="Segoe UI"/>
          <w:color w:val="101820"/>
          <w:sz w:val="21"/>
        </w:rPr>
        <w:t xml:space="preserve">: who took the vehicle back, the dates, the participation paid to the shop and the odometer. </w:t>
      </w:r>
      <w:r>
        <w:rPr>
          <w:rFonts w:eastAsia="Segoe UI" w:cs="Segoe UI" w:ascii="Segoe UI" w:hAnsi="Segoe UI"/>
          <w:b/>
          <w:color w:val="101820"/>
          <w:sz w:val="21"/>
        </w:rPr>
        <w:t>Print</w:t>
      </w:r>
      <w:r>
        <w:rPr>
          <w:rFonts w:eastAsia="Segoe UI" w:cs="Segoe UI" w:ascii="Segoe UI" w:hAnsi="Segoe UI"/>
          <w:color w:val="101820"/>
          <w:sz w:val="21"/>
        </w:rPr>
        <w:t xml:space="preserve"> gives the release acknowledgement the insured signs.</w:t>
      </w:r>
    </w:p>
    <w:p>
      <w:pPr>
        <w:pStyle w:val="Normal"/>
        <w:spacing w:lineRule="auto" w:line="276" w:before="0" w:after="120"/>
        <w:rPr/>
      </w:pPr>
      <w:r>
        <w:rPr>
          <w:rFonts w:eastAsia="Segoe UI" w:cs="Segoe UI" w:ascii="Segoe UI" w:hAnsi="Segoe UI"/>
          <w:color w:val="101820"/>
          <w:sz w:val="21"/>
        </w:rPr>
        <w:t>Every step is written to the claim history.</w:t>
      </w:r>
    </w:p>
    <w:p>
      <w:pPr>
        <w:pStyle w:val="Heading2"/>
        <w:rPr/>
      </w:pPr>
      <w:bookmarkStart w:id="112" w:name="__RefHeading___Toc24492_3350804041"/>
      <w:bookmarkEnd w:id="112"/>
      <w:r>
        <w:rPr>
          <w:rFonts w:eastAsia="Segoe UI" w:cs="Segoe UI"/>
          <w:b/>
          <w:color w:val="0F4761"/>
          <w:sz w:val="26"/>
        </w:rPr>
        <w:t>11.13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13" w:name="__RefHeading___Toc24494_3350804041"/>
      <w:bookmarkEnd w:id="113"/>
      <w:r>
        <w:rPr>
          <w:rFonts w:eastAsia="Segoe UI" w:cs="Segoe UI"/>
          <w:b/>
          <w:color w:val="0F4761"/>
          <w:sz w:val="26"/>
        </w:rPr>
        <w:t>11.14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14" w:name="__RefHeading___Toc24496_3350804041"/>
      <w:bookmarkEnd w:id="114"/>
      <w:r>
        <w:rPr>
          <w:rFonts w:eastAsia="Segoe UI" w:cs="Segoe UI" w:ascii="Segoe UI" w:hAnsi="Segoe UI"/>
          <w:b/>
          <w:color w:val="0F4761"/>
          <w:sz w:val="32"/>
        </w:rPr>
        <w:t>12.  Accounting</w:t>
      </w:r>
    </w:p>
    <w:p>
      <w:pPr>
        <w:pStyle w:val="Heading2"/>
        <w:rPr/>
      </w:pPr>
      <w:bookmarkStart w:id="115" w:name="__RefHeading___Toc24498_3350804041"/>
      <w:bookmarkEnd w:id="115"/>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16" w:name="__RefHeading___Toc24500_3350804041"/>
      <w:bookmarkEnd w:id="116"/>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Post-Dated Cheques; Claims Settlements; Payables (Supplier Invoices, Supplier Payments, AP Ageing, Suppliers, Supplier 2307); Fixed Assets (Asset Register, Depreciation Run, Disposals); Disbursement; Bank Payment Files;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Withholding Returns, Annual Alphalist 1604-E, Percentage Tax 2551Q, BIR DAT Files, Sales Invoices, E-Invoicing (EIS), CAS Books and Documents);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 Insurer Overrides (Agreements, Computations)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Insurer Authority, IC Annual Statement, IC Production Report (read only)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 Report Builder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Asset Classes, Bank Statement Formats, Bank Transaction Types, Insurer Statement Formats, Bank File Layouts</w:t>
            </w:r>
          </w:p>
        </w:tc>
      </w:tr>
    </w:tbl>
    <w:p>
      <w:pPr>
        <w:pStyle w:val="Normal"/>
        <w:spacing w:before="0" w:after="80"/>
        <w:rPr/>
      </w:pPr>
      <w:r>
        <w:rPr/>
      </w:r>
    </w:p>
    <w:p>
      <w:pPr>
        <w:pStyle w:val="Heading2"/>
        <w:rPr/>
      </w:pPr>
      <w:bookmarkStart w:id="117" w:name="__RefHeading___Toc24502_3350804041"/>
      <w:bookmarkEnd w:id="117"/>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the post-dated cheques due; record cleared and bounced cheques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supplier invoices; pay approved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insurer funds and claimant payments of settlements paid through the broker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 pay by bank file where the bank accepts one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Bank Payment Files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 issue the sales invoices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 Tax &gt; Sales Invoices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 depreciation; register and dispose of assets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and 1601-EQ with their filing records; 2551Q for a non-VAT broker; the BIR DAT files; BIR Form 2307 to suppliers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Percentage Tax 2551Q, BIR DAT Files; Payables &gt; Supplier 2307</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agreement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 approve and settle overriding and contingent commission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 the annual information return 1604-E; the CAS books of the year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 Tax &gt; Annual Alphalist 1604-E, CAS Books and Documents</w:t>
            </w:r>
          </w:p>
        </w:tc>
      </w:tr>
    </w:tbl>
    <w:p>
      <w:pPr>
        <w:pStyle w:val="Normal"/>
        <w:spacing w:before="0" w:after="80"/>
        <w:rPr/>
      </w:pPr>
      <w:r>
        <w:rPr/>
      </w:r>
    </w:p>
    <w:p>
      <w:pPr>
        <w:pStyle w:val="Heading2"/>
        <w:rPr/>
      </w:pPr>
      <w:bookmarkStart w:id="118" w:name="__RefHeading___Toc24504_3350804041"/>
      <w:bookmarkEnd w:id="118"/>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4051935"/>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371"/>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37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37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3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3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37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377"/>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378"/>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19" w:name="__RefHeading___Toc24506_3350804041"/>
      <w:bookmarkEnd w:id="119"/>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50825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508250"/>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20" w:name="__RefHeading___Toc24508_3350804041"/>
      <w:bookmarkEnd w:id="120"/>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3"/>
        <w:rPr/>
      </w:pPr>
      <w:r>
        <w:rPr>
          <w:rFonts w:eastAsia="Segoe UI" w:cs="Segoe UI"/>
          <w:b/>
          <w:color w:val="0F4761"/>
          <w:sz w:val="23"/>
        </w:rPr>
        <w:t>12.6.1  Separate instalment invoices</w:t>
      </w:r>
    </w:p>
    <w:p>
      <w:pPr>
        <w:pStyle w:val="Normal"/>
        <w:spacing w:lineRule="auto" w:line="276" w:before="0" w:after="120"/>
        <w:rPr/>
      </w:pPr>
      <w:r>
        <w:rPr>
          <w:rFonts w:eastAsia="Segoe UI" w:cs="Segoe UI" w:ascii="Segoe UI" w:hAnsi="Segoe UI"/>
          <w:color w:val="101820"/>
          <w:sz w:val="21"/>
        </w:rPr>
        <w:t xml:space="preserve">By default an instalment plan splits the follow-up of one bill. To bill each instalment on its own, select </w:t>
      </w:r>
      <w:r>
        <w:rPr>
          <w:rFonts w:eastAsia="Segoe UI" w:cs="Segoe UI" w:ascii="Segoe UI" w:hAnsi="Segoe UI"/>
          <w:b/>
          <w:color w:val="101820"/>
          <w:sz w:val="21"/>
        </w:rPr>
        <w:t>Issue instalment invoices</w:t>
      </w:r>
      <w:r>
        <w:rPr>
          <w:rFonts w:eastAsia="Segoe UI" w:cs="Segoe UI" w:ascii="Segoe UI" w:hAnsi="Segoe UI"/>
          <w:color w:val="101820"/>
          <w:sz w:val="21"/>
        </w:rPr>
        <w:t xml:space="preserve"> on the plan (before any payment is applied to the bill; </w:t>
      </w:r>
      <w:r>
        <w:rPr>
          <w:rFonts w:eastAsia="Consolas" w:cs="Consolas" w:ascii="Consolas" w:hAnsi="Consolas"/>
          <w:color w:val="101820"/>
          <w:sz w:val="19"/>
        </w:rPr>
        <w:t>credit.instalment_invoices_on_save</w:t>
      </w:r>
      <w:r>
        <w:rPr>
          <w:rFonts w:eastAsia="Segoe UI" w:cs="Segoe UI" w:ascii="Segoe UI" w:hAnsi="Segoe UI"/>
          <w:color w:val="101820"/>
          <w:sz w:val="21"/>
        </w:rPr>
        <w:t xml:space="preserve"> does it when the plan is saved). The bill is cancelled with the reversal of its booking journal and each instalment becomes a bill with its own invoice number, due date, share of the net premium, taxes and commission, booking journal and collection item. Receipts, collections, the receivable ageing, the instalment ageing and the Premium Warranty Monitor then work on each instalment bill (an instalment counts as premium due only from its due date). An invoiced plan cannot be cancelled.</w:t>
      </w:r>
    </w:p>
    <w:p>
      <w:pPr>
        <w:pStyle w:val="Heading2"/>
        <w:rPr/>
      </w:pPr>
      <w:bookmarkStart w:id="121" w:name="__RefHeading___Toc24510_3350804041"/>
      <w:bookmarkEnd w:id="121"/>
      <w:r>
        <w:rPr>
          <w:rFonts w:eastAsia="Segoe UI" w:cs="Segoe UI"/>
          <w:b/>
          <w:color w:val="0F4761"/>
          <w:sz w:val="26"/>
        </w:rPr>
        <w:t>12.7  Post-dated cheques</w:t>
      </w:r>
    </w:p>
    <w:p>
      <w:pPr>
        <w:pStyle w:val="Normal"/>
        <w:spacing w:lineRule="auto" w:line="276" w:before="0" w:after="120"/>
        <w:rPr/>
      </w:pPr>
      <w:r>
        <w:rPr>
          <w:rFonts w:eastAsia="Segoe UI" w:cs="Segoe UI" w:ascii="Segoe UI" w:hAnsi="Segoe UI"/>
          <w:color w:val="101820"/>
          <w:sz w:val="21"/>
        </w:rPr>
        <w:t>Accounts &gt; Post-Dated Cheques is the register of cheques received from clients before their date.</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Post-Dated Cheques</w:t>
      </w:r>
    </w:p>
    <w:p>
      <w:pPr>
        <w:pStyle w:val="Normal"/>
        <w:numPr>
          <w:ilvl w:val="0"/>
          <w:numId w:val="379"/>
        </w:numPr>
        <w:spacing w:before="0" w:after="60"/>
        <w:rPr/>
      </w:pPr>
      <w:r>
        <w:rPr>
          <w:rFonts w:eastAsia="Segoe UI" w:cs="Segoe UI" w:ascii="Segoe UI" w:hAnsi="Segoe UI"/>
          <w:b/>
          <w:color w:val="101820"/>
          <w:sz w:val="21"/>
        </w:rPr>
        <w:t>Register cheque</w:t>
      </w:r>
      <w:r>
        <w:rPr>
          <w:rFonts w:eastAsia="Segoe UI" w:cs="Segoe UI" w:ascii="Segoe UI" w:hAnsi="Segoe UI"/>
          <w:color w:val="101820"/>
          <w:sz w:val="21"/>
        </w:rPr>
        <w:t>: the bill (or policy) it pays, the drawee bank (Bank master, or typed), cheque number, date and amount, and where it is kept (</w:t>
      </w:r>
      <w:r>
        <w:rPr>
          <w:rFonts w:eastAsia="Segoe UI" w:cs="Segoe UI" w:ascii="Segoe UI" w:hAnsi="Segoe UI"/>
          <w:b/>
          <w:color w:val="101820"/>
          <w:sz w:val="21"/>
        </w:rPr>
        <w:t>Kept in</w:t>
      </w:r>
      <w:r>
        <w:rPr>
          <w:rFonts w:eastAsia="Segoe UI" w:cs="Segoe UI" w:ascii="Segoe UI" w:hAnsi="Segoe UI"/>
          <w:color w:val="101820"/>
          <w:sz w:val="21"/>
        </w:rPr>
        <w:t>). The cheques on hand of a bill cannot exceed its balance. Nothing is posted yet.</w:t>
      </w:r>
    </w:p>
    <w:p>
      <w:pPr>
        <w:pStyle w:val="Normal"/>
        <w:numPr>
          <w:ilvl w:val="0"/>
          <w:numId w:val="380"/>
        </w:numPr>
        <w:spacing w:before="0" w:after="60"/>
        <w:rPr/>
      </w:pPr>
      <w:r>
        <w:rPr>
          <w:rFonts w:eastAsia="Segoe UI" w:cs="Segoe UI" w:ascii="Segoe UI" w:hAnsi="Segoe UI"/>
          <w:color w:val="101820"/>
          <w:sz w:val="21"/>
        </w:rPr>
        <w:t xml:space="preserve">The </w:t>
      </w:r>
      <w:r>
        <w:rPr>
          <w:rFonts w:eastAsia="Segoe UI" w:cs="Segoe UI" w:ascii="Segoe UI" w:hAnsi="Segoe UI"/>
          <w:b/>
          <w:color w:val="101820"/>
          <w:sz w:val="21"/>
        </w:rPr>
        <w:t>Deposit due</w:t>
      </w:r>
      <w:r>
        <w:rPr>
          <w:rFonts w:eastAsia="Segoe UI" w:cs="Segoe UI" w:ascii="Segoe UI" w:hAnsi="Segoe UI"/>
          <w:color w:val="101820"/>
          <w:sz w:val="21"/>
        </w:rPr>
        <w:t xml:space="preserve"> tab lists the cheques dated within </w:t>
      </w:r>
      <w:r>
        <w:rPr>
          <w:rFonts w:eastAsia="Consolas" w:cs="Consolas" w:ascii="Consolas" w:hAnsi="Consolas"/>
          <w:color w:val="101820"/>
          <w:sz w:val="19"/>
        </w:rPr>
        <w:t>pdc.due_window_days</w:t>
      </w:r>
      <w:r>
        <w:rPr>
          <w:rFonts w:eastAsia="Segoe UI" w:cs="Segoe UI" w:ascii="Segoe UI" w:hAnsi="Segoe UI"/>
          <w:color w:val="101820"/>
          <w:sz w:val="21"/>
        </w:rPr>
        <w:t xml:space="preserve"> days (3); the daily job </w:t>
      </w:r>
      <w:r>
        <w:rPr>
          <w:rFonts w:eastAsia="Segoe UI" w:cs="Segoe UI" w:ascii="Segoe UI" w:hAnsi="Segoe UI"/>
          <w:b/>
          <w:color w:val="101820"/>
          <w:sz w:val="21"/>
        </w:rPr>
        <w:t>Post-dated cheques due</w:t>
      </w:r>
      <w:r>
        <w:rPr>
          <w:rFonts w:eastAsia="Segoe UI" w:cs="Segoe UI" w:ascii="Segoe UI" w:hAnsi="Segoe UI"/>
          <w:color w:val="101820"/>
          <w:sz w:val="21"/>
        </w:rPr>
        <w:t xml:space="preserve"> tells Accounting.</w:t>
      </w:r>
    </w:p>
    <w:p>
      <w:pPr>
        <w:pStyle w:val="Normal"/>
        <w:numPr>
          <w:ilvl w:val="0"/>
          <w:numId w:val="381"/>
        </w:numPr>
        <w:spacing w:before="0" w:after="60"/>
        <w:rPr/>
      </w:pPr>
      <w:r>
        <w:rPr>
          <w:rFonts w:eastAsia="Segoe UI" w:cs="Segoe UI" w:ascii="Segoe UI" w:hAnsi="Segoe UI"/>
          <w:b/>
          <w:color w:val="101820"/>
          <w:sz w:val="21"/>
        </w:rPr>
        <w:t>Deposit</w:t>
      </w:r>
      <w:r>
        <w:rPr>
          <w:rFonts w:eastAsia="Segoe UI" w:cs="Segoe UI" w:ascii="Segoe UI" w:hAnsi="Segoe UI"/>
          <w:color w:val="101820"/>
          <w:sz w:val="21"/>
        </w:rPr>
        <w:t xml:space="preserve"> on or after the cheque date: choose the bank account. The official receipt is created and posted on that bank account (posting rule receipt.apply) and its number is shown.</w:t>
      </w:r>
    </w:p>
    <w:p>
      <w:pPr>
        <w:pStyle w:val="Normal"/>
        <w:numPr>
          <w:ilvl w:val="0"/>
          <w:numId w:val="382"/>
        </w:numPr>
        <w:spacing w:before="0" w:after="60"/>
        <w:rPr/>
      </w:pPr>
      <w:r>
        <w:rPr>
          <w:rFonts w:eastAsia="Segoe UI" w:cs="Segoe UI" w:ascii="Segoe UI" w:hAnsi="Segoe UI"/>
          <w:b/>
          <w:color w:val="101820"/>
          <w:sz w:val="21"/>
        </w:rPr>
        <w:t>Cleared</w:t>
      </w:r>
      <w:r>
        <w:rPr>
          <w:rFonts w:eastAsia="Segoe UI" w:cs="Segoe UI" w:ascii="Segoe UI" w:hAnsi="Segoe UI"/>
          <w:color w:val="101820"/>
          <w:sz w:val="21"/>
        </w:rPr>
        <w:t xml:space="preserve"> when the bank confirms. </w:t>
      </w:r>
      <w:r>
        <w:rPr>
          <w:rFonts w:eastAsia="Segoe UI" w:cs="Segoe UI" w:ascii="Segoe UI" w:hAnsi="Segoe UI"/>
          <w:b/>
          <w:color w:val="101820"/>
          <w:sz w:val="21"/>
        </w:rPr>
        <w:t>Bounced</w:t>
      </w:r>
      <w:r>
        <w:rPr>
          <w:rFonts w:eastAsia="Segoe UI" w:cs="Segoe UI" w:ascii="Segoe UI" w:hAnsi="Segoe UI"/>
          <w:color w:val="101820"/>
          <w:sz w:val="21"/>
        </w:rPr>
        <w:t xml:space="preserve"> with the bank's reason (and charge): the receipt is cancelled, its journal reversed and the bill is open again; Accounting is notified and the client is e-mailed (template </w:t>
      </w:r>
      <w:r>
        <w:rPr>
          <w:rFonts w:eastAsia="Consolas" w:cs="Consolas" w:ascii="Consolas" w:hAnsi="Consolas"/>
          <w:color w:val="101820"/>
          <w:sz w:val="19"/>
        </w:rPr>
        <w:t>pdc_bounced</w:t>
      </w:r>
      <w:r>
        <w:rPr>
          <w:rFonts w:eastAsia="Segoe UI" w:cs="Segoe UI" w:ascii="Segoe UI" w:hAnsi="Segoe UI"/>
          <w:color w:val="101820"/>
          <w:sz w:val="21"/>
        </w:rPr>
        <w:t xml:space="preserve">, </w:t>
      </w:r>
      <w:r>
        <w:rPr>
          <w:rFonts w:eastAsia="Consolas" w:cs="Consolas" w:ascii="Consolas" w:hAnsi="Consolas"/>
          <w:color w:val="101820"/>
          <w:sz w:val="19"/>
        </w:rPr>
        <w:t>pdc.notify_client_on_bounce</w:t>
      </w:r>
      <w:r>
        <w:rPr>
          <w:rFonts w:eastAsia="Segoe UI" w:cs="Segoe UI" w:ascii="Segoe UI" w:hAnsi="Segoe UI"/>
          <w:color w:val="101820"/>
          <w:sz w:val="21"/>
        </w:rPr>
        <w:t>).</w:t>
      </w:r>
    </w:p>
    <w:p>
      <w:pPr>
        <w:pStyle w:val="Normal"/>
        <w:numPr>
          <w:ilvl w:val="0"/>
          <w:numId w:val="383"/>
        </w:numPr>
        <w:spacing w:before="0" w:after="60"/>
        <w:rPr/>
      </w:pPr>
      <w:r>
        <w:rPr>
          <w:rFonts w:eastAsia="Segoe UI" w:cs="Segoe UI" w:ascii="Segoe UI" w:hAnsi="Segoe UI"/>
          <w:b/>
          <w:color w:val="101820"/>
          <w:sz w:val="21"/>
        </w:rPr>
        <w:t>Replace</w:t>
      </w:r>
      <w:r>
        <w:rPr>
          <w:rFonts w:eastAsia="Segoe UI" w:cs="Segoe UI" w:ascii="Segoe UI" w:hAnsi="Segoe UI"/>
          <w:color w:val="101820"/>
          <w:sz w:val="21"/>
        </w:rPr>
        <w:t xml:space="preserve"> registers the client's new cheque for the same bill, linked to the bounced one. </w:t>
      </w:r>
      <w:r>
        <w:rPr>
          <w:rFonts w:eastAsia="Segoe UI" w:cs="Segoe UI" w:ascii="Segoe UI" w:hAnsi="Segoe UI"/>
          <w:b/>
          <w:color w:val="101820"/>
          <w:sz w:val="21"/>
        </w:rPr>
        <w:t>Return</w:t>
      </w:r>
      <w:r>
        <w:rPr>
          <w:rFonts w:eastAsia="Segoe UI" w:cs="Segoe UI" w:ascii="Segoe UI" w:hAnsi="Segoe UI"/>
          <w:color w:val="101820"/>
          <w:sz w:val="21"/>
        </w:rPr>
        <w:t xml:space="preserve"> gives an unused cheque back to the client; </w:t>
      </w:r>
      <w:r>
        <w:rPr>
          <w:rFonts w:eastAsia="Segoe UI" w:cs="Segoe UI" w:ascii="Segoe UI" w:hAnsi="Segoe UI"/>
          <w:b/>
          <w:color w:val="101820"/>
          <w:sz w:val="21"/>
        </w:rPr>
        <w:t>Cancel</w:t>
      </w:r>
      <w:r>
        <w:rPr>
          <w:rFonts w:eastAsia="Segoe UI" w:cs="Segoe UI" w:ascii="Segoe UI" w:hAnsi="Segoe UI"/>
          <w:color w:val="101820"/>
          <w:sz w:val="21"/>
        </w:rPr>
        <w:t xml:space="preserve"> voids a registration made in error.</w:t>
      </w:r>
    </w:p>
    <w:p>
      <w:pPr>
        <w:pStyle w:val="Normal"/>
        <w:spacing w:lineRule="auto" w:line="276" w:before="0" w:after="120"/>
        <w:rPr/>
      </w:pP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22" w:name="__RefHeading___Toc24512_3350804041"/>
      <w:bookmarkEnd w:id="122"/>
      <w:r>
        <w:rPr>
          <w:rFonts w:eastAsia="Segoe UI" w:cs="Segoe UI"/>
          <w:b/>
          <w:color w:val="0F4761"/>
          <w:sz w:val="26"/>
        </w:rPr>
        <w:t>12.8  Claims settlements paid through the broker</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Claims Settlements</w:t>
      </w:r>
    </w:p>
    <w:p>
      <w:pPr>
        <w:pStyle w:val="Normal"/>
        <w:spacing w:lineRule="auto" w:line="276" w:before="0" w:after="120"/>
        <w:rPr/>
      </w:pPr>
      <w:r>
        <w:rPr>
          <w:rFonts w:eastAsia="Segoe UI" w:cs="Segoe UI" w:ascii="Segoe UI" w:hAnsi="Segoe UI"/>
          <w:color w:val="101820"/>
          <w:sz w:val="21"/>
        </w:rPr>
        <w:t>Accounts &gt; Claims Settlements lists the claims whose settlement through the broker is booked, with what is still to receive from the insurers and what is payable to the claimant. Select a claim:</w:t>
      </w:r>
    </w:p>
    <w:p>
      <w:pPr>
        <w:pStyle w:val="Normal"/>
        <w:numPr>
          <w:ilvl w:val="0"/>
          <w:numId w:val="1"/>
        </w:numPr>
        <w:spacing w:before="0" w:after="60"/>
        <w:rPr/>
      </w:pPr>
      <w:r>
        <w:rPr>
          <w:rFonts w:eastAsia="Segoe UI" w:cs="Segoe UI" w:ascii="Segoe UI" w:hAnsi="Segoe UI"/>
          <w:b/>
          <w:color w:val="101820"/>
          <w:sz w:val="21"/>
        </w:rPr>
        <w:t>Funds received</w:t>
      </w:r>
      <w:r>
        <w:rPr>
          <w:rFonts w:eastAsia="Segoe UI" w:cs="Segoe UI" w:ascii="Segoe UI" w:hAnsi="Segoe UI"/>
          <w:color w:val="101820"/>
          <w:sz w:val="21"/>
        </w:rPr>
        <w:t>: the insurer, amount, bank account and the insurer's remittance advice. Posting rule claim.funds_received: Dr bank / Cr Claim Settlements Receivable (clearing). Never more than the insurer's share.</w:t>
      </w:r>
    </w:p>
    <w:p>
      <w:pPr>
        <w:pStyle w:val="Normal"/>
        <w:numPr>
          <w:ilvl w:val="0"/>
          <w:numId w:val="1"/>
        </w:numPr>
        <w:spacing w:before="0" w:after="60"/>
        <w:rPr/>
      </w:pPr>
      <w:r>
        <w:rPr>
          <w:rFonts w:eastAsia="Segoe UI" w:cs="Segoe UI" w:ascii="Segoe UI" w:hAnsi="Segoe UI"/>
          <w:b/>
          <w:color w:val="101820"/>
          <w:sz w:val="21"/>
        </w:rPr>
        <w:t>Pay claimant</w:t>
      </w:r>
      <w:r>
        <w:rPr>
          <w:rFonts w:eastAsia="Segoe UI" w:cs="Segoe UI" w:ascii="Segoe UI" w:hAnsi="Segoe UI"/>
          <w:color w:val="101820"/>
          <w:sz w:val="21"/>
        </w:rPr>
        <w:t>: payee, mode, bank account, cheque or transfer reference. Posting rule claim.paid_to_claimant: Dr Claim Settlements Payable (fiduciary) / Cr bank. The payment gets a claim payment voucher number (CPV-YYYY-NNNNN); the print icon opens the voucher.</w:t>
      </w:r>
    </w:p>
    <w:p>
      <w:pPr>
        <w:pStyle w:val="Normal"/>
        <w:numPr>
          <w:ilvl w:val="0"/>
          <w:numId w:val="1"/>
        </w:numPr>
        <w:spacing w:before="0" w:after="60"/>
        <w:rPr/>
      </w:pPr>
      <w:r>
        <w:rPr>
          <w:rFonts w:eastAsia="Segoe UI" w:cs="Segoe UI" w:ascii="Segoe UI" w:hAnsi="Segoe UI"/>
          <w:b/>
          <w:color w:val="101820"/>
          <w:sz w:val="21"/>
        </w:rPr>
        <w:t>Release form</w:t>
      </w:r>
      <w:r>
        <w:rPr>
          <w:rFonts w:eastAsia="Segoe UI" w:cs="Segoe UI" w:ascii="Segoe UI" w:hAnsi="Segoe UI"/>
          <w:color w:val="101820"/>
          <w:sz w:val="21"/>
        </w:rPr>
        <w:t>: the release and quitclaim the claimant signs, with the payments made.</w:t>
      </w:r>
    </w:p>
    <w:p>
      <w:pPr>
        <w:pStyle w:val="Normal"/>
        <w:spacing w:lineRule="auto" w:line="276" w:before="0" w:after="120"/>
        <w:rPr/>
      </w:pPr>
      <w:r>
        <w:rPr>
          <w:rFonts w:eastAsia="Segoe UI" w:cs="Segoe UI" w:ascii="Segoe UI" w:hAnsi="Segoe UI"/>
          <w:color w:val="101820"/>
          <w:sz w:val="21"/>
        </w:rPr>
        <w:t>Recording funds needs the receipts permission and paying the claimant the disbursements permission (Accounting). The same cash panel stays on the claim screen.</w:t>
      </w:r>
    </w:p>
    <w:p>
      <w:pPr>
        <w:pStyle w:val="Heading2"/>
        <w:rPr/>
      </w:pPr>
      <w:bookmarkStart w:id="123" w:name="__RefHeading___Toc24514_3350804041"/>
      <w:bookmarkEnd w:id="123"/>
      <w:r>
        <w:rPr>
          <w:rFonts w:eastAsia="Segoe UI" w:cs="Segoe UI"/>
          <w:b/>
          <w:color w:val="0F4761"/>
          <w:sz w:val="26"/>
        </w:rPr>
        <w:t>12.9  Disbursement: payment vouchers and cheques</w:t>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384"/>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385"/>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6"/>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387"/>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24" w:name="__RefHeading___Toc24516_3350804041"/>
      <w:bookmarkEnd w:id="124"/>
      <w:r>
        <w:rPr>
          <w:rFonts w:eastAsia="Segoe UI" w:cs="Segoe UI"/>
          <w:b/>
          <w:color w:val="0F4761"/>
          <w:sz w:val="26"/>
        </w:rPr>
        <w:t>12.10  Bank payment files</w:t>
      </w:r>
    </w:p>
    <w:p>
      <w:pPr>
        <w:pStyle w:val="Normal"/>
        <w:spacing w:lineRule="auto" w:line="276" w:before="0" w:after="120"/>
        <w:rPr/>
      </w:pPr>
      <w:r>
        <w:rPr>
          <w:rFonts w:eastAsia="Segoe UI" w:cs="Segoe UI" w:ascii="Segoe UI" w:hAnsi="Segoe UI"/>
          <w:color w:val="101820"/>
          <w:sz w:val="21"/>
        </w:rPr>
        <w:t xml:space="preserve">Insurer remittances, referrer commission payouts, refunds and supplier payments can be paid by a bank upload file instead of cheques: bulk credit, InstaPay (up to </w:t>
      </w:r>
      <w:r>
        <w:rPr>
          <w:rFonts w:eastAsia="Consolas" w:cs="Consolas" w:ascii="Consolas" w:hAnsi="Consolas"/>
          <w:color w:val="101820"/>
          <w:sz w:val="19"/>
        </w:rPr>
        <w:t>bank_payments.instapay_limit</w:t>
      </w:r>
      <w:r>
        <w:rPr>
          <w:rFonts w:eastAsia="Segoe UI" w:cs="Segoe UI" w:ascii="Segoe UI" w:hAnsi="Segoe UI"/>
          <w:color w:val="101820"/>
          <w:sz w:val="21"/>
        </w:rPr>
        <w:t>, PHP 50,000 per payment) or PESONet.</w:t>
      </w:r>
    </w:p>
    <w:p>
      <w:pPr>
        <w:pStyle w:val="Normal"/>
        <w:jc w:val="center"/>
        <w:rPr/>
      </w:pPr>
      <w:r>
        <w:rPr/>
        <w:drawing>
          <wp:inline distT="0" distB="0" distL="0" distR="0">
            <wp:extent cx="5760085" cy="44691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Payment Files</w:t>
      </w:r>
    </w:p>
    <w:p>
      <w:pPr>
        <w:pStyle w:val="Normal"/>
        <w:numPr>
          <w:ilvl w:val="0"/>
          <w:numId w:val="388"/>
        </w:numPr>
        <w:spacing w:before="0" w:after="60"/>
        <w:rPr/>
      </w:pPr>
      <w:r>
        <w:rPr>
          <w:rFonts w:eastAsia="Segoe UI" w:cs="Segoe UI" w:ascii="Segoe UI" w:hAnsi="Segoe UI"/>
          <w:color w:val="101820"/>
          <w:sz w:val="21"/>
        </w:rPr>
        <w:t xml:space="preserve">Prepare the payment vouchers as usual (Accounts &gt; Disbursement, insurer remittance, bulk referrer payout) and submit them for approval. Every payee needs a bank account: Master &gt; Finance &gt; Bank File Layouts, </w:t>
      </w:r>
      <w:r>
        <w:rPr>
          <w:rFonts w:eastAsia="Segoe UI" w:cs="Segoe UI" w:ascii="Segoe UI" w:hAnsi="Segoe UI"/>
          <w:b/>
          <w:color w:val="101820"/>
          <w:sz w:val="21"/>
        </w:rPr>
        <w:t>Payee bank accounts</w:t>
      </w:r>
      <w:r>
        <w:rPr>
          <w:rFonts w:eastAsia="Segoe UI" w:cs="Segoe UI" w:ascii="Segoe UI" w:hAnsi="Segoe UI"/>
          <w:color w:val="101820"/>
          <w:sz w:val="21"/>
        </w:rPr>
        <w:t xml:space="preserve"> (a referrer's account on the referrer record is used too).</w:t>
      </w:r>
    </w:p>
    <w:p>
      <w:pPr>
        <w:pStyle w:val="Normal"/>
        <w:numPr>
          <w:ilvl w:val="0"/>
          <w:numId w:val="389"/>
        </w:numPr>
        <w:spacing w:before="0" w:after="60"/>
        <w:rPr/>
      </w:pPr>
      <w:r>
        <w:rPr>
          <w:rFonts w:eastAsia="Segoe UI" w:cs="Segoe UI" w:ascii="Segoe UI" w:hAnsi="Segoe UI"/>
          <w:color w:val="101820"/>
          <w:sz w:val="21"/>
        </w:rPr>
        <w:t xml:space="preserve">Choose Accounts &gt; Bank Payment Files and select </w:t>
      </w:r>
      <w:r>
        <w:rPr>
          <w:rFonts w:eastAsia="Segoe UI" w:cs="Segoe UI" w:ascii="Segoe UI" w:hAnsi="Segoe UI"/>
          <w:b/>
          <w:color w:val="101820"/>
          <w:sz w:val="21"/>
        </w:rPr>
        <w:t>New batch</w:t>
      </w:r>
      <w:r>
        <w:rPr>
          <w:rFonts w:eastAsia="Segoe UI" w:cs="Segoe UI" w:ascii="Segoe UI" w:hAnsi="Segoe UI"/>
          <w:color w:val="101820"/>
          <w:sz w:val="21"/>
        </w:rPr>
        <w:t xml:space="preserve">. Choose the </w:t>
      </w:r>
      <w:r>
        <w:rPr>
          <w:rFonts w:eastAsia="Segoe UI" w:cs="Segoe UI" w:ascii="Segoe UI" w:hAnsi="Segoe UI"/>
          <w:b/>
          <w:color w:val="101820"/>
          <w:sz w:val="21"/>
        </w:rPr>
        <w:t>Layout</w:t>
      </w:r>
      <w:r>
        <w:rPr>
          <w:rFonts w:eastAsia="Segoe UI" w:cs="Segoe UI" w:ascii="Segoe UI" w:hAnsi="Segoe UI"/>
          <w:color w:val="101820"/>
          <w:sz w:val="21"/>
        </w:rPr>
        <w:t xml:space="preserve"> of the bank, the bank account to </w:t>
      </w:r>
      <w:r>
        <w:rPr>
          <w:rFonts w:eastAsia="Segoe UI" w:cs="Segoe UI" w:ascii="Segoe UI" w:hAnsi="Segoe UI"/>
          <w:b/>
          <w:color w:val="101820"/>
          <w:sz w:val="21"/>
        </w:rPr>
        <w:t>Pay from</w:t>
      </w:r>
      <w:r>
        <w:rPr>
          <w:rFonts w:eastAsia="Segoe UI" w:cs="Segoe UI" w:ascii="Segoe UI" w:hAnsi="Segoe UI"/>
          <w:color w:val="101820"/>
          <w:sz w:val="21"/>
        </w:rPr>
        <w:t xml:space="preserve">, the </w:t>
      </w:r>
      <w:r>
        <w:rPr>
          <w:rFonts w:eastAsia="Segoe UI" w:cs="Segoe UI" w:ascii="Segoe UI" w:hAnsi="Segoe UI"/>
          <w:b/>
          <w:color w:val="101820"/>
          <w:sz w:val="21"/>
        </w:rPr>
        <w:t>Channel</w:t>
      </w:r>
      <w:r>
        <w:rPr>
          <w:rFonts w:eastAsia="Segoe UI" w:cs="Segoe UI" w:ascii="Segoe UI" w:hAnsi="Segoe UI"/>
          <w:color w:val="101820"/>
          <w:sz w:val="21"/>
        </w:rPr>
        <w:t xml:space="preserve"> and the </w:t>
      </w:r>
      <w:r>
        <w:rPr>
          <w:rFonts w:eastAsia="Segoe UI" w:cs="Segoe UI" w:ascii="Segoe UI" w:hAnsi="Segoe UI"/>
          <w:b/>
          <w:color w:val="101820"/>
          <w:sz w:val="21"/>
        </w:rPr>
        <w:t>Value date</w:t>
      </w:r>
      <w:r>
        <w:rPr>
          <w:rFonts w:eastAsia="Segoe UI" w:cs="Segoe UI" w:ascii="Segoe UI" w:hAnsi="Segoe UI"/>
          <w:color w:val="101820"/>
          <w:sz w:val="21"/>
        </w:rPr>
        <w:t xml:space="preserve">, tick the vouchers (a voucher without a bank account cannot be ticked) and select </w:t>
      </w:r>
      <w:r>
        <w:rPr>
          <w:rFonts w:eastAsia="Segoe UI" w:cs="Segoe UI" w:ascii="Segoe UI" w:hAnsi="Segoe UI"/>
          <w:b/>
          <w:color w:val="101820"/>
          <w:sz w:val="21"/>
        </w:rPr>
        <w:t>Create batch</w:t>
      </w:r>
      <w:r>
        <w:rPr>
          <w:rFonts w:eastAsia="Segoe UI" w:cs="Segoe UI" w:ascii="Segoe UI" w:hAnsi="Segoe UI"/>
          <w:color w:val="101820"/>
          <w:sz w:val="21"/>
        </w:rPr>
        <w:t>. The batch takes a number from the BPB series.</w:t>
      </w:r>
    </w:p>
    <w:p>
      <w:pPr>
        <w:pStyle w:val="Normal"/>
        <w:numPr>
          <w:ilvl w:val="0"/>
          <w:numId w:val="390"/>
        </w:numPr>
        <w:spacing w:before="0" w:after="60"/>
        <w:rPr/>
      </w:pPr>
      <w:r>
        <w:rPr>
          <w:rFonts w:eastAsia="Segoe UI" w:cs="Segoe UI" w:ascii="Segoe UI" w:hAnsi="Segoe UI"/>
          <w:color w:val="101820"/>
          <w:sz w:val="21"/>
        </w:rPr>
        <w:t xml:space="preserve">Open the batch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 second user opens it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Return to draft</w:t>
      </w:r>
      <w:r>
        <w:rPr>
          <w:rFonts w:eastAsia="Segoe UI" w:cs="Segoe UI" w:ascii="Segoe UI" w:hAnsi="Segoe UI"/>
          <w:color w:val="101820"/>
          <w:sz w:val="21"/>
        </w:rPr>
        <w:t xml:space="preserve"> with the reason. The approver may not be the maker of the batch or of one of its vouchers, and the total must be within the approver's Authority Matrix limit for payment vouchers.</w:t>
      </w:r>
    </w:p>
    <w:p>
      <w:pPr>
        <w:pStyle w:val="Normal"/>
        <w:numPr>
          <w:ilvl w:val="0"/>
          <w:numId w:val="3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Write file</w:t>
      </w:r>
      <w:r>
        <w:rPr>
          <w:rFonts w:eastAsia="Segoe UI" w:cs="Segoe UI" w:ascii="Segoe UI" w:hAnsi="Segoe UI"/>
          <w:color w:val="101820"/>
          <w:sz w:val="21"/>
        </w:rPr>
        <w:t xml:space="preserve">, then </w:t>
      </w:r>
      <w:r>
        <w:rPr>
          <w:rFonts w:eastAsia="Segoe UI" w:cs="Segoe UI" w:ascii="Segoe UI" w:hAnsi="Segoe UI"/>
          <w:b/>
          <w:color w:val="101820"/>
          <w:sz w:val="21"/>
        </w:rPr>
        <w:t>Download file</w:t>
      </w:r>
      <w:r>
        <w:rPr>
          <w:rFonts w:eastAsia="Segoe UI" w:cs="Segoe UI" w:ascii="Segoe UI" w:hAnsi="Segoe UI"/>
          <w:color w:val="101820"/>
          <w:sz w:val="21"/>
        </w:rPr>
        <w:t xml:space="preserve"> and upload it on the bank's portal. Select </w:t>
      </w:r>
      <w:r>
        <w:rPr>
          <w:rFonts w:eastAsia="Segoe UI" w:cs="Segoe UI" w:ascii="Segoe UI" w:hAnsi="Segoe UI"/>
          <w:b/>
          <w:color w:val="101820"/>
          <w:sz w:val="21"/>
        </w:rPr>
        <w:t>Mark uploaded to the bank</w:t>
      </w:r>
      <w:r>
        <w:rPr>
          <w:rFonts w:eastAsia="Segoe UI" w:cs="Segoe UI" w:ascii="Segoe UI" w:hAnsi="Segoe UI"/>
          <w:color w:val="101820"/>
          <w:sz w:val="21"/>
        </w:rPr>
        <w:t>.</w:t>
      </w:r>
    </w:p>
    <w:p>
      <w:pPr>
        <w:pStyle w:val="Normal"/>
        <w:numPr>
          <w:ilvl w:val="0"/>
          <w:numId w:val="392"/>
        </w:numPr>
        <w:spacing w:before="0" w:after="60"/>
        <w:rPr/>
      </w:pPr>
      <w:r>
        <w:rPr>
          <w:rFonts w:eastAsia="Segoe UI" w:cs="Segoe UI" w:ascii="Segoe UI" w:hAnsi="Segoe UI"/>
          <w:color w:val="101820"/>
          <w:sz w:val="21"/>
        </w:rPr>
        <w:t xml:space="preserve">When the bank returns its payment status file, select </w:t>
      </w:r>
      <w:r>
        <w:rPr>
          <w:rFonts w:eastAsia="Segoe UI" w:cs="Segoe UI" w:ascii="Segoe UI" w:hAnsi="Segoe UI"/>
          <w:b/>
          <w:color w:val="101820"/>
          <w:sz w:val="21"/>
        </w:rPr>
        <w:t>Import status file</w:t>
      </w:r>
      <w:r>
        <w:rPr>
          <w:rFonts w:eastAsia="Segoe UI" w:cs="Segoe UI" w:ascii="Segoe UI" w:hAnsi="Segoe UI"/>
          <w:color w:val="101820"/>
          <w:sz w:val="21"/>
        </w:rPr>
        <w:t>. Each paid payment posts the voucher's payment journal (Dr payable of the payee / Cr cash in bank of the bank account paid from, or for a referrer payout Dr commission payable / Cr cash and withholding tax) dated the value date, and the voucher becomes Paid. A rejected payment keeps its reason; its voucher is free for another batch or a cheque. Rows the system could not apply are listed with the reason.</w:t>
      </w:r>
    </w:p>
    <w:p>
      <w:pPr>
        <w:pStyle w:val="Normal"/>
        <w:numPr>
          <w:ilvl w:val="0"/>
          <w:numId w:val="393"/>
        </w:numPr>
        <w:spacing w:before="0" w:after="60"/>
        <w:rPr/>
      </w:pPr>
      <w:r>
        <w:rPr>
          <w:rFonts w:eastAsia="Segoe UI" w:cs="Segoe UI" w:ascii="Segoe UI" w:hAnsi="Segoe UI"/>
          <w:color w:val="101820"/>
          <w:sz w:val="21"/>
        </w:rPr>
        <w:t xml:space="preserve">Without a status file, use </w:t>
      </w:r>
      <w:r>
        <w:rPr>
          <w:rFonts w:eastAsia="Segoe UI" w:cs="Segoe UI" w:ascii="Segoe UI" w:hAnsi="Segoe UI"/>
          <w:b/>
          <w:color w:val="101820"/>
          <w:sz w:val="21"/>
        </w:rPr>
        <w:t>Record result</w:t>
      </w:r>
      <w:r>
        <w:rPr>
          <w:rFonts w:eastAsia="Segoe UI" w:cs="Segoe UI" w:ascii="Segoe UI" w:hAnsi="Segoe UI"/>
          <w:color w:val="101820"/>
          <w:sz w:val="21"/>
        </w:rPr>
        <w:t xml:space="preserve"> on a payment to enter what the bank portal shows: paid with the bank reference, or rejected with the reason.</w:t>
      </w:r>
    </w:p>
    <w:p>
      <w:pPr>
        <w:pStyle w:val="Normal"/>
        <w:spacing w:lineRule="auto" w:line="276" w:before="0" w:after="120"/>
        <w:rPr/>
      </w:pPr>
      <w:r>
        <w:rPr>
          <w:rFonts w:eastAsia="Segoe UI" w:cs="Segoe UI" w:ascii="Segoe UI" w:hAnsi="Segoe UI"/>
          <w:color w:val="101820"/>
          <w:sz w:val="21"/>
        </w:rPr>
        <w:t xml:space="preserve">The batch is </w:t>
      </w:r>
      <w:r>
        <w:rPr>
          <w:rFonts w:eastAsia="Segoe UI" w:cs="Segoe UI" w:ascii="Segoe UI" w:hAnsi="Segoe UI"/>
          <w:b/>
          <w:color w:val="101820"/>
          <w:sz w:val="21"/>
        </w:rPr>
        <w:t>Completed</w:t>
      </w:r>
      <w:r>
        <w:rPr>
          <w:rFonts w:eastAsia="Segoe UI" w:cs="Segoe UI" w:ascii="Segoe UI" w:hAnsi="Segoe UI"/>
          <w:color w:val="101820"/>
          <w:sz w:val="21"/>
        </w:rPr>
        <w:t xml:space="preserve"> when every payment has a result. A batch with no paid payment can be cancelled; its vouchers become free again. Every step is in the audit trail, and the file and status file are in Master &gt; System &gt; Integrations (outbox and inbox).</w:t>
      </w:r>
    </w:p>
    <w:p>
      <w:pPr>
        <w:pStyle w:val="Heading2"/>
        <w:rPr/>
      </w:pPr>
      <w:bookmarkStart w:id="125" w:name="__RefHeading___Toc24518_3350804041"/>
      <w:bookmarkEnd w:id="125"/>
      <w:r>
        <w:rPr>
          <w:rFonts w:eastAsia="Segoe UI" w:cs="Segoe UI"/>
          <w:b/>
          <w:color w:val="0F4761"/>
          <w:sz w:val="26"/>
        </w:rPr>
        <w:t>12.11  Bank file layouts and payee bank accounts</w:t>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Bank File Layouts</w:t>
      </w:r>
    </w:p>
    <w:p>
      <w:pPr>
        <w:pStyle w:val="Normal"/>
        <w:spacing w:lineRule="auto" w:line="276" w:before="0" w:after="120"/>
        <w:rPr/>
      </w:pPr>
      <w:r>
        <w:rPr>
          <w:rFonts w:eastAsia="Segoe UI" w:cs="Segoe UI" w:ascii="Segoe UI" w:hAnsi="Segoe UI"/>
          <w:color w:val="101820"/>
          <w:sz w:val="21"/>
        </w:rPr>
        <w:t xml:space="preserve">Master &gt; Finance &gt; Bank File Layouts says how each bank's upload file is written and how its status file is read. The system is delivered with starter layouts for BDO, BPI, Metrobank, Landbank and UnionBank and a generic CSV. </w:t>
      </w:r>
      <w:r>
        <w:rPr>
          <w:rFonts w:eastAsia="Segoe UI" w:cs="Segoe UI" w:ascii="Segoe UI" w:hAnsi="Segoe UI"/>
          <w:b/>
          <w:color w:val="101820"/>
          <w:sz w:val="21"/>
        </w:rPr>
        <w:t>The starter layouts are examples: each must be validated against the bank's current file specification, and a test file accepted by the bank, during onboarding.</w:t>
      </w:r>
      <w:r>
        <w:rPr>
          <w:rFonts w:eastAsia="Segoe UI" w:cs="Segoe UI" w:ascii="Segoe UI" w:hAnsi="Segoe UI"/>
          <w:color w:val="101820"/>
          <w:sz w:val="21"/>
        </w:rPr>
        <w:t xml:space="preserve"> They are marked </w:t>
      </w:r>
      <w:r>
        <w:rPr>
          <w:rFonts w:eastAsia="Segoe UI" w:cs="Segoe UI" w:ascii="Segoe UI" w:hAnsi="Segoe UI"/>
          <w:b/>
          <w:color w:val="101820"/>
          <w:sz w:val="21"/>
        </w:rPr>
        <w:t>Test mode</w:t>
      </w:r>
      <w:r>
        <w:rPr>
          <w:rFonts w:eastAsia="Segoe UI" w:cs="Segoe UI" w:ascii="Segoe UI" w:hAnsi="Segoe UI"/>
          <w:color w:val="101820"/>
          <w:sz w:val="21"/>
        </w:rPr>
        <w:t xml:space="preserve"> until changed.</w:t>
      </w:r>
    </w:p>
    <w:p>
      <w:pPr>
        <w:pStyle w:val="Normal"/>
        <w:spacing w:lineRule="auto" w:line="276" w:before="0" w:after="120"/>
        <w:rPr/>
      </w:pPr>
      <w:r>
        <w:rPr>
          <w:rFonts w:eastAsia="Segoe UI" w:cs="Segoe UI" w:ascii="Segoe UI" w:hAnsi="Segoe UI"/>
          <w:color w:val="101820"/>
          <w:sz w:val="21"/>
        </w:rPr>
        <w:t xml:space="preserve">To change or add a layout, select the pencil or </w:t>
      </w:r>
      <w:r>
        <w:rPr>
          <w:rFonts w:eastAsia="Segoe UI" w:cs="Segoe UI" w:ascii="Segoe UI" w:hAnsi="Segoe UI"/>
          <w:b/>
          <w:color w:val="101820"/>
          <w:sz w:val="21"/>
        </w:rPr>
        <w:t>New layout</w:t>
      </w:r>
      <w:r>
        <w:rPr>
          <w:rFonts w:eastAsia="Segoe UI" w:cs="Segoe UI" w:ascii="Segoe UI" w:hAnsi="Segoe UI"/>
          <w:color w:val="101820"/>
          <w:sz w:val="21"/>
        </w:rPr>
        <w:t>:</w:t>
      </w:r>
    </w:p>
    <w:p>
      <w:pPr>
        <w:pStyle w:val="Normal"/>
        <w:numPr>
          <w:ilvl w:val="0"/>
          <w:numId w:val="394"/>
        </w:numPr>
        <w:spacing w:before="0" w:after="60"/>
        <w:rPr/>
      </w:pP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Delimited</w:t>
      </w:r>
      <w:r>
        <w:rPr>
          <w:rFonts w:eastAsia="Segoe UI" w:cs="Segoe UI" w:ascii="Segoe UI" w:hAnsi="Segoe UI"/>
          <w:color w:val="101820"/>
          <w:sz w:val="21"/>
        </w:rPr>
        <w:t xml:space="preserve"> (with its delimiter) or </w:t>
      </w:r>
      <w:r>
        <w:rPr>
          <w:rFonts w:eastAsia="Segoe UI" w:cs="Segoe UI" w:ascii="Segoe UI" w:hAnsi="Segoe UI"/>
          <w:b/>
          <w:color w:val="101820"/>
          <w:sz w:val="21"/>
        </w:rPr>
        <w:t>Fixed width</w:t>
      </w:r>
      <w:r>
        <w:rPr>
          <w:rFonts w:eastAsia="Segoe UI" w:cs="Segoe UI" w:ascii="Segoe UI" w:hAnsi="Segoe UI"/>
          <w:color w:val="101820"/>
          <w:sz w:val="21"/>
        </w:rPr>
        <w:t xml:space="preserve">, the </w:t>
      </w:r>
      <w:r>
        <w:rPr>
          <w:rFonts w:eastAsia="Segoe UI" w:cs="Segoe UI" w:ascii="Segoe UI" w:hAnsi="Segoe UI"/>
          <w:b/>
          <w:color w:val="101820"/>
          <w:sz w:val="21"/>
        </w:rPr>
        <w:t>Channels</w:t>
      </w:r>
      <w:r>
        <w:rPr>
          <w:rFonts w:eastAsia="Segoe UI" w:cs="Segoe UI" w:ascii="Segoe UI" w:hAnsi="Segoe UI"/>
          <w:color w:val="101820"/>
          <w:sz w:val="21"/>
        </w:rPr>
        <w:t xml:space="preserve"> the layout writes, the </w:t>
      </w:r>
      <w:r>
        <w:rPr>
          <w:rFonts w:eastAsia="Segoe UI" w:cs="Segoe UI" w:ascii="Segoe UI" w:hAnsi="Segoe UI"/>
          <w:b/>
          <w:color w:val="101820"/>
          <w:sz w:val="21"/>
        </w:rPr>
        <w:t>Line ending</w:t>
      </w:r>
      <w:r>
        <w:rPr>
          <w:rFonts w:eastAsia="Segoe UI" w:cs="Segoe UI" w:ascii="Segoe UI" w:hAnsi="Segoe UI"/>
          <w:color w:val="101820"/>
          <w:sz w:val="21"/>
        </w:rPr>
        <w:t xml:space="preserve"> and the </w:t>
      </w:r>
      <w:r>
        <w:rPr>
          <w:rFonts w:eastAsia="Segoe UI" w:cs="Segoe UI" w:ascii="Segoe UI" w:hAnsi="Segoe UI"/>
          <w:b/>
          <w:color w:val="101820"/>
          <w:sz w:val="21"/>
        </w:rPr>
        <w:t>File name</w:t>
      </w:r>
      <w:r>
        <w:rPr>
          <w:rFonts w:eastAsia="Segoe UI" w:cs="Segoe UI" w:ascii="Segoe UI" w:hAnsi="Segoe UI"/>
          <w:color w:val="101820"/>
          <w:sz w:val="21"/>
        </w:rPr>
        <w:t xml:space="preserve"> pattern (for example </w:t>
      </w:r>
      <w:r>
        <w:rPr>
          <w:rFonts w:eastAsia="Consolas" w:cs="Consolas" w:ascii="Consolas" w:hAnsi="Consolas"/>
          <w:color w:val="101820"/>
          <w:sz w:val="19"/>
        </w:rPr>
        <w:t>{bankCode}_{batchNumber}_{valueDate:YYYYMMDD}.csv</w:t>
      </w:r>
      <w:r>
        <w:rPr>
          <w:rFonts w:eastAsia="Segoe UI" w:cs="Segoe UI" w:ascii="Segoe UI" w:hAnsi="Segoe UI"/>
          <w:color w:val="101820"/>
          <w:sz w:val="21"/>
        </w:rPr>
        <w:t>).</w:t>
      </w:r>
    </w:p>
    <w:p>
      <w:pPr>
        <w:pStyle w:val="Normal"/>
        <w:numPr>
          <w:ilvl w:val="0"/>
          <w:numId w:val="39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Header record</w:t>
      </w:r>
      <w:r>
        <w:rPr>
          <w:rFonts w:eastAsia="Segoe UI" w:cs="Segoe UI" w:ascii="Segoe UI" w:hAnsi="Segoe UI"/>
          <w:color w:val="101820"/>
          <w:sz w:val="21"/>
        </w:rPr>
        <w:t xml:space="preserve">, </w:t>
      </w:r>
      <w:r>
        <w:rPr>
          <w:rFonts w:eastAsia="Segoe UI" w:cs="Segoe UI" w:ascii="Segoe UI" w:hAnsi="Segoe UI"/>
          <w:b/>
          <w:color w:val="101820"/>
          <w:sz w:val="21"/>
        </w:rPr>
        <w:t>Payment records</w:t>
      </w:r>
      <w:r>
        <w:rPr>
          <w:rFonts w:eastAsia="Segoe UI" w:cs="Segoe UI" w:ascii="Segoe UI" w:hAnsi="Segoe UI"/>
          <w:color w:val="101820"/>
          <w:sz w:val="21"/>
        </w:rPr>
        <w:t xml:space="preserve"> and </w:t>
      </w:r>
      <w:r>
        <w:rPr>
          <w:rFonts w:eastAsia="Segoe UI" w:cs="Segoe UI" w:ascii="Segoe UI" w:hAnsi="Segoe UI"/>
          <w:b/>
          <w:color w:val="101820"/>
          <w:sz w:val="21"/>
        </w:rPr>
        <w:t>Trailer record</w:t>
      </w:r>
      <w:r>
        <w:rPr>
          <w:rFonts w:eastAsia="Segoe UI" w:cs="Segoe UI" w:ascii="Segoe UI" w:hAnsi="Segoe UI"/>
          <w:color w:val="101820"/>
          <w:sz w:val="21"/>
        </w:rPr>
        <w:t xml:space="preserve">, list the fields in order: the </w:t>
      </w:r>
      <w:r>
        <w:rPr>
          <w:rFonts w:eastAsia="Segoe UI" w:cs="Segoe UI" w:ascii="Segoe UI" w:hAnsi="Segoe UI"/>
          <w:b/>
          <w:color w:val="101820"/>
          <w:sz w:val="21"/>
        </w:rPr>
        <w:t>Source</w:t>
      </w:r>
      <w:r>
        <w:rPr>
          <w:rFonts w:eastAsia="Segoe UI" w:cs="Segoe UI" w:ascii="Segoe UI" w:hAnsi="Segoe UI"/>
          <w:color w:val="101820"/>
          <w:sz w:val="21"/>
        </w:rPr>
        <w:t xml:space="preserve"> (a fixed value, a payment value such as account number or amount, or a batch value such as value date, total or count), the </w:t>
      </w:r>
      <w:r>
        <w:rPr>
          <w:rFonts w:eastAsia="Segoe UI" w:cs="Segoe UI" w:ascii="Segoe UI" w:hAnsi="Segoe UI"/>
          <w:b/>
          <w:color w:val="101820"/>
          <w:sz w:val="21"/>
        </w:rPr>
        <w:t>Format</w:t>
      </w:r>
      <w:r>
        <w:rPr>
          <w:rFonts w:eastAsia="Segoe UI" w:cs="Segoe UI" w:ascii="Segoe UI" w:hAnsi="Segoe UI"/>
          <w:color w:val="101820"/>
          <w:sz w:val="21"/>
        </w:rPr>
        <w:t xml:space="preserve"> (text, upper case, digits, amount with two decimals, amount in centavos, date patterns), the </w:t>
      </w:r>
      <w:r>
        <w:rPr>
          <w:rFonts w:eastAsia="Segoe UI" w:cs="Segoe UI" w:ascii="Segoe UI" w:hAnsi="Segoe UI"/>
          <w:b/>
          <w:color w:val="101820"/>
          <w:sz w:val="21"/>
        </w:rPr>
        <w:t>Width</w:t>
      </w:r>
      <w:r>
        <w:rPr>
          <w:rFonts w:eastAsia="Segoe UI" w:cs="Segoe UI" w:ascii="Segoe UI" w:hAnsi="Segoe UI"/>
          <w:color w:val="101820"/>
          <w:sz w:val="21"/>
        </w:rPr>
        <w:t xml:space="preserve"> and, for fixed width, the </w:t>
      </w:r>
      <w:r>
        <w:rPr>
          <w:rFonts w:eastAsia="Segoe UI" w:cs="Segoe UI" w:ascii="Segoe UI" w:hAnsi="Segoe UI"/>
          <w:b/>
          <w:color w:val="101820"/>
          <w:sz w:val="21"/>
        </w:rPr>
        <w:t>Alignment</w:t>
      </w:r>
      <w:r>
        <w:rPr>
          <w:rFonts w:eastAsia="Segoe UI" w:cs="Segoe UI" w:ascii="Segoe UI" w:hAnsi="Segoe UI"/>
          <w:color w:val="101820"/>
          <w:sz w:val="21"/>
        </w:rPr>
        <w:t xml:space="preserve"> and </w:t>
      </w:r>
      <w:r>
        <w:rPr>
          <w:rFonts w:eastAsia="Segoe UI" w:cs="Segoe UI" w:ascii="Segoe UI" w:hAnsi="Segoe UI"/>
          <w:b/>
          <w:color w:val="101820"/>
          <w:sz w:val="21"/>
        </w:rPr>
        <w:t>Pad</w:t>
      </w:r>
      <w:r>
        <w:rPr>
          <w:rFonts w:eastAsia="Segoe UI" w:cs="Segoe UI" w:ascii="Segoe UI" w:hAnsi="Segoe UI"/>
          <w:color w:val="101820"/>
          <w:sz w:val="21"/>
        </w:rPr>
        <w:t xml:space="preserve"> character.</w:t>
      </w:r>
    </w:p>
    <w:p>
      <w:pPr>
        <w:pStyle w:val="Normal"/>
        <w:numPr>
          <w:ilvl w:val="0"/>
          <w:numId w:val="39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Status file</w:t>
      </w:r>
      <w:r>
        <w:rPr>
          <w:rFonts w:eastAsia="Segoe UI" w:cs="Segoe UI" w:ascii="Segoe UI" w:hAnsi="Segoe UI"/>
          <w:color w:val="101820"/>
          <w:sz w:val="21"/>
        </w:rPr>
        <w:t>, describe the bank's return file: the columns of the reference, status, bank reference, reason and amount, and which status values mean paid or rejected.</w:t>
      </w:r>
    </w:p>
    <w:p>
      <w:pPr>
        <w:pStyle w:val="Normal"/>
        <w:numPr>
          <w:ilvl w:val="0"/>
          <w:numId w:val="397"/>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writes the file for two example payments. Save.</w:t>
      </w:r>
    </w:p>
    <w:p>
      <w:pPr>
        <w:pStyle w:val="Normal"/>
        <w:spacing w:lineRule="auto" w:line="276" w:before="0" w:after="120"/>
        <w:rPr/>
      </w:pPr>
      <w:r>
        <w:rPr>
          <w:rFonts w:eastAsia="Segoe UI" w:cs="Segoe UI" w:ascii="Segoe UI" w:hAnsi="Segoe UI"/>
          <w:b/>
          <w:color w:val="101820"/>
          <w:sz w:val="21"/>
        </w:rPr>
        <w:t>Payee bank accounts</w:t>
      </w:r>
      <w:r>
        <w:rPr>
          <w:rFonts w:eastAsia="Segoe UI" w:cs="Segoe UI" w:ascii="Segoe UI" w:hAnsi="Segoe UI"/>
          <w:color w:val="101820"/>
          <w:sz w:val="21"/>
        </w:rPr>
        <w:t xml:space="preserve"> lists the bank accounts credited by the files, per insurer, referrer, client or supplier: bank, account number and name, account type and the e-mail for the bank's credit advice. One account per payee is the default.</w:t>
      </w:r>
    </w:p>
    <w:p>
      <w:pPr>
        <w:pStyle w:val="Heading2"/>
        <w:rPr/>
      </w:pPr>
      <w:bookmarkStart w:id="126" w:name="__RefHeading___Toc24520_3350804041"/>
      <w:bookmarkEnd w:id="126"/>
      <w:r>
        <w:rPr>
          <w:rFonts w:eastAsia="Segoe UI" w:cs="Segoe UI"/>
          <w:b/>
          <w:color w:val="0F4761"/>
          <w:sz w:val="26"/>
        </w:rPr>
        <w:t>12.12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398"/>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399"/>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400"/>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Users and Access &gt; Authority Matrix. The delivered limits let an Accounting user approve up to PHP 1,000,000.00 and an Accounting Manager without limit; a larger remittance waits for the Accounting Manager. Cover during leave is given in Users and Access &gt; Delegations. The initiator cannot approve.</w:t>
      </w:r>
    </w:p>
    <w:p>
      <w:pPr>
        <w:pStyle w:val="Normal"/>
        <w:numPr>
          <w:ilvl w:val="0"/>
          <w:numId w:val="401"/>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402"/>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403"/>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27" w:name="__RefHeading___Toc24522_3350804041"/>
      <w:bookmarkEnd w:id="127"/>
      <w:r>
        <w:rPr>
          <w:rFonts w:eastAsia="Segoe UI" w:cs="Segoe UI"/>
          <w:b/>
          <w:color w:val="0F4761"/>
          <w:sz w:val="26"/>
        </w:rPr>
        <w:t>12.13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404"/>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40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406"/>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407"/>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408"/>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28" w:name="__RefHeading___Toc24524_3350804041"/>
      <w:bookmarkEnd w:id="128"/>
      <w:r>
        <w:rPr>
          <w:rFonts w:eastAsia="Segoe UI" w:cs="Segoe UI"/>
          <w:b/>
          <w:color w:val="0F4761"/>
          <w:sz w:val="26"/>
        </w:rPr>
        <w:t>12.14  Commission to agents and referrers</w:t>
      </w:r>
    </w:p>
    <w:p>
      <w:pPr>
        <w:pStyle w:val="Normal"/>
        <w:jc w:val="center"/>
        <w:rPr/>
      </w:pPr>
      <w:r>
        <w:rPr/>
        <w:drawing>
          <wp:inline distT="0" distB="0" distL="0" distR="0">
            <wp:extent cx="5760085" cy="220980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409"/>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410"/>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411"/>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4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41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414"/>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3"/>
        <w:rPr/>
      </w:pPr>
      <w:r>
        <w:rPr>
          <w:rFonts w:eastAsia="Segoe UI" w:cs="Segoe UI"/>
          <w:b/>
          <w:color w:val="0F4761"/>
          <w:sz w:val="23"/>
        </w:rPr>
        <w:t>12.14.1  Overriding, profit and contingent commission from insurers</w:t>
      </w:r>
    </w:p>
    <w:p>
      <w:pPr>
        <w:pStyle w:val="Normal"/>
        <w:spacing w:lineRule="auto" w:line="276" w:before="0" w:after="120"/>
        <w:rPr/>
      </w:pPr>
      <w:r>
        <w:rPr>
          <w:rFonts w:eastAsia="Segoe UI" w:cs="Segoe UI" w:ascii="Segoe UI" w:hAnsi="Segoe UI"/>
          <w:color w:val="101820"/>
          <w:sz w:val="21"/>
        </w:rPr>
        <w:t xml:space="preserve">Commission &gt; Insurer Overrides has two screens: </w:t>
      </w:r>
      <w:r>
        <w:rPr>
          <w:rFonts w:eastAsia="Segoe UI" w:cs="Segoe UI" w:ascii="Segoe UI" w:hAnsi="Segoe UI"/>
          <w:b/>
          <w:color w:val="101820"/>
          <w:sz w:val="21"/>
        </w:rPr>
        <w:t>Agreements</w:t>
      </w:r>
      <w:r>
        <w:rPr>
          <w:rFonts w:eastAsia="Segoe UI" w:cs="Segoe UI" w:ascii="Segoe UI" w:hAnsi="Segoe UI"/>
          <w:color w:val="101820"/>
          <w:sz w:val="21"/>
        </w:rPr>
        <w:t xml:space="preserve"> and </w:t>
      </w:r>
      <w:r>
        <w:rPr>
          <w:rFonts w:eastAsia="Segoe UI" w:cs="Segoe UI" w:ascii="Segoe UI" w:hAnsi="Segoe UI"/>
          <w:b/>
          <w:color w:val="101820"/>
          <w:sz w:val="21"/>
        </w:rPr>
        <w:t>Computations</w:t>
      </w:r>
      <w:r>
        <w:rPr>
          <w:rFonts w:eastAsia="Segoe UI" w:cs="Segoe UI" w:ascii="Segoe UI" w:hAnsi="Segoe UI"/>
          <w:color w:val="101820"/>
          <w:sz w:val="21"/>
        </w:rPr>
        <w:t>. Accounting maintains and computes them (read:commission, write:commission).</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Insurer Overrides &gt; Agreements</w:t>
      </w:r>
    </w:p>
    <w:p>
      <w:pPr>
        <w:pStyle w:val="Normal"/>
        <w:spacing w:lineRule="auto" w:line="276" w:before="0" w:after="120"/>
        <w:rPr/>
      </w:pPr>
      <w:r>
        <w:rPr>
          <w:rFonts w:eastAsia="Segoe UI" w:cs="Segoe UI" w:ascii="Segoe UI" w:hAnsi="Segoe UI"/>
          <w:color w:val="101820"/>
          <w:sz w:val="21"/>
        </w:rPr>
        <w:t>Set up an agreement:</w:t>
      </w:r>
    </w:p>
    <w:p>
      <w:pPr>
        <w:pStyle w:val="Normal"/>
        <w:numPr>
          <w:ilvl w:val="0"/>
          <w:numId w:val="415"/>
        </w:numPr>
        <w:spacing w:before="0" w:after="60"/>
        <w:rPr/>
      </w:pPr>
      <w:r>
        <w:rPr>
          <w:rFonts w:eastAsia="Segoe UI" w:cs="Segoe UI" w:ascii="Segoe UI" w:hAnsi="Segoe UI"/>
          <w:color w:val="101820"/>
          <w:sz w:val="21"/>
        </w:rPr>
        <w:t xml:space="preserve">Choose Commission &gt; Insurer Overrides &gt; Agreements and select </w:t>
      </w:r>
      <w:r>
        <w:rPr>
          <w:rFonts w:eastAsia="Segoe UI" w:cs="Segoe UI" w:ascii="Segoe UI" w:hAnsi="Segoe UI"/>
          <w:b/>
          <w:color w:val="101820"/>
          <w:sz w:val="21"/>
        </w:rPr>
        <w:t>New agreement</w:t>
      </w:r>
      <w:r>
        <w:rPr>
          <w:rFonts w:eastAsia="Segoe UI" w:cs="Segoe UI" w:ascii="Segoe UI" w:hAnsi="Segoe UI"/>
          <w:color w:val="101820"/>
          <w:sz w:val="21"/>
        </w:rPr>
        <w:t>.</w:t>
      </w:r>
    </w:p>
    <w:p>
      <w:pPr>
        <w:pStyle w:val="Normal"/>
        <w:numPr>
          <w:ilvl w:val="0"/>
          <w:numId w:val="416"/>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Agreement 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Type</w:t>
      </w:r>
      <w:r>
        <w:rPr>
          <w:rFonts w:eastAsia="Segoe UI" w:cs="Segoe UI" w:ascii="Segoe UI" w:hAnsi="Segoe UI"/>
          <w:color w:val="101820"/>
          <w:sz w:val="21"/>
        </w:rPr>
        <w:t xml:space="preserve"> (Overriding, Profit or Contingent) and </w:t>
      </w:r>
      <w:r>
        <w:rPr>
          <w:rFonts w:eastAsia="Segoe UI" w:cs="Segoe UI" w:ascii="Segoe UI" w:hAnsi="Segoe UI"/>
          <w:b/>
          <w:color w:val="101820"/>
          <w:sz w:val="21"/>
        </w:rPr>
        <w:t>Status</w:t>
      </w:r>
      <w:r>
        <w:rPr>
          <w:rFonts w:eastAsia="Segoe UI" w:cs="Segoe UI" w:ascii="Segoe UI" w:hAnsi="Segoe UI"/>
          <w:color w:val="101820"/>
          <w:sz w:val="21"/>
        </w:rPr>
        <w:t>.</w:t>
      </w:r>
    </w:p>
    <w:p>
      <w:pPr>
        <w:pStyle w:val="Normal"/>
        <w:numPr>
          <w:ilvl w:val="0"/>
          <w:numId w:val="41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Basis</w:t>
      </w:r>
      <w:r>
        <w:rPr>
          <w:rFonts w:eastAsia="Segoe UI" w:cs="Segoe UI" w:ascii="Segoe UI" w:hAnsi="Segoe UI"/>
          <w:color w:val="101820"/>
          <w:sz w:val="21"/>
        </w:rPr>
        <w:t xml:space="preserve">: </w:t>
      </w:r>
      <w:r>
        <w:rPr>
          <w:rFonts w:eastAsia="Segoe UI" w:cs="Segoe UI" w:ascii="Segoe UI" w:hAnsi="Segoe UI"/>
          <w:b/>
          <w:color w:val="101820"/>
          <w:sz w:val="21"/>
        </w:rPr>
        <w:t>Production volume</w:t>
      </w:r>
      <w:r>
        <w:rPr>
          <w:rFonts w:eastAsia="Segoe UI" w:cs="Segoe UI" w:ascii="Segoe UI" w:hAnsi="Segoe UI"/>
          <w:color w:val="101820"/>
          <w:sz w:val="21"/>
        </w:rPr>
        <w:t xml:space="preserve"> (premium of the period), </w:t>
      </w:r>
      <w:r>
        <w:rPr>
          <w:rFonts w:eastAsia="Segoe UI" w:cs="Segoe UI" w:ascii="Segoe UI" w:hAnsi="Segoe UI"/>
          <w:b/>
          <w:color w:val="101820"/>
          <w:sz w:val="21"/>
        </w:rPr>
        <w:t>Loss ratio</w:t>
      </w:r>
      <w:r>
        <w:rPr>
          <w:rFonts w:eastAsia="Segoe UI" w:cs="Segoe UI" w:ascii="Segoe UI" w:hAnsi="Segoe UI"/>
          <w:color w:val="101820"/>
          <w:sz w:val="21"/>
        </w:rPr>
        <w:t xml:space="preserve"> (claims incurred divided by the production) or </w:t>
      </w:r>
      <w:r>
        <w:rPr>
          <w:rFonts w:eastAsia="Segoe UI" w:cs="Segoe UI" w:ascii="Segoe UI" w:hAnsi="Segoe UI"/>
          <w:b/>
          <w:color w:val="101820"/>
          <w:sz w:val="21"/>
        </w:rPr>
        <w:t>Growth</w:t>
      </w:r>
      <w:r>
        <w:rPr>
          <w:rFonts w:eastAsia="Segoe UI" w:cs="Segoe UI" w:ascii="Segoe UI" w:hAnsi="Segoe UI"/>
          <w:color w:val="101820"/>
          <w:sz w:val="21"/>
        </w:rPr>
        <w:t xml:space="preserve"> (production against the same period one year earlier).</w:t>
      </w:r>
    </w:p>
    <w:p>
      <w:pPr>
        <w:pStyle w:val="Normal"/>
        <w:numPr>
          <w:ilvl w:val="0"/>
          <w:numId w:val="4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Period</w:t>
      </w:r>
      <w:r>
        <w:rPr>
          <w:rFonts w:eastAsia="Segoe UI" w:cs="Segoe UI" w:ascii="Segoe UI" w:hAnsi="Segoe UI"/>
          <w:color w:val="101820"/>
          <w:sz w:val="21"/>
        </w:rPr>
        <w:t xml:space="preserve"> (monthly, quarterly, semi-annual or annual), the </w:t>
      </w:r>
      <w:r>
        <w:rPr>
          <w:rFonts w:eastAsia="Segoe UI" w:cs="Segoe UI" w:ascii="Segoe UI" w:hAnsi="Segoe UI"/>
          <w:b/>
          <w:color w:val="101820"/>
          <w:sz w:val="21"/>
        </w:rPr>
        <w:t>Premium measure</w:t>
      </w:r>
      <w:r>
        <w:rPr>
          <w:rFonts w:eastAsia="Segoe UI" w:cs="Segoe UI" w:ascii="Segoe UI" w:hAnsi="Segoe UI"/>
          <w:color w:val="101820"/>
          <w:sz w:val="21"/>
        </w:rPr>
        <w:t xml:space="preserve"> (net or gross premium), the </w:t>
      </w:r>
      <w:r>
        <w:rPr>
          <w:rFonts w:eastAsia="Segoe UI" w:cs="Segoe UI" w:ascii="Segoe UI" w:hAnsi="Segoe UI"/>
          <w:b/>
          <w:color w:val="101820"/>
          <w:sz w:val="21"/>
        </w:rPr>
        <w:t>Tier method</w:t>
      </w:r>
      <w:r>
        <w:rPr>
          <w:rFonts w:eastAsia="Segoe UI" w:cs="Segoe UI" w:ascii="Segoe UI" w:hAnsi="Segoe UI"/>
          <w:color w:val="101820"/>
          <w:sz w:val="21"/>
        </w:rPr>
        <w:t xml:space="preserve"> (slab: the tier reached applies to the whole production; banded: each band of production at its own rate, production basis only), the </w:t>
      </w:r>
      <w:r>
        <w:rPr>
          <w:rFonts w:eastAsia="Segoe UI" w:cs="Segoe UI" w:ascii="Segoe UI" w:hAnsi="Segoe UI"/>
          <w:b/>
          <w:color w:val="101820"/>
          <w:sz w:val="21"/>
        </w:rPr>
        <w:t>Lines of business</w:t>
      </w:r>
      <w:r>
        <w:rPr>
          <w:rFonts w:eastAsia="Segoe UI" w:cs="Segoe UI" w:ascii="Segoe UI" w:hAnsi="Segoe UI"/>
          <w:color w:val="101820"/>
          <w:sz w:val="21"/>
        </w:rPr>
        <w:t xml:space="preserve"> (empty for all), the </w:t>
      </w:r>
      <w:r>
        <w:rPr>
          <w:rFonts w:eastAsia="Segoe UI" w:cs="Segoe UI" w:ascii="Segoe UI" w:hAnsi="Segoe UI"/>
          <w:b/>
          <w:color w:val="101820"/>
          <w:sz w:val="21"/>
        </w:rPr>
        <w:t>Minimum production</w:t>
      </w:r>
      <w:r>
        <w:rPr>
          <w:rFonts w:eastAsia="Segoe UI" w:cs="Segoe UI" w:ascii="Segoe UI" w:hAnsi="Segoe UI"/>
          <w:color w:val="101820"/>
          <w:sz w:val="21"/>
        </w:rPr>
        <w:t xml:space="preserve">,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(the insurer's creditable withholding, 10% by default) and whether </w:t>
      </w:r>
      <w:r>
        <w:rPr>
          <w:rFonts w:eastAsia="Segoe UI" w:cs="Segoe UI" w:ascii="Segoe UI" w:hAnsi="Segoe UI"/>
          <w:b/>
          <w:color w:val="101820"/>
          <w:sz w:val="21"/>
        </w:rPr>
        <w:t>Output VAT on the commission</w:t>
      </w:r>
      <w:r>
        <w:rPr>
          <w:rFonts w:eastAsia="Segoe UI" w:cs="Segoe UI" w:ascii="Segoe UI" w:hAnsi="Segoe UI"/>
          <w:color w:val="101820"/>
          <w:sz w:val="21"/>
        </w:rPr>
        <w:t xml:space="preserve"> applies.</w:t>
      </w:r>
    </w:p>
    <w:p>
      <w:pPr>
        <w:pStyle w:val="Normal"/>
        <w:numPr>
          <w:ilvl w:val="0"/>
          <w:numId w:val="419"/>
        </w:numPr>
        <w:spacing w:before="0" w:after="60"/>
        <w:rPr/>
      </w:pPr>
      <w:r>
        <w:rPr>
          <w:rFonts w:eastAsia="Segoe UI" w:cs="Segoe UI" w:ascii="Segoe UI" w:hAnsi="Segoe UI"/>
          <w:color w:val="101820"/>
          <w:sz w:val="21"/>
        </w:rPr>
        <w:t xml:space="preserve">Enter the tiers: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(empty for the last, open-ended tier) and the </w:t>
      </w:r>
      <w:r>
        <w:rPr>
          <w:rFonts w:eastAsia="Segoe UI" w:cs="Segoe UI" w:ascii="Segoe UI" w:hAnsi="Segoe UI"/>
          <w:b/>
          <w:color w:val="101820"/>
          <w:sz w:val="21"/>
        </w:rPr>
        <w:t>Rate on production</w:t>
      </w:r>
      <w:r>
        <w:rPr>
          <w:rFonts w:eastAsia="Segoe UI" w:cs="Segoe UI" w:ascii="Segoe UI" w:hAnsi="Segoe UI"/>
          <w:color w:val="101820"/>
          <w:sz w:val="21"/>
        </w:rPr>
        <w:t>. Production tiers are amounts; loss ratio and growth tiers are percentages. Each tier starts where the previous one ends.</w:t>
      </w:r>
    </w:p>
    <w:p>
      <w:pPr>
        <w:pStyle w:val="Normal"/>
        <w:numPr>
          <w:ilvl w:val="0"/>
          <w:numId w:val="4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Compute, approve and settle:</w:t>
      </w:r>
    </w:p>
    <w:p>
      <w:pPr>
        <w:pStyle w:val="Normal"/>
        <w:numPr>
          <w:ilvl w:val="0"/>
          <w:numId w:val="421"/>
        </w:numPr>
        <w:spacing w:before="0" w:after="60"/>
        <w:rPr/>
      </w:pPr>
      <w:r>
        <w:rPr>
          <w:rFonts w:eastAsia="Segoe UI" w:cs="Segoe UI" w:ascii="Segoe UI" w:hAnsi="Segoe UI"/>
          <w:color w:val="101820"/>
          <w:sz w:val="21"/>
        </w:rPr>
        <w:t>Choose Commission &gt; Insurer Overrides &gt; Computations, the agreement and the year. The periods of the year are listed with their computation.</w:t>
      </w:r>
    </w:p>
    <w:p>
      <w:pPr>
        <w:pStyle w:val="Normal"/>
        <w:numPr>
          <w:ilvl w:val="0"/>
          <w:numId w:val="4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Compute</w:t>
      </w:r>
      <w:r>
        <w:rPr>
          <w:rFonts w:eastAsia="Segoe UI" w:cs="Segoe UI" w:ascii="Segoe UI" w:hAnsi="Segoe UI"/>
          <w:color w:val="101820"/>
          <w:sz w:val="21"/>
        </w:rPr>
        <w:t xml:space="preserve"> on a period. The dialog shows the production, the number of policies, the claims incurred, the loss ratio, the growth, the tier and rate, the commission, the VAT and the receivable. When the insurer's loss figure differs from the claims recorded in the system, enter </w:t>
      </w:r>
      <w:r>
        <w:rPr>
          <w:rFonts w:eastAsia="Segoe UI" w:cs="Segoe UI" w:ascii="Segoe UI" w:hAnsi="Segoe UI"/>
          <w:b/>
          <w:color w:val="101820"/>
          <w:sz w:val="21"/>
        </w:rPr>
        <w:t>Insurer's claims figure</w:t>
      </w:r>
      <w:r>
        <w:rPr>
          <w:rFonts w:eastAsia="Segoe UI" w:cs="Segoe UI" w:ascii="Segoe UI" w:hAnsi="Segoe UI"/>
          <w:color w:val="101820"/>
          <w:sz w:val="21"/>
        </w:rPr>
        <w:t xml:space="preserve"> and a </w:t>
      </w:r>
      <w:r>
        <w:rPr>
          <w:rFonts w:eastAsia="Segoe UI" w:cs="Segoe UI" w:ascii="Segoe UI" w:hAnsi="Segoe UI"/>
          <w:b/>
          <w:color w:val="101820"/>
          <w:sz w:val="21"/>
        </w:rPr>
        <w:t>Claims note</w:t>
      </w:r>
      <w:r>
        <w:rPr>
          <w:rFonts w:eastAsia="Segoe UI" w:cs="Segoe UI" w:ascii="Segoe UI" w:hAnsi="Segoe UI"/>
          <w:color w:val="101820"/>
          <w:sz w:val="21"/>
        </w:rPr>
        <w:t xml:space="preserve">. Select </w:t>
      </w:r>
      <w:r>
        <w:rPr>
          <w:rFonts w:eastAsia="Segoe UI" w:cs="Segoe UI" w:ascii="Segoe UI" w:hAnsi="Segoe UI"/>
          <w:b/>
          <w:color w:val="101820"/>
          <w:sz w:val="21"/>
        </w:rPr>
        <w:t>Compute</w:t>
      </w:r>
      <w:r>
        <w:rPr>
          <w:rFonts w:eastAsia="Segoe UI" w:cs="Segoe UI" w:ascii="Segoe UI" w:hAnsi="Segoe UI"/>
          <w:color w:val="101820"/>
          <w:sz w:val="21"/>
        </w:rPr>
        <w:t>: the computation gets its number (OVC-YYYY-NNNNN) as a draft. A draft can be recomputed.</w:t>
      </w:r>
    </w:p>
    <w:p>
      <w:pPr>
        <w:pStyle w:val="Normal"/>
        <w:numPr>
          <w:ilvl w:val="0"/>
          <w:numId w:val="423"/>
        </w:numPr>
        <w:spacing w:before="0" w:after="60"/>
        <w:rPr/>
      </w:pPr>
      <w:r>
        <w:rPr>
          <w:rFonts w:eastAsia="Segoe UI" w:cs="Segoe UI" w:ascii="Segoe UI" w:hAnsi="Segoe UI"/>
          <w:color w:val="101820"/>
          <w:sz w:val="21"/>
        </w:rPr>
        <w:t xml:space="preserve">Open the computation and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Another Accounting user selects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Consolas" w:cs="Consolas" w:ascii="Consolas" w:hAnsi="Consolas"/>
          <w:color w:val="101820"/>
          <w:sz w:val="19"/>
        </w:rPr>
        <w:t>commission.override_requires_approval</w:t>
      </w:r>
      <w:r>
        <w:rPr>
          <w:rFonts w:eastAsia="Segoe UI" w:cs="Segoe UI" w:ascii="Segoe UI" w:hAnsi="Segoe UI"/>
          <w:color w:val="101820"/>
          <w:sz w:val="21"/>
        </w:rPr>
        <w:t xml:space="preserve">): the receivable is posted (posting rule </w:t>
      </w:r>
      <w:r>
        <w:rPr>
          <w:rFonts w:eastAsia="Consolas" w:cs="Consolas" w:ascii="Consolas" w:hAnsi="Consolas"/>
          <w:color w:val="101820"/>
          <w:sz w:val="19"/>
        </w:rPr>
        <w:t>override_commission.accrual</w:t>
      </w:r>
      <w:r>
        <w:rPr>
          <w:rFonts w:eastAsia="Segoe UI" w:cs="Segoe UI" w:ascii="Segoe UI" w:hAnsi="Segoe UI"/>
          <w:color w:val="101820"/>
          <w:sz w:val="21"/>
        </w:rPr>
        <w:t>: Dr Overriding and Contingent Commission Receivable 1203006, Cr Contingent and Profit Commission Income 3201002, Cr Output VAT).</w:t>
      </w:r>
    </w:p>
    <w:p>
      <w:pPr>
        <w:pStyle w:val="Normal"/>
        <w:numPr>
          <w:ilvl w:val="0"/>
          <w:numId w:val="4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to make out the sales invoice of the commission to the insurer (Accounts &gt; Tax &gt; Sales Invoices).</w:t>
      </w:r>
    </w:p>
    <w:p>
      <w:pPr>
        <w:pStyle w:val="Normal"/>
        <w:numPr>
          <w:ilvl w:val="0"/>
          <w:numId w:val="425"/>
        </w:numPr>
        <w:spacing w:before="0" w:after="60"/>
        <w:rPr/>
      </w:pPr>
      <w:r>
        <w:rPr>
          <w:rFonts w:eastAsia="Segoe UI" w:cs="Segoe UI" w:ascii="Segoe UI" w:hAnsi="Segoe UI"/>
          <w:color w:val="101820"/>
          <w:sz w:val="21"/>
        </w:rPr>
        <w:t xml:space="preserve">When the insurer pays, select </w:t>
      </w:r>
      <w:r>
        <w:rPr>
          <w:rFonts w:eastAsia="Segoe UI" w:cs="Segoe UI" w:ascii="Segoe UI" w:hAnsi="Segoe UI"/>
          <w:b/>
          <w:color w:val="101820"/>
          <w:sz w:val="21"/>
        </w:rPr>
        <w:t>Settle</w:t>
      </w:r>
      <w:r>
        <w:rPr>
          <w:rFonts w:eastAsia="Segoe UI" w:cs="Segoe UI" w:ascii="Segoe UI" w:hAnsi="Segoe UI"/>
          <w:color w:val="101820"/>
          <w:sz w:val="21"/>
        </w:rPr>
        <w:t xml:space="preserve">: enter the </w:t>
      </w:r>
      <w:r>
        <w:rPr>
          <w:rFonts w:eastAsia="Segoe UI" w:cs="Segoe UI" w:ascii="Segoe UI" w:hAnsi="Segoe UI"/>
          <w:b/>
          <w:color w:val="101820"/>
          <w:sz w:val="21"/>
        </w:rPr>
        <w:t>Insurer statement</w:t>
      </w:r>
      <w:r>
        <w:rPr>
          <w:rFonts w:eastAsia="Segoe UI" w:cs="Segoe UI" w:ascii="Segoe UI" w:hAnsi="Segoe UI"/>
          <w:color w:val="101820"/>
          <w:sz w:val="21"/>
        </w:rPr>
        <w:t xml:space="preserve"> reference, the </w:t>
      </w:r>
      <w:r>
        <w:rPr>
          <w:rFonts w:eastAsia="Segoe UI" w:cs="Segoe UI" w:ascii="Segoe UI" w:hAnsi="Segoe UI"/>
          <w:b/>
          <w:color w:val="101820"/>
          <w:sz w:val="21"/>
        </w:rPr>
        <w:t>Statement date</w:t>
      </w:r>
      <w:r>
        <w:rPr>
          <w:rFonts w:eastAsia="Segoe UI" w:cs="Segoe UI" w:ascii="Segoe UI" w:hAnsi="Segoe UI"/>
          <w:color w:val="101820"/>
          <w:sz w:val="21"/>
        </w:rPr>
        <w:t xml:space="preserve">, the </w:t>
      </w:r>
      <w:r>
        <w:rPr>
          <w:rFonts w:eastAsia="Segoe UI" w:cs="Segoe UI" w:ascii="Segoe UI" w:hAnsi="Segoe UI"/>
          <w:b/>
          <w:color w:val="101820"/>
          <w:sz w:val="21"/>
        </w:rPr>
        <w:t>Amount on the statement</w:t>
      </w:r>
      <w:r>
        <w:rPr>
          <w:rFonts w:eastAsia="Segoe UI" w:cs="Segoe UI" w:ascii="Segoe UI" w:hAnsi="Segoe UI"/>
          <w:color w:val="101820"/>
          <w:sz w:val="21"/>
        </w:rPr>
        <w:t xml:space="preserve">, the </w:t>
      </w:r>
      <w:r>
        <w:rPr>
          <w:rFonts w:eastAsia="Segoe UI" w:cs="Segoe UI" w:ascii="Segoe UI" w:hAnsi="Segoe UI"/>
          <w:b/>
          <w:color w:val="101820"/>
          <w:sz w:val="21"/>
        </w:rPr>
        <w:t>Amount received</w:t>
      </w:r>
      <w:r>
        <w:rPr>
          <w:rFonts w:eastAsia="Segoe UI" w:cs="Segoe UI" w:ascii="Segoe UI" w:hAnsi="Segoe UI"/>
          <w:color w:val="101820"/>
          <w:sz w:val="21"/>
        </w:rPr>
        <w:t xml:space="preserve">, the </w:t>
      </w:r>
      <w:r>
        <w:rPr>
          <w:rFonts w:eastAsia="Segoe UI" w:cs="Segoe UI" w:ascii="Segoe UI" w:hAnsi="Segoe UI"/>
          <w:b/>
          <w:color w:val="101820"/>
          <w:sz w:val="21"/>
        </w:rPr>
        <w:t>Tax withheld (2307)</w:t>
      </w:r>
      <w:r>
        <w:rPr>
          <w:rFonts w:eastAsia="Segoe UI" w:cs="Segoe UI" w:ascii="Segoe UI" w:hAnsi="Segoe UI"/>
          <w:color w:val="101820"/>
          <w:sz w:val="21"/>
        </w:rPr>
        <w:t xml:space="preserve">, the </w:t>
      </w:r>
      <w:r>
        <w:rPr>
          <w:rFonts w:eastAsia="Segoe UI" w:cs="Segoe UI" w:ascii="Segoe UI" w:hAnsi="Segoe UI"/>
          <w:b/>
          <w:color w:val="101820"/>
          <w:sz w:val="21"/>
        </w:rPr>
        <w:t>BIR Form 2307 no.</w:t>
      </w:r>
      <w:r>
        <w:rPr>
          <w:rFonts w:eastAsia="Segoe UI" w:cs="Segoe UI" w:ascii="Segoe UI" w:hAnsi="Segoe UI"/>
          <w:color w:val="101820"/>
          <w:sz w:val="21"/>
        </w:rPr>
        <w:t xml:space="preserve"> and how to treat a </w:t>
      </w:r>
      <w:r>
        <w:rPr>
          <w:rFonts w:eastAsia="Segoe UI" w:cs="Segoe UI" w:ascii="Segoe UI" w:hAnsi="Segoe UI"/>
          <w:b/>
          <w:color w:val="101820"/>
          <w:sz w:val="21"/>
        </w:rPr>
        <w:t>Difference</w:t>
      </w:r>
      <w:r>
        <w:rPr>
          <w:rFonts w:eastAsia="Segoe UI" w:cs="Segoe UI" w:ascii="Segoe UI" w:hAnsi="Segoe UI"/>
          <w:color w:val="101820"/>
          <w:sz w:val="21"/>
        </w:rPr>
        <w:t xml:space="preserve">: </w:t>
      </w:r>
      <w:r>
        <w:rPr>
          <w:rFonts w:eastAsia="Segoe UI" w:cs="Segoe UI" w:ascii="Segoe UI" w:hAnsi="Segoe UI"/>
          <w:b/>
          <w:color w:val="101820"/>
          <w:sz w:val="21"/>
        </w:rPr>
        <w:t>Leave the balance open</w:t>
      </w:r>
      <w:r>
        <w:rPr>
          <w:rFonts w:eastAsia="Segoe UI" w:cs="Segoe UI" w:ascii="Segoe UI" w:hAnsi="Segoe UI"/>
          <w:color w:val="101820"/>
          <w:sz w:val="21"/>
        </w:rPr>
        <w:t xml:space="preserve"> (a part payment) or </w:t>
      </w:r>
      <w:r>
        <w:rPr>
          <w:rFonts w:eastAsia="Segoe UI" w:cs="Segoe UI" w:ascii="Segoe UI" w:hAnsi="Segoe UI"/>
          <w:b/>
          <w:color w:val="101820"/>
          <w:sz w:val="21"/>
        </w:rPr>
        <w:t>Take the difference to commission income</w:t>
      </w:r>
      <w:r>
        <w:rPr>
          <w:rFonts w:eastAsia="Segoe UI" w:cs="Segoe UI" w:ascii="Segoe UI" w:hAnsi="Segoe UI"/>
          <w:color w:val="101820"/>
          <w:sz w:val="21"/>
        </w:rPr>
        <w:t xml:space="preserve"> (accept the insurer's figure). The settlement posts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(Dr cash, Dr Creditable Withholding Tax, Cr the receivable, any difference to the income). The message says when the statement differs from the computation by more than </w:t>
      </w:r>
      <w:r>
        <w:rPr>
          <w:rFonts w:eastAsia="Consolas" w:cs="Consolas" w:ascii="Consolas" w:hAnsi="Consolas"/>
          <w:color w:val="101820"/>
          <w:sz w:val="19"/>
        </w:rPr>
        <w:t>commission.override_settlement_tolerance</w:t>
      </w:r>
      <w:r>
        <w:rPr>
          <w:rFonts w:eastAsia="Segoe UI" w:cs="Segoe UI" w:ascii="Segoe UI" w:hAnsi="Segoe UI"/>
          <w:color w:val="101820"/>
          <w:sz w:val="21"/>
        </w:rPr>
        <w:t>.</w:t>
      </w:r>
    </w:p>
    <w:p>
      <w:pPr>
        <w:pStyle w:val="Normal"/>
        <w:numPr>
          <w:ilvl w:val="0"/>
          <w:numId w:val="426"/>
        </w:numPr>
        <w:spacing w:before="0" w:after="60"/>
        <w:rPr/>
      </w:pPr>
      <w:r>
        <w:rPr>
          <w:rFonts w:eastAsia="Segoe UI" w:cs="Segoe UI" w:ascii="Segoe UI" w:hAnsi="Segoe UI"/>
          <w:color w:val="101820"/>
          <w:sz w:val="21"/>
        </w:rPr>
        <w:t xml:space="preserve">A draft, submitted or approved computation without settlements can be cancelled with a reason (an approved one has its journal reversed); a submitted one can be rejected. </w:t>
      </w:r>
      <w:r>
        <w:rPr>
          <w:rFonts w:eastAsia="Segoe UI" w:cs="Segoe UI" w:ascii="Segoe UI" w:hAnsi="Segoe UI"/>
          <w:b/>
          <w:color w:val="101820"/>
          <w:sz w:val="21"/>
        </w:rPr>
        <w:t>Excel</w:t>
      </w:r>
      <w:r>
        <w:rPr>
          <w:rFonts w:eastAsia="Segoe UI" w:cs="Segoe UI" w:ascii="Segoe UI" w:hAnsi="Segoe UI"/>
          <w:color w:val="101820"/>
          <w:sz w:val="21"/>
        </w:rPr>
        <w:t xml:space="preserve"> exports the computations of the year.</w:t>
      </w:r>
    </w:p>
    <w:p>
      <w:pPr>
        <w:pStyle w:val="Normal"/>
        <w:spacing w:lineRule="auto" w:line="276" w:before="0" w:after="120"/>
        <w:rPr/>
      </w:pPr>
      <w:r>
        <w:rPr>
          <w:rFonts w:eastAsia="Segoe UI" w:cs="Segoe UI" w:ascii="Segoe UI" w:hAnsi="Segoe UI"/>
          <w:color w:val="101820"/>
          <w:sz w:val="21"/>
        </w:rPr>
        <w:t xml:space="preserve">Production is the premium of the insurer's policies issued in the period (issued date, else inception), cancelled policies excluded. Claims incurred are the claims with a loss date in the period on those policies, at the settled amount, else the approved amount, else the estimate, for the statuses in </w:t>
      </w:r>
      <w:r>
        <w:rPr>
          <w:rFonts w:eastAsia="Consolas" w:cs="Consolas" w:ascii="Consolas" w:hAnsi="Consolas"/>
          <w:color w:val="101820"/>
          <w:sz w:val="19"/>
        </w:rPr>
        <w:t>commission.override_claims_statuses</w:t>
      </w:r>
      <w:r>
        <w:rPr>
          <w:rFonts w:eastAsia="Segoe UI" w:cs="Segoe UI" w:ascii="Segoe UI" w:hAnsi="Segoe UI"/>
          <w:color w:val="101820"/>
          <w:sz w:val="21"/>
        </w:rPr>
        <w:t>.</w:t>
      </w:r>
    </w:p>
    <w:p>
      <w:pPr>
        <w:pStyle w:val="Heading2"/>
        <w:rPr/>
      </w:pPr>
      <w:bookmarkStart w:id="129" w:name="__RefHeading___Toc24526_3350804041"/>
      <w:bookmarkEnd w:id="129"/>
      <w:r>
        <w:rPr>
          <w:rFonts w:eastAsia="Segoe UI" w:cs="Segoe UI"/>
          <w:b/>
          <w:color w:val="0F4761"/>
          <w:sz w:val="26"/>
        </w:rPr>
        <w:t>12.15  Journal vouchers</w:t>
      </w:r>
    </w:p>
    <w:p>
      <w:pPr>
        <w:pStyle w:val="Normal"/>
        <w:jc w:val="center"/>
        <w:rPr/>
      </w:pPr>
      <w:r>
        <w:rPr/>
        <w:drawing>
          <wp:inline distT="0" distB="0" distL="0" distR="0">
            <wp:extent cx="5760085" cy="3893185"/>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427"/>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42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4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430"/>
        </w:numPr>
        <w:spacing w:before="0" w:after="60"/>
        <w:rPr/>
      </w:pPr>
      <w:r>
        <w:rPr>
          <w:rFonts w:eastAsia="Segoe UI" w:cs="Segoe UI" w:ascii="Segoe UI" w:hAnsi="Segoe UI"/>
          <w:color w:val="101820"/>
          <w:sz w:val="21"/>
        </w:rPr>
        <w:t>Repeat until total debit equals total credit.</w:t>
      </w:r>
    </w:p>
    <w:p>
      <w:pPr>
        <w:pStyle w:val="Normal"/>
        <w:numPr>
          <w:ilvl w:val="0"/>
          <w:numId w:val="431"/>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30" w:name="__RefHeading___Toc24528_3350804041"/>
      <w:bookmarkEnd w:id="130"/>
      <w:r>
        <w:rPr>
          <w:rFonts w:eastAsia="Segoe UI" w:cs="Segoe UI"/>
          <w:b/>
          <w:color w:val="0F4761"/>
          <w:sz w:val="26"/>
        </w:rPr>
        <w:t>12.16  Open entry matching and write-offs</w:t>
      </w:r>
    </w:p>
    <w:p>
      <w:pPr>
        <w:pStyle w:val="Normal"/>
        <w:jc w:val="center"/>
        <w:rPr/>
      </w:pPr>
      <w:r>
        <w:rPr/>
        <w:drawing>
          <wp:inline distT="0" distB="0" distL="0" distR="0">
            <wp:extent cx="5760085" cy="44691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4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4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434"/>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435"/>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4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31" w:name="__RefHeading___Toc24530_3350804041"/>
      <w:bookmarkEnd w:id="131"/>
      <w:r>
        <w:rPr>
          <w:rFonts w:eastAsia="Segoe UI" w:cs="Segoe UI"/>
          <w:b/>
          <w:color w:val="0F4761"/>
          <w:sz w:val="26"/>
        </w:rPr>
        <w:t>12.17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32" w:name="__RefHeading___Toc24532_3350804041"/>
      <w:bookmarkEnd w:id="132"/>
      <w:r>
        <w:rPr>
          <w:rFonts w:eastAsia="Segoe UI" w:cs="Segoe UI"/>
          <w:b/>
          <w:color w:val="0F4761"/>
          <w:sz w:val="26"/>
        </w:rPr>
        <w:t>12.18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33" w:name="__RefHeading___Toc24534_3350804041"/>
      <w:bookmarkEnd w:id="133"/>
      <w:r>
        <w:rPr>
          <w:rFonts w:eastAsia="Segoe UI" w:cs="Segoe UI"/>
          <w:b/>
          <w:color w:val="0F4761"/>
          <w:sz w:val="26"/>
        </w:rPr>
        <w:t>12.19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12.19.1  Import a bank statement</w:t>
      </w:r>
    </w:p>
    <w:p>
      <w:pPr>
        <w:pStyle w:val="Normal"/>
        <w:numPr>
          <w:ilvl w:val="0"/>
          <w:numId w:val="4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4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439"/>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44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44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28515"/>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628515"/>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12.19.2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12.19.3  Prepare the reconciliation</w:t>
      </w:r>
    </w:p>
    <w:p>
      <w:pPr>
        <w:pStyle w:val="Normal"/>
        <w:numPr>
          <w:ilvl w:val="0"/>
          <w:numId w:val="4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443"/>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444"/>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56655"/>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6256655"/>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34" w:name="__RefHeading___Toc24536_3350804041"/>
      <w:bookmarkEnd w:id="134"/>
      <w:r>
        <w:rPr>
          <w:rFonts w:eastAsia="Segoe UI" w:cs="Segoe UI"/>
          <w:b/>
          <w:color w:val="0F4761"/>
          <w:sz w:val="26"/>
        </w:rPr>
        <w:t>12.20  Insurer statement reconciliation</w:t>
      </w:r>
    </w:p>
    <w:p>
      <w:pPr>
        <w:pStyle w:val="Normal"/>
        <w:jc w:val="center"/>
        <w:rPr/>
      </w:pPr>
      <w:r>
        <w:rPr/>
        <w:drawing>
          <wp:inline distT="0" distB="0" distL="0" distR="0">
            <wp:extent cx="5760085" cy="4295140"/>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4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4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447"/>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448"/>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51" name="Picture 2121288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21288331" descr=""/>
                    <pic:cNvPicPr>
                      <a:picLocks noChangeAspect="1" noChangeArrowheads="1"/>
                    </pic:cNvPicPr>
                  </pic:nvPicPr>
                  <pic:blipFill>
                    <a:blip r:embed="rId147"/>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35" w:name="__RefHeading___Toc24538_3350804041"/>
      <w:bookmarkEnd w:id="135"/>
      <w:r>
        <w:rPr>
          <w:rFonts w:eastAsia="Segoe UI" w:cs="Segoe UI"/>
          <w:b/>
          <w:color w:val="0F4761"/>
          <w:sz w:val="26"/>
        </w:rPr>
        <w:t>12.21  Tax: BIR forms and returns</w:t>
      </w:r>
    </w:p>
    <w:p>
      <w:pPr>
        <w:pStyle w:val="Normal"/>
        <w:jc w:val="center"/>
        <w:rPr/>
      </w:pPr>
      <w:r>
        <w:rPr/>
        <w:drawing>
          <wp:inline distT="0" distB="0" distL="0" distR="0">
            <wp:extent cx="5760085" cy="3257550"/>
            <wp:effectExtent l="0" t="0" r="0" b="0"/>
            <wp:docPr id="152" name="Picture 21212883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2121288332" descr=""/>
                    <pic:cNvPicPr>
                      <a:picLocks noChangeAspect="1" noChangeArrowheads="1"/>
                    </pic:cNvPicPr>
                  </pic:nvPicPr>
                  <pic:blipFill>
                    <a:blip r:embed="rId148"/>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Returns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filing calendar of a year: BIR Form 0619-E (first and second month of each quarter), 1601-EQ (each quarter), 2551Q (non-VAT broker) and 1604-E, each laid out as the BIR form, reconciled, printed (PDF) and exported (Excel), with its filing record.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Alphalist 1604-E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annual information return with the remittances per month and the alphalist of payees (schedules 3 and 4); Excel, print and DAT file.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 2551Q</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percentage tax working paper of a non-VAT registered broker or agent.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DAT Files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the SAWT, the SLSP sales and purchases and the 1604-E alphalist.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with payment acknowledgements.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E-Invoicing (EIS)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outbox of e-invoices for the BIR Electronic Invoicing System.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Books and Documents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loose-leaf books of accounts, the system description, the backup procedure and the audit trail extract for the CAS registration.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Heading3"/>
        <w:rPr/>
      </w:pPr>
      <w:r>
        <w:rPr>
          <w:rFonts w:eastAsia="Segoe UI" w:cs="Segoe UI"/>
          <w:b/>
          <w:color w:val="0F4761"/>
          <w:sz w:val="23"/>
        </w:rPr>
        <w:t>12.21.1  Withholding returns: 0619-E, 1601-EQ and their filing records</w:t>
      </w:r>
    </w:p>
    <w:p>
      <w:pPr>
        <w:pStyle w:val="Normal"/>
        <w:jc w:val="center"/>
        <w:rPr/>
      </w:pPr>
      <w:r>
        <w:rPr/>
        <w:drawing>
          <wp:inline distT="0" distB="0" distL="0" distR="0">
            <wp:extent cx="5760085" cy="4469130"/>
            <wp:effectExtent l="0" t="0" r="0" b="0"/>
            <wp:docPr id="153" name="Picture 21212883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121288333" descr=""/>
                    <pic:cNvPicPr>
                      <a:picLocks noChangeAspect="1" noChangeArrowheads="1"/>
                    </pic:cNvPicPr>
                  </pic:nvPicPr>
                  <pic:blipFill>
                    <a:blip r:embed="rId1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Withholding Returns</w:t>
      </w:r>
    </w:p>
    <w:p>
      <w:pPr>
        <w:pStyle w:val="Normal"/>
        <w:numPr>
          <w:ilvl w:val="0"/>
          <w:numId w:val="449"/>
        </w:numPr>
        <w:spacing w:before="0" w:after="60"/>
        <w:rPr/>
      </w:pPr>
      <w:r>
        <w:rPr>
          <w:rFonts w:eastAsia="Segoe UI" w:cs="Segoe UI" w:ascii="Segoe UI" w:hAnsi="Segoe UI"/>
          <w:color w:val="101820"/>
          <w:sz w:val="21"/>
        </w:rPr>
        <w:t xml:space="preserve">Choose Accounts &gt; Tax &gt; Withholding Returns and the year. The list shows each return with its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(0619-E: day </w:t>
      </w:r>
      <w:r>
        <w:rPr>
          <w:rFonts w:eastAsia="Consolas" w:cs="Consolas" w:ascii="Consolas" w:hAnsi="Consolas"/>
          <w:color w:val="101820"/>
          <w:sz w:val="19"/>
        </w:rPr>
        <w:t>bir.withholding_due_day</w:t>
      </w:r>
      <w:r>
        <w:rPr>
          <w:rFonts w:eastAsia="Segoe UI" w:cs="Segoe UI" w:ascii="Segoe UI" w:hAnsi="Segoe UI"/>
          <w:color w:val="101820"/>
          <w:sz w:val="21"/>
        </w:rPr>
        <w:t xml:space="preserve"> of the next month, default 10; quarterly returns: the last day of the month after the quarter), </w:t>
      </w:r>
      <w:r>
        <w:rPr>
          <w:rFonts w:eastAsia="Segoe UI" w:cs="Segoe UI" w:ascii="Segoe UI" w:hAnsi="Segoe UI"/>
          <w:b/>
          <w:color w:val="101820"/>
          <w:sz w:val="21"/>
        </w:rPr>
        <w:t>Status</w:t>
      </w:r>
      <w:r>
        <w:rPr>
          <w:rFonts w:eastAsia="Segoe UI" w:cs="Segoe UI" w:ascii="Segoe UI" w:hAnsi="Segoe UI"/>
          <w:color w:val="101820"/>
          <w:sz w:val="21"/>
        </w:rPr>
        <w:t xml:space="preserve"> (Filed or Not filed), </w:t>
      </w:r>
      <w:r>
        <w:rPr>
          <w:rFonts w:eastAsia="Segoe UI" w:cs="Segoe UI" w:ascii="Segoe UI" w:hAnsi="Segoe UI"/>
          <w:b/>
          <w:color w:val="101820"/>
          <w:sz w:val="21"/>
        </w:rPr>
        <w:t>Date filed</w:t>
      </w:r>
      <w:r>
        <w:rPr>
          <w:rFonts w:eastAsia="Segoe UI" w:cs="Segoe UI" w:ascii="Segoe UI" w:hAnsi="Segoe UI"/>
          <w:color w:val="101820"/>
          <w:sz w:val="21"/>
        </w:rPr>
        <w:t xml:space="preserve">, </w:t>
      </w:r>
      <w:r>
        <w:rPr>
          <w:rFonts w:eastAsia="Segoe UI" w:cs="Segoe UI" w:ascii="Segoe UI" w:hAnsi="Segoe UI"/>
          <w:b/>
          <w:color w:val="101820"/>
          <w:sz w:val="21"/>
        </w:rPr>
        <w:t>Filing reference</w:t>
      </w:r>
      <w:r>
        <w:rPr>
          <w:rFonts w:eastAsia="Segoe UI" w:cs="Segoe UI" w:ascii="Segoe UI" w:hAnsi="Segoe UI"/>
          <w:color w:val="101820"/>
          <w:sz w:val="21"/>
        </w:rPr>
        <w:t xml:space="preserve"> and </w:t>
      </w:r>
      <w:r>
        <w:rPr>
          <w:rFonts w:eastAsia="Segoe UI" w:cs="Segoe UI" w:ascii="Segoe UI" w:hAnsi="Segoe UI"/>
          <w:b/>
          <w:color w:val="101820"/>
          <w:sz w:val="21"/>
        </w:rPr>
        <w:t>Amount paid</w:t>
      </w:r>
      <w:r>
        <w:rPr>
          <w:rFonts w:eastAsia="Segoe UI" w:cs="Segoe UI" w:ascii="Segoe UI" w:hAnsi="Segoe UI"/>
          <w:color w:val="101820"/>
          <w:sz w:val="21"/>
        </w:rPr>
        <w:t>.</w:t>
      </w:r>
    </w:p>
    <w:p>
      <w:pPr>
        <w:pStyle w:val="Normal"/>
        <w:numPr>
          <w:ilvl w:val="0"/>
          <w:numId w:val="4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Open</w:t>
      </w:r>
      <w:r>
        <w:rPr>
          <w:rFonts w:eastAsia="Segoe UI" w:cs="Segoe UI" w:ascii="Segoe UI" w:hAnsi="Segoe UI"/>
          <w:color w:val="101820"/>
          <w:sz w:val="21"/>
        </w:rPr>
        <w:t xml:space="preserve"> on a return. It shows Part I (TIN with branch code, RDO, name, address, category of withholding agent from Master &gt; Company and the </w:t>
      </w:r>
      <w:r>
        <w:rPr>
          <w:rFonts w:eastAsia="Consolas" w:cs="Consolas" w:ascii="Consolas" w:hAnsi="Consolas"/>
          <w:color w:val="101820"/>
          <w:sz w:val="19"/>
        </w:rPr>
        <w:t>bir.*</w:t>
      </w:r>
      <w:r>
        <w:rPr>
          <w:rFonts w:eastAsia="Segoe UI" w:cs="Segoe UI" w:ascii="Segoe UI" w:hAnsi="Segoe UI"/>
          <w:color w:val="101820"/>
          <w:sz w:val="21"/>
        </w:rPr>
        <w:t xml:space="preserve"> settings) and Part II with the BIR item numbers: for 1601-EQ one line per ATC (tax base, rate, tax withheld), the total for the quarter, less the 0619-E remittances of the first and second month (from their filing records), the tax still due and the penalties. The schedules show the tax per ATC and, for 1601-EQ, the QAP attached.</w:t>
      </w:r>
    </w:p>
    <w:p>
      <w:pPr>
        <w:pStyle w:val="Normal"/>
        <w:numPr>
          <w:ilvl w:val="0"/>
          <w:numId w:val="451"/>
        </w:numPr>
        <w:spacing w:before="0" w:after="60"/>
        <w:rPr/>
      </w:pPr>
      <w:r>
        <w:rPr>
          <w:rFonts w:eastAsia="Segoe UI" w:cs="Segoe UI" w:ascii="Segoe UI" w:hAnsi="Segoe UI"/>
          <w:color w:val="101820"/>
          <w:sz w:val="21"/>
        </w:rPr>
        <w:t xml:space="preserve">Read </w:t>
      </w:r>
      <w:r>
        <w:rPr>
          <w:rFonts w:eastAsia="Segoe UI" w:cs="Segoe UI" w:ascii="Segoe UI" w:hAnsi="Segoe UI"/>
          <w:b/>
          <w:color w:val="101820"/>
          <w:sz w:val="21"/>
        </w:rPr>
        <w:t>Reconciliation</w:t>
      </w:r>
      <w:r>
        <w:rPr>
          <w:rFonts w:eastAsia="Segoe UI" w:cs="Segoe UI" w:ascii="Segoe UI" w:hAnsi="Segoe UI"/>
          <w:color w:val="101820"/>
          <w:sz w:val="21"/>
        </w:rPr>
        <w:t>. The return total is compared with the QAP report and with the tax withheld credited in the ledger to the withholding accounts (</w:t>
      </w:r>
      <w:r>
        <w:rPr>
          <w:rFonts w:eastAsia="Consolas" w:cs="Consolas" w:ascii="Consolas" w:hAnsi="Consolas"/>
          <w:color w:val="101820"/>
          <w:sz w:val="19"/>
        </w:rPr>
        <w:t>bir.withholding_ledger_accounts</w:t>
      </w:r>
      <w:r>
        <w:rPr>
          <w:rFonts w:eastAsia="Segoe UI" w:cs="Segoe UI" w:ascii="Segoe UI" w:hAnsi="Segoe UI"/>
          <w:color w:val="101820"/>
          <w:sz w:val="21"/>
        </w:rPr>
        <w:t>, else Expanded Withholding Tax Payable 2204001). A difference means a withholding booked outside a payment voucher (for example a journal voucher or petty cash) or a voucher without a journal: explain it before filing.</w:t>
      </w:r>
    </w:p>
    <w:p>
      <w:pPr>
        <w:pStyle w:val="Normal"/>
        <w:numPr>
          <w:ilvl w:val="0"/>
          <w:numId w:val="4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w:t>
      </w:r>
      <w:r>
        <w:rPr>
          <w:rFonts w:eastAsia="Segoe UI" w:cs="Segoe UI" w:ascii="Segoe UI" w:hAnsi="Segoe UI"/>
          <w:color w:val="101820"/>
          <w:sz w:val="21"/>
        </w:rPr>
        <w:t xml:space="preserve"> (PDF in the BIR item order) or </w:t>
      </w:r>
      <w:r>
        <w:rPr>
          <w:rFonts w:eastAsia="Segoe UI" w:cs="Segoe UI" w:ascii="Segoe UI" w:hAnsi="Segoe UI"/>
          <w:b/>
          <w:color w:val="101820"/>
          <w:sz w:val="21"/>
        </w:rPr>
        <w:t>Excel</w:t>
      </w:r>
      <w:r>
        <w:rPr>
          <w:rFonts w:eastAsia="Segoe UI" w:cs="Segoe UI" w:ascii="Segoe UI" w:hAnsi="Segoe UI"/>
          <w:color w:val="101820"/>
          <w:sz w:val="21"/>
        </w:rPr>
        <w:t xml:space="preserve"> (the form, each schedule on a sheet, the reconciliation) and transfer the figures to eBIRForms or eFPS.</w:t>
      </w:r>
    </w:p>
    <w:p>
      <w:pPr>
        <w:pStyle w:val="Normal"/>
        <w:numPr>
          <w:ilvl w:val="0"/>
          <w:numId w:val="453"/>
        </w:numPr>
        <w:spacing w:before="0" w:after="60"/>
        <w:rPr/>
      </w:pPr>
      <w:r>
        <w:rPr>
          <w:rFonts w:eastAsia="Segoe UI" w:cs="Segoe UI" w:ascii="Segoe UI" w:hAnsi="Segoe UI"/>
          <w:color w:val="101820"/>
          <w:sz w:val="21"/>
        </w:rPr>
        <w:t xml:space="preserve">After filing and paying, select </w:t>
      </w:r>
      <w:r>
        <w:rPr>
          <w:rFonts w:eastAsia="Segoe UI" w:cs="Segoe UI" w:ascii="Segoe UI" w:hAnsi="Segoe UI"/>
          <w:b/>
          <w:color w:val="101820"/>
          <w:sz w:val="21"/>
        </w:rPr>
        <w:t>Record filing</w:t>
      </w:r>
      <w:r>
        <w:rPr>
          <w:rFonts w:eastAsia="Segoe UI" w:cs="Segoe UI" w:ascii="Segoe UI" w:hAnsi="Segoe UI"/>
          <w:color w:val="101820"/>
          <w:sz w:val="21"/>
        </w:rPr>
        <w:t xml:space="preserve"> and enter the </w:t>
      </w:r>
      <w:r>
        <w:rPr>
          <w:rFonts w:eastAsia="Segoe UI" w:cs="Segoe UI" w:ascii="Segoe UI" w:hAnsi="Segoe UI"/>
          <w:b/>
          <w:color w:val="101820"/>
          <w:sz w:val="21"/>
        </w:rPr>
        <w:t>Date filed</w:t>
      </w:r>
      <w:r>
        <w:rPr>
          <w:rFonts w:eastAsia="Segoe UI" w:cs="Segoe UI" w:ascii="Segoe UI" w:hAnsi="Segoe UI"/>
          <w:color w:val="101820"/>
          <w:sz w:val="21"/>
        </w:rPr>
        <w:t xml:space="preserve">, the </w:t>
      </w:r>
      <w:r>
        <w:rPr>
          <w:rFonts w:eastAsia="Segoe UI" w:cs="Segoe UI" w:ascii="Segoe UI" w:hAnsi="Segoe UI"/>
          <w:b/>
          <w:color w:val="101820"/>
          <w:sz w:val="21"/>
        </w:rPr>
        <w:t>Filing reference</w:t>
      </w:r>
      <w:r>
        <w:rPr>
          <w:rFonts w:eastAsia="Segoe UI" w:cs="Segoe UI" w:ascii="Segoe UI" w:hAnsi="Segoe UI"/>
          <w:color w:val="101820"/>
          <w:sz w:val="21"/>
        </w:rPr>
        <w:t xml:space="preserve"> (eFPS / eBIRForms confirmation), the </w:t>
      </w:r>
      <w:r>
        <w:rPr>
          <w:rFonts w:eastAsia="Segoe UI" w:cs="Segoe UI" w:ascii="Segoe UI" w:hAnsi="Segoe UI"/>
          <w:b/>
          <w:color w:val="101820"/>
          <w:sz w:val="21"/>
        </w:rPr>
        <w:t>Amount paid</w:t>
      </w:r>
      <w:r>
        <w:rPr>
          <w:rFonts w:eastAsia="Segoe UI" w:cs="Segoe UI" w:ascii="Segoe UI" w:hAnsi="Segoe UI"/>
          <w:color w:val="101820"/>
          <w:sz w:val="21"/>
        </w:rPr>
        <w:t xml:space="preserve">, the </w:t>
      </w:r>
      <w:r>
        <w:rPr>
          <w:rFonts w:eastAsia="Segoe UI" w:cs="Segoe UI" w:ascii="Segoe UI" w:hAnsi="Segoe UI"/>
          <w:b/>
          <w:color w:val="101820"/>
          <w:sz w:val="21"/>
        </w:rPr>
        <w:t>Penalties</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the </w:t>
      </w:r>
      <w:r>
        <w:rPr>
          <w:rFonts w:eastAsia="Segoe UI" w:cs="Segoe UI" w:ascii="Segoe UI" w:hAnsi="Segoe UI"/>
          <w:b/>
          <w:color w:val="101820"/>
          <w:sz w:val="21"/>
        </w:rPr>
        <w:t>Payment reference</w:t>
      </w:r>
      <w:r>
        <w:rPr>
          <w:rFonts w:eastAsia="Segoe UI" w:cs="Segoe UI" w:ascii="Segoe UI" w:hAnsi="Segoe UI"/>
          <w:color w:val="101820"/>
          <w:sz w:val="21"/>
        </w:rPr>
        <w:t xml:space="preserve"> and the </w:t>
      </w:r>
      <w:r>
        <w:rPr>
          <w:rFonts w:eastAsia="Segoe UI" w:cs="Segoe UI" w:ascii="Segoe UI" w:hAnsi="Segoe UI"/>
          <w:b/>
          <w:color w:val="101820"/>
          <w:sz w:val="21"/>
        </w:rPr>
        <w:t>Payment channel</w:t>
      </w:r>
      <w:r>
        <w:rPr>
          <w:rFonts w:eastAsia="Segoe UI" w:cs="Segoe UI" w:ascii="Segoe UI" w:hAnsi="Segoe UI"/>
          <w:color w:val="101820"/>
          <w:sz w:val="21"/>
        </w:rPr>
        <w:t xml:space="preserve">. The figures as computed are kept with the record. </w:t>
      </w:r>
      <w:r>
        <w:rPr>
          <w:rFonts w:eastAsia="Segoe UI" w:cs="Segoe UI" w:ascii="Segoe UI" w:hAnsi="Segoe UI"/>
          <w:b/>
          <w:color w:val="101820"/>
          <w:sz w:val="21"/>
        </w:rPr>
        <w:t>Edit filing</w:t>
      </w:r>
      <w:r>
        <w:rPr>
          <w:rFonts w:eastAsia="Segoe UI" w:cs="Segoe UI" w:ascii="Segoe UI" w:hAnsi="Segoe UI"/>
          <w:color w:val="101820"/>
          <w:sz w:val="21"/>
        </w:rPr>
        <w:t xml:space="preserve"> corrects the references; </w:t>
      </w:r>
      <w:r>
        <w:rPr>
          <w:rFonts w:eastAsia="Segoe UI" w:cs="Segoe UI" w:ascii="Segoe UI" w:hAnsi="Segoe UI"/>
          <w:b/>
          <w:color w:val="101820"/>
          <w:sz w:val="21"/>
        </w:rPr>
        <w:t>Amended return</w:t>
      </w:r>
      <w:r>
        <w:rPr>
          <w:rFonts w:eastAsia="Segoe UI" w:cs="Segoe UI" w:ascii="Segoe UI" w:hAnsi="Segoe UI"/>
          <w:color w:val="101820"/>
          <w:sz w:val="21"/>
        </w:rPr>
        <w:t xml:space="preserve"> records a new filing that supersedes the earlier one; a record entered in error is cancelled with a reason.</w:t>
      </w:r>
    </w:p>
    <w:p>
      <w:pPr>
        <w:pStyle w:val="Heading3"/>
        <w:rPr/>
      </w:pPr>
      <w:r>
        <w:rPr>
          <w:rFonts w:eastAsia="Segoe UI" w:cs="Segoe UI"/>
          <w:b/>
          <w:color w:val="0F4761"/>
          <w:sz w:val="23"/>
        </w:rPr>
        <w:t>12.21.2  Annual information return 1604-E and alphalist of payees</w:t>
      </w:r>
    </w:p>
    <w:p>
      <w:pPr>
        <w:pStyle w:val="Normal"/>
        <w:jc w:val="center"/>
        <w:rPr/>
      </w:pPr>
      <w:r>
        <w:rPr/>
        <w:drawing>
          <wp:inline distT="0" distB="0" distL="0" distR="0">
            <wp:extent cx="5760085" cy="4469130"/>
            <wp:effectExtent l="0" t="0" r="0" b="0"/>
            <wp:docPr id="154" name="Picture 21212883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21288334" descr=""/>
                    <pic:cNvPicPr>
                      <a:picLocks noChangeAspect="1" noChangeArrowheads="1"/>
                    </pic:cNvPicPr>
                  </pic:nvPicPr>
                  <pic:blipFill>
                    <a:blip r:embed="rId1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Annual Alphalist 1604-E</w:t>
      </w:r>
    </w:p>
    <w:p>
      <w:pPr>
        <w:pStyle w:val="Normal"/>
        <w:spacing w:lineRule="auto" w:line="276" w:before="0" w:after="120"/>
        <w:rPr/>
      </w:pPr>
      <w:r>
        <w:rPr>
          <w:rFonts w:eastAsia="Segoe UI" w:cs="Segoe UI" w:ascii="Segoe UI" w:hAnsi="Segoe UI"/>
          <w:color w:val="101820"/>
          <w:sz w:val="21"/>
        </w:rPr>
        <w:t xml:space="preserve">Choose Accounts &gt; Tax &gt; Annual Alphalist 1604-E and the year. The return shows the remittances per month (from the 0619-E and 1601-EQ filing records), schedule 3 (each payee subject to expanded withholding per ATC: TIN, branch, registered name or last, first and middle name, nature of income payment, rate, income payments and tax withheld for the year) and schedule 4 (payees whose income payments are exempt). </w:t>
      </w:r>
      <w:r>
        <w:rPr>
          <w:rFonts w:eastAsia="Segoe UI" w:cs="Segoe UI" w:ascii="Segoe UI" w:hAnsi="Segoe UI"/>
          <w:b/>
          <w:color w:val="101820"/>
          <w:sz w:val="21"/>
        </w:rPr>
        <w:t>Excel</w:t>
      </w:r>
      <w:r>
        <w:rPr>
          <w:rFonts w:eastAsia="Segoe UI" w:cs="Segoe UI" w:ascii="Segoe UI" w:hAnsi="Segoe UI"/>
          <w:color w:val="101820"/>
          <w:sz w:val="21"/>
        </w:rPr>
        <w:t xml:space="preserve">, </w:t>
      </w:r>
      <w:r>
        <w:rPr>
          <w:rFonts w:eastAsia="Segoe UI" w:cs="Segoe UI" w:ascii="Segoe UI" w:hAnsi="Segoe UI"/>
          <w:b/>
          <w:color w:val="101820"/>
          <w:sz w:val="21"/>
        </w:rPr>
        <w:t>Print</w:t>
      </w:r>
      <w:r>
        <w:rPr>
          <w:rFonts w:eastAsia="Segoe UI" w:cs="Segoe UI" w:ascii="Segoe UI" w:hAnsi="Segoe UI"/>
          <w:color w:val="101820"/>
          <w:sz w:val="21"/>
        </w:rPr>
        <w:t xml:space="preserve"> and </w:t>
      </w:r>
      <w:r>
        <w:rPr>
          <w:rFonts w:eastAsia="Segoe UI" w:cs="Segoe UI" w:ascii="Segoe UI" w:hAnsi="Segoe UI"/>
          <w:b/>
          <w:color w:val="101820"/>
          <w:sz w:val="21"/>
        </w:rPr>
        <w:t>DAT file</w:t>
      </w:r>
      <w:r>
        <w:rPr>
          <w:rFonts w:eastAsia="Segoe UI" w:cs="Segoe UI" w:ascii="Segoe UI" w:hAnsi="Segoe UI"/>
          <w:color w:val="101820"/>
          <w:sz w:val="21"/>
        </w:rPr>
        <w:t xml:space="preserve"> produce the outputs; </w:t>
      </w:r>
      <w:r>
        <w:rPr>
          <w:rFonts w:eastAsia="Segoe UI" w:cs="Segoe UI" w:ascii="Segoe UI" w:hAnsi="Segoe UI"/>
          <w:b/>
          <w:color w:val="101820"/>
          <w:sz w:val="21"/>
        </w:rPr>
        <w:t>Record filing</w:t>
      </w:r>
      <w:r>
        <w:rPr>
          <w:rFonts w:eastAsia="Segoe UI" w:cs="Segoe UI" w:ascii="Segoe UI" w:hAnsi="Segoe UI"/>
          <w:color w:val="101820"/>
          <w:sz w:val="21"/>
        </w:rPr>
        <w:t xml:space="preserve"> works as for the other returns. The reconciliation compares the tax in schedule 3 with the tax remitted on the filing records.</w:t>
      </w:r>
    </w:p>
    <w:p>
      <w:pPr>
        <w:pStyle w:val="Heading3"/>
        <w:rPr/>
      </w:pPr>
      <w:r>
        <w:rPr>
          <w:rFonts w:eastAsia="Segoe UI" w:cs="Segoe UI"/>
          <w:b/>
          <w:color w:val="0F4761"/>
          <w:sz w:val="23"/>
        </w:rPr>
        <w:t>12.21.3  Percentage tax 2551Q (non-VAT broker or agent)</w:t>
      </w:r>
    </w:p>
    <w:p>
      <w:pPr>
        <w:pStyle w:val="Normal"/>
        <w:spacing w:lineRule="auto" w:line="276" w:before="0" w:after="120"/>
        <w:rPr/>
      </w:pPr>
      <w:r>
        <w:rPr>
          <w:rFonts w:eastAsia="Segoe UI" w:cs="Segoe UI" w:ascii="Segoe UI" w:hAnsi="Segoe UI"/>
          <w:color w:val="101820"/>
          <w:sz w:val="21"/>
        </w:rPr>
        <w:t>A broker or agent that is not VAT registered (</w:t>
      </w:r>
      <w:r>
        <w:rPr>
          <w:rFonts w:eastAsia="Consolas" w:cs="Consolas" w:ascii="Consolas" w:hAnsi="Consolas"/>
          <w:color w:val="101820"/>
          <w:sz w:val="19"/>
        </w:rPr>
        <w:t>direct_bill.broker_vat_registered</w:t>
      </w:r>
      <w:r>
        <w:rPr>
          <w:rFonts w:eastAsia="Segoe UI" w:cs="Segoe UI" w:ascii="Segoe UI" w:hAnsi="Segoe UI"/>
          <w:color w:val="101820"/>
          <w:sz w:val="21"/>
        </w:rPr>
        <w:t xml:space="preserve"> off) pays percentage tax on its gross sales. Choose Accounts &gt; Tax &gt; Percentage Tax 2551Q, the year and the quarter. The working paper shows the gross sales of each month from the revenue accounts of the ledger, per account, the rate (</w:t>
      </w:r>
      <w:r>
        <w:rPr>
          <w:rFonts w:eastAsia="Consolas" w:cs="Consolas" w:ascii="Consolas" w:hAnsi="Consolas"/>
          <w:color w:val="101820"/>
          <w:sz w:val="19"/>
        </w:rPr>
        <w:t>bir.percentage_tax_rate</w:t>
      </w:r>
      <w:r>
        <w:rPr>
          <w:rFonts w:eastAsia="Segoe UI" w:cs="Segoe UI" w:ascii="Segoe UI" w:hAnsi="Segoe UI"/>
          <w:color w:val="101820"/>
          <w:sz w:val="21"/>
        </w:rPr>
        <w:t>, default 3%), the ATC (</w:t>
      </w:r>
      <w:r>
        <w:rPr>
          <w:rFonts w:eastAsia="Consolas" w:cs="Consolas" w:ascii="Consolas" w:hAnsi="Consolas"/>
          <w:color w:val="101820"/>
          <w:sz w:val="19"/>
        </w:rPr>
        <w:t>bir.percentage_tax_atc</w:t>
      </w:r>
      <w:r>
        <w:rPr>
          <w:rFonts w:eastAsia="Segoe UI" w:cs="Segoe UI" w:ascii="Segoe UI" w:hAnsi="Segoe UI"/>
          <w:color w:val="101820"/>
          <w:sz w:val="21"/>
        </w:rPr>
        <w:t>, default PT010), the tax due and the penalties. Print, Excel and the filing record work as for the other returns. For a VAT-registered broker the screen says so: confirm with the tax adviser before filing a 2551Q.</w:t>
      </w:r>
    </w:p>
    <w:p>
      <w:pPr>
        <w:pStyle w:val="Heading3"/>
        <w:rPr/>
      </w:pPr>
      <w:r>
        <w:rPr>
          <w:rFonts w:eastAsia="Segoe UI" w:cs="Segoe UI"/>
          <w:b/>
          <w:color w:val="0F4761"/>
          <w:sz w:val="23"/>
        </w:rPr>
        <w:t>12.21.4  BIR DAT files</w:t>
      </w:r>
    </w:p>
    <w:p>
      <w:pPr>
        <w:pStyle w:val="Normal"/>
        <w:jc w:val="center"/>
        <w:rPr/>
      </w:pPr>
      <w:r>
        <w:rPr/>
        <w:drawing>
          <wp:inline distT="0" distB="0" distL="0" distR="0">
            <wp:extent cx="5760085" cy="4469130"/>
            <wp:effectExtent l="0" t="0" r="0" b="0"/>
            <wp:docPr id="155" name="Picture 21212883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121288335" descr=""/>
                    <pic:cNvPicPr>
                      <a:picLocks noChangeAspect="1" noChangeArrowheads="1"/>
                    </pic:cNvPicPr>
                  </pic:nvPicPr>
                  <pic:blipFill>
                    <a:blip r:embed="rId1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DAT Files</w:t>
      </w:r>
    </w:p>
    <w:p>
      <w:pPr>
        <w:pStyle w:val="Normal"/>
        <w:spacing w:lineRule="auto" w:line="276" w:before="0" w:after="120"/>
        <w:rPr/>
      </w:pPr>
      <w:r>
        <w:rPr>
          <w:rFonts w:eastAsia="Segoe UI" w:cs="Segoe UI" w:ascii="Segoe UI" w:hAnsi="Segoe UI"/>
          <w:color w:val="101820"/>
          <w:sz w:val="21"/>
        </w:rPr>
        <w:t>Choose Accounts &gt; Tax &gt; BIR DAT Files, the file (</w:t>
      </w:r>
      <w:r>
        <w:rPr>
          <w:rFonts w:eastAsia="Segoe UI" w:cs="Segoe UI" w:ascii="Segoe UI" w:hAnsi="Segoe UI"/>
          <w:b/>
          <w:color w:val="101820"/>
          <w:sz w:val="21"/>
        </w:rPr>
        <w:t>QAP (1601-EQ)</w:t>
      </w:r>
      <w:r>
        <w:rPr>
          <w:rFonts w:eastAsia="Segoe UI" w:cs="Segoe UI" w:ascii="Segoe UI" w:hAnsi="Segoe UI"/>
          <w:color w:val="101820"/>
          <w:sz w:val="21"/>
        </w:rPr>
        <w:t xml:space="preserve">, </w:t>
      </w:r>
      <w:r>
        <w:rPr>
          <w:rFonts w:eastAsia="Segoe UI" w:cs="Segoe UI" w:ascii="Segoe UI" w:hAnsi="Segoe UI"/>
          <w:b/>
          <w:color w:val="101820"/>
          <w:sz w:val="21"/>
        </w:rPr>
        <w:t>SAWT</w:t>
      </w:r>
      <w:r>
        <w:rPr>
          <w:rFonts w:eastAsia="Segoe UI" w:cs="Segoe UI" w:ascii="Segoe UI" w:hAnsi="Segoe UI"/>
          <w:color w:val="101820"/>
          <w:sz w:val="21"/>
        </w:rPr>
        <w:t xml:space="preserve">, </w:t>
      </w:r>
      <w:r>
        <w:rPr>
          <w:rFonts w:eastAsia="Segoe UI" w:cs="Segoe UI" w:ascii="Segoe UI" w:hAnsi="Segoe UI"/>
          <w:b/>
          <w:color w:val="101820"/>
          <w:sz w:val="21"/>
        </w:rPr>
        <w:t>SLSP sales</w:t>
      </w:r>
      <w:r>
        <w:rPr>
          <w:rFonts w:eastAsia="Segoe UI" w:cs="Segoe UI" w:ascii="Segoe UI" w:hAnsi="Segoe UI"/>
          <w:color w:val="101820"/>
          <w:sz w:val="21"/>
        </w:rPr>
        <w:t xml:space="preserve">, </w:t>
      </w:r>
      <w:r>
        <w:rPr>
          <w:rFonts w:eastAsia="Segoe UI" w:cs="Segoe UI" w:ascii="Segoe UI" w:hAnsi="Segoe UI"/>
          <w:b/>
          <w:color w:val="101820"/>
          <w:sz w:val="21"/>
        </w:rPr>
        <w:t>SLSP purchases</w:t>
      </w:r>
      <w:r>
        <w:rPr>
          <w:rFonts w:eastAsia="Segoe UI" w:cs="Segoe UI" w:ascii="Segoe UI" w:hAnsi="Segoe UI"/>
          <w:color w:val="101820"/>
          <w:sz w:val="21"/>
        </w:rPr>
        <w:t xml:space="preserve"> or </w:t>
      </w:r>
      <w:r>
        <w:rPr>
          <w:rFonts w:eastAsia="Segoe UI" w:cs="Segoe UI" w:ascii="Segoe UI" w:hAnsi="Segoe UI"/>
          <w:b/>
          <w:color w:val="101820"/>
          <w:sz w:val="21"/>
        </w:rPr>
        <w:t>1604-E alphalist</w:t>
      </w:r>
      <w:r>
        <w:rPr>
          <w:rFonts w:eastAsia="Segoe UI" w:cs="Segoe UI" w:ascii="Segoe UI" w:hAnsi="Segoe UI"/>
          <w:color w:val="101820"/>
          <w:sz w:val="21"/>
        </w:rPr>
        <w:t xml:space="preserve">), the year and the quarter (for the SAWT also the return it is attached to, </w:t>
      </w:r>
      <w:r>
        <w:rPr>
          <w:rFonts w:eastAsia="Consolas" w:cs="Consolas" w:ascii="Consolas" w:hAnsi="Consolas"/>
          <w:color w:val="101820"/>
          <w:sz w:val="19"/>
        </w:rPr>
        <w:t>bir.sawt_form</w:t>
      </w:r>
      <w:r>
        <w:rPr>
          <w:rFonts w:eastAsia="Segoe UI" w:cs="Segoe UI" w:ascii="Segoe UI" w:hAnsi="Segoe UI"/>
          <w:color w:val="101820"/>
          <w:sz w:val="21"/>
        </w:rPr>
        <w:t xml:space="preserve">, default 1702Q). The screen shows the layout version, the file name, the number of records, the totals, the record layout, the content and the warnings (for example a payee without TIN). Select </w:t>
      </w:r>
      <w:r>
        <w:rPr>
          <w:rFonts w:eastAsia="Segoe UI" w:cs="Segoe UI" w:ascii="Segoe UI" w:hAnsi="Segoe UI"/>
          <w:b/>
          <w:color w:val="101820"/>
          <w:sz w:val="21"/>
        </w:rPr>
        <w:t>Download</w:t>
      </w:r>
      <w:r>
        <w:rPr>
          <w:rFonts w:eastAsia="Segoe UI" w:cs="Segoe UI" w:ascii="Segoe UI" w:hAnsi="Segoe UI"/>
          <w:color w:val="101820"/>
          <w:sz w:val="21"/>
        </w:rPr>
        <w:t xml:space="preserve"> and validate the file with the current BIR validation module before submitting it.</w:t>
      </w:r>
    </w:p>
    <w:p>
      <w:pPr>
        <w:pStyle w:val="Normal"/>
        <w:spacing w:lineRule="auto" w:line="276" w:before="0" w:after="120"/>
        <w:rPr/>
      </w:pPr>
      <w:r>
        <w:rPr>
          <w:rFonts w:eastAsia="Segoe UI" w:cs="Segoe UI" w:ascii="Segoe UI" w:hAnsi="Segoe UI"/>
          <w:color w:val="101820"/>
          <w:sz w:val="21"/>
        </w:rPr>
        <w:t>The files follow the record layouts of the BIR Alphalist Data Entry and Validation Module version 7.x (QAP, SAWT, 1604-E) and the RELIEF data file layout (SLSP): a header record, one detail record per payee, customer or supplier, and a control record with the totals; text in capitals between double quotes, amounts with two decimals, CR LF line ends. The broker's TIN must be filled in on Master &gt; Company first.</w:t>
      </w:r>
    </w:p>
    <w:p>
      <w:pPr>
        <w:pStyle w:val="Heading3"/>
        <w:rPr/>
      </w:pPr>
      <w:r>
        <w:rPr>
          <w:rFonts w:eastAsia="Segoe UI" w:cs="Segoe UI"/>
          <w:b/>
          <w:color w:val="0F4761"/>
          <w:sz w:val="23"/>
        </w:rPr>
        <w:t>12.21.5  Sales invoices (EOPT Act)</w:t>
      </w:r>
    </w:p>
    <w:p>
      <w:pPr>
        <w:pStyle w:val="Normal"/>
        <w:spacing w:lineRule="auto" w:line="276" w:before="0" w:after="120"/>
        <w:rPr/>
      </w:pPr>
      <w:r>
        <w:rPr>
          <w:rFonts w:eastAsia="Segoe UI" w:cs="Segoe UI" w:ascii="Segoe UI" w:hAnsi="Segoe UI"/>
          <w:color w:val="101820"/>
          <w:sz w:val="21"/>
        </w:rPr>
        <w:t xml:space="preserve">Under the Ease of Paying Taxes Act (RA 11976) and RR 7-2024 the sales invoice is the primary document of the broker's sale of services. Before the first invoice, fill in the </w:t>
      </w:r>
      <w:r>
        <w:rPr>
          <w:rFonts w:eastAsia="Segoe UI" w:cs="Segoe UI" w:ascii="Segoe UI" w:hAnsi="Segoe UI"/>
          <w:b/>
          <w:color w:val="101820"/>
          <w:sz w:val="21"/>
        </w:rPr>
        <w:t>Sales invoices (EOPT)</w:t>
      </w:r>
      <w:r>
        <w:rPr>
          <w:rFonts w:eastAsia="Segoe UI" w:cs="Segoe UI" w:ascii="Segoe UI" w:hAnsi="Segoe UI"/>
          <w:color w:val="101820"/>
          <w:sz w:val="21"/>
        </w:rPr>
        <w:t xml:space="preserve"> group in Master &gt; Configuration (area Accounting &amp; Tax): </w:t>
      </w:r>
      <w:r>
        <w:rPr>
          <w:rFonts w:eastAsia="Consolas" w:cs="Consolas" w:ascii="Consolas" w:hAnsi="Consolas"/>
          <w:color w:val="101820"/>
          <w:sz w:val="19"/>
        </w:rPr>
        <w:t>invoice.atp_number</w:t>
      </w:r>
      <w:r>
        <w:rPr>
          <w:rFonts w:eastAsia="Segoe UI" w:cs="Segoe UI" w:ascii="Segoe UI" w:hAnsi="Segoe UI"/>
          <w:color w:val="101820"/>
          <w:sz w:val="21"/>
        </w:rPr>
        <w:t xml:space="preserve"> or </w:t>
      </w:r>
      <w:r>
        <w:rPr>
          <w:rFonts w:eastAsia="Consolas" w:cs="Consolas" w:ascii="Consolas" w:hAnsi="Consolas"/>
          <w:color w:val="101820"/>
          <w:sz w:val="19"/>
        </w:rPr>
        <w:t>invoice.cas_permit_number</w:t>
      </w:r>
      <w:r>
        <w:rPr>
          <w:rFonts w:eastAsia="Segoe UI" w:cs="Segoe UI" w:ascii="Segoe UI" w:hAnsi="Segoe UI"/>
          <w:color w:val="101820"/>
          <w:sz w:val="21"/>
        </w:rPr>
        <w:t xml:space="preserve"> and their dates, the registered serial range </w:t>
      </w:r>
      <w:r>
        <w:rPr>
          <w:rFonts w:eastAsia="Consolas" w:cs="Consolas" w:ascii="Consolas" w:hAnsi="Consolas"/>
          <w:color w:val="101820"/>
          <w:sz w:val="19"/>
        </w:rPr>
        <w:t>invoice.serial_from</w:t>
      </w:r>
      <w:r>
        <w:rPr>
          <w:rFonts w:eastAsia="Segoe UI" w:cs="Segoe UI" w:ascii="Segoe UI" w:hAnsi="Segoe UI"/>
          <w:color w:val="101820"/>
          <w:sz w:val="21"/>
        </w:rPr>
        <w:t xml:space="preserve"> / </w:t>
      </w:r>
      <w:r>
        <w:rPr>
          <w:rFonts w:eastAsia="Consolas" w:cs="Consolas" w:ascii="Consolas" w:hAnsi="Consolas"/>
          <w:color w:val="101820"/>
          <w:sz w:val="19"/>
        </w:rPr>
        <w:t>invoice.serial_to</w:t>
      </w:r>
      <w:r>
        <w:rPr>
          <w:rFonts w:eastAsia="Segoe UI" w:cs="Segoe UI" w:ascii="Segoe UI" w:hAnsi="Segoe UI"/>
          <w:color w:val="101820"/>
          <w:sz w:val="21"/>
        </w:rPr>
        <w:t xml:space="preserve">, </w:t>
      </w:r>
      <w:r>
        <w:rPr>
          <w:rFonts w:eastAsia="Consolas" w:cs="Consolas" w:ascii="Consolas" w:hAnsi="Consolas"/>
          <w:color w:val="101820"/>
          <w:sz w:val="19"/>
        </w:rPr>
        <w:t>invoice.printer_details</w:t>
      </w:r>
      <w:r>
        <w:rPr>
          <w:rFonts w:eastAsia="Segoe UI" w:cs="Segoe UI" w:ascii="Segoe UI" w:hAnsi="Segoe UI"/>
          <w:color w:val="101820"/>
          <w:sz w:val="21"/>
        </w:rPr>
        <w:t xml:space="preserve"> and </w:t>
      </w:r>
      <w:r>
        <w:rPr>
          <w:rFonts w:eastAsia="Consolas" w:cs="Consolas" w:ascii="Consolas" w:hAnsi="Consolas"/>
          <w:color w:val="101820"/>
          <w:sz w:val="19"/>
        </w:rPr>
        <w:t>invoice.buyer_details_threshold</w:t>
      </w:r>
      <w:r>
        <w:rPr>
          <w:rFonts w:eastAsia="Segoe UI" w:cs="Segoe UI" w:ascii="Segoe UI" w:hAnsi="Segoe UI"/>
          <w:color w:val="101820"/>
          <w:sz w:val="21"/>
        </w:rPr>
        <w:t xml:space="preserve">; and the TIN branch code </w:t>
      </w:r>
      <w:r>
        <w:rPr>
          <w:rFonts w:eastAsia="Consolas" w:cs="Consolas" w:ascii="Consolas" w:hAnsi="Consolas"/>
          <w:color w:val="101820"/>
          <w:sz w:val="19"/>
        </w:rPr>
        <w:t>bir.tin_branch_code</w:t>
      </w:r>
      <w:r>
        <w:rPr>
          <w:rFonts w:eastAsia="Segoe UI" w:cs="Segoe UI" w:ascii="Segoe UI" w:hAnsi="Segoe UI"/>
          <w:color w:val="101820"/>
          <w:sz w:val="21"/>
        </w:rPr>
        <w:t xml:space="preserve"> and trade name </w:t>
      </w:r>
      <w:r>
        <w:rPr>
          <w:rFonts w:eastAsia="Consolas" w:cs="Consolas" w:ascii="Consolas" w:hAnsi="Consolas"/>
          <w:color w:val="101820"/>
          <w:sz w:val="19"/>
        </w:rPr>
        <w:t>bir.trade_name</w:t>
      </w:r>
      <w:r>
        <w:rPr>
          <w:rFonts w:eastAsia="Segoe UI" w:cs="Segoe UI" w:ascii="Segoe UI" w:hAnsi="Segoe UI"/>
          <w:color w:val="101820"/>
          <w:sz w:val="21"/>
        </w:rPr>
        <w:t xml:space="preserve"> in the BIR forms group.</w:t>
      </w:r>
    </w:p>
    <w:p>
      <w:pPr>
        <w:pStyle w:val="Normal"/>
        <w:jc w:val="center"/>
        <w:rPr/>
      </w:pPr>
      <w:r>
        <w:rPr/>
        <w:drawing>
          <wp:inline distT="0" distB="0" distL="0" distR="0">
            <wp:extent cx="5760085" cy="4469130"/>
            <wp:effectExtent l="0" t="0" r="0" b="0"/>
            <wp:docPr id="156" name="Picture 21212883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121288336" descr=""/>
                    <pic:cNvPicPr>
                      <a:picLocks noChangeAspect="1" noChangeArrowheads="1"/>
                    </pic:cNvPicPr>
                  </pic:nvPicPr>
                  <pic:blipFill>
                    <a:blip r:embed="rId15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Sales Invoices</w:t>
      </w:r>
    </w:p>
    <w:p>
      <w:pPr>
        <w:pStyle w:val="Normal"/>
        <w:numPr>
          <w:ilvl w:val="0"/>
          <w:numId w:val="454"/>
        </w:numPr>
        <w:spacing w:before="0" w:after="60"/>
        <w:rPr/>
      </w:pPr>
      <w:r>
        <w:rPr>
          <w:rFonts w:eastAsia="Segoe UI" w:cs="Segoe UI" w:ascii="Segoe UI" w:hAnsi="Segoe UI"/>
          <w:color w:val="101820"/>
          <w:sz w:val="21"/>
        </w:rPr>
        <w:t xml:space="preserve">Choose Accounts &gt; Tax &gt; Sales Invoices and select </w:t>
      </w:r>
      <w:r>
        <w:rPr>
          <w:rFonts w:eastAsia="Segoe UI" w:cs="Segoe UI" w:ascii="Segoe UI" w:hAnsi="Segoe UI"/>
          <w:b/>
          <w:color w:val="101820"/>
          <w:sz w:val="21"/>
        </w:rPr>
        <w:t>New invoice</w:t>
      </w:r>
      <w:r>
        <w:rPr>
          <w:rFonts w:eastAsia="Segoe UI" w:cs="Segoe UI" w:ascii="Segoe UI" w:hAnsi="Segoe UI"/>
          <w:color w:val="101820"/>
          <w:sz w:val="21"/>
        </w:rPr>
        <w:t>.</w:t>
      </w:r>
    </w:p>
    <w:p>
      <w:pPr>
        <w:pStyle w:val="Normal"/>
        <w:numPr>
          <w:ilvl w:val="0"/>
          <w:numId w:val="45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Invoice for</w:t>
      </w:r>
      <w:r>
        <w:rPr>
          <w:rFonts w:eastAsia="Segoe UI" w:cs="Segoe UI" w:ascii="Segoe UI" w:hAnsi="Segoe UI"/>
          <w:color w:val="101820"/>
          <w:sz w:val="21"/>
        </w:rPr>
        <w:t xml:space="preserve">: </w:t>
      </w:r>
      <w:r>
        <w:rPr>
          <w:rFonts w:eastAsia="Segoe UI" w:cs="Segoe UI" w:ascii="Segoe UI" w:hAnsi="Segoe UI"/>
          <w:b/>
          <w:color w:val="101820"/>
          <w:sz w:val="21"/>
        </w:rPr>
        <w:t>Commission debit note</w:t>
      </w:r>
      <w:r>
        <w:rPr>
          <w:rFonts w:eastAsia="Segoe UI" w:cs="Segoe UI" w:ascii="Segoe UI" w:hAnsi="Segoe UI"/>
          <w:color w:val="101820"/>
          <w:sz w:val="21"/>
        </w:rPr>
        <w:t xml:space="preserve"> or </w:t>
      </w:r>
      <w:r>
        <w:rPr>
          <w:rFonts w:eastAsia="Segoe UI" w:cs="Segoe UI" w:ascii="Segoe UI" w:hAnsi="Segoe UI"/>
          <w:b/>
          <w:color w:val="101820"/>
          <w:sz w:val="21"/>
        </w:rPr>
        <w:t>Overriding commission</w:t>
      </w:r>
      <w:r>
        <w:rPr>
          <w:rFonts w:eastAsia="Segoe UI" w:cs="Segoe UI" w:ascii="Segoe UI" w:hAnsi="Segoe UI"/>
          <w:color w:val="101820"/>
          <w:sz w:val="21"/>
        </w:rPr>
        <w:t xml:space="preserve"> (pick the approved document from the list), </w:t>
      </w:r>
      <w:r>
        <w:rPr>
          <w:rFonts w:eastAsia="Segoe UI" w:cs="Segoe UI" w:ascii="Segoe UI" w:hAnsi="Segoe UI"/>
          <w:b/>
          <w:color w:val="101820"/>
          <w:sz w:val="21"/>
        </w:rPr>
        <w:t>Broker-billed policy commission</w:t>
      </w:r>
      <w:r>
        <w:rPr>
          <w:rFonts w:eastAsia="Segoe UI" w:cs="Segoe UI" w:ascii="Segoe UI" w:hAnsi="Segoe UI"/>
          <w:color w:val="101820"/>
          <w:sz w:val="21"/>
        </w:rPr>
        <w:t xml:space="preserve"> (type the policy number) or </w:t>
      </w:r>
      <w:r>
        <w:rPr>
          <w:rFonts w:eastAsia="Segoe UI" w:cs="Segoe UI" w:ascii="Segoe UI" w:hAnsi="Segoe UI"/>
          <w:b/>
          <w:color w:val="101820"/>
          <w:sz w:val="21"/>
        </w:rPr>
        <w:t>Fees and other services (manual)</w:t>
      </w:r>
      <w:r>
        <w:rPr>
          <w:rFonts w:eastAsia="Segoe UI" w:cs="Segoe UI" w:ascii="Segoe UI" w:hAnsi="Segoe UI"/>
          <w:color w:val="101820"/>
          <w:sz w:val="21"/>
        </w:rPr>
        <w:t>.</w:t>
      </w:r>
    </w:p>
    <w:p>
      <w:pPr>
        <w:pStyle w:val="Normal"/>
        <w:numPr>
          <w:ilvl w:val="0"/>
          <w:numId w:val="456"/>
        </w:numPr>
        <w:spacing w:before="0" w:after="60"/>
        <w:rPr/>
      </w:pPr>
      <w:r>
        <w:rPr>
          <w:rFonts w:eastAsia="Segoe UI" w:cs="Segoe UI" w:ascii="Segoe UI" w:hAnsi="Segoe UI"/>
          <w:color w:val="101820"/>
          <w:sz w:val="21"/>
        </w:rPr>
        <w:t xml:space="preserve">For a manual invoice enter the </w:t>
      </w:r>
      <w:r>
        <w:rPr>
          <w:rFonts w:eastAsia="Segoe UI" w:cs="Segoe UI" w:ascii="Segoe UI" w:hAnsi="Segoe UI"/>
          <w:b/>
          <w:color w:val="101820"/>
          <w:sz w:val="21"/>
        </w:rPr>
        <w:t>Buyer type</w:t>
      </w:r>
      <w:r>
        <w:rPr>
          <w:rFonts w:eastAsia="Segoe UI" w:cs="Segoe UI" w:ascii="Segoe UI" w:hAnsi="Segoe UI"/>
          <w:color w:val="101820"/>
          <w:sz w:val="21"/>
        </w:rPr>
        <w:t xml:space="preserve">, </w:t>
      </w:r>
      <w:r>
        <w:rPr>
          <w:rFonts w:eastAsia="Segoe UI" w:cs="Segoe UI" w:ascii="Segoe UI" w:hAnsi="Segoe UI"/>
          <w:b/>
          <w:color w:val="101820"/>
          <w:sz w:val="21"/>
        </w:rPr>
        <w:t>Buyer</w:t>
      </w:r>
      <w:r>
        <w:rPr>
          <w:rFonts w:eastAsia="Segoe UI" w:cs="Segoe UI" w:ascii="Segoe UI" w:hAnsi="Segoe UI"/>
          <w:color w:val="101820"/>
          <w:sz w:val="21"/>
        </w:rPr>
        <w:t xml:space="preserve">, </w:t>
      </w:r>
      <w:r>
        <w:rPr>
          <w:rFonts w:eastAsia="Segoe UI" w:cs="Segoe UI" w:ascii="Segoe UI" w:hAnsi="Segoe UI"/>
          <w:b/>
          <w:color w:val="101820"/>
          <w:sz w:val="21"/>
        </w:rPr>
        <w:t>Buyer TIN (with branch code)</w:t>
      </w:r>
      <w:r>
        <w:rPr>
          <w:rFonts w:eastAsia="Segoe UI" w:cs="Segoe UI" w:ascii="Segoe UI" w:hAnsi="Segoe UI"/>
          <w:color w:val="101820"/>
          <w:sz w:val="21"/>
        </w:rPr>
        <w:t xml:space="preserve">, </w:t>
      </w:r>
      <w:r>
        <w:rPr>
          <w:rFonts w:eastAsia="Segoe UI" w:cs="Segoe UI" w:ascii="Segoe UI" w:hAnsi="Segoe UI"/>
          <w:b/>
          <w:color w:val="101820"/>
          <w:sz w:val="21"/>
        </w:rPr>
        <w:t>Buyer business style</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then the lines: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Qty</w:t>
      </w:r>
      <w:r>
        <w:rPr>
          <w:rFonts w:eastAsia="Segoe UI" w:cs="Segoe UI" w:ascii="Segoe UI" w:hAnsi="Segoe UI"/>
          <w:color w:val="101820"/>
          <w:sz w:val="21"/>
        </w:rPr>
        <w:t xml:space="preserve">, </w:t>
      </w:r>
      <w:r>
        <w:rPr>
          <w:rFonts w:eastAsia="Segoe UI" w:cs="Segoe UI" w:ascii="Segoe UI" w:hAnsi="Segoe UI"/>
          <w:b/>
          <w:color w:val="101820"/>
          <w:sz w:val="21"/>
        </w:rPr>
        <w:t>Unit price</w:t>
      </w:r>
      <w:r>
        <w:rPr>
          <w:rFonts w:eastAsia="Segoe UI" w:cs="Segoe UI" w:ascii="Segoe UI" w:hAnsi="Segoe UI"/>
          <w:color w:val="101820"/>
          <w:sz w:val="21"/>
        </w:rPr>
        <w:t xml:space="preserve"> and </w:t>
      </w:r>
      <w:r>
        <w:rPr>
          <w:rFonts w:eastAsia="Segoe UI" w:cs="Segoe UI" w:ascii="Segoe UI" w:hAnsi="Segoe UI"/>
          <w:b/>
          <w:color w:val="101820"/>
          <w:sz w:val="21"/>
        </w:rPr>
        <w:t>VAT class</w:t>
      </w:r>
      <w:r>
        <w:rPr>
          <w:rFonts w:eastAsia="Segoe UI" w:cs="Segoe UI" w:ascii="Segoe UI" w:hAnsi="Segoe UI"/>
          <w:color w:val="101820"/>
          <w:sz w:val="21"/>
        </w:rPr>
        <w:t xml:space="preserve"> (VATable, VAT-exempt or zero-rated), and the </w:t>
      </w:r>
      <w:r>
        <w:rPr>
          <w:rFonts w:eastAsia="Segoe UI" w:cs="Segoe UI" w:ascii="Segoe UI" w:hAnsi="Segoe UI"/>
          <w:b/>
          <w:color w:val="101820"/>
          <w:sz w:val="21"/>
        </w:rPr>
        <w:t>Expected withholding</w:t>
      </w:r>
      <w:r>
        <w:rPr>
          <w:rFonts w:eastAsia="Segoe UI" w:cs="Segoe UI" w:ascii="Segoe UI" w:hAnsi="Segoe UI"/>
          <w:color w:val="101820"/>
          <w:sz w:val="21"/>
        </w:rPr>
        <w:t xml:space="preserve"> rate.</w:t>
      </w:r>
    </w:p>
    <w:p>
      <w:pPr>
        <w:pStyle w:val="Normal"/>
        <w:numPr>
          <w:ilvl w:val="0"/>
          <w:numId w:val="45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invoice</w:t>
      </w:r>
      <w:r>
        <w:rPr>
          <w:rFonts w:eastAsia="Segoe UI" w:cs="Segoe UI" w:ascii="Segoe UI" w:hAnsi="Segoe UI"/>
          <w:color w:val="101820"/>
          <w:sz w:val="21"/>
        </w:rPr>
        <w:t xml:space="preserve">. The invoice takes the next number of the sales invoice series (SI-, sequential, never reset; the issue stops when the number would pass </w:t>
      </w:r>
      <w:r>
        <w:rPr>
          <w:rFonts w:eastAsia="Consolas" w:cs="Consolas" w:ascii="Consolas" w:hAnsi="Consolas"/>
          <w:color w:val="101820"/>
          <w:sz w:val="19"/>
        </w:rPr>
        <w:t>invoice.serial_to</w:t>
      </w:r>
      <w:r>
        <w:rPr>
          <w:rFonts w:eastAsia="Segoe UI" w:cs="Segoe UI" w:ascii="Segoe UI" w:hAnsi="Segoe UI"/>
          <w:color w:val="101820"/>
          <w:sz w:val="21"/>
        </w:rPr>
        <w:t>). It carries the seller's registered name, trade name, TIN with branch code, address and VAT status, the ATP or CAS acknowledgement and the serial range, the buyer's name, TIN and address (required for an insurer or a business buyer and from the threshold amount), the VATable, VAT-exempt and zero-rated sales and the VAT shown separately. A non-VAT broker's invoice shows the total sales and NON-VAT REGISTERED.</w:t>
      </w:r>
    </w:p>
    <w:p>
      <w:pPr>
        <w:pStyle w:val="Normal"/>
        <w:numPr>
          <w:ilvl w:val="0"/>
          <w:numId w:val="458"/>
        </w:numPr>
        <w:spacing w:before="0" w:after="60"/>
        <w:rPr/>
      </w:pPr>
      <w:r>
        <w:rPr>
          <w:rFonts w:eastAsia="Segoe UI" w:cs="Segoe UI" w:ascii="Segoe UI" w:hAnsi="Segoe UI"/>
          <w:color w:val="101820"/>
          <w:sz w:val="21"/>
        </w:rPr>
        <w:t xml:space="preserve">Select the invoice number to open it; </w:t>
      </w:r>
      <w:r>
        <w:rPr>
          <w:rFonts w:eastAsia="Segoe UI" w:cs="Segoe UI" w:ascii="Segoe UI" w:hAnsi="Segoe UI"/>
          <w:b/>
          <w:color w:val="101820"/>
          <w:sz w:val="21"/>
        </w:rPr>
        <w:t>Print</w:t>
      </w:r>
      <w:r>
        <w:rPr>
          <w:rFonts w:eastAsia="Segoe UI" w:cs="Segoe UI" w:ascii="Segoe UI" w:hAnsi="Segoe UI"/>
          <w:color w:val="101820"/>
          <w:sz w:val="21"/>
        </w:rPr>
        <w:t xml:space="preserve"> produces the PDF. An invoice made out for a debit note, a computation or a policy does not post again (its revenue is already booked); a manual invoice posts </w:t>
      </w:r>
      <w:r>
        <w:rPr>
          <w:rFonts w:eastAsia="Consolas" w:cs="Consolas" w:ascii="Consolas" w:hAnsi="Consolas"/>
          <w:color w:val="101820"/>
          <w:sz w:val="19"/>
        </w:rPr>
        <w:t>sales_invoice.issue</w:t>
      </w:r>
      <w:r>
        <w:rPr>
          <w:rFonts w:eastAsia="Segoe UI" w:cs="Segoe UI" w:ascii="Segoe UI" w:hAnsi="Segoe UI"/>
          <w:color w:val="101820"/>
          <w:sz w:val="21"/>
        </w:rPr>
        <w:t xml:space="preserve"> (Dr Service Fees Receivable 1205003, Cr service fee income, Cr Output VAT).</w:t>
      </w:r>
    </w:p>
    <w:p>
      <w:pPr>
        <w:pStyle w:val="Normal"/>
        <w:numPr>
          <w:ilvl w:val="0"/>
          <w:numId w:val="459"/>
        </w:numPr>
        <w:spacing w:before="0" w:after="60"/>
        <w:rPr/>
      </w:pPr>
      <w:r>
        <w:rPr>
          <w:rFonts w:eastAsia="Segoe UI" w:cs="Segoe UI" w:ascii="Segoe UI" w:hAnsi="Segoe UI"/>
          <w:color w:val="101820"/>
          <w:sz w:val="21"/>
        </w:rPr>
        <w:t xml:space="preserve">For a manual invoice select </w:t>
      </w:r>
      <w:r>
        <w:rPr>
          <w:rFonts w:eastAsia="Segoe UI" w:cs="Segoe UI" w:ascii="Segoe UI" w:hAnsi="Segoe UI"/>
          <w:b/>
          <w:color w:val="101820"/>
          <w:sz w:val="21"/>
        </w:rPr>
        <w:t>Record payment</w:t>
      </w:r>
      <w:r>
        <w:rPr>
          <w:rFonts w:eastAsia="Segoe UI" w:cs="Segoe UI" w:ascii="Segoe UI" w:hAnsi="Segoe UI"/>
          <w:color w:val="101820"/>
          <w:sz w:val="21"/>
        </w:rPr>
        <w:t xml:space="preserve">: the </w:t>
      </w:r>
      <w:r>
        <w:rPr>
          <w:rFonts w:eastAsia="Segoe UI" w:cs="Segoe UI" w:ascii="Segoe UI" w:hAnsi="Segoe UI"/>
          <w:b/>
          <w:color w:val="101820"/>
          <w:sz w:val="21"/>
        </w:rPr>
        <w:t>Payment date</w:t>
      </w:r>
      <w:r>
        <w:rPr>
          <w:rFonts w:eastAsia="Segoe UI" w:cs="Segoe UI" w:ascii="Segoe UI" w:hAnsi="Segoe UI"/>
          <w:color w:val="101820"/>
          <w:sz w:val="21"/>
        </w:rPr>
        <w:t xml:space="preserve">, </w:t>
      </w:r>
      <w:r>
        <w:rPr>
          <w:rFonts w:eastAsia="Segoe UI" w:cs="Segoe UI" w:ascii="Segoe UI" w:hAnsi="Segoe UI"/>
          <w:b/>
          <w:color w:val="101820"/>
          <w:sz w:val="21"/>
        </w:rPr>
        <w:t>Payment mode</w:t>
      </w:r>
      <w:r>
        <w:rPr>
          <w:rFonts w:eastAsia="Segoe UI" w:cs="Segoe UI" w:ascii="Segoe UI" w:hAnsi="Segoe UI"/>
          <w:color w:val="101820"/>
          <w:sz w:val="21"/>
        </w:rPr>
        <w:t xml:space="preserve">, </w:t>
      </w:r>
      <w:r>
        <w:rPr>
          <w:rFonts w:eastAsia="Segoe UI" w:cs="Segoe UI" w:ascii="Segoe UI" w:hAnsi="Segoe UI"/>
          <w:b/>
          <w:color w:val="101820"/>
          <w:sz w:val="21"/>
        </w:rPr>
        <w:t>Amount received</w:t>
      </w:r>
      <w:r>
        <w:rPr>
          <w:rFonts w:eastAsia="Segoe UI" w:cs="Segoe UI" w:ascii="Segoe UI" w:hAnsi="Segoe UI"/>
          <w:color w:val="101820"/>
          <w:sz w:val="21"/>
        </w:rPr>
        <w:t xml:space="preserve">, </w:t>
      </w:r>
      <w:r>
        <w:rPr>
          <w:rFonts w:eastAsia="Segoe UI" w:cs="Segoe UI" w:ascii="Segoe UI" w:hAnsi="Segoe UI"/>
          <w:b/>
          <w:color w:val="101820"/>
          <w:sz w:val="21"/>
        </w:rPr>
        <w:t>Tax withheld (2307)</w:t>
      </w:r>
      <w:r>
        <w:rPr>
          <w:rFonts w:eastAsia="Segoe UI" w:cs="Segoe UI" w:ascii="Segoe UI" w:hAnsi="Segoe UI"/>
          <w:color w:val="101820"/>
          <w:sz w:val="21"/>
        </w:rPr>
        <w:t xml:space="preserve">, </w:t>
      </w:r>
      <w:r>
        <w:rPr>
          <w:rFonts w:eastAsia="Segoe UI" w:cs="Segoe UI" w:ascii="Segoe UI" w:hAnsi="Segoe UI"/>
          <w:b/>
          <w:color w:val="101820"/>
          <w:sz w:val="21"/>
        </w:rPr>
        <w:t>BIR Form 2307 no.</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The payment acknowledgement (PAR-YYYY-NNNNN, title </w:t>
      </w:r>
      <w:r>
        <w:rPr>
          <w:rFonts w:eastAsia="Consolas" w:cs="Consolas" w:ascii="Consolas" w:hAnsi="Consolas"/>
          <w:color w:val="101820"/>
          <w:sz w:val="19"/>
        </w:rPr>
        <w:t>invoice.payment_document_title</w:t>
      </w:r>
      <w:r>
        <w:rPr>
          <w:rFonts w:eastAsia="Segoe UI" w:cs="Segoe UI" w:ascii="Segoe UI" w:hAnsi="Segoe UI"/>
          <w:color w:val="101820"/>
          <w:sz w:val="21"/>
        </w:rPr>
        <w:t xml:space="preserve">) is a supplementary document printed with </w:t>
      </w:r>
      <w:r>
        <w:rPr>
          <w:rFonts w:eastAsia="Consolas" w:cs="Consolas" w:ascii="Consolas" w:hAnsi="Consolas"/>
          <w:color w:val="101820"/>
          <w:sz w:val="19"/>
        </w:rPr>
        <w:t>invoice.supplementary_note</w:t>
      </w:r>
      <w:r>
        <w:rPr>
          <w:rFonts w:eastAsia="Segoe UI" w:cs="Segoe UI" w:ascii="Segoe UI" w:hAnsi="Segoe UI"/>
          <w:color w:val="101820"/>
          <w:sz w:val="21"/>
        </w:rPr>
        <w:t xml:space="preserve"> ("not valid for claim of input tax"); it posts </w:t>
      </w:r>
      <w:r>
        <w:rPr>
          <w:rFonts w:eastAsia="Consolas" w:cs="Consolas" w:ascii="Consolas" w:hAnsi="Consolas"/>
          <w:color w:val="101820"/>
          <w:sz w:val="19"/>
        </w:rPr>
        <w:t>sales_invoice.payment</w:t>
      </w:r>
      <w:r>
        <w:rPr>
          <w:rFonts w:eastAsia="Segoe UI" w:cs="Segoe UI" w:ascii="Segoe UI" w:hAnsi="Segoe UI"/>
          <w:color w:val="101820"/>
          <w:sz w:val="21"/>
        </w:rPr>
        <w:t>.</w:t>
      </w:r>
    </w:p>
    <w:p>
      <w:pPr>
        <w:pStyle w:val="Normal"/>
        <w:numPr>
          <w:ilvl w:val="0"/>
          <w:numId w:val="460"/>
        </w:numPr>
        <w:spacing w:before="0" w:after="60"/>
        <w:rPr/>
      </w:pPr>
      <w:r>
        <w:rPr>
          <w:rFonts w:eastAsia="Segoe UI" w:cs="Segoe UI" w:ascii="Segoe UI" w:hAnsi="Segoe UI"/>
          <w:b/>
          <w:color w:val="101820"/>
          <w:sz w:val="21"/>
        </w:rPr>
        <w:t>Cancel invoice</w:t>
      </w:r>
      <w:r>
        <w:rPr>
          <w:rFonts w:eastAsia="Segoe UI" w:cs="Segoe UI" w:ascii="Segoe UI" w:hAnsi="Segoe UI"/>
          <w:color w:val="101820"/>
          <w:sz w:val="21"/>
        </w:rPr>
        <w:t xml:space="preserve"> asks for a reason; the invoice keeps its number and prints CANCELLED; a manual invoice's journal is reversed. Cancel its payments first.</w:t>
      </w:r>
    </w:p>
    <w:p>
      <w:pPr>
        <w:pStyle w:val="Normal"/>
        <w:spacing w:lineRule="auto" w:line="276" w:before="0" w:after="120"/>
        <w:rPr/>
      </w:pPr>
      <w:r>
        <w:rPr>
          <w:rFonts w:eastAsia="Segoe UI" w:cs="Segoe UI" w:ascii="Segoe UI" w:hAnsi="Segoe UI"/>
          <w:color w:val="101820"/>
          <w:sz w:val="21"/>
        </w:rPr>
        <w:t xml:space="preserve">Premium collection receipts (Accounts &gt; Receipts) print the title in </w:t>
      </w:r>
      <w:r>
        <w:rPr>
          <w:rFonts w:eastAsia="Consolas" w:cs="Consolas" w:ascii="Consolas" w:hAnsi="Consolas"/>
          <w:color w:val="101820"/>
          <w:sz w:val="19"/>
        </w:rPr>
        <w:t>receipts.document_title</w:t>
      </w:r>
      <w:r>
        <w:rPr>
          <w:rFonts w:eastAsia="Segoe UI" w:cs="Segoe UI" w:ascii="Segoe UI" w:hAnsi="Segoe UI"/>
          <w:color w:val="101820"/>
          <w:sz w:val="21"/>
        </w:rPr>
        <w:t xml:space="preserve"> (Official Receipt by default; for example Collection Receipt once the tax adviser confirms), with the supplementary statement once the title is changed.</w:t>
      </w:r>
    </w:p>
    <w:p>
      <w:pPr>
        <w:pStyle w:val="Normal"/>
        <w:shd w:val="clear" w:color="auto" w:fill="EAF2FB"/>
        <w:spacing w:before="0" w:after="160"/>
        <w:ind w:left="170"/>
        <w:rPr/>
      </w:pPr>
      <w:r>
        <w:rPr>
          <w:rFonts w:eastAsia="Segoe UI" w:cs="Segoe UI" w:ascii="Segoe UI" w:hAnsi="Segoe UI"/>
          <w:color w:val="101820"/>
          <w:sz w:val="20"/>
        </w:rPr>
        <w:t>What the system does and what the tax adviser confirms: the system issues the sales invoice for commission and fees and treats receipts as supplementary documents. The tax adviser confirms which documents are registered as the broker's invoices, the wording of the supplementary documents, the VAT treatment of each commission stream, the buyer details threshold, and whether the invoices are registered as system-generated (CAS) or printed under an ATP.</w:t>
      </w:r>
    </w:p>
    <w:p>
      <w:pPr>
        <w:pStyle w:val="Heading3"/>
        <w:rPr/>
      </w:pPr>
      <w:r>
        <w:rPr>
          <w:rFonts w:eastAsia="Segoe UI" w:cs="Segoe UI"/>
          <w:b/>
          <w:color w:val="0F4761"/>
          <w:sz w:val="23"/>
        </w:rPr>
        <w:t>12.21.6  E-invoicing (EIS)</w:t>
      </w:r>
    </w:p>
    <w:p>
      <w:pPr>
        <w:pStyle w:val="Normal"/>
        <w:spacing w:lineRule="auto" w:line="276" w:before="0" w:after="120"/>
        <w:rPr/>
      </w:pPr>
      <w:r>
        <w:rPr>
          <w:rFonts w:eastAsia="Segoe UI" w:cs="Segoe UI" w:ascii="Segoe UI" w:hAnsi="Segoe UI"/>
          <w:color w:val="101820"/>
          <w:sz w:val="21"/>
        </w:rPr>
        <w:t>The connector to the BIR Electronic Invoicing System is switched off by default (</w:t>
      </w:r>
      <w:r>
        <w:rPr>
          <w:rFonts w:eastAsia="Consolas" w:cs="Consolas" w:ascii="Consolas" w:hAnsi="Consolas"/>
          <w:color w:val="101820"/>
          <w:sz w:val="19"/>
        </w:rPr>
        <w:t>eis.enabled</w:t>
      </w:r>
      <w:r>
        <w:rPr>
          <w:rFonts w:eastAsia="Segoe UI" w:cs="Segoe UI" w:ascii="Segoe UI" w:hAnsi="Segoe UI"/>
          <w:color w:val="101820"/>
          <w:sz w:val="21"/>
        </w:rPr>
        <w:t xml:space="preserve">). When the broker is enrolled with the EIS, set the </w:t>
      </w:r>
      <w:r>
        <w:rPr>
          <w:rFonts w:eastAsia="Segoe UI" w:cs="Segoe UI" w:ascii="Segoe UI" w:hAnsi="Segoe UI"/>
          <w:b/>
          <w:color w:val="101820"/>
          <w:sz w:val="21"/>
        </w:rPr>
        <w:t>E-invoicing (EIS)</w:t>
      </w:r>
      <w:r>
        <w:rPr>
          <w:rFonts w:eastAsia="Segoe UI" w:cs="Segoe UI" w:ascii="Segoe UI" w:hAnsi="Segoe UI"/>
          <w:color w:val="101820"/>
          <w:sz w:val="21"/>
        </w:rPr>
        <w:t xml:space="preserve"> group in Master &gt; Configuration: </w:t>
      </w:r>
      <w:r>
        <w:rPr>
          <w:rFonts w:eastAsia="Consolas" w:cs="Consolas" w:ascii="Consolas" w:hAnsi="Consolas"/>
          <w:color w:val="101820"/>
          <w:sz w:val="19"/>
        </w:rPr>
        <w:t>eis.mode</w:t>
      </w:r>
      <w:r>
        <w:rPr>
          <w:rFonts w:eastAsia="Segoe UI" w:cs="Segoe UI" w:ascii="Segoe UI" w:hAnsi="Segoe UI"/>
          <w:color w:val="101820"/>
          <w:sz w:val="21"/>
        </w:rPr>
        <w:t xml:space="preserve"> (test: the built-in fake provider, nothing leaves the system; live: the configured endpoint), </w:t>
      </w:r>
      <w:r>
        <w:rPr>
          <w:rFonts w:eastAsia="Consolas" w:cs="Consolas" w:ascii="Consolas" w:hAnsi="Consolas"/>
          <w:color w:val="101820"/>
          <w:sz w:val="19"/>
        </w:rPr>
        <w:t>eis.endpoint</w:t>
      </w:r>
      <w:r>
        <w:rPr>
          <w:rFonts w:eastAsia="Segoe UI" w:cs="Segoe UI" w:ascii="Segoe UI" w:hAnsi="Segoe UI"/>
          <w:color w:val="101820"/>
          <w:sz w:val="21"/>
        </w:rPr>
        <w:t xml:space="preserve">, </w:t>
      </w:r>
      <w:r>
        <w:rPr>
          <w:rFonts w:eastAsia="Consolas" w:cs="Consolas" w:ascii="Consolas" w:hAnsi="Consolas"/>
          <w:color w:val="101820"/>
          <w:sz w:val="19"/>
        </w:rPr>
        <w:t>eis.token_endpoint</w:t>
      </w:r>
      <w:r>
        <w:rPr>
          <w:rFonts w:eastAsia="Segoe UI" w:cs="Segoe UI" w:ascii="Segoe UI" w:hAnsi="Segoe UI"/>
          <w:color w:val="101820"/>
          <w:sz w:val="21"/>
        </w:rPr>
        <w:t xml:space="preserve">, </w:t>
      </w:r>
      <w:r>
        <w:rPr>
          <w:rFonts w:eastAsia="Consolas" w:cs="Consolas" w:ascii="Consolas" w:hAnsi="Consolas"/>
          <w:color w:val="101820"/>
          <w:sz w:val="19"/>
        </w:rPr>
        <w:t>eis.accreditation_id</w:t>
      </w:r>
      <w:r>
        <w:rPr>
          <w:rFonts w:eastAsia="Segoe UI" w:cs="Segoe UI" w:ascii="Segoe UI" w:hAnsi="Segoe UI"/>
          <w:color w:val="101820"/>
          <w:sz w:val="21"/>
        </w:rPr>
        <w:t>, and the names of the environment variables that hold the client id, the client secret and the signing key (</w:t>
      </w:r>
      <w:r>
        <w:rPr>
          <w:rFonts w:eastAsia="Consolas" w:cs="Consolas" w:ascii="Consolas" w:hAnsi="Consolas"/>
          <w:color w:val="101820"/>
          <w:sz w:val="19"/>
        </w:rPr>
        <w:t>eis.client_id_env</w:t>
      </w:r>
      <w:r>
        <w:rPr>
          <w:rFonts w:eastAsia="Segoe UI" w:cs="Segoe UI" w:ascii="Segoe UI" w:hAnsi="Segoe UI"/>
          <w:color w:val="101820"/>
          <w:sz w:val="21"/>
        </w:rPr>
        <w:t xml:space="preserve">, </w:t>
      </w:r>
      <w:r>
        <w:rPr>
          <w:rFonts w:eastAsia="Consolas" w:cs="Consolas" w:ascii="Consolas" w:hAnsi="Consolas"/>
          <w:color w:val="101820"/>
          <w:sz w:val="19"/>
        </w:rPr>
        <w:t>eis.client_secret_env</w:t>
      </w:r>
      <w:r>
        <w:rPr>
          <w:rFonts w:eastAsia="Segoe UI" w:cs="Segoe UI" w:ascii="Segoe UI" w:hAnsi="Segoe UI"/>
          <w:color w:val="101820"/>
          <w:sz w:val="21"/>
        </w:rPr>
        <w:t xml:space="preserve">, </w:t>
      </w:r>
      <w:r>
        <w:rPr>
          <w:rFonts w:eastAsia="Consolas" w:cs="Consolas" w:ascii="Consolas" w:hAnsi="Consolas"/>
          <w:color w:val="101820"/>
          <w:sz w:val="19"/>
        </w:rPr>
        <w:t>eis.signing_key_env</w:t>
      </w:r>
      <w:r>
        <w:rPr>
          <w:rFonts w:eastAsia="Segoe UI" w:cs="Segoe UI" w:ascii="Segoe UI" w:hAnsi="Segoe UI"/>
          <w:color w:val="101820"/>
          <w:sz w:val="21"/>
        </w:rPr>
        <w:t>; the values are set on the server by IT, never in the system).</w:t>
      </w:r>
    </w:p>
    <w:p>
      <w:pPr>
        <w:pStyle w:val="Normal"/>
        <w:jc w:val="center"/>
        <w:rPr/>
      </w:pPr>
      <w:r>
        <w:rPr/>
        <w:drawing>
          <wp:inline distT="0" distB="0" distL="0" distR="0">
            <wp:extent cx="5760085" cy="4469130"/>
            <wp:effectExtent l="0" t="0" r="0" b="0"/>
            <wp:docPr id="157" name="Picture 21212883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2121288337" descr=""/>
                    <pic:cNvPicPr>
                      <a:picLocks noChangeAspect="1" noChangeArrowheads="1"/>
                    </pic:cNvPicPr>
                  </pic:nvPicPr>
                  <pic:blipFill>
                    <a:blip r:embed="rId15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E-Invoicing (EIS)</w:t>
      </w:r>
    </w:p>
    <w:p>
      <w:pPr>
        <w:pStyle w:val="Normal"/>
        <w:numPr>
          <w:ilvl w:val="0"/>
          <w:numId w:val="461"/>
        </w:numPr>
        <w:spacing w:before="0" w:after="60"/>
        <w:rPr/>
      </w:pPr>
      <w:r>
        <w:rPr>
          <w:rFonts w:eastAsia="Segoe UI" w:cs="Segoe UI" w:ascii="Segoe UI" w:hAnsi="Segoe UI"/>
          <w:color w:val="101820"/>
          <w:sz w:val="21"/>
        </w:rPr>
        <w:t>Choose Accounts &gt; Tax &gt; E-Invoicing (EIS). The banner shows whether the connector is on, the mode, the endpoint and whether the credentials are set; the counters show the queued, accepted, failed, rejected and manually uploaded submissions.</w:t>
      </w:r>
    </w:p>
    <w:p>
      <w:pPr>
        <w:pStyle w:val="Normal"/>
        <w:numPr>
          <w:ilvl w:val="0"/>
          <w:numId w:val="462"/>
        </w:numPr>
        <w:spacing w:before="0" w:after="60"/>
        <w:rPr/>
      </w:pPr>
      <w:r>
        <w:rPr>
          <w:rFonts w:eastAsia="Segoe UI" w:cs="Segoe UI" w:ascii="Segoe UI" w:hAnsi="Segoe UI"/>
          <w:color w:val="101820"/>
          <w:sz w:val="21"/>
        </w:rPr>
        <w:t xml:space="preserve">Each invoice issued (and each cancellation of an invoice already sent) is queued with its payload, a SHA-256 hash and the signature. The eis-outbox job (Master &gt; Schedules, every 15 minutes, switched off by default) or </w:t>
      </w:r>
      <w:r>
        <w:rPr>
          <w:rFonts w:eastAsia="Segoe UI" w:cs="Segoe UI" w:ascii="Segoe UI" w:hAnsi="Segoe UI"/>
          <w:b/>
          <w:color w:val="101820"/>
          <w:sz w:val="21"/>
        </w:rPr>
        <w:t>Send now</w:t>
      </w:r>
      <w:r>
        <w:rPr>
          <w:rFonts w:eastAsia="Segoe UI" w:cs="Segoe UI" w:ascii="Segoe UI" w:hAnsi="Segoe UI"/>
          <w:color w:val="101820"/>
          <w:sz w:val="21"/>
        </w:rPr>
        <w:t xml:space="preserve"> sends what is due. A failure is retried after </w:t>
      </w:r>
      <w:r>
        <w:rPr>
          <w:rFonts w:eastAsia="Consolas" w:cs="Consolas" w:ascii="Consolas" w:hAnsi="Consolas"/>
          <w:color w:val="101820"/>
          <w:sz w:val="19"/>
        </w:rPr>
        <w:t>eis.retry_minutes</w:t>
      </w:r>
      <w:r>
        <w:rPr>
          <w:rFonts w:eastAsia="Segoe UI" w:cs="Segoe UI" w:ascii="Segoe UI" w:hAnsi="Segoe UI"/>
          <w:color w:val="101820"/>
          <w:sz w:val="21"/>
        </w:rPr>
        <w:t xml:space="preserve">, doubled at each attempt, up to </w:t>
      </w:r>
      <w:r>
        <w:rPr>
          <w:rFonts w:eastAsia="Consolas" w:cs="Consolas" w:ascii="Consolas" w:hAnsi="Consolas"/>
          <w:color w:val="101820"/>
          <w:sz w:val="19"/>
        </w:rPr>
        <w:t>eis.max_attempts</w:t>
      </w:r>
      <w:r>
        <w:rPr>
          <w:rFonts w:eastAsia="Segoe UI" w:cs="Segoe UI" w:ascii="Segoe UI" w:hAnsi="Segoe UI"/>
          <w:color w:val="101820"/>
          <w:sz w:val="21"/>
        </w:rPr>
        <w:t xml:space="preserve">; a rejection is final (cancel and reissue the invoice). A submission left in </w:t>
      </w:r>
      <w:r>
        <w:rPr>
          <w:rFonts w:eastAsia="Segoe UI" w:cs="Segoe UI" w:ascii="Segoe UI" w:hAnsi="Segoe UI"/>
          <w:b/>
          <w:color w:val="101820"/>
          <w:sz w:val="21"/>
        </w:rPr>
        <w:t>Sending</w:t>
      </w:r>
      <w:r>
        <w:rPr>
          <w:rFonts w:eastAsia="Segoe UI" w:cs="Segoe UI" w:ascii="Segoe UI" w:hAnsi="Segoe UI"/>
          <w:color w:val="101820"/>
          <w:sz w:val="21"/>
        </w:rPr>
        <w:t xml:space="preserve"> longer than </w:t>
      </w:r>
      <w:r>
        <w:rPr>
          <w:rFonts w:eastAsia="Consolas" w:cs="Consolas" w:ascii="Consolas" w:hAnsi="Consolas"/>
          <w:color w:val="101820"/>
          <w:sz w:val="19"/>
        </w:rPr>
        <w:t>eis.sending_stale_minutes</w:t>
      </w:r>
      <w:r>
        <w:rPr>
          <w:rFonts w:eastAsia="Segoe UI" w:cs="Segoe UI" w:ascii="Segoe UI" w:hAnsi="Segoe UI"/>
          <w:color w:val="101820"/>
          <w:sz w:val="21"/>
        </w:rPr>
        <w:t xml:space="preserve"> (15; the server stopped during the call) counts as a failed attempt and is sent again at the next run.</w:t>
      </w:r>
    </w:p>
    <w:p>
      <w:pPr>
        <w:pStyle w:val="Normal"/>
        <w:numPr>
          <w:ilvl w:val="0"/>
          <w:numId w:val="463"/>
        </w:numPr>
        <w:spacing w:before="0" w:after="60"/>
        <w:rPr/>
      </w:pPr>
      <w:r>
        <w:rPr>
          <w:rFonts w:eastAsia="Segoe UI" w:cs="Segoe UI" w:ascii="Segoe UI" w:hAnsi="Segoe UI"/>
          <w:b/>
          <w:color w:val="101820"/>
          <w:sz w:val="21"/>
        </w:rPr>
        <w:t>Retry</w:t>
      </w:r>
      <w:r>
        <w:rPr>
          <w:rFonts w:eastAsia="Segoe UI" w:cs="Segoe UI" w:ascii="Segoe UI" w:hAnsi="Segoe UI"/>
          <w:color w:val="101820"/>
          <w:sz w:val="21"/>
        </w:rPr>
        <w:t xml:space="preserve"> puts a failed or rejected submission back in the queue. </w:t>
      </w:r>
      <w:r>
        <w:rPr>
          <w:rFonts w:eastAsia="Segoe UI" w:cs="Segoe UI" w:ascii="Segoe UI" w:hAnsi="Segoe UI"/>
          <w:b/>
          <w:color w:val="101820"/>
          <w:sz w:val="21"/>
        </w:rPr>
        <w:t>Queue earlier invoices</w:t>
      </w:r>
      <w:r>
        <w:rPr>
          <w:rFonts w:eastAsia="Segoe UI" w:cs="Segoe UI" w:ascii="Segoe UI" w:hAnsi="Segoe UI"/>
          <w:color w:val="101820"/>
          <w:sz w:val="21"/>
        </w:rPr>
        <w:t xml:space="preserve"> queues the invoices of a date range issued before the connector was switched on.</w:t>
      </w:r>
    </w:p>
    <w:p>
      <w:pPr>
        <w:pStyle w:val="Normal"/>
        <w:numPr>
          <w:ilvl w:val="0"/>
          <w:numId w:val="464"/>
        </w:numPr>
        <w:spacing w:before="0" w:after="60"/>
        <w:rPr/>
      </w:pPr>
      <w:r>
        <w:rPr>
          <w:rFonts w:eastAsia="Segoe UI" w:cs="Segoe UI" w:ascii="Segoe UI" w:hAnsi="Segoe UI"/>
          <w:color w:val="101820"/>
          <w:sz w:val="21"/>
        </w:rPr>
        <w:t xml:space="preserve">Fallback: </w:t>
      </w:r>
      <w:r>
        <w:rPr>
          <w:rFonts w:eastAsia="Segoe UI" w:cs="Segoe UI" w:ascii="Segoe UI" w:hAnsi="Segoe UI"/>
          <w:b/>
          <w:color w:val="101820"/>
          <w:sz w:val="21"/>
        </w:rPr>
        <w:t>Export payloads</w:t>
      </w:r>
      <w:r>
        <w:rPr>
          <w:rFonts w:eastAsia="Segoe UI" w:cs="Segoe UI" w:ascii="Segoe UI" w:hAnsi="Segoe UI"/>
          <w:color w:val="101820"/>
          <w:sz w:val="21"/>
        </w:rPr>
        <w:t xml:space="preserve"> downloads the queued and failed payloads as one JSON file for a manual upload; then </w:t>
      </w:r>
      <w:r>
        <w:rPr>
          <w:rFonts w:eastAsia="Segoe UI" w:cs="Segoe UI" w:ascii="Segoe UI" w:hAnsi="Segoe UI"/>
          <w:b/>
          <w:color w:val="101820"/>
          <w:sz w:val="21"/>
        </w:rPr>
        <w:t>Uploaded manually</w:t>
      </w:r>
      <w:r>
        <w:rPr>
          <w:rFonts w:eastAsia="Segoe UI" w:cs="Segoe UI" w:ascii="Segoe UI" w:hAnsi="Segoe UI"/>
          <w:color w:val="101820"/>
          <w:sz w:val="21"/>
        </w:rPr>
        <w:t xml:space="preserve"> records the reference the BIR gave.</w:t>
      </w:r>
    </w:p>
    <w:p>
      <w:pPr>
        <w:pStyle w:val="Normal"/>
        <w:spacing w:lineRule="auto" w:line="276" w:before="0" w:after="120"/>
        <w:rPr/>
      </w:pPr>
      <w:r>
        <w:rPr>
          <w:rFonts w:eastAsia="Segoe UI" w:cs="Segoe UI" w:ascii="Segoe UI" w:hAnsi="Segoe UI"/>
          <w:color w:val="101820"/>
          <w:sz w:val="21"/>
        </w:rPr>
        <w:t>The EIS enrolment and certification of the broker, the final field list and signing certificate, the production endpoint and credentials stay with the BIR.</w:t>
      </w:r>
    </w:p>
    <w:p>
      <w:pPr>
        <w:pStyle w:val="Heading3"/>
        <w:rPr/>
      </w:pPr>
      <w:r>
        <w:rPr>
          <w:rFonts w:eastAsia="Segoe UI" w:cs="Segoe UI"/>
          <w:b/>
          <w:color w:val="0F4761"/>
          <w:sz w:val="23"/>
        </w:rPr>
        <w:t>12.21.7  CAS books and documents</w:t>
      </w:r>
    </w:p>
    <w:p>
      <w:pPr>
        <w:pStyle w:val="Normal"/>
        <w:spacing w:lineRule="auto" w:line="276" w:before="0" w:after="120"/>
        <w:rPr/>
      </w:pPr>
      <w:r>
        <w:rPr>
          <w:rFonts w:eastAsia="Segoe UI" w:cs="Segoe UI" w:ascii="Segoe UI" w:hAnsi="Segoe UI"/>
          <w:color w:val="101820"/>
          <w:sz w:val="21"/>
        </w:rPr>
        <w:t>Choose Accounts &gt; Tax &gt; CAS Books and Documents.</w:t>
      </w:r>
    </w:p>
    <w:p>
      <w:pPr>
        <w:pStyle w:val="Normal"/>
        <w:jc w:val="center"/>
        <w:rPr/>
      </w:pPr>
      <w:r>
        <w:rPr/>
        <w:drawing>
          <wp:inline distT="0" distB="0" distL="0" distR="0">
            <wp:extent cx="5760085" cy="4469130"/>
            <wp:effectExtent l="0" t="0" r="0" b="0"/>
            <wp:docPr id="158" name="Picture 21212883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121288338" descr=""/>
                    <pic:cNvPicPr>
                      <a:picLocks noChangeAspect="1" noChangeArrowheads="1"/>
                    </pic:cNvPicPr>
                  </pic:nvPicPr>
                  <pic:blipFill>
                    <a:blip r:embed="rId1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CAS Books and Documents</w:t>
      </w:r>
    </w:p>
    <w:p>
      <w:pPr>
        <w:pStyle w:val="Normal"/>
        <w:numPr>
          <w:ilvl w:val="0"/>
          <w:numId w:val="465"/>
        </w:numPr>
        <w:spacing w:before="0" w:after="60"/>
        <w:rPr/>
      </w:pPr>
      <w:r>
        <w:rPr>
          <w:rFonts w:eastAsia="Segoe UI" w:cs="Segoe UI" w:ascii="Segoe UI" w:hAnsi="Segoe UI"/>
          <w:b/>
          <w:color w:val="101820"/>
          <w:sz w:val="21"/>
        </w:rPr>
        <w:t>Readiness</w:t>
      </w:r>
      <w:r>
        <w:rPr>
          <w:rFonts w:eastAsia="Segoe UI" w:cs="Segoe UI" w:ascii="Segoe UI" w:hAnsi="Segoe UI"/>
          <w:color w:val="101820"/>
          <w:sz w:val="21"/>
        </w:rPr>
        <w:t xml:space="preserve"> lists what the registration pack needs: the taxpayer details and RDO (Master &gt; Company), the CAS permit number (</w:t>
      </w:r>
      <w:r>
        <w:rPr>
          <w:rFonts w:eastAsia="Consolas" w:cs="Consolas" w:ascii="Consolas" w:hAnsi="Consolas"/>
          <w:color w:val="101820"/>
          <w:sz w:val="19"/>
        </w:rPr>
        <w:t>cas.permit_number</w:t>
      </w:r>
      <w:r>
        <w:rPr>
          <w:rFonts w:eastAsia="Segoe UI" w:cs="Segoe UI" w:ascii="Segoe UI" w:hAnsi="Segoe UI"/>
          <w:color w:val="101820"/>
          <w:sz w:val="21"/>
        </w:rPr>
        <w:t>), the invoice ATP or acknowledgement, the backup custodian (</w:t>
      </w:r>
      <w:r>
        <w:rPr>
          <w:rFonts w:eastAsia="Consolas" w:cs="Consolas" w:ascii="Consolas" w:hAnsi="Consolas"/>
          <w:color w:val="101820"/>
          <w:sz w:val="19"/>
        </w:rPr>
        <w:t>cas.backup_custodian</w:t>
      </w:r>
      <w:r>
        <w:rPr>
          <w:rFonts w:eastAsia="Segoe UI" w:cs="Segoe UI" w:ascii="Segoe UI" w:hAnsi="Segoe UI"/>
          <w:color w:val="101820"/>
          <w:sz w:val="21"/>
        </w:rPr>
        <w:t>), the system contact (</w:t>
      </w:r>
      <w:r>
        <w:rPr>
          <w:rFonts w:eastAsia="Consolas" w:cs="Consolas" w:ascii="Consolas" w:hAnsi="Consolas"/>
          <w:color w:val="101820"/>
          <w:sz w:val="19"/>
        </w:rPr>
        <w:t>cas.system_contact</w:t>
      </w:r>
      <w:r>
        <w:rPr>
          <w:rFonts w:eastAsia="Segoe UI" w:cs="Segoe UI" w:ascii="Segoe UI" w:hAnsi="Segoe UI"/>
          <w:color w:val="101820"/>
          <w:sz w:val="21"/>
        </w:rPr>
        <w:t>) and at least one book printed.</w:t>
      </w:r>
    </w:p>
    <w:p>
      <w:pPr>
        <w:pStyle w:val="Normal"/>
        <w:numPr>
          <w:ilvl w:val="0"/>
          <w:numId w:val="46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Book</w:t>
      </w:r>
      <w:r>
        <w:rPr>
          <w:rFonts w:eastAsia="Segoe UI" w:cs="Segoe UI" w:ascii="Segoe UI" w:hAnsi="Segoe UI"/>
          <w:color w:val="101820"/>
          <w:sz w:val="21"/>
        </w:rPr>
        <w:t xml:space="preserve"> (General Journal, General Ledger, Cash Receipts Book, Cash Disbursements Book, Sales Book or Purchase Book) and the month. The entries show on screen; </w:t>
      </w:r>
      <w:r>
        <w:rPr>
          <w:rFonts w:eastAsia="Segoe UI" w:cs="Segoe UI" w:ascii="Segoe UI" w:hAnsi="Segoe UI"/>
          <w:b/>
          <w:color w:val="101820"/>
          <w:sz w:val="21"/>
        </w:rPr>
        <w:t>Excel</w:t>
      </w:r>
      <w:r>
        <w:rPr>
          <w:rFonts w:eastAsia="Segoe UI" w:cs="Segoe UI" w:ascii="Segoe UI" w:hAnsi="Segoe UI"/>
          <w:color w:val="101820"/>
          <w:sz w:val="21"/>
        </w:rPr>
        <w:t xml:space="preserve"> exports them.</w:t>
      </w:r>
    </w:p>
    <w:p>
      <w:pPr>
        <w:pStyle w:val="Normal"/>
        <w:numPr>
          <w:ilvl w:val="0"/>
          <w:numId w:val="46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Print book</w:t>
      </w:r>
      <w:r>
        <w:rPr>
          <w:rFonts w:eastAsia="Segoe UI" w:cs="Segoe UI" w:ascii="Segoe UI" w:hAnsi="Segoe UI"/>
          <w:color w:val="101820"/>
          <w:sz w:val="21"/>
        </w:rPr>
        <w:t xml:space="preserve">. The PDF carries the taxpayer, TIN, period and CAS permit, and page numbers that run on through the year ("General Journal 2026 page 13"). With </w:t>
      </w:r>
      <w:r>
        <w:rPr>
          <w:rFonts w:eastAsia="Consolas" w:cs="Consolas" w:ascii="Consolas" w:hAnsi="Consolas"/>
          <w:color w:val="101820"/>
          <w:sz w:val="19"/>
        </w:rPr>
        <w:t>cas.enforce_print_order</w:t>
      </w:r>
      <w:r>
        <w:rPr>
          <w:rFonts w:eastAsia="Segoe UI" w:cs="Segoe UI" w:ascii="Segoe UI" w:hAnsi="Segoe UI"/>
          <w:color w:val="101820"/>
          <w:sz w:val="21"/>
        </w:rPr>
        <w:t xml:space="preserve"> on, a month is printed only after the previous month of the same book. A month is printed once; the </w:t>
      </w:r>
      <w:r>
        <w:rPr>
          <w:rFonts w:eastAsia="Segoe UI" w:cs="Segoe UI" w:ascii="Segoe UI" w:hAnsi="Segoe UI"/>
          <w:b/>
          <w:color w:val="101820"/>
          <w:sz w:val="21"/>
        </w:rPr>
        <w:t>Print register</w:t>
      </w:r>
      <w:r>
        <w:rPr>
          <w:rFonts w:eastAsia="Segoe UI" w:cs="Segoe UI" w:ascii="Segoe UI" w:hAnsi="Segoe UI"/>
          <w:color w:val="101820"/>
          <w:sz w:val="21"/>
        </w:rPr>
        <w:t xml:space="preserve"> lists every print with its pages, entries and date.</w:t>
      </w:r>
    </w:p>
    <w:p>
      <w:pPr>
        <w:pStyle w:val="Normal"/>
        <w:numPr>
          <w:ilvl w:val="0"/>
          <w:numId w:val="468"/>
        </w:numPr>
        <w:spacing w:before="0" w:after="60"/>
        <w:rPr/>
      </w:pPr>
      <w:r>
        <w:rPr>
          <w:rFonts w:eastAsia="Segoe UI" w:cs="Segoe UI" w:ascii="Segoe UI" w:hAnsi="Segoe UI"/>
          <w:b/>
          <w:color w:val="101820"/>
          <w:sz w:val="21"/>
        </w:rPr>
        <w:t>Reprint</w:t>
      </w:r>
      <w:r>
        <w:rPr>
          <w:rFonts w:eastAsia="Segoe UI" w:cs="Segoe UI" w:ascii="Segoe UI" w:hAnsi="Segoe UI"/>
          <w:color w:val="101820"/>
          <w:sz w:val="21"/>
        </w:rPr>
        <w:t xml:space="preserve"> produces the same pages again, marked REPRINT. </w:t>
      </w:r>
      <w:r>
        <w:rPr>
          <w:rFonts w:eastAsia="Segoe UI" w:cs="Segoe UI" w:ascii="Segoe UI" w:hAnsi="Segoe UI"/>
          <w:b/>
          <w:color w:val="101820"/>
          <w:sz w:val="21"/>
        </w:rPr>
        <w:t>Void print</w:t>
      </w:r>
      <w:r>
        <w:rPr>
          <w:rFonts w:eastAsia="Segoe UI" w:cs="Segoe UI" w:ascii="Segoe UI" w:hAnsi="Segoe UI"/>
          <w:color w:val="101820"/>
          <w:sz w:val="21"/>
        </w:rPr>
        <w:t xml:space="preserve"> (the latest print of a book only, with a reason) frees its pages for the next print.</w:t>
      </w:r>
    </w:p>
    <w:p>
      <w:pPr>
        <w:pStyle w:val="Normal"/>
        <w:numPr>
          <w:ilvl w:val="0"/>
          <w:numId w:val="469"/>
        </w:numPr>
        <w:spacing w:before="0" w:after="60"/>
        <w:rPr/>
      </w:pPr>
      <w:r>
        <w:rPr>
          <w:rFonts w:eastAsia="Segoe UI" w:cs="Segoe UI" w:ascii="Segoe UI" w:hAnsi="Segoe UI"/>
          <w:b/>
          <w:color w:val="101820"/>
          <w:sz w:val="21"/>
        </w:rPr>
        <w:t>System description</w:t>
      </w:r>
      <w:r>
        <w:rPr>
          <w:rFonts w:eastAsia="Segoe UI" w:cs="Segoe UI" w:ascii="Segoe UI" w:hAnsi="Segoe UI"/>
          <w:color w:val="101820"/>
          <w:sz w:val="21"/>
        </w:rPr>
        <w:t xml:space="preserve"> and </w:t>
      </w:r>
      <w:r>
        <w:rPr>
          <w:rFonts w:eastAsia="Segoe UI" w:cs="Segoe UI" w:ascii="Segoe UI" w:hAnsi="Segoe UI"/>
          <w:b/>
          <w:color w:val="101820"/>
          <w:sz w:val="21"/>
        </w:rPr>
        <w:t>Backup procedure</w:t>
      </w:r>
      <w:r>
        <w:rPr>
          <w:rFonts w:eastAsia="Segoe UI" w:cs="Segoe UI" w:ascii="Segoe UI" w:hAnsi="Segoe UI"/>
          <w:color w:val="101820"/>
          <w:sz w:val="21"/>
        </w:rPr>
        <w:t xml:space="preserve"> produce the documents of the registration file from the system and the </w:t>
      </w:r>
      <w:r>
        <w:rPr>
          <w:rFonts w:eastAsia="Consolas" w:cs="Consolas" w:ascii="Consolas" w:hAnsi="Consolas"/>
          <w:color w:val="101820"/>
          <w:sz w:val="19"/>
        </w:rPr>
        <w:t>cas.*</w:t>
      </w:r>
      <w:r>
        <w:rPr>
          <w:rFonts w:eastAsia="Segoe UI" w:cs="Segoe UI" w:ascii="Segoe UI" w:hAnsi="Segoe UI"/>
          <w:color w:val="101820"/>
          <w:sz w:val="21"/>
        </w:rPr>
        <w:t xml:space="preserve"> settings. </w:t>
      </w:r>
      <w:r>
        <w:rPr>
          <w:rFonts w:eastAsia="Segoe UI" w:cs="Segoe UI" w:ascii="Segoe UI" w:hAnsi="Segoe UI"/>
          <w:b/>
          <w:color w:val="101820"/>
          <w:sz w:val="21"/>
        </w:rPr>
        <w:t>Audit trail extract</w:t>
      </w:r>
      <w:r>
        <w:rPr>
          <w:rFonts w:eastAsia="Segoe UI" w:cs="Segoe UI" w:ascii="Segoe UI" w:hAnsi="Segoe UI"/>
          <w:color w:val="101820"/>
          <w:sz w:val="21"/>
        </w:rPr>
        <w:t xml:space="preserve"> downloads the audit trail of a date range in Excel or PDF.</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36" w:name="__RefHeading___Toc24540_3350804041"/>
      <w:bookmarkEnd w:id="136"/>
      <w:r>
        <w:rPr>
          <w:rFonts w:eastAsia="Segoe UI" w:cs="Segoe UI"/>
          <w:b/>
          <w:color w:val="0F4761"/>
          <w:sz w:val="26"/>
        </w:rPr>
        <w:t>12.22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59" name="Picture 21212883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2121288339" descr=""/>
                    <pic:cNvPicPr>
                      <a:picLocks noChangeAspect="1" noChangeArrowheads="1"/>
                    </pic:cNvPicPr>
                  </pic:nvPicPr>
                  <pic:blipFill>
                    <a:blip r:embed="rId1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12.22.1  Run the month-end close (preparer)</w:t>
      </w:r>
    </w:p>
    <w:p>
      <w:pPr>
        <w:pStyle w:val="Normal"/>
        <w:numPr>
          <w:ilvl w:val="0"/>
          <w:numId w:val="470"/>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471"/>
        </w:numPr>
        <w:spacing w:before="0" w:after="60"/>
        <w:rPr/>
      </w:pPr>
      <w:r>
        <w:rPr>
          <w:rFonts w:eastAsia="Segoe UI" w:cs="Segoe UI" w:ascii="Segoe UI" w:hAnsi="Segoe UI"/>
          <w:color w:val="101820"/>
          <w:sz w:val="21"/>
        </w:rPr>
        <w:t xml:space="preserve">The run (MEC-YYYY-NNNNN) executes its steps in order: (a) Accruals, (b) Recurring journals, (c) Commission deferral (Skipped when off), (d) FX revaluation, (e) Depreciation of the fixed asset register (posted once per asset and period; Skipped when </w:t>
      </w:r>
      <w:r>
        <w:rPr>
          <w:rFonts w:eastAsia="Consolas" w:cs="Consolas" w:ascii="Consolas" w:hAnsi="Consolas"/>
          <w:color w:val="101820"/>
          <w:sz w:val="19"/>
        </w:rPr>
        <w:t>fixed_assets.depreciation_in_month_end</w:t>
      </w:r>
      <w:r>
        <w:rPr>
          <w:rFonts w:eastAsia="Segoe UI" w:cs="Segoe UI" w:ascii="Segoe UI" w:hAnsi="Segoe UI"/>
          <w:color w:val="101820"/>
          <w:sz w:val="21"/>
        </w:rPr>
        <w:t xml:space="preserve"> is off), (f) Checklist.</w:t>
      </w:r>
    </w:p>
    <w:p>
      <w:pPr>
        <w:pStyle w:val="Normal"/>
        <w:numPr>
          <w:ilvl w:val="0"/>
          <w:numId w:val="472"/>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473"/>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474"/>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60" name="Picture 21212883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121288340" descr=""/>
                    <pic:cNvPicPr>
                      <a:picLocks noChangeAspect="1" noChangeArrowheads="1"/>
                    </pic:cNvPicPr>
                  </pic:nvPicPr>
                  <pic:blipFill>
                    <a:blip r:embed="rId156"/>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61" name="Picture 21212883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21288341" descr=""/>
                    <pic:cNvPicPr>
                      <a:picLocks noChangeAspect="1" noChangeArrowheads="1"/>
                    </pic:cNvPicPr>
                  </pic:nvPicPr>
                  <pic:blipFill>
                    <a:blip r:embed="rId15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12.22.2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62" name="Picture 21212883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121288342" descr=""/>
                    <pic:cNvPicPr>
                      <a:picLocks noChangeAspect="1" noChangeArrowheads="1"/>
                    </pic:cNvPicPr>
                  </pic:nvPicPr>
                  <pic:blipFill>
                    <a:blip r:embed="rId15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12.22.3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37" w:name="__RefHeading___Toc24542_3350804041"/>
      <w:bookmarkEnd w:id="137"/>
      <w:r>
        <w:rPr>
          <w:rFonts w:eastAsia="Segoe UI" w:cs="Segoe UI"/>
          <w:b/>
          <w:color w:val="0F4761"/>
          <w:sz w:val="26"/>
        </w:rPr>
        <w:t>12.23  Accounts payable</w:t>
      </w:r>
    </w:p>
    <w:p>
      <w:pPr>
        <w:pStyle w:val="Normal"/>
        <w:jc w:val="center"/>
        <w:rPr/>
      </w:pPr>
      <w:r>
        <w:rPr/>
        <w:drawing>
          <wp:inline distT="0" distB="0" distL="0" distR="0">
            <wp:extent cx="5760085" cy="4469130"/>
            <wp:effectExtent l="0" t="0" r="0" b="0"/>
            <wp:docPr id="163" name="Picture 21212883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121288343" descr=""/>
                    <pic:cNvPicPr>
                      <a:picLocks noChangeAspect="1" noChangeArrowheads="1"/>
                    </pic:cNvPicPr>
                  </pic:nvPicPr>
                  <pic:blipFill>
                    <a:blip r:embed="rId15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Invoices</w:t>
      </w:r>
    </w:p>
    <w:p>
      <w:pPr>
        <w:pStyle w:val="Normal"/>
        <w:spacing w:lineRule="auto" w:line="276" w:before="0" w:after="120"/>
        <w:rPr/>
      </w:pPr>
      <w:r>
        <w:rPr>
          <w:rFonts w:eastAsia="Segoe UI" w:cs="Segoe UI" w:ascii="Segoe UI" w:hAnsi="Segoe UI"/>
          <w:color w:val="101820"/>
          <w:sz w:val="21"/>
        </w:rPr>
        <w:t>Suppliers are kept on Accounts &gt; Payables &gt; Suppliers: TIN, address, VAT registration, the EWT tax code withheld (Master &gt; Finance &gt; Taxation, for example WC158 goods, WC160 services, WC100 rentals), payment terms and the default expense account.</w:t>
      </w:r>
    </w:p>
    <w:p>
      <w:pPr>
        <w:pStyle w:val="Normal"/>
        <w:numPr>
          <w:ilvl w:val="0"/>
          <w:numId w:val="475"/>
        </w:numPr>
        <w:spacing w:before="0" w:after="60"/>
        <w:rPr/>
      </w:pPr>
      <w:r>
        <w:rPr>
          <w:rFonts w:eastAsia="Segoe UI" w:cs="Segoe UI" w:ascii="Segoe UI" w:hAnsi="Segoe UI"/>
          <w:color w:val="101820"/>
          <w:sz w:val="21"/>
        </w:rPr>
        <w:t xml:space="preserve">Accounts &gt; Payables &gt; Supplier Invoices &gt; </w:t>
      </w:r>
      <w:r>
        <w:rPr>
          <w:rFonts w:eastAsia="Segoe UI" w:cs="Segoe UI" w:ascii="Segoe UI" w:hAnsi="Segoe UI"/>
          <w:b/>
          <w:color w:val="101820"/>
          <w:sz w:val="21"/>
        </w:rPr>
        <w:t>New supplier invoice</w:t>
      </w:r>
      <w:r>
        <w:rPr>
          <w:rFonts w:eastAsia="Segoe UI" w:cs="Segoe UI" w:ascii="Segoe UI" w:hAnsi="Segoe UI"/>
          <w:color w:val="101820"/>
          <w:sz w:val="21"/>
        </w:rPr>
        <w:t xml:space="preserve">: supplier, the supplier's invoice number and date, description, and one line per expense account (or an </w:t>
      </w:r>
      <w:r>
        <w:rPr>
          <w:rFonts w:eastAsia="Segoe UI" w:cs="Segoe UI" w:ascii="Segoe UI" w:hAnsi="Segoe UI"/>
          <w:b/>
          <w:color w:val="101820"/>
          <w:sz w:val="21"/>
        </w:rPr>
        <w:t>Asset class</w:t>
      </w:r>
      <w:r>
        <w:rPr>
          <w:rFonts w:eastAsia="Segoe UI" w:cs="Segoe UI" w:ascii="Segoe UI" w:hAnsi="Segoe UI"/>
          <w:color w:val="101820"/>
          <w:sz w:val="21"/>
        </w:rPr>
        <w:t xml:space="preserve"> for an asset bought). Input VAT is computed on the vatable lines of a VAT-registered supplier at the rate of </w:t>
      </w:r>
      <w:r>
        <w:rPr>
          <w:rFonts w:eastAsia="Consolas" w:cs="Consolas" w:ascii="Consolas" w:hAnsi="Consolas"/>
          <w:color w:val="101820"/>
          <w:sz w:val="19"/>
        </w:rPr>
        <w:t>payables.input_vat_code</w:t>
      </w:r>
      <w:r>
        <w:rPr>
          <w:rFonts w:eastAsia="Segoe UI" w:cs="Segoe UI" w:ascii="Segoe UI" w:hAnsi="Segoe UI"/>
          <w:color w:val="101820"/>
          <w:sz w:val="21"/>
        </w:rPr>
        <w:t>; the EWT at the rate of the supplier's EWT tax code on the amount net of VAT. The due date follows the payment terms. The same supplier invoice number cannot be recorded twice.</w:t>
      </w:r>
    </w:p>
    <w:p>
      <w:pPr>
        <w:pStyle w:val="Normal"/>
        <w:numPr>
          <w:ilvl w:val="0"/>
          <w:numId w:val="476"/>
        </w:numPr>
        <w:spacing w:before="0" w:after="60"/>
        <w:rPr/>
      </w:pPr>
      <w:r>
        <w:rPr>
          <w:rFonts w:eastAsia="Segoe UI" w:cs="Segoe UI" w:ascii="Segoe UI" w:hAnsi="Segoe UI"/>
          <w:b/>
          <w:color w:val="101820"/>
          <w:sz w:val="21"/>
        </w:rPr>
        <w:t>Save and submit</w:t>
      </w:r>
      <w:r>
        <w:rPr>
          <w:rFonts w:eastAsia="Segoe UI" w:cs="Segoe UI" w:ascii="Segoe UI" w:hAnsi="Segoe UI"/>
          <w:color w:val="101820"/>
          <w:sz w:val="21"/>
        </w:rPr>
        <w:t xml:space="preserve"> sends it for approval; the Accounting Manager (another user) approves it, which posts the journal (posting rule ap.invoice: Dr expense or asset, Dr input VAT / Cr EWT payable, Cr Accounts Payable - Suppliers), or rejects it with a reason. Without </w:t>
      </w:r>
      <w:r>
        <w:rPr>
          <w:rFonts w:eastAsia="Consolas" w:cs="Consolas" w:ascii="Consolas" w:hAnsi="Consolas"/>
          <w:color w:val="101820"/>
          <w:sz w:val="19"/>
        </w:rPr>
        <w:t>payables.maker_checker</w:t>
      </w:r>
      <w:r>
        <w:rPr>
          <w:rFonts w:eastAsia="Segoe UI" w:cs="Segoe UI" w:ascii="Segoe UI" w:hAnsi="Segoe UI"/>
          <w:color w:val="101820"/>
          <w:sz w:val="21"/>
        </w:rPr>
        <w:t xml:space="preserve"> the invoice posts when it is submitted. An asset line is registered in the fixed asset register on approval.</w:t>
      </w:r>
    </w:p>
    <w:p>
      <w:pPr>
        <w:pStyle w:val="Normal"/>
        <w:numPr>
          <w:ilvl w:val="0"/>
          <w:numId w:val="477"/>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gives the AP voucher with the journal. </w:t>
      </w:r>
      <w:r>
        <w:rPr>
          <w:rFonts w:eastAsia="Segoe UI" w:cs="Segoe UI" w:ascii="Segoe UI" w:hAnsi="Segoe UI"/>
          <w:b/>
          <w:color w:val="101820"/>
          <w:sz w:val="21"/>
        </w:rPr>
        <w:t>Cancel</w:t>
      </w:r>
      <w:r>
        <w:rPr>
          <w:rFonts w:eastAsia="Segoe UI" w:cs="Segoe UI" w:ascii="Segoe UI" w:hAnsi="Segoe UI"/>
          <w:color w:val="101820"/>
          <w:sz w:val="21"/>
        </w:rPr>
        <w:t xml:space="preserve"> an invoice without payments; an approved one is reversed.</w:t>
      </w:r>
    </w:p>
    <w:p>
      <w:pPr>
        <w:pStyle w:val="Normal"/>
        <w:numPr>
          <w:ilvl w:val="0"/>
          <w:numId w:val="478"/>
        </w:numPr>
        <w:spacing w:before="0" w:after="60"/>
        <w:rPr/>
      </w:pPr>
      <w:r>
        <w:rPr>
          <w:rFonts w:eastAsia="Segoe UI" w:cs="Segoe UI" w:ascii="Segoe UI" w:hAnsi="Segoe UI"/>
          <w:color w:val="101820"/>
          <w:sz w:val="21"/>
        </w:rPr>
        <w:t xml:space="preserve">Accounts &gt; Payables &gt; Supplier Payments &gt; </w:t>
      </w:r>
      <w:r>
        <w:rPr>
          <w:rFonts w:eastAsia="Segoe UI" w:cs="Segoe UI" w:ascii="Segoe UI" w:hAnsi="Segoe UI"/>
          <w:b/>
          <w:color w:val="101820"/>
          <w:sz w:val="21"/>
        </w:rPr>
        <w:t>New supplier payment</w:t>
      </w:r>
      <w:r>
        <w:rPr>
          <w:rFonts w:eastAsia="Segoe UI" w:cs="Segoe UI" w:ascii="Segoe UI" w:hAnsi="Segoe UI"/>
          <w:color w:val="101820"/>
          <w:sz w:val="21"/>
        </w:rPr>
        <w:t xml:space="preserve">: the supplier, the invoices to pay (all open invoices are ticked), mode, bank account, cheque number. Posting rule ap.payment: Dr Accounts Payable - Suppliers / Cr bank. </w:t>
      </w:r>
      <w:r>
        <w:rPr>
          <w:rFonts w:eastAsia="Segoe UI" w:cs="Segoe UI" w:ascii="Segoe UI" w:hAnsi="Segoe UI"/>
          <w:b/>
          <w:color w:val="101820"/>
          <w:sz w:val="21"/>
        </w:rPr>
        <w:t>Print</w:t>
      </w:r>
      <w:r>
        <w:rPr>
          <w:rFonts w:eastAsia="Segoe UI" w:cs="Segoe UI" w:ascii="Segoe UI" w:hAnsi="Segoe UI"/>
          <w:color w:val="101820"/>
          <w:sz w:val="21"/>
        </w:rPr>
        <w:t xml:space="preserve"> gives the payment voucher; </w:t>
      </w:r>
      <w:r>
        <w:rPr>
          <w:rFonts w:eastAsia="Segoe UI" w:cs="Segoe UI" w:ascii="Segoe UI" w:hAnsi="Segoe UI"/>
          <w:b/>
          <w:color w:val="101820"/>
          <w:sz w:val="21"/>
        </w:rPr>
        <w:t>Cancel</w:t>
      </w:r>
      <w:r>
        <w:rPr>
          <w:rFonts w:eastAsia="Segoe UI" w:cs="Segoe UI" w:ascii="Segoe UI" w:hAnsi="Segoe UI"/>
          <w:color w:val="101820"/>
          <w:sz w:val="21"/>
        </w:rPr>
        <w:t xml:space="preserve"> reverses the payment and opens the invoices again.</w:t>
      </w:r>
    </w:p>
    <w:p>
      <w:pPr>
        <w:pStyle w:val="Normal"/>
        <w:numPr>
          <w:ilvl w:val="0"/>
          <w:numId w:val="479"/>
        </w:numPr>
        <w:spacing w:before="0" w:after="60"/>
        <w:rPr/>
      </w:pPr>
      <w:r>
        <w:rPr>
          <w:rFonts w:eastAsia="Segoe UI" w:cs="Segoe UI" w:ascii="Segoe UI" w:hAnsi="Segoe UI"/>
          <w:color w:val="101820"/>
          <w:sz w:val="21"/>
        </w:rPr>
        <w:t xml:space="preserve">Accounts &gt; Payables &gt; AP Ageing shows the open balances by supplier and by invoice, aged on the due dates (buckets of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w:t>
      </w:r>
      <w:r>
        <w:rPr>
          <w:rFonts w:eastAsia="Segoe UI" w:cs="Segoe UI" w:ascii="Segoe UI" w:hAnsi="Segoe UI"/>
          <w:b/>
          <w:color w:val="101820"/>
          <w:sz w:val="21"/>
        </w:rPr>
        <w:t>Export to Excel</w:t>
      </w:r>
      <w:r>
        <w:rPr>
          <w:rFonts w:eastAsia="Segoe UI" w:cs="Segoe UI" w:ascii="Segoe UI" w:hAnsi="Segoe UI"/>
          <w:color w:val="101820"/>
          <w:sz w:val="21"/>
        </w:rPr>
        <w:t>.</w:t>
      </w:r>
    </w:p>
    <w:p>
      <w:pPr>
        <w:pStyle w:val="Heading3"/>
        <w:rPr/>
      </w:pPr>
      <w:r>
        <w:rPr>
          <w:rFonts w:eastAsia="Segoe UI" w:cs="Segoe UI"/>
          <w:b/>
          <w:color w:val="0F4761"/>
          <w:sz w:val="23"/>
        </w:rPr>
        <w:t>12.23.1  BIR Form 2307 for suppliers</w:t>
      </w:r>
    </w:p>
    <w:p>
      <w:pPr>
        <w:pStyle w:val="Normal"/>
        <w:spacing w:lineRule="auto" w:line="276" w:before="0" w:after="120"/>
        <w:rPr/>
      </w:pPr>
      <w:r>
        <w:rPr>
          <w:rFonts w:eastAsia="Segoe UI" w:cs="Segoe UI" w:ascii="Segoe UI" w:hAnsi="Segoe UI"/>
          <w:color w:val="101820"/>
          <w:sz w:val="21"/>
        </w:rPr>
        <w:t>The expanded withholding tax withheld from a supplier on an approved supplier invoice (the supplier's EWT tax code, on the amount net of VAT) is creditable tax of the supplier: the broker issues BIR Form 2307 for it each quarter.</w:t>
      </w:r>
    </w:p>
    <w:p>
      <w:pPr>
        <w:pStyle w:val="Normal"/>
        <w:jc w:val="center"/>
        <w:rPr/>
      </w:pPr>
      <w:r>
        <w:rPr/>
        <w:drawing>
          <wp:inline distT="0" distB="0" distL="0" distR="0">
            <wp:extent cx="5760085" cy="4469130"/>
            <wp:effectExtent l="0" t="0" r="0" b="0"/>
            <wp:docPr id="164" name="Picture 21212883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121288344" descr=""/>
                    <pic:cNvPicPr>
                      <a:picLocks noChangeAspect="1" noChangeArrowheads="1"/>
                    </pic:cNvPicPr>
                  </pic:nvPicPr>
                  <pic:blipFill>
                    <a:blip r:embed="rId16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Payables &gt; Supplier 2307</w:t>
      </w:r>
    </w:p>
    <w:p>
      <w:pPr>
        <w:pStyle w:val="Normal"/>
        <w:numPr>
          <w:ilvl w:val="0"/>
          <w:numId w:val="480"/>
        </w:numPr>
        <w:spacing w:before="0" w:after="60"/>
        <w:rPr/>
      </w:pPr>
      <w:r>
        <w:rPr>
          <w:rFonts w:eastAsia="Segoe UI" w:cs="Segoe UI" w:ascii="Segoe UI" w:hAnsi="Segoe UI"/>
          <w:color w:val="101820"/>
          <w:sz w:val="21"/>
        </w:rPr>
        <w:t xml:space="preserve">Choose Accounts &gt; Payables &gt; </w:t>
      </w:r>
      <w:r>
        <w:rPr>
          <w:rFonts w:eastAsia="Segoe UI" w:cs="Segoe UI" w:ascii="Segoe UI" w:hAnsi="Segoe UI"/>
          <w:b/>
          <w:color w:val="101820"/>
          <w:sz w:val="21"/>
        </w:rPr>
        <w:t>Supplier 2307</w:t>
      </w:r>
      <w:r>
        <w:rPr>
          <w:rFonts w:eastAsia="Segoe UI" w:cs="Segoe UI" w:ascii="Segoe UI" w:hAnsi="Segoe UI"/>
          <w:color w:val="101820"/>
          <w:sz w:val="21"/>
        </w:rPr>
        <w:t xml:space="preserve">, the </w:t>
      </w:r>
      <w:r>
        <w:rPr>
          <w:rFonts w:eastAsia="Segoe UI" w:cs="Segoe UI" w:ascii="Segoe UI" w:hAnsi="Segoe UI"/>
          <w:b/>
          <w:color w:val="101820"/>
          <w:sz w:val="21"/>
        </w:rPr>
        <w:t>Year</w:t>
      </w:r>
      <w:r>
        <w:rPr>
          <w:rFonts w:eastAsia="Segoe UI" w:cs="Segoe UI" w:ascii="Segoe UI" w:hAnsi="Segoe UI"/>
          <w:color w:val="101820"/>
          <w:sz w:val="21"/>
        </w:rPr>
        <w:t xml:space="preserve"> and the </w:t>
      </w:r>
      <w:r>
        <w:rPr>
          <w:rFonts w:eastAsia="Segoe UI" w:cs="Segoe UI" w:ascii="Segoe UI" w:hAnsi="Segoe UI"/>
          <w:b/>
          <w:color w:val="101820"/>
          <w:sz w:val="21"/>
        </w:rPr>
        <w:t>Quarter</w:t>
      </w:r>
      <w:r>
        <w:rPr>
          <w:rFonts w:eastAsia="Segoe UI" w:cs="Segoe UI" w:ascii="Segoe UI" w:hAnsi="Segoe UI"/>
          <w:color w:val="101820"/>
          <w:sz w:val="21"/>
        </w:rPr>
        <w:t>. The screen lists every supplier with EWT in the quarter: TIN, ATC (the ATC of the invoice's EWT tax code, for example WC160 services, WC158 goods, WI010 professional fees), the number of invoices, the income payments and the tax withheld, and the certificate number once issued. Cancelled invoices do not count; an invoice counts in the quarter of its journal date.</w:t>
      </w:r>
    </w:p>
    <w:p>
      <w:pPr>
        <w:pStyle w:val="Normal"/>
        <w:numPr>
          <w:ilvl w:val="0"/>
          <w:numId w:val="481"/>
        </w:numPr>
        <w:spacing w:before="0" w:after="60"/>
        <w:rPr/>
      </w:pPr>
      <w:r>
        <w:rPr>
          <w:rFonts w:eastAsia="Segoe UI" w:cs="Segoe UI" w:ascii="Segoe UI" w:hAnsi="Segoe UI"/>
          <w:b/>
          <w:color w:val="101820"/>
          <w:sz w:val="21"/>
        </w:rPr>
        <w:t>View</w:t>
      </w:r>
      <w:r>
        <w:rPr>
          <w:rFonts w:eastAsia="Segoe UI" w:cs="Segoe UI" w:ascii="Segoe UI" w:hAnsi="Segoe UI"/>
          <w:color w:val="101820"/>
          <w:sz w:val="21"/>
        </w:rPr>
        <w:t xml:space="preserve"> shows the certificate on the BIR layout: the payee (the supplier's registered name, TIN and address from the Supplier master), the payor (the broker, from the primary company of Master &gt; Company), and per ATC the income of each month of the quarter, the total and the tax withheld. </w:t>
      </w:r>
      <w:r>
        <w:rPr>
          <w:rFonts w:eastAsia="Segoe UI" w:cs="Segoe UI" w:ascii="Segoe UI" w:hAnsi="Segoe UI"/>
          <w:b/>
          <w:color w:val="101820"/>
          <w:sz w:val="21"/>
        </w:rPr>
        <w:t>Issue</w:t>
      </w:r>
      <w:r>
        <w:rPr>
          <w:rFonts w:eastAsia="Segoe UI" w:cs="Segoe UI" w:ascii="Segoe UI" w:hAnsi="Segoe UI"/>
          <w:color w:val="101820"/>
          <w:sz w:val="21"/>
        </w:rPr>
        <w:t xml:space="preserve"> numbers it from the CWT series; </w:t>
      </w:r>
      <w:r>
        <w:rPr>
          <w:rFonts w:eastAsia="Segoe UI" w:cs="Segoe UI" w:ascii="Segoe UI" w:hAnsi="Segoe UI"/>
          <w:b/>
          <w:color w:val="101820"/>
          <w:sz w:val="21"/>
        </w:rPr>
        <w:t>Print</w:t>
      </w:r>
      <w:r>
        <w:rPr>
          <w:rFonts w:eastAsia="Segoe UI" w:cs="Segoe UI" w:ascii="Segoe UI" w:hAnsi="Segoe UI"/>
          <w:color w:val="101820"/>
          <w:sz w:val="21"/>
        </w:rPr>
        <w:t xml:space="preserve"> prints it.</w:t>
      </w:r>
    </w:p>
    <w:p>
      <w:pPr>
        <w:pStyle w:val="Normal"/>
        <w:numPr>
          <w:ilvl w:val="0"/>
          <w:numId w:val="482"/>
        </w:numPr>
        <w:spacing w:before="0" w:after="60"/>
        <w:rPr/>
      </w:pPr>
      <w:r>
        <w:rPr>
          <w:rFonts w:eastAsia="Segoe UI" w:cs="Segoe UI" w:ascii="Segoe UI" w:hAnsi="Segoe UI"/>
          <w:b/>
          <w:color w:val="101820"/>
          <w:sz w:val="21"/>
        </w:rPr>
        <w:t>Issue all certificates</w:t>
      </w:r>
      <w:r>
        <w:rPr>
          <w:rFonts w:eastAsia="Segoe UI" w:cs="Segoe UI" w:ascii="Segoe UI" w:hAnsi="Segoe UI"/>
          <w:color w:val="101820"/>
          <w:sz w:val="21"/>
        </w:rPr>
        <w:t xml:space="preserve"> numbers the certificates of every supplier of the quarter that has none yet.</w:t>
      </w:r>
    </w:p>
    <w:p>
      <w:pPr>
        <w:pStyle w:val="Normal"/>
        <w:spacing w:lineRule="auto" w:line="276" w:before="0" w:after="120"/>
        <w:rPr/>
      </w:pPr>
      <w:r>
        <w:rPr>
          <w:rFonts w:eastAsia="Segoe UI" w:cs="Segoe UI" w:ascii="Segoe UI" w:hAnsi="Segoe UI"/>
          <w:color w:val="101820"/>
          <w:sz w:val="21"/>
        </w:rPr>
        <w:t>The same generator issues the certificates of the commission payees on Accounts &gt; Tax &gt; BIR Form 2307, where the suppliers are listed with the other payees. The supplier EWT is also included in the QAP (Accounts &gt; Tax &gt; QAP), in the 0619-E and the 1601-EQ per ATC (reconciled with the QAP and with the EWT payable account of the ledger), in the 1604-E alphalist of payees (schedule 3; a supplier with an EWT code for individuals is listed by last, first and middle name) and in the QAP and 1604-E DAT files.</w:t>
      </w:r>
    </w:p>
    <w:p>
      <w:pPr>
        <w:pStyle w:val="Heading2"/>
        <w:rPr/>
      </w:pPr>
      <w:bookmarkStart w:id="138" w:name="__RefHeading___Toc24544_3350804041"/>
      <w:bookmarkEnd w:id="138"/>
      <w:r>
        <w:rPr>
          <w:rFonts w:eastAsia="Segoe UI" w:cs="Segoe UI"/>
          <w:b/>
          <w:color w:val="0F4761"/>
          <w:sz w:val="26"/>
        </w:rPr>
        <w:t>12.24  Fixed assets and depreciation</w:t>
      </w:r>
    </w:p>
    <w:p>
      <w:pPr>
        <w:pStyle w:val="Normal"/>
        <w:jc w:val="center"/>
        <w:rPr/>
      </w:pPr>
      <w:r>
        <w:rPr/>
        <w:drawing>
          <wp:inline distT="0" distB="0" distL="0" distR="0">
            <wp:extent cx="5760085" cy="4469130"/>
            <wp:effectExtent l="0" t="0" r="0" b="0"/>
            <wp:docPr id="165" name="Picture 21212883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121288345" descr=""/>
                    <pic:cNvPicPr>
                      <a:picLocks noChangeAspect="1" noChangeArrowheads="1"/>
                    </pic:cNvPicPr>
                  </pic:nvPicPr>
                  <pic:blipFill>
                    <a:blip r:embed="rId16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Asset Register</w:t>
      </w:r>
    </w:p>
    <w:p>
      <w:pPr>
        <w:pStyle w:val="Normal"/>
        <w:spacing w:lineRule="auto" w:line="276" w:before="0" w:after="120"/>
        <w:rPr/>
      </w:pPr>
      <w:r>
        <w:rPr>
          <w:rFonts w:eastAsia="Segoe UI" w:cs="Segoe UI" w:ascii="Segoe UI" w:hAnsi="Segoe UI"/>
          <w:color w:val="101820"/>
          <w:sz w:val="21"/>
        </w:rPr>
        <w:t xml:space="preserve">Accounts &gt; Fixed Assets &gt; Asset Register lists the assets with their cost, accumulated depreciation and book value. </w:t>
      </w:r>
      <w:r>
        <w:rPr>
          <w:rFonts w:eastAsia="Segoe UI" w:cs="Segoe UI" w:ascii="Segoe UI" w:hAnsi="Segoe UI"/>
          <w:b/>
          <w:color w:val="101820"/>
          <w:sz w:val="21"/>
        </w:rPr>
        <w:t>Register asset</w:t>
      </w:r>
      <w:r>
        <w:rPr>
          <w:rFonts w:eastAsia="Segoe UI" w:cs="Segoe UI" w:ascii="Segoe UI" w:hAnsi="Segoe UI"/>
          <w:color w:val="101820"/>
          <w:sz w:val="21"/>
        </w:rPr>
        <w:t xml:space="preserve"> for an asset not bought through a supplier invoice: name, asset class (Master &gt; Finance &gt; Asset Classes gives the useful life and the asset, accumulated depreciation and depreciation expense accounts), dates, cost, salvage value, location, custodian and serial number. For an asset carried at go-live enter the accumulated depreciation at go-live and the first period to depreciate here. Select an asset to see its straight-line schedule: each month's depreciation, accumulated depreciation and book value, and whether the month is posted.</w:t>
      </w:r>
    </w:p>
    <w:p>
      <w:pPr>
        <w:pStyle w:val="Normal"/>
        <w:spacing w:lineRule="auto" w:line="276" w:before="0" w:after="120"/>
        <w:rPr/>
      </w:pPr>
      <w:r>
        <w:rPr>
          <w:rFonts w:eastAsia="Segoe UI" w:cs="Segoe UI" w:ascii="Segoe UI" w:hAnsi="Segoe UI"/>
          <w:color w:val="101820"/>
          <w:sz w:val="21"/>
        </w:rPr>
        <w:t>Depreciation is straight-line from the in-service month (</w:t>
      </w:r>
      <w:r>
        <w:rPr>
          <w:rFonts w:eastAsia="Consolas" w:cs="Consolas" w:ascii="Consolas" w:hAnsi="Consolas"/>
          <w:color w:val="101820"/>
          <w:sz w:val="19"/>
        </w:rPr>
        <w:t>fixed_assets.first_month</w:t>
      </w:r>
      <w:r>
        <w:rPr>
          <w:rFonts w:eastAsia="Segoe UI" w:cs="Segoe UI" w:ascii="Segoe UI" w:hAnsi="Segoe UI"/>
          <w:color w:val="101820"/>
          <w:sz w:val="21"/>
        </w:rPr>
        <w:t xml:space="preserve">); the last month takes the rounding so the asset ends at its salvage value. Accounts &gt; Fixed Assets &gt; Depreciation Run shows what a period's depreciation is and </w:t>
      </w:r>
      <w:r>
        <w:rPr>
          <w:rFonts w:eastAsia="Segoe UI" w:cs="Segoe UI" w:ascii="Segoe UI" w:hAnsi="Segoe UI"/>
          <w:b/>
          <w:color w:val="101820"/>
          <w:sz w:val="21"/>
        </w:rPr>
        <w:t>Post depreciation</w:t>
      </w:r>
      <w:r>
        <w:rPr>
          <w:rFonts w:eastAsia="Segoe UI" w:cs="Segoe UI" w:ascii="Segoe UI" w:hAnsi="Segoe UI"/>
          <w:color w:val="101820"/>
          <w:sz w:val="21"/>
        </w:rPr>
        <w:t xml:space="preserve"> posts one journal per asset class dated the end of the period (posting rule fa.depreciation: Dr depreciation expense / Cr accumulated depreciation). An asset is never depreciated twice for a period. The month-end close runs the same step (</w:t>
      </w:r>
      <w:r>
        <w:rPr>
          <w:rFonts w:eastAsia="Segoe UI" w:cs="Segoe UI" w:ascii="Segoe UI" w:hAnsi="Segoe UI"/>
          <w:b/>
          <w:color w:val="101820"/>
          <w:sz w:val="21"/>
        </w:rPr>
        <w:t>(e) Depreciation</w:t>
      </w:r>
      <w:r>
        <w:rPr>
          <w:rFonts w:eastAsia="Segoe UI" w:cs="Segoe UI" w:ascii="Segoe UI" w:hAnsi="Segoe UI"/>
          <w:color w:val="101820"/>
          <w:sz w:val="21"/>
        </w:rPr>
        <w:t xml:space="preserve">, </w:t>
      </w:r>
      <w:r>
        <w:rPr>
          <w:rFonts w:eastAsia="Consolas" w:cs="Consolas" w:ascii="Consolas" w:hAnsi="Consolas"/>
          <w:color w:val="101820"/>
          <w:sz w:val="19"/>
        </w:rPr>
        <w:t>fixed_assets.depreciation_in_month_end</w:t>
      </w:r>
      <w:r>
        <w:rPr>
          <w:rFonts w:eastAsia="Segoe UI" w:cs="Segoe UI" w:ascii="Segoe UI" w:hAnsi="Segoe UI"/>
          <w:color w:val="101820"/>
          <w:sz w:val="21"/>
        </w:rPr>
        <w:t>).</w:t>
      </w:r>
    </w:p>
    <w:p>
      <w:pPr>
        <w:pStyle w:val="Heading3"/>
        <w:rPr/>
      </w:pPr>
      <w:r>
        <w:rPr>
          <w:rFonts w:eastAsia="Segoe UI" w:cs="Segoe UI"/>
          <w:b/>
          <w:color w:val="0F4761"/>
          <w:sz w:val="23"/>
        </w:rPr>
        <w:t>12.24.1  Asset disposal</w:t>
      </w:r>
    </w:p>
    <w:p>
      <w:pPr>
        <w:pStyle w:val="Normal"/>
        <w:spacing w:lineRule="auto" w:line="276" w:before="0" w:after="120"/>
        <w:rPr/>
      </w:pPr>
      <w:r>
        <w:rPr>
          <w:rFonts w:eastAsia="Segoe UI" w:cs="Segoe UI" w:ascii="Segoe UI" w:hAnsi="Segoe UI"/>
          <w:color w:val="101820"/>
          <w:sz w:val="21"/>
        </w:rPr>
        <w:t>An asset sold or written off (lost, stolen, damaged beyond repair, obsolete) leaves the register through a disposal.</w:t>
      </w:r>
    </w:p>
    <w:p>
      <w:pPr>
        <w:pStyle w:val="Normal"/>
        <w:numPr>
          <w:ilvl w:val="0"/>
          <w:numId w:val="483"/>
        </w:numPr>
        <w:spacing w:before="0" w:after="60"/>
        <w:rPr/>
      </w:pPr>
      <w:r>
        <w:rPr>
          <w:rFonts w:eastAsia="Segoe UI" w:cs="Segoe UI" w:ascii="Segoe UI" w:hAnsi="Segoe UI"/>
          <w:color w:val="101820"/>
          <w:sz w:val="21"/>
        </w:rPr>
        <w:t>Post the depreciation up to the month before the disposal first (Depreciation Run): the disposal is refused while a month before it is not depreciated (</w:t>
      </w:r>
      <w:r>
        <w:rPr>
          <w:rFonts w:eastAsia="Consolas" w:cs="Consolas" w:ascii="Consolas" w:hAnsi="Consolas"/>
          <w:color w:val="101820"/>
          <w:sz w:val="19"/>
        </w:rPr>
        <w:t>fixed_assets.disposal_requires_depreciation_to_date</w:t>
      </w:r>
      <w:r>
        <w:rPr>
          <w:rFonts w:eastAsia="Segoe UI" w:cs="Segoe UI" w:ascii="Segoe UI" w:hAnsi="Segoe UI"/>
          <w:color w:val="101820"/>
          <w:sz w:val="21"/>
        </w:rPr>
        <w:t>). The month of the disposal is not depreciated.</w:t>
      </w:r>
    </w:p>
    <w:p>
      <w:pPr>
        <w:pStyle w:val="Normal"/>
        <w:numPr>
          <w:ilvl w:val="0"/>
          <w:numId w:val="484"/>
        </w:numPr>
        <w:spacing w:before="0" w:after="60"/>
        <w:rPr/>
      </w:pPr>
      <w:r>
        <w:rPr>
          <w:rFonts w:eastAsia="Segoe UI" w:cs="Segoe UI" w:ascii="Segoe UI" w:hAnsi="Segoe UI"/>
          <w:color w:val="101820"/>
          <w:sz w:val="21"/>
        </w:rPr>
        <w:t xml:space="preserve">Accounts &gt; Fixed Assets &gt; Asset Register: select the asset, then </w:t>
      </w:r>
      <w:r>
        <w:rPr>
          <w:rFonts w:eastAsia="Segoe UI" w:cs="Segoe UI" w:ascii="Segoe UI" w:hAnsi="Segoe UI"/>
          <w:b/>
          <w:color w:val="101820"/>
          <w:sz w:val="21"/>
        </w:rPr>
        <w:t>Dispose</w:t>
      </w:r>
      <w:r>
        <w:rPr>
          <w:rFonts w:eastAsia="Segoe UI" w:cs="Segoe UI" w:ascii="Segoe UI" w:hAnsi="Segoe UI"/>
          <w:color w:val="101820"/>
          <w:sz w:val="21"/>
        </w:rPr>
        <w:t>.</w:t>
      </w:r>
    </w:p>
    <w:p>
      <w:pPr>
        <w:pStyle w:val="Normal"/>
        <w:numPr>
          <w:ilvl w:val="0"/>
          <w:numId w:val="485"/>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Sale</w:t>
      </w:r>
      <w:r>
        <w:rPr>
          <w:rFonts w:eastAsia="Segoe UI" w:cs="Segoe UI" w:ascii="Segoe UI" w:hAnsi="Segoe UI"/>
          <w:color w:val="101820"/>
          <w:sz w:val="21"/>
        </w:rPr>
        <w:t xml:space="preserve"> or </w:t>
      </w:r>
      <w:r>
        <w:rPr>
          <w:rFonts w:eastAsia="Segoe UI" w:cs="Segoe UI" w:ascii="Segoe UI" w:hAnsi="Segoe UI"/>
          <w:b/>
          <w:color w:val="101820"/>
          <w:sz w:val="21"/>
        </w:rPr>
        <w:t>Write-off</w:t>
      </w:r>
      <w:r>
        <w:rPr>
          <w:rFonts w:eastAsia="Segoe UI" w:cs="Segoe UI" w:ascii="Segoe UI" w:hAnsi="Segoe UI"/>
          <w:color w:val="101820"/>
          <w:sz w:val="21"/>
        </w:rPr>
        <w:t xml:space="preserve"> and the </w:t>
      </w:r>
      <w:r>
        <w:rPr>
          <w:rFonts w:eastAsia="Segoe UI" w:cs="Segoe UI" w:ascii="Segoe UI" w:hAnsi="Segoe UI"/>
          <w:b/>
          <w:color w:val="101820"/>
          <w:sz w:val="21"/>
        </w:rPr>
        <w:t>Disposal date</w:t>
      </w:r>
      <w:r>
        <w:rPr>
          <w:rFonts w:eastAsia="Segoe UI" w:cs="Segoe UI" w:ascii="Segoe UI" w:hAnsi="Segoe UI"/>
          <w:color w:val="101820"/>
          <w:sz w:val="21"/>
        </w:rPr>
        <w:t xml:space="preserve"> (up to </w:t>
      </w:r>
      <w:r>
        <w:rPr>
          <w:rFonts w:eastAsia="Consolas" w:cs="Consolas" w:ascii="Consolas" w:hAnsi="Consolas"/>
          <w:color w:val="101820"/>
          <w:sz w:val="19"/>
        </w:rPr>
        <w:t>fixed_assets.disposal_backdate_days</w:t>
      </w:r>
      <w:r>
        <w:rPr>
          <w:rFonts w:eastAsia="Segoe UI" w:cs="Segoe UI" w:ascii="Segoe UI" w:hAnsi="Segoe UI"/>
          <w:color w:val="101820"/>
          <w:sz w:val="21"/>
        </w:rPr>
        <w:t>, 60, days back).</w:t>
      </w:r>
    </w:p>
    <w:p>
      <w:pPr>
        <w:pStyle w:val="Normal"/>
        <w:numPr>
          <w:ilvl w:val="0"/>
          <w:numId w:val="486"/>
        </w:numPr>
        <w:spacing w:before="0" w:after="60"/>
        <w:rPr/>
      </w:pPr>
      <w:r>
        <w:rPr>
          <w:rFonts w:eastAsia="Segoe UI" w:cs="Segoe UI" w:ascii="Segoe UI" w:hAnsi="Segoe UI"/>
          <w:color w:val="101820"/>
          <w:sz w:val="21"/>
        </w:rPr>
        <w:t xml:space="preserve">For a sale enter the </w:t>
      </w:r>
      <w:r>
        <w:rPr>
          <w:rFonts w:eastAsia="Segoe UI" w:cs="Segoe UI" w:ascii="Segoe UI" w:hAnsi="Segoe UI"/>
          <w:b/>
          <w:color w:val="101820"/>
          <w:sz w:val="21"/>
        </w:rPr>
        <w:t>Selling price (net of VAT)</w:t>
      </w:r>
      <w:r>
        <w:rPr>
          <w:rFonts w:eastAsia="Segoe UI" w:cs="Segoe UI" w:ascii="Segoe UI" w:hAnsi="Segoe UI"/>
          <w:color w:val="101820"/>
          <w:sz w:val="21"/>
        </w:rPr>
        <w:t xml:space="preserve">, the </w:t>
      </w:r>
      <w:r>
        <w:rPr>
          <w:rFonts w:eastAsia="Segoe UI" w:cs="Segoe UI" w:ascii="Segoe UI" w:hAnsi="Segoe UI"/>
          <w:b/>
          <w:color w:val="101820"/>
          <w:sz w:val="21"/>
        </w:rPr>
        <w:t>Buyer</w:t>
      </w:r>
      <w:r>
        <w:rPr>
          <w:rFonts w:eastAsia="Segoe UI" w:cs="Segoe UI" w:ascii="Segoe UI" w:hAnsi="Segoe UI"/>
          <w:color w:val="101820"/>
          <w:sz w:val="21"/>
        </w:rPr>
        <w:t xml:space="preserve"> with </w:t>
      </w:r>
      <w:r>
        <w:rPr>
          <w:rFonts w:eastAsia="Segoe UI" w:cs="Segoe UI" w:ascii="Segoe UI" w:hAnsi="Segoe UI"/>
          <w:b/>
          <w:color w:val="101820"/>
          <w:sz w:val="21"/>
        </w:rPr>
        <w:t>Buyer TIN</w:t>
      </w:r>
      <w:r>
        <w:rPr>
          <w:rFonts w:eastAsia="Segoe UI" w:cs="Segoe UI" w:ascii="Segoe UI" w:hAnsi="Segoe UI"/>
          <w:color w:val="101820"/>
          <w:sz w:val="21"/>
        </w:rPr>
        <w:t xml:space="preserve"> and </w:t>
      </w:r>
      <w:r>
        <w:rPr>
          <w:rFonts w:eastAsia="Segoe UI" w:cs="Segoe UI" w:ascii="Segoe UI" w:hAnsi="Segoe UI"/>
          <w:b/>
          <w:color w:val="101820"/>
          <w:sz w:val="21"/>
        </w:rPr>
        <w:t>Buyer address</w:t>
      </w:r>
      <w:r>
        <w:rPr>
          <w:rFonts w:eastAsia="Segoe UI" w:cs="Segoe UI" w:ascii="Segoe UI" w:hAnsi="Segoe UI"/>
          <w:color w:val="101820"/>
          <w:sz w:val="21"/>
        </w:rPr>
        <w:t xml:space="preserve">, and </w:t>
      </w:r>
      <w:r>
        <w:rPr>
          <w:rFonts w:eastAsia="Segoe UI" w:cs="Segoe UI" w:ascii="Segoe UI" w:hAnsi="Segoe UI"/>
          <w:b/>
          <w:color w:val="101820"/>
          <w:sz w:val="21"/>
        </w:rPr>
        <w:t>Received into</w:t>
      </w:r>
      <w:r>
        <w:rPr>
          <w:rFonts w:eastAsia="Segoe UI" w:cs="Segoe UI" w:ascii="Segoe UI" w:hAnsi="Segoe UI"/>
          <w:color w:val="101820"/>
          <w:sz w:val="21"/>
        </w:rPr>
        <w:t xml:space="preserve"> (the bank account the money went to; leave it empty for a sale on credit). For a write-off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487"/>
        </w:numPr>
        <w:spacing w:before="0" w:after="60"/>
        <w:rPr/>
      </w:pPr>
      <w:r>
        <w:rPr>
          <w:rFonts w:eastAsia="Segoe UI" w:cs="Segoe UI" w:ascii="Segoe UI" w:hAnsi="Segoe UI"/>
          <w:color w:val="101820"/>
          <w:sz w:val="21"/>
        </w:rPr>
        <w:t xml:space="preserve">The screen shows the cost, the accumulated depreciation, the book value, the output VAT of a sale (tax code </w:t>
      </w:r>
      <w:r>
        <w:rPr>
          <w:rFonts w:eastAsia="Consolas" w:cs="Consolas" w:ascii="Consolas" w:hAnsi="Consolas"/>
          <w:color w:val="101820"/>
          <w:sz w:val="19"/>
        </w:rPr>
        <w:t>fixed_assets.disposal_vat_code</w:t>
      </w:r>
      <w:r>
        <w:rPr>
          <w:rFonts w:eastAsia="Segoe UI" w:cs="Segoe UI" w:ascii="Segoe UI" w:hAnsi="Segoe UI"/>
          <w:color w:val="101820"/>
          <w:sz w:val="21"/>
        </w:rPr>
        <w:t xml:space="preserve">, VAT12-OUT, when the broker is VAT registered), the total proceeds and the gain or loss. Select </w:t>
      </w:r>
      <w:r>
        <w:rPr>
          <w:rFonts w:eastAsia="Segoe UI" w:cs="Segoe UI" w:ascii="Segoe UI" w:hAnsi="Segoe UI"/>
          <w:b/>
          <w:color w:val="101820"/>
          <w:sz w:val="21"/>
        </w:rPr>
        <w:t>Post disposal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disposal (FAD-YYYY-NNNNN) posts one journal (posting rule fa.disposal, Master &gt; Finance &gt; Posting Rules):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741"/>
        <w:gridCol w:w="336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47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Account</w:t>
            </w:r>
          </w:p>
        </w:tc>
        <w:tc>
          <w:tcPr>
            <w:tcW w:w="33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Accumulated depreciation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 received into, else the sales invoice receivable</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 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on disposal (</w:t>
            </w:r>
            <w:r>
              <w:rPr>
                <w:rFonts w:eastAsia="Consolas" w:cs="Consolas" w:ascii="Consolas" w:hAnsi="Consolas"/>
                <w:color w:val="101820"/>
                <w:kern w:val="0"/>
                <w:sz w:val="16"/>
                <w:szCs w:val="24"/>
                <w:lang w:val="en-US" w:eastAsia="ja-JP" w:bidi="ar-SA"/>
              </w:rPr>
              <w:t>accounting.account.loss_on_disposal</w:t>
            </w:r>
            <w:r>
              <w:rPr>
                <w:rFonts w:eastAsia="Segoe UI" w:cs="Segoe UI" w:ascii="Segoe UI" w:hAnsi="Segoe UI"/>
                <w:color w:val="101820"/>
                <w:kern w:val="0"/>
                <w:sz w:val="18"/>
                <w:szCs w:val="24"/>
                <w:lang w:val="en-US" w:eastAsia="ja-JP" w:bidi="ar-SA"/>
              </w:rPr>
              <w:t>, 4501004)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 value above the selling 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account of the asset class</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VAT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w:t>
            </w:r>
          </w:p>
        </w:tc>
        <w:tc>
          <w:tcPr>
            <w:tcW w:w="47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Gain on disposal (</w:t>
            </w:r>
            <w:r>
              <w:rPr>
                <w:rFonts w:eastAsia="Consolas" w:cs="Consolas" w:ascii="Consolas" w:hAnsi="Consolas"/>
                <w:color w:val="101820"/>
                <w:kern w:val="0"/>
                <w:sz w:val="16"/>
                <w:szCs w:val="24"/>
                <w:lang w:val="en-US" w:eastAsia="ja-JP" w:bidi="ar-SA"/>
              </w:rPr>
              <w:t>accounting.account.gain_on_disposal</w:t>
            </w:r>
            <w:r>
              <w:rPr>
                <w:rFonts w:eastAsia="Segoe UI" w:cs="Segoe UI" w:ascii="Segoe UI" w:hAnsi="Segoe UI"/>
                <w:color w:val="101820"/>
                <w:kern w:val="0"/>
                <w:sz w:val="18"/>
                <w:szCs w:val="24"/>
                <w:lang w:val="en-US" w:eastAsia="ja-JP" w:bidi="ar-SA"/>
              </w:rPr>
              <w:t>, 3301004)</w:t>
            </w:r>
          </w:p>
        </w:tc>
        <w:tc>
          <w:tcPr>
            <w:tcW w:w="33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Selling price above the book value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sale also issues the BIR sales invoice to the buyer (Accounts &gt; Tax &gt; Sales Invoices, source Asset disposal; </w:t>
      </w:r>
      <w:r>
        <w:rPr>
          <w:rFonts w:eastAsia="Consolas" w:cs="Consolas" w:ascii="Consolas" w:hAnsi="Consolas"/>
          <w:color w:val="101820"/>
          <w:sz w:val="19"/>
        </w:rPr>
        <w:t>fixed_assets.disposal_sales_invoice</w:t>
      </w:r>
      <w:r>
        <w:rPr>
          <w:rFonts w:eastAsia="Segoe UI" w:cs="Segoe UI" w:ascii="Segoe UI" w:hAnsi="Segoe UI"/>
          <w:color w:val="101820"/>
          <w:sz w:val="21"/>
        </w:rPr>
        <w:t xml:space="preserve">). A sale received into a bank account is issued paid; a sale on credit is collected by recording the payment on the sales invoice. The asset becomes </w:t>
      </w:r>
      <w:r>
        <w:rPr>
          <w:rFonts w:eastAsia="Segoe UI" w:cs="Segoe UI" w:ascii="Segoe UI" w:hAnsi="Segoe UI"/>
          <w:b/>
          <w:color w:val="101820"/>
          <w:sz w:val="21"/>
        </w:rPr>
        <w:t>Disposed</w:t>
      </w:r>
      <w:r>
        <w:rPr>
          <w:rFonts w:eastAsia="Segoe UI" w:cs="Segoe UI" w:ascii="Segoe UI" w:hAnsi="Segoe UI"/>
          <w:color w:val="101820"/>
          <w:sz w:val="21"/>
        </w:rPr>
        <w:t xml:space="preserve"> and is no longer depreciated.</w:t>
      </w:r>
    </w:p>
    <w:p>
      <w:pPr>
        <w:pStyle w:val="Normal"/>
        <w:jc w:val="center"/>
        <w:rPr/>
      </w:pPr>
      <w:r>
        <w:rPr/>
        <w:drawing>
          <wp:inline distT="0" distB="0" distL="0" distR="0">
            <wp:extent cx="5760085" cy="4469130"/>
            <wp:effectExtent l="0" t="0" r="0" b="0"/>
            <wp:docPr id="166" name="Picture 21212883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121288346" descr=""/>
                    <pic:cNvPicPr>
                      <a:picLocks noChangeAspect="1" noChangeArrowheads="1"/>
                    </pic:cNvPicPr>
                  </pic:nvPicPr>
                  <pic:blipFill>
                    <a:blip r:embed="rId1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Fixed Assets &gt; Disposals</w:t>
      </w:r>
    </w:p>
    <w:p>
      <w:pPr>
        <w:pStyle w:val="Normal"/>
        <w:spacing w:lineRule="auto" w:line="276" w:before="0" w:after="120"/>
        <w:rPr/>
      </w:pPr>
      <w:r>
        <w:rPr>
          <w:rFonts w:eastAsia="Segoe UI" w:cs="Segoe UI" w:ascii="Segoe UI" w:hAnsi="Segoe UI"/>
          <w:color w:val="101820"/>
          <w:sz w:val="21"/>
        </w:rPr>
        <w:t xml:space="preserve">Accounts &gt; Fixed Assets &gt; </w:t>
      </w:r>
      <w:r>
        <w:rPr>
          <w:rFonts w:eastAsia="Segoe UI" w:cs="Segoe UI" w:ascii="Segoe UI" w:hAnsi="Segoe UI"/>
          <w:b/>
          <w:color w:val="101820"/>
          <w:sz w:val="21"/>
        </w:rPr>
        <w:t>Disposals</w:t>
      </w:r>
      <w:r>
        <w:rPr>
          <w:rFonts w:eastAsia="Segoe UI" w:cs="Segoe UI" w:ascii="Segoe UI" w:hAnsi="Segoe UI"/>
          <w:color w:val="101820"/>
          <w:sz w:val="21"/>
        </w:rPr>
        <w:t xml:space="preserve"> is the disposal register of a period: number, date, sale or write-off, asset, buyer, book value, selling price, output VAT, gain or loss, sales invoice, journal and status, with the totals; </w:t>
      </w:r>
      <w:r>
        <w:rPr>
          <w:rFonts w:eastAsia="Segoe UI" w:cs="Segoe UI" w:ascii="Segoe UI" w:hAnsi="Segoe UI"/>
          <w:b/>
          <w:color w:val="101820"/>
          <w:sz w:val="21"/>
        </w:rPr>
        <w:t>Export to Excel</w:t>
      </w:r>
      <w:r>
        <w:rPr>
          <w:rFonts w:eastAsia="Segoe UI" w:cs="Segoe UI" w:ascii="Segoe UI" w:hAnsi="Segoe UI"/>
          <w:color w:val="101820"/>
          <w:sz w:val="21"/>
        </w:rPr>
        <w:t xml:space="preserve">. The printer button prints the disposal voucher with its journal. </w:t>
      </w:r>
      <w:r>
        <w:rPr>
          <w:rFonts w:eastAsia="Segoe UI" w:cs="Segoe UI" w:ascii="Segoe UI" w:hAnsi="Segoe UI"/>
          <w:b/>
          <w:color w:val="101820"/>
          <w:sz w:val="21"/>
        </w:rPr>
        <w:t>Cancel disposal</w:t>
      </w:r>
      <w:r>
        <w:rPr>
          <w:rFonts w:eastAsia="Segoe UI" w:cs="Segoe UI" w:ascii="Segoe UI" w:hAnsi="Segoe UI"/>
          <w:color w:val="101820"/>
          <w:sz w:val="21"/>
        </w:rPr>
        <w:t xml:space="preserve"> (with a reason) reverses the journal, cancels the sales invoice and restores the asset; a disposal whose sales invoice has a payment recorded cannot be cancelled.</w:t>
      </w:r>
    </w:p>
    <w:p>
      <w:pPr>
        <w:pStyle w:val="Heading2"/>
        <w:rPr/>
      </w:pPr>
      <w:bookmarkStart w:id="139" w:name="__RefHeading___Toc24546_3350804041"/>
      <w:bookmarkEnd w:id="139"/>
      <w:r>
        <w:rPr>
          <w:rFonts w:eastAsia="Segoe UI" w:cs="Segoe UI"/>
          <w:b/>
          <w:color w:val="0F4761"/>
          <w:sz w:val="26"/>
        </w:rPr>
        <w:t>12.25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67" name="Picture 21212883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121288347" descr=""/>
                    <pic:cNvPicPr>
                      <a:picLocks noChangeAspect="1" noChangeArrowheads="1"/>
                    </pic:cNvPicPr>
                  </pic:nvPicPr>
                  <pic:blipFill>
                    <a:blip r:embed="rId16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40" w:name="__RefHeading___Toc24548_3350804041"/>
      <w:bookmarkEnd w:id="140"/>
      <w:r>
        <w:rPr>
          <w:rFonts w:eastAsia="Segoe UI" w:cs="Segoe UI"/>
          <w:b/>
          <w:color w:val="0F4761"/>
          <w:sz w:val="26"/>
        </w:rPr>
        <w:t>12.26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41" w:name="__RefHeading___Toc24550_3350804041"/>
      <w:bookmarkEnd w:id="141"/>
      <w:r>
        <w:rPr>
          <w:rFonts w:eastAsia="Segoe UI" w:cs="Segoe UI"/>
          <w:b/>
          <w:color w:val="0F4761"/>
          <w:sz w:val="26"/>
        </w:rPr>
        <w:t>12.27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42" w:name="__RefHeading___Toc24552_3350804041"/>
      <w:bookmarkEnd w:id="142"/>
      <w:r>
        <w:rPr>
          <w:rFonts w:eastAsia="Segoe UI" w:cs="Segoe UI" w:ascii="Segoe UI" w:hAnsi="Segoe UI"/>
          <w:b/>
          <w:color w:val="0F4761"/>
          <w:sz w:val="32"/>
        </w:rPr>
        <w:t>13.  Accounting Manager</w:t>
      </w:r>
    </w:p>
    <w:p>
      <w:pPr>
        <w:pStyle w:val="Heading2"/>
        <w:rPr/>
      </w:pPr>
      <w:bookmarkStart w:id="143" w:name="__RefHeading___Toc24554_3350804041"/>
      <w:bookmarkEnd w:id="143"/>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68" name="Picture 21212883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121288348" descr=""/>
                    <pic:cNvPicPr>
                      <a:picLocks noChangeAspect="1" noChangeArrowheads="1"/>
                    </pic:cNvPicPr>
                  </pic:nvPicPr>
                  <pic:blipFill>
                    <a:blip r:embed="rId16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44" w:name="__RefHeading___Toc24556_3350804041"/>
      <w:bookmarkEnd w:id="144"/>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45" w:name="__RefHeading___Toc24558_3350804041"/>
      <w:bookmarkEnd w:id="145"/>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46" w:name="__RefHeading___Toc24560_3350804041"/>
      <w:bookmarkEnd w:id="146"/>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69" name="Picture 21212883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121288349" descr=""/>
                    <pic:cNvPicPr>
                      <a:picLocks noChangeAspect="1" noChangeArrowheads="1"/>
                    </pic:cNvPicPr>
                  </pic:nvPicPr>
                  <pic:blipFill>
                    <a:blip r:embed="rId16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488"/>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489"/>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4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47" w:name="__RefHeading___Toc24562_3350804041"/>
      <w:bookmarkEnd w:id="147"/>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70" name="Picture 21212883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2121288350" descr=""/>
                    <pic:cNvPicPr>
                      <a:picLocks noChangeAspect="1" noChangeArrowheads="1"/>
                    </pic:cNvPicPr>
                  </pic:nvPicPr>
                  <pic:blipFill>
                    <a:blip r:embed="rId1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48" w:name="__RefHeading___Toc24564_3350804041"/>
      <w:bookmarkEnd w:id="148"/>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71" name="Picture 21212883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2121288351" descr=""/>
                    <pic:cNvPicPr>
                      <a:picLocks noChangeAspect="1" noChangeArrowheads="1"/>
                    </pic:cNvPicPr>
                  </pic:nvPicPr>
                  <pic:blipFill>
                    <a:blip r:embed="rId16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491"/>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492"/>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493"/>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49" w:name="__RefHeading___Toc24566_3350804041"/>
      <w:bookmarkEnd w:id="149"/>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50" w:name="__RefHeading___Toc24568_3350804041"/>
      <w:bookmarkEnd w:id="150"/>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51" w:name="__RefHeading___Toc24570_3350804041"/>
      <w:bookmarkEnd w:id="151"/>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72" name="Picture 21212883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2121288352" descr=""/>
                    <pic:cNvPicPr>
                      <a:picLocks noChangeAspect="1" noChangeArrowheads="1"/>
                    </pic:cNvPicPr>
                  </pic:nvPicPr>
                  <pic:blipFill>
                    <a:blip r:embed="rId168"/>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494"/>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495"/>
        </w:numPr>
        <w:spacing w:before="0" w:after="60"/>
        <w:rPr/>
      </w:pPr>
      <w:r>
        <w:rPr>
          <w:rFonts w:eastAsia="Segoe UI" w:cs="Segoe UI" w:ascii="Segoe UI" w:hAnsi="Segoe UI"/>
          <w:color w:val="101820"/>
          <w:sz w:val="21"/>
        </w:rPr>
        <w:t>Check the pre-checks and the net income.</w:t>
      </w:r>
    </w:p>
    <w:p>
      <w:pPr>
        <w:pStyle w:val="Normal"/>
        <w:numPr>
          <w:ilvl w:val="0"/>
          <w:numId w:val="4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52" w:name="__RefHeading___Toc24572_3350804041"/>
      <w:bookmarkEnd w:id="152"/>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73" name="Picture 21212883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121288353" descr=""/>
                    <pic:cNvPicPr>
                      <a:picLocks noChangeAspect="1" noChangeArrowheads="1"/>
                    </pic:cNvPicPr>
                  </pic:nvPicPr>
                  <pic:blipFill>
                    <a:blip r:embed="rId169"/>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74" name="Picture 21212883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2121288354" descr=""/>
                    <pic:cNvPicPr>
                      <a:picLocks noChangeAspect="1" noChangeArrowheads="1"/>
                    </pic:cNvPicPr>
                  </pic:nvPicPr>
                  <pic:blipFill>
                    <a:blip r:embed="rId170"/>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75" name="Picture 21212883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2121288355" descr=""/>
                    <pic:cNvPicPr>
                      <a:picLocks noChangeAspect="1" noChangeArrowheads="1"/>
                    </pic:cNvPicPr>
                  </pic:nvPicPr>
                  <pic:blipFill>
                    <a:blip r:embed="rId17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53" w:name="__RefHeading___Toc24574_3350804041"/>
      <w:bookmarkEnd w:id="153"/>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76" name="Picture 21212883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2121288356" descr=""/>
                    <pic:cNvPicPr>
                      <a:picLocks noChangeAspect="1" noChangeArrowheads="1"/>
                    </pic:cNvPicPr>
                  </pic:nvPicPr>
                  <pic:blipFill>
                    <a:blip r:embed="rId1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54" w:name="__RefHeading___Toc24576_3350804041"/>
      <w:bookmarkEnd w:id="154"/>
      <w:r>
        <w:rPr>
          <w:rFonts w:eastAsia="Segoe UI" w:cs="Segoe UI"/>
          <w:b/>
          <w:color w:val="0F4761"/>
          <w:sz w:val="26"/>
        </w:rPr>
        <w:t>13.12  Approve supplier invoices</w:t>
      </w:r>
    </w:p>
    <w:p>
      <w:pPr>
        <w:pStyle w:val="Normal"/>
        <w:spacing w:lineRule="auto" w:line="276" w:before="0" w:after="120"/>
        <w:rPr/>
      </w:pPr>
      <w:r>
        <w:rPr>
          <w:rFonts w:eastAsia="Segoe UI" w:cs="Segoe UI" w:ascii="Segoe UI" w:hAnsi="Segoe UI"/>
          <w:color w:val="101820"/>
          <w:sz w:val="21"/>
        </w:rPr>
        <w:t xml:space="preserve">Supplier invoices sent for approval are announced in the notifications (approve:payables). Open Accounts &gt; Payables &gt; Supplier Invoices, filter </w:t>
      </w:r>
      <w:r>
        <w:rPr>
          <w:rFonts w:eastAsia="Segoe UI" w:cs="Segoe UI" w:ascii="Segoe UI" w:hAnsi="Segoe UI"/>
          <w:b/>
          <w:color w:val="101820"/>
          <w:sz w:val="21"/>
        </w:rPr>
        <w:t>For approval</w:t>
      </w:r>
      <w:r>
        <w:rPr>
          <w:rFonts w:eastAsia="Segoe UI" w:cs="Segoe UI" w:ascii="Segoe UI" w:hAnsi="Segoe UI"/>
          <w:color w:val="101820"/>
          <w:sz w:val="21"/>
        </w:rPr>
        <w:t xml:space="preserve">, open the invoice, check the lines, VAT and EWT and select </w:t>
      </w:r>
      <w:r>
        <w:rPr>
          <w:rFonts w:eastAsia="Segoe UI" w:cs="Segoe UI" w:ascii="Segoe UI" w:hAnsi="Segoe UI"/>
          <w:b/>
          <w:color w:val="101820"/>
          <w:sz w:val="21"/>
        </w:rPr>
        <w:t>Approve</w:t>
      </w:r>
      <w:r>
        <w:rPr>
          <w:rFonts w:eastAsia="Segoe UI" w:cs="Segoe UI" w:ascii="Segoe UI" w:hAnsi="Segoe UI"/>
          <w:color w:val="101820"/>
          <w:sz w:val="21"/>
        </w:rPr>
        <w:t xml:space="preserve"> (the journal is posted)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You cannot approve an invoice you prepared or submitted.</w:t>
      </w:r>
    </w:p>
    <w:p>
      <w:pPr>
        <w:pStyle w:val="Heading2"/>
        <w:rPr/>
      </w:pPr>
      <w:bookmarkStart w:id="155" w:name="__RefHeading___Toc24578_3350804041"/>
      <w:bookmarkEnd w:id="155"/>
      <w:r>
        <w:rPr>
          <w:rFonts w:eastAsia="Segoe UI" w:cs="Segoe UI"/>
          <w:b/>
          <w:color w:val="0F4761"/>
          <w:sz w:val="26"/>
        </w:rPr>
        <w:t>13.13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56" w:name="__RefHeading___Toc24580_3350804041"/>
      <w:bookmarkEnd w:id="156"/>
      <w:r>
        <w:rPr>
          <w:rFonts w:eastAsia="Segoe UI" w:cs="Segoe UI" w:ascii="Segoe UI" w:hAnsi="Segoe UI"/>
          <w:b/>
          <w:color w:val="0F4761"/>
          <w:sz w:val="32"/>
        </w:rPr>
        <w:t>14.  Compliance Officer</w:t>
      </w:r>
    </w:p>
    <w:p>
      <w:pPr>
        <w:pStyle w:val="Heading2"/>
        <w:rPr/>
      </w:pPr>
      <w:bookmarkStart w:id="157" w:name="__RefHeading___Toc24582_3350804041"/>
      <w:bookmarkEnd w:id="157"/>
      <w:r>
        <w:rPr>
          <w:rFonts w:eastAsia="Segoe UI" w:cs="Segoe UI"/>
          <w:b/>
          <w:color w:val="0F4761"/>
          <w:sz w:val="26"/>
        </w:rPr>
        <w:t>14.1  Role summary</w:t>
      </w:r>
    </w:p>
    <w:p>
      <w:pPr>
        <w:pStyle w:val="Normal"/>
        <w:spacing w:lineRule="auto" w:line="276" w:before="0" w:after="120"/>
        <w:rPr/>
      </w:pPr>
      <w:r>
        <w:rPr>
          <w:rFonts w:eastAsia="Segoe UI" w:cs="Segoe UI" w:ascii="Segoe UI" w:hAnsi="Segoe UI"/>
          <w:color w:val="101820"/>
          <w:sz w:val="21"/>
        </w:rPr>
        <w:t>The Compliance Officer (role Compliance Officer (AML/CFT)) is the broker's compliance function in BrokerVerse. The role runs the money laundering and terrorist financing prevention programme under the AMLA (RA 9160 as amended), its implementing rules, the AMLC's rules for covered persons and the IC's circulars for insurance intermediaries: customer risk rating and enhanced due diligence, sanctions, PEP and negative list screening, covered and suspicious transaction monitoring, AML cases and the report files filed with the AMLC. The decisions reserved to the compliance officer (permission approve:aml) are: clearing, escalating or confirming a screening match, approving or rejecting an EDD review, overriding a risk rating, approving a case for filing and recording a filing. Every decision asks for a reason and is kept in the audit trail.</w:t>
      </w:r>
    </w:p>
    <w:p>
      <w:pPr>
        <w:pStyle w:val="Normal"/>
        <w:spacing w:lineRule="auto" w:line="276" w:before="0" w:after="120"/>
        <w:rPr/>
      </w:pPr>
      <w:r>
        <w:rPr>
          <w:rFonts w:eastAsia="Segoe UI" w:cs="Segoe UI" w:ascii="Segoe UI" w:hAnsi="Segoe UI"/>
          <w:color w:val="101820"/>
          <w:sz w:val="21"/>
        </w:rPr>
        <w:t>The same role keeps the registers the broker holds for the Insurance Commission and the National Privacy Commission (permissions read and write:compliance, read and write:complaints, read and write:privacy): the licence register, the fit and proper records, the insurer certificates of authority, the complaints register, the IC annual statement and production report, the personal data breach register, and the data subject requests and consent register of Master &gt; Data Privacy. Those screens are described in the chapter Compliance and in the System Administrator chapter (Data privacy); this chapter tells the officer when to use them.</w:t>
      </w:r>
    </w:p>
    <w:p>
      <w:pPr>
        <w:pStyle w:val="Normal"/>
        <w:jc w:val="center"/>
        <w:rPr/>
      </w:pPr>
      <w:r>
        <w:rPr/>
        <w:drawing>
          <wp:inline distT="0" distB="0" distL="0" distR="0">
            <wp:extent cx="5760085" cy="4469130"/>
            <wp:effectExtent l="0" t="0" r="0" b="0"/>
            <wp:docPr id="177" name="Picture 21212883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121288357" descr=""/>
                    <pic:cNvPicPr>
                      <a:picLocks noChangeAspect="1" noChangeArrowheads="1"/>
                    </pic:cNvPicPr>
                  </pic:nvPicPr>
                  <pic:blipFill>
                    <a:blip r:embed="rId17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Dashboard</w:t>
      </w:r>
    </w:p>
    <w:p>
      <w:pPr>
        <w:pStyle w:val="Heading2"/>
        <w:rPr/>
      </w:pPr>
      <w:bookmarkStart w:id="158" w:name="__RefHeading___Toc24584_3350804041"/>
      <w:bookmarkEnd w:id="158"/>
      <w:r>
        <w:rPr>
          <w:rFonts w:eastAsia="Segoe UI" w:cs="Segoe UI"/>
          <w:b/>
          <w:color w:val="0F4761"/>
          <w:sz w:val="26"/>
        </w:rPr>
        <w:t>14.2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(with Onboard client), Policy, Claims (to read the client's records)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 Insurance Commission (Licence Register, Fit and Proper, Insurer Authority, Complaints, IC Annual Statement, IC Production Report); Data Privacy (NPC) (Breach Register)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(Data Subject Requests, Consent Register)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(client servicing) sees Compliance &gt; EDD Reviews to prepare the reviews of its clients, and keeps the Insurance Commission registers, the complaints and the breach register with the officer; Claims and Sales see the complaints register; Accounting reads the licence register and the IC reports. The System Administrator sees every menu.</w:t>
      </w:r>
    </w:p>
    <w:p>
      <w:pPr>
        <w:pStyle w:val="Heading2"/>
        <w:rPr/>
      </w:pPr>
      <w:bookmarkStart w:id="159" w:name="__RefHeading___Toc24586_3350804041"/>
      <w:bookmarkEnd w:id="159"/>
      <w:r>
        <w:rPr>
          <w:rFonts w:eastAsia="Segoe UI" w:cs="Segoe UI"/>
          <w:b/>
          <w:color w:val="0F4761"/>
          <w:sz w:val="26"/>
        </w:rPr>
        <w:t>14.3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the open screening hits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Hits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new transaction alerts (the monitoring job runs every morning)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Transaction Alerts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submitted EDD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EDD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complaints past a deadline and the escalated 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 working day of suspicion (</w:t>
            </w:r>
            <w:r>
              <w:rPr>
                <w:rFonts w:eastAsia="Consolas" w:cs="Consolas" w:ascii="Consolas" w:hAnsi="Consolas"/>
                <w:color w:val="101820"/>
                <w:kern w:val="0"/>
                <w:sz w:val="16"/>
                <w:szCs w:val="24"/>
                <w:lang w:val="en-US" w:eastAsia="ja-JP" w:bidi="ar-SA"/>
              </w:rPr>
              <w:t>aml.str_due_working_days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STR case and file the STR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 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and file the CTR file of the covered transactions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72 hours of discovery (</w:t>
            </w:r>
            <w:r>
              <w:rPr>
                <w:rFonts w:eastAsia="Consolas" w:cs="Consolas" w:ascii="Consolas" w:hAnsi="Consolas"/>
                <w:color w:val="101820"/>
                <w:kern w:val="0"/>
                <w:sz w:val="16"/>
                <w:szCs w:val="24"/>
                <w:lang w:val="en-US" w:eastAsia="ja-JP" w:bidi="ar-SA"/>
              </w:rPr>
              <w:t>privacy.breach_notify_hours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personal data breach and notify the NPC and the data subjects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15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the data subject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KYC refreshes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KYC Refresh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(the firm, officers, agents and referrers), renewals filed and received; insurer certificates of authority expiring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 Insurer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 report for the period; fit and proper reviews due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&gt; </w:t>
            </w:r>
            <w:r>
              <w:rPr>
                <w:rFonts w:eastAsia="Segoe UI" w:cs="Segoe UI" w:ascii="Segoe UI" w:hAnsi="Segoe UI"/>
                <w:b/>
                <w:color w:val="101820"/>
                <w:kern w:val="0"/>
                <w:sz w:val="18"/>
                <w:szCs w:val="24"/>
                <w:lang w:val="en-US" w:eastAsia="ja-JP" w:bidi="ar-SA"/>
              </w:rPr>
              <w:t>Download report</w:t>
            </w:r>
            <w:r>
              <w:rPr>
                <w:rFonts w:eastAsia="Segoe UI" w:cs="Segoe UI" w:ascii="Segoe UI" w:hAnsi="Segoe UI"/>
                <w:color w:val="101820"/>
                <w:kern w:val="0"/>
                <w:sz w:val="18"/>
                <w:szCs w:val="24"/>
                <w:lang w:val="en-US" w:eastAsia="ja-JP" w:bidi="ar-SA"/>
              </w:rPr>
              <w:t>; Fit and Proper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a list is published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the new version of the UN, AMLC, PEP or internal 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Screening Lists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workbook with the accountant; IC production report; annual security incident report to the NPC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IC Annual Statement, IC Production Report, Breach Register &gt; </w:t>
            </w:r>
            <w:r>
              <w:rPr>
                <w:rFonts w:eastAsia="Segoe UI" w:cs="Segoe UI" w:ascii="Segoe UI" w:hAnsi="Segoe UI"/>
                <w:b/>
                <w:color w:val="101820"/>
                <w:kern w:val="0"/>
                <w:sz w:val="18"/>
                <w:szCs w:val="24"/>
                <w:lang w:val="en-US" w:eastAsia="ja-JP" w:bidi="ar-SA"/>
              </w:rPr>
              <w:t>Annual report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and when rules change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risk factors, thresholds and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Settings</w:t>
            </w:r>
          </w:p>
        </w:tc>
      </w:tr>
    </w:tbl>
    <w:p>
      <w:pPr>
        <w:pStyle w:val="Normal"/>
        <w:spacing w:before="0" w:after="80"/>
        <w:rPr/>
      </w:pPr>
      <w:r>
        <w:rPr/>
      </w:r>
    </w:p>
    <w:p>
      <w:pPr>
        <w:pStyle w:val="Heading2"/>
        <w:rPr/>
      </w:pPr>
      <w:bookmarkStart w:id="160" w:name="__RefHeading___Toc24588_3350804041"/>
      <w:bookmarkEnd w:id="160"/>
      <w:r>
        <w:rPr>
          <w:rFonts w:eastAsia="Segoe UI" w:cs="Segoe UI"/>
          <w:b/>
          <w:color w:val="0F4761"/>
          <w:sz w:val="26"/>
        </w:rPr>
        <w:t>14.4  AML dashboard</w:t>
      </w:r>
    </w:p>
    <w:p>
      <w:pPr>
        <w:pStyle w:val="Normal"/>
        <w:spacing w:lineRule="auto" w:line="276" w:before="0" w:after="120"/>
        <w:rPr/>
      </w:pPr>
      <w:r>
        <w:rPr>
          <w:rFonts w:eastAsia="Segoe UI" w:cs="Segoe UI" w:ascii="Segoe UI" w:hAnsi="Segoe UI"/>
          <w:color w:val="101820"/>
          <w:sz w:val="21"/>
        </w:rPr>
        <w:t>Compliance &gt; AML Dashboard shows the counts of the programme in three rows: clients by risk rating with the KYC refreshes due and overdue; the reviews to decide (screening hits open, escalated and confirmed, EDD reviews to prepare and to approve, failed requests to the screening provider); transactions and reports (covered transactions to report, suspicious alerts open, cases open and overdue, report files to file). Select a tile to open the list behind it. A warning shows when an active screening list has no version loaded.</w:t>
      </w:r>
    </w:p>
    <w:p>
      <w:pPr>
        <w:pStyle w:val="Heading2"/>
        <w:rPr/>
      </w:pPr>
      <w:bookmarkStart w:id="161" w:name="__RefHeading___Toc24590_3350804041"/>
      <w:bookmarkEnd w:id="161"/>
      <w:r>
        <w:rPr>
          <w:rFonts w:eastAsia="Segoe UI" w:cs="Segoe UI"/>
          <w:b/>
          <w:color w:val="0F4761"/>
          <w:sz w:val="26"/>
        </w:rPr>
        <w:t>14.5  Client due diligence and risk rating</w:t>
      </w:r>
    </w:p>
    <w:p>
      <w:pPr>
        <w:pStyle w:val="Normal"/>
        <w:spacing w:lineRule="auto" w:line="276" w:before="0" w:after="120"/>
        <w:rPr/>
      </w:pPr>
      <w:r>
        <w:rPr>
          <w:rFonts w:eastAsia="Segoe UI" w:cs="Segoe UI" w:ascii="Segoe UI" w:hAnsi="Segoe UI"/>
          <w:color w:val="101820"/>
          <w:sz w:val="21"/>
        </w:rPr>
        <w:t xml:space="preserve">Compliance &gt; Client Due Diligence lists every client with </w:t>
      </w:r>
      <w:r>
        <w:rPr>
          <w:rFonts w:eastAsia="Segoe UI" w:cs="Segoe UI" w:ascii="Segoe UI" w:hAnsi="Segoe UI"/>
          <w:b/>
          <w:color w:val="101820"/>
          <w:sz w:val="21"/>
        </w:rPr>
        <w:t>Risk rating</w:t>
      </w:r>
      <w:r>
        <w:rPr>
          <w:rFonts w:eastAsia="Segoe UI" w:cs="Segoe UI" w:ascii="Segoe UI" w:hAnsi="Segoe UI"/>
          <w:color w:val="101820"/>
          <w:sz w:val="21"/>
        </w:rPr>
        <w:t xml:space="preserve">, </w:t>
      </w:r>
      <w:r>
        <w:rPr>
          <w:rFonts w:eastAsia="Segoe UI" w:cs="Segoe UI" w:ascii="Segoe UI" w:hAnsi="Segoe UI"/>
          <w:b/>
          <w:color w:val="101820"/>
          <w:sz w:val="21"/>
        </w:rPr>
        <w:t>Score</w:t>
      </w:r>
      <w:r>
        <w:rPr>
          <w:rFonts w:eastAsia="Segoe UI" w:cs="Segoe UI" w:ascii="Segoe UI" w:hAnsi="Segoe UI"/>
          <w:color w:val="101820"/>
          <w:sz w:val="21"/>
        </w:rPr>
        <w:t xml:space="preserve">, </w:t>
      </w:r>
      <w:r>
        <w:rPr>
          <w:rFonts w:eastAsia="Segoe UI" w:cs="Segoe UI" w:ascii="Segoe UI" w:hAnsi="Segoe UI"/>
          <w:b/>
          <w:color w:val="101820"/>
          <w:sz w:val="21"/>
        </w:rPr>
        <w:t>KYC status</w:t>
      </w:r>
      <w:r>
        <w:rPr>
          <w:rFonts w:eastAsia="Segoe UI" w:cs="Segoe UI" w:ascii="Segoe UI" w:hAnsi="Segoe UI"/>
          <w:color w:val="101820"/>
          <w:sz w:val="21"/>
        </w:rPr>
        <w:t xml:space="preserve">, open hits, PEP and </w:t>
      </w:r>
      <w:r>
        <w:rPr>
          <w:rFonts w:eastAsia="Segoe UI" w:cs="Segoe UI" w:ascii="Segoe UI" w:hAnsi="Segoe UI"/>
          <w:b/>
          <w:color w:val="101820"/>
          <w:sz w:val="21"/>
        </w:rPr>
        <w:t>Next KYC refresh</w:t>
      </w:r>
      <w:r>
        <w:rPr>
          <w:rFonts w:eastAsia="Segoe UI" w:cs="Segoe UI" w:ascii="Segoe UI" w:hAnsi="Segoe UI"/>
          <w:color w:val="101820"/>
          <w:sz w:val="21"/>
        </w:rPr>
        <w:t>; filter by rating, KYC status and client type, or search. Select a client to open its AML profile.</w:t>
      </w:r>
    </w:p>
    <w:p>
      <w:pPr>
        <w:pStyle w:val="Normal"/>
        <w:jc w:val="center"/>
        <w:rPr/>
      </w:pPr>
      <w:r>
        <w:rPr/>
        <w:drawing>
          <wp:inline distT="0" distB="0" distL="0" distR="0">
            <wp:extent cx="5760085" cy="4469130"/>
            <wp:effectExtent l="0" t="0" r="0" b="0"/>
            <wp:docPr id="178" name="Picture 21212883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2121288358" descr=""/>
                    <pic:cNvPicPr>
                      <a:picLocks noChangeAspect="1" noChangeArrowheads="1"/>
                    </pic:cNvPicPr>
                  </pic:nvPicPr>
                  <pic:blipFill>
                    <a:blip r:embed="rId1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Client Due Diligence</w:t>
      </w:r>
    </w:p>
    <w:p>
      <w:pPr>
        <w:pStyle w:val="Normal"/>
        <w:spacing w:lineRule="auto" w:line="276" w:before="0" w:after="120"/>
        <w:rPr/>
      </w:pPr>
      <w:r>
        <w:rPr>
          <w:rFonts w:eastAsia="Segoe UI" w:cs="Segoe UI" w:ascii="Segoe UI" w:hAnsi="Segoe UI"/>
          <w:color w:val="101820"/>
          <w:sz w:val="21"/>
        </w:rPr>
        <w:t xml:space="preserve">The rating adds, for each risk factor, the score of the client's value: client type (customer type), nationality or country of incorporation, PEP (client or beneficial owner), line of business or product (expected lines and policies), payment mode (expected and used), annual premium, and address (country, region, province, city). A value without a row of its own takes the factor's </w:t>
      </w:r>
      <w:r>
        <w:rPr>
          <w:rFonts w:eastAsia="Segoe UI" w:cs="Segoe UI" w:ascii="Segoe UI" w:hAnsi="Segoe UI"/>
          <w:b/>
          <w:color w:val="101820"/>
          <w:sz w:val="21"/>
        </w:rPr>
        <w:t>Any other value</w:t>
      </w:r>
      <w:r>
        <w:rPr>
          <w:rFonts w:eastAsia="Segoe UI" w:cs="Segoe UI" w:ascii="Segoe UI" w:hAnsi="Segoe UI"/>
          <w:color w:val="101820"/>
          <w:sz w:val="21"/>
        </w:rPr>
        <w:t xml:space="preserve"> row. The total is Low up to </w:t>
      </w:r>
      <w:r>
        <w:rPr>
          <w:rFonts w:eastAsia="Consolas" w:cs="Consolas" w:ascii="Consolas" w:hAnsi="Consolas"/>
          <w:color w:val="101820"/>
          <w:sz w:val="19"/>
        </w:rPr>
        <w:t>aml.risk_low_max_score</w:t>
      </w:r>
      <w:r>
        <w:rPr>
          <w:rFonts w:eastAsia="Segoe UI" w:cs="Segoe UI" w:ascii="Segoe UI" w:hAnsi="Segoe UI"/>
          <w:color w:val="101820"/>
          <w:sz w:val="21"/>
        </w:rPr>
        <w:t xml:space="preserve"> (2), High from </w:t>
      </w:r>
      <w:r>
        <w:rPr>
          <w:rFonts w:eastAsia="Consolas" w:cs="Consolas" w:ascii="Consolas" w:hAnsi="Consolas"/>
          <w:color w:val="101820"/>
          <w:sz w:val="19"/>
        </w:rPr>
        <w:t>aml.risk_high_min_score</w:t>
      </w:r>
      <w:r>
        <w:rPr>
          <w:rFonts w:eastAsia="Segoe UI" w:cs="Segoe UI" w:ascii="Segoe UI" w:hAnsi="Segoe UI"/>
          <w:color w:val="101820"/>
          <w:sz w:val="21"/>
        </w:rPr>
        <w:t xml:space="preserve"> (8), Normal between. A PEP is always High (</w:t>
      </w:r>
      <w:r>
        <w:rPr>
          <w:rFonts w:eastAsia="Consolas" w:cs="Consolas" w:ascii="Consolas" w:hAnsi="Consolas"/>
          <w:color w:val="101820"/>
          <w:sz w:val="19"/>
        </w:rPr>
        <w:t>aml.pep_always_high</w:t>
      </w:r>
      <w:r>
        <w:rPr>
          <w:rFonts w:eastAsia="Segoe UI" w:cs="Segoe UI" w:ascii="Segoe UI" w:hAnsi="Segoe UI"/>
          <w:color w:val="101820"/>
          <w:sz w:val="21"/>
        </w:rPr>
        <w:t>) and a confirmed screening match always rates the client High. The client is rated at onboarding, at every policy issue (with the new policy's line, premium and payment mode), at the KYC refresh, after a screening decision and on demand.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KYC 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Identification items missing (listed on the profile)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Identified, rated and nothing due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required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Rated High without an approved EDD review: no policy is issued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 due</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KYC refresh date has come</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match was confirmed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 the profile:</w:t>
      </w:r>
    </w:p>
    <w:p>
      <w:pPr>
        <w:pStyle w:val="Normal"/>
        <w:numPr>
          <w:ilvl w:val="0"/>
          <w:numId w:val="497"/>
        </w:numPr>
        <w:spacing w:before="0" w:after="60"/>
        <w:rPr/>
      </w:pPr>
      <w:r>
        <w:rPr>
          <w:rFonts w:eastAsia="Segoe UI" w:cs="Segoe UI" w:ascii="Segoe UI" w:hAnsi="Segoe UI"/>
          <w:b/>
          <w:color w:val="101820"/>
          <w:sz w:val="21"/>
        </w:rPr>
        <w:t>Risk rating</w:t>
      </w:r>
      <w:r>
        <w:rPr>
          <w:rFonts w:eastAsia="Segoe UI" w:cs="Segoe UI" w:ascii="Segoe UI" w:hAnsi="Segoe UI"/>
          <w:color w:val="101820"/>
          <w:sz w:val="21"/>
        </w:rPr>
        <w:t xml:space="preserve"> shows the factors that scored, the reasons (PEP, confirmed match, override) and the history of every rating with its trigger.</w:t>
      </w:r>
    </w:p>
    <w:p>
      <w:pPr>
        <w:pStyle w:val="Normal"/>
        <w:numPr>
          <w:ilvl w:val="0"/>
          <w:numId w:val="498"/>
        </w:numPr>
        <w:spacing w:before="0" w:after="60"/>
        <w:rPr/>
      </w:pPr>
      <w:r>
        <w:rPr>
          <w:rFonts w:eastAsia="Segoe UI" w:cs="Segoe UI" w:ascii="Segoe UI" w:hAnsi="Segoe UI"/>
          <w:b/>
          <w:color w:val="101820"/>
          <w:sz w:val="21"/>
        </w:rPr>
        <w:t>Screening</w:t>
      </w:r>
      <w:r>
        <w:rPr>
          <w:rFonts w:eastAsia="Segoe UI" w:cs="Segoe UI" w:ascii="Segoe UI" w:hAnsi="Segoe UI"/>
          <w:color w:val="101820"/>
          <w:sz w:val="21"/>
        </w:rPr>
        <w:t xml:space="preserve"> shows the hits of the client, its owners and signatories and every screening run (event, provider, result).</w:t>
      </w:r>
    </w:p>
    <w:p>
      <w:pPr>
        <w:pStyle w:val="Normal"/>
        <w:numPr>
          <w:ilvl w:val="0"/>
          <w:numId w:val="499"/>
        </w:numPr>
        <w:spacing w:before="0" w:after="60"/>
        <w:rPr/>
      </w:pPr>
      <w:r>
        <w:rPr>
          <w:rFonts w:eastAsia="Segoe UI" w:cs="Segoe UI" w:ascii="Segoe UI" w:hAnsi="Segoe UI"/>
          <w:b/>
          <w:color w:val="101820"/>
          <w:sz w:val="21"/>
        </w:rPr>
        <w:t>Signatories and owners</w:t>
      </w:r>
      <w:r>
        <w:rPr>
          <w:rFonts w:eastAsia="Segoe UI" w:cs="Segoe UI" w:ascii="Segoe UI" w:hAnsi="Segoe UI"/>
          <w:color w:val="101820"/>
          <w:sz w:val="21"/>
        </w:rPr>
        <w:t xml:space="preserve"> (juridical clients) and </w:t>
      </w:r>
      <w:r>
        <w:rPr>
          <w:rFonts w:eastAsia="Segoe UI" w:cs="Segoe UI" w:ascii="Segoe UI" w:hAnsi="Segoe UI"/>
          <w:b/>
          <w:color w:val="101820"/>
          <w:sz w:val="21"/>
        </w:rPr>
        <w:t>KYC documents</w:t>
      </w:r>
      <w:r>
        <w:rPr>
          <w:rFonts w:eastAsia="Segoe UI" w:cs="Segoe UI" w:ascii="Segoe UI" w:hAnsi="Segoe UI"/>
          <w:color w:val="101820"/>
          <w:sz w:val="21"/>
        </w:rPr>
        <w:t xml:space="preserve"> show what onboarding recorded; warnings show when no owner is declared, when the shares add up to more than 100% or when an owner below the threshold is recorded as an owner.</w:t>
      </w:r>
    </w:p>
    <w:p>
      <w:pPr>
        <w:pStyle w:val="Normal"/>
        <w:numPr>
          <w:ilvl w:val="0"/>
          <w:numId w:val="500"/>
        </w:numPr>
        <w:spacing w:before="0" w:after="60"/>
        <w:rPr/>
      </w:pPr>
      <w:r>
        <w:rPr>
          <w:rFonts w:eastAsia="Segoe UI" w:cs="Segoe UI" w:ascii="Segoe UI" w:hAnsi="Segoe UI"/>
          <w:b/>
          <w:color w:val="101820"/>
          <w:sz w:val="21"/>
        </w:rPr>
        <w:t>Rate again</w:t>
      </w:r>
      <w:r>
        <w:rPr>
          <w:rFonts w:eastAsia="Segoe UI" w:cs="Segoe UI" w:ascii="Segoe UI" w:hAnsi="Segoe UI"/>
          <w:color w:val="101820"/>
          <w:sz w:val="21"/>
        </w:rPr>
        <w:t xml:space="preserve"> recomputes the rating; </w:t>
      </w:r>
      <w:r>
        <w:rPr>
          <w:rFonts w:eastAsia="Segoe UI" w:cs="Segoe UI" w:ascii="Segoe UI" w:hAnsi="Segoe UI"/>
          <w:b/>
          <w:color w:val="101820"/>
          <w:sz w:val="21"/>
        </w:rPr>
        <w:t>Screen now</w:t>
      </w:r>
      <w:r>
        <w:rPr>
          <w:rFonts w:eastAsia="Segoe UI" w:cs="Segoe UI" w:ascii="Segoe UI" w:hAnsi="Segoe UI"/>
          <w:color w:val="101820"/>
          <w:sz w:val="21"/>
        </w:rPr>
        <w:t xml:space="preserve"> screens the client, owners and signatories; </w:t>
      </w:r>
      <w:r>
        <w:rPr>
          <w:rFonts w:eastAsia="Segoe UI" w:cs="Segoe UI" w:ascii="Segoe UI" w:hAnsi="Segoe UI"/>
          <w:b/>
          <w:color w:val="101820"/>
          <w:sz w:val="21"/>
        </w:rPr>
        <w:t>Complete KYC refresh</w:t>
      </w:r>
      <w:r>
        <w:rPr>
          <w:rFonts w:eastAsia="Segoe UI" w:cs="Segoe UI" w:ascii="Segoe UI" w:hAnsi="Segoe UI"/>
          <w:color w:val="101820"/>
          <w:sz w:val="21"/>
        </w:rPr>
        <w:t xml:space="preserve"> records the refresh.</w:t>
      </w:r>
    </w:p>
    <w:p>
      <w:pPr>
        <w:pStyle w:val="Normal"/>
        <w:numPr>
          <w:ilvl w:val="0"/>
          <w:numId w:val="501"/>
        </w:numPr>
        <w:spacing w:before="0" w:after="60"/>
        <w:rPr/>
      </w:pPr>
      <w:r>
        <w:rPr>
          <w:rFonts w:eastAsia="Segoe UI" w:cs="Segoe UI" w:ascii="Segoe UI" w:hAnsi="Segoe UI"/>
          <w:b/>
          <w:color w:val="101820"/>
          <w:sz w:val="21"/>
        </w:rPr>
        <w:t>Override rating</w:t>
      </w:r>
      <w:r>
        <w:rPr>
          <w:rFonts w:eastAsia="Segoe UI" w:cs="Segoe UI" w:ascii="Segoe UI" w:hAnsi="Segoe UI"/>
          <w:color w:val="101820"/>
          <w:sz w:val="21"/>
        </w:rPr>
        <w:t xml:space="preserve"> (compliance officer): choose the rating and give the reason. The override holds until the next KYC refresh.</w:t>
      </w:r>
    </w:p>
    <w:p>
      <w:pPr>
        <w:pStyle w:val="Heading2"/>
        <w:rPr/>
      </w:pPr>
      <w:bookmarkStart w:id="162" w:name="__RefHeading___Toc24592_3350804041"/>
      <w:bookmarkEnd w:id="162"/>
      <w:r>
        <w:rPr>
          <w:rFonts w:eastAsia="Segoe UI" w:cs="Segoe UI"/>
          <w:b/>
          <w:color w:val="0F4761"/>
          <w:sz w:val="26"/>
        </w:rPr>
        <w:t>14.6  Enhanced due diligence (EDD) reviews</w:t>
      </w:r>
    </w:p>
    <w:p>
      <w:pPr>
        <w:pStyle w:val="Normal"/>
        <w:spacing w:lineRule="auto" w:line="276" w:before="0" w:after="120"/>
        <w:rPr/>
      </w:pPr>
      <w:r>
        <w:rPr>
          <w:rFonts w:eastAsia="Segoe UI" w:cs="Segoe UI" w:ascii="Segoe UI" w:hAnsi="Segoe UI"/>
          <w:color w:val="101820"/>
          <w:sz w:val="21"/>
        </w:rPr>
        <w:t>A client rated High gets an EDD review (EDD-YYYY-NNNNN) automatically; the compliance officer can also open one. Compliance &gt; EDD Reviews lists the reviews pending, filterable by status.</w:t>
      </w:r>
    </w:p>
    <w:p>
      <w:pPr>
        <w:pStyle w:val="Normal"/>
        <w:numPr>
          <w:ilvl w:val="0"/>
          <w:numId w:val="502"/>
        </w:numPr>
        <w:spacing w:before="0" w:after="60"/>
        <w:rPr/>
      </w:pPr>
      <w:r>
        <w:rPr>
          <w:rFonts w:eastAsia="Segoe UI" w:cs="Segoe UI" w:ascii="Segoe UI" w:hAnsi="Segoe UI"/>
          <w:color w:val="101820"/>
          <w:sz w:val="21"/>
        </w:rPr>
        <w:t xml:space="preserve">The preparer (Operations or the compliance officer) opens the review and records the </w:t>
      </w:r>
      <w:r>
        <w:rPr>
          <w:rFonts w:eastAsia="Segoe UI" w:cs="Segoe UI" w:ascii="Segoe UI" w:hAnsi="Segoe UI"/>
          <w:b/>
          <w:color w:val="101820"/>
          <w:sz w:val="21"/>
        </w:rPr>
        <w:t>Source of wealth</w:t>
      </w:r>
      <w:r>
        <w:rPr>
          <w:rFonts w:eastAsia="Segoe UI" w:cs="Segoe UI" w:ascii="Segoe UI" w:hAnsi="Segoe UI"/>
          <w:color w:val="101820"/>
          <w:sz w:val="21"/>
        </w:rPr>
        <w:t xml:space="preserve">, </w:t>
      </w:r>
      <w:r>
        <w:rPr>
          <w:rFonts w:eastAsia="Segoe UI" w:cs="Segoe UI" w:ascii="Segoe UI" w:hAnsi="Segoe UI"/>
          <w:b/>
          <w:color w:val="101820"/>
          <w:sz w:val="21"/>
        </w:rPr>
        <w:t>Source of funds</w:t>
      </w:r>
      <w:r>
        <w:rPr>
          <w:rFonts w:eastAsia="Segoe UI" w:cs="Segoe UI" w:ascii="Segoe UI" w:hAnsi="Segoe UI"/>
          <w:color w:val="101820"/>
          <w:sz w:val="21"/>
        </w:rPr>
        <w:t xml:space="preserve">, </w:t>
      </w:r>
      <w:r>
        <w:rPr>
          <w:rFonts w:eastAsia="Segoe UI" w:cs="Segoe UI" w:ascii="Segoe UI" w:hAnsi="Segoe UI"/>
          <w:b/>
          <w:color w:val="101820"/>
          <w:sz w:val="21"/>
        </w:rPr>
        <w:t>Purpose of the business relationship</w:t>
      </w:r>
      <w:r>
        <w:rPr>
          <w:rFonts w:eastAsia="Segoe UI" w:cs="Segoe UI" w:ascii="Segoe UI" w:hAnsi="Segoe UI"/>
          <w:color w:val="101820"/>
          <w:sz w:val="21"/>
        </w:rPr>
        <w:t xml:space="preserve"> and </w:t>
      </w:r>
      <w:r>
        <w:rPr>
          <w:rFonts w:eastAsia="Segoe UI" w:cs="Segoe UI" w:ascii="Segoe UI" w:hAnsi="Segoe UI"/>
          <w:b/>
          <w:color w:val="101820"/>
          <w:sz w:val="21"/>
        </w:rPr>
        <w:t>Findings</w:t>
      </w:r>
      <w:r>
        <w:rPr>
          <w:rFonts w:eastAsia="Segoe UI" w:cs="Segoe UI" w:ascii="Segoe UI" w:hAnsi="Segoe UI"/>
          <w:color w:val="101820"/>
          <w:sz w:val="21"/>
        </w:rPr>
        <w:t xml:space="preserve">, ticks </w:t>
      </w:r>
      <w:r>
        <w:rPr>
          <w:rFonts w:eastAsia="Segoe UI" w:cs="Segoe UI" w:ascii="Segoe UI" w:hAnsi="Segoe UI"/>
          <w:b/>
          <w:color w:val="101820"/>
          <w:sz w:val="21"/>
        </w:rPr>
        <w:t>Senior management approved the relationship</w:t>
      </w:r>
      <w:r>
        <w:rPr>
          <w:rFonts w:eastAsia="Segoe UI" w:cs="Segoe UI" w:ascii="Segoe UI" w:hAnsi="Segoe UI"/>
          <w:color w:val="101820"/>
          <w:sz w:val="21"/>
        </w:rPr>
        <w:t xml:space="preserve"> when it did, and uploads the evidence (bank certificates, financial statements, title deeds).</w:t>
      </w:r>
    </w:p>
    <w:p>
      <w:pPr>
        <w:pStyle w:val="Normal"/>
        <w:numPr>
          <w:ilvl w:val="0"/>
          <w:numId w:val="503"/>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sends it for approval; the compliance officers are notified.</w:t>
      </w:r>
    </w:p>
    <w:p>
      <w:pPr>
        <w:pStyle w:val="Normal"/>
        <w:numPr>
          <w:ilvl w:val="0"/>
          <w:numId w:val="504"/>
        </w:numPr>
        <w:spacing w:before="0" w:after="60"/>
        <w:rPr/>
      </w:pPr>
      <w:r>
        <w:rPr>
          <w:rFonts w:eastAsia="Segoe UI" w:cs="Segoe UI" w:ascii="Segoe UI" w:hAnsi="Segoe UI"/>
          <w:color w:val="101820"/>
          <w:sz w:val="21"/>
        </w:rPr>
        <w:t xml:space="preserve">The compliance officer opens the submitted review and selects </w:t>
      </w:r>
      <w:r>
        <w:rPr>
          <w:rFonts w:eastAsia="Segoe UI" w:cs="Segoe UI" w:ascii="Segoe UI" w:hAnsi="Segoe UI"/>
          <w:b/>
          <w:color w:val="101820"/>
          <w:sz w:val="21"/>
        </w:rPr>
        <w:t>Approve</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the reason (the preparer completes it and submits again). The officer who submitted a review cannot decide it.</w:t>
      </w:r>
    </w:p>
    <w:p>
      <w:pPr>
        <w:pStyle w:val="Normal"/>
        <w:spacing w:lineRule="auto" w:line="276" w:before="0" w:after="120"/>
        <w:rPr/>
      </w:pPr>
      <w:r>
        <w:rPr>
          <w:rFonts w:eastAsia="Segoe UI" w:cs="Segoe UI" w:ascii="Segoe UI" w:hAnsi="Segoe UI"/>
          <w:color w:val="101820"/>
          <w:sz w:val="21"/>
        </w:rPr>
        <w:t>An approved review is valid for the refresh months of the High rating; until then a High-risk client can be issued policies.</w:t>
      </w:r>
    </w:p>
    <w:p>
      <w:pPr>
        <w:pStyle w:val="Heading2"/>
        <w:rPr/>
      </w:pPr>
      <w:bookmarkStart w:id="163" w:name="__RefHeading___Toc24594_3350804041"/>
      <w:bookmarkEnd w:id="163"/>
      <w:r>
        <w:rPr>
          <w:rFonts w:eastAsia="Segoe UI" w:cs="Segoe UI"/>
          <w:b/>
          <w:color w:val="0F4761"/>
          <w:sz w:val="26"/>
        </w:rPr>
        <w:t>14.7  KYC refresh</w:t>
      </w:r>
    </w:p>
    <w:p>
      <w:pPr>
        <w:pStyle w:val="Normal"/>
        <w:spacing w:lineRule="auto" w:line="276" w:before="0" w:after="120"/>
        <w:rPr/>
      </w:pPr>
      <w:r>
        <w:rPr>
          <w:rFonts w:eastAsia="Segoe UI" w:cs="Segoe UI" w:ascii="Segoe UI" w:hAnsi="Segoe UI"/>
          <w:color w:val="101820"/>
          <w:sz w:val="21"/>
        </w:rPr>
        <w:t xml:space="preserve">Compliance &gt; KYC Refresh lists the clients whose refresh date is within </w:t>
      </w:r>
      <w:r>
        <w:rPr>
          <w:rFonts w:eastAsia="Consolas" w:cs="Consolas" w:ascii="Consolas" w:hAnsi="Consolas"/>
          <w:color w:val="101820"/>
          <w:sz w:val="19"/>
        </w:rPr>
        <w:t>aml.kyc_refresh_notice_days</w:t>
      </w:r>
      <w:r>
        <w:rPr>
          <w:rFonts w:eastAsia="Segoe UI" w:cs="Segoe UI" w:ascii="Segoe UI" w:hAnsi="Segoe UI"/>
          <w:color w:val="101820"/>
          <w:sz w:val="21"/>
        </w:rPr>
        <w:t xml:space="preserve"> (30) or past, with the last review and the next date. The refresh period follows the rating: </w:t>
      </w:r>
      <w:r>
        <w:rPr>
          <w:rFonts w:eastAsia="Consolas" w:cs="Consolas" w:ascii="Consolas" w:hAnsi="Consolas"/>
          <w:color w:val="101820"/>
          <w:sz w:val="19"/>
        </w:rPr>
        <w:t>aml.kyc_refresh_months</w:t>
      </w:r>
      <w:r>
        <w:rPr>
          <w:rFonts w:eastAsia="Segoe UI" w:cs="Segoe UI" w:ascii="Segoe UI" w:hAnsi="Segoe UI"/>
          <w:color w:val="101820"/>
          <w:sz w:val="21"/>
        </w:rPr>
        <w:t xml:space="preserve"> (Low 36, Normal 24, High 12 months). Confirm the client's identification and documents (update them on the onboarding screen), then select </w:t>
      </w:r>
      <w:r>
        <w:rPr>
          <w:rFonts w:eastAsia="Segoe UI" w:cs="Segoe UI" w:ascii="Segoe UI" w:hAnsi="Segoe UI"/>
          <w:b/>
          <w:color w:val="101820"/>
          <w:sz w:val="21"/>
        </w:rPr>
        <w:t>Complete KYC refresh</w:t>
      </w:r>
      <w:r>
        <w:rPr>
          <w:rFonts w:eastAsia="Segoe UI" w:cs="Segoe UI" w:ascii="Segoe UI" w:hAnsi="Segoe UI"/>
          <w:color w:val="101820"/>
          <w:sz w:val="21"/>
        </w:rPr>
        <w:t xml:space="preserve"> with notes: the client is rated again and the next date set. The weekly job aml-kyc-refresh-due marks the clients that are due and notifies the compliance officer.</w:t>
      </w:r>
    </w:p>
    <w:p>
      <w:pPr>
        <w:pStyle w:val="Heading2"/>
        <w:rPr/>
      </w:pPr>
      <w:bookmarkStart w:id="164" w:name="__RefHeading___Toc24596_3350804041"/>
      <w:bookmarkEnd w:id="164"/>
      <w:r>
        <w:rPr>
          <w:rFonts w:eastAsia="Segoe UI" w:cs="Segoe UI"/>
          <w:b/>
          <w:color w:val="0F4761"/>
          <w:sz w:val="26"/>
        </w:rPr>
        <w:t>14.8  Screening hits</w:t>
      </w:r>
    </w:p>
    <w:p>
      <w:pPr>
        <w:pStyle w:val="Normal"/>
        <w:spacing w:lineRule="auto" w:line="276" w:before="0" w:after="120"/>
        <w:rPr/>
      </w:pPr>
      <w:r>
        <w:rPr>
          <w:rFonts w:eastAsia="Segoe UI" w:cs="Segoe UI" w:ascii="Segoe UI" w:hAnsi="Segoe UI"/>
          <w:color w:val="101820"/>
          <w:sz w:val="21"/>
        </w:rPr>
        <w:t xml:space="preserve">Every client, beneficial owner and authorised signatory is screened at onboarding, at policy issue and after every list update; the payee and the client at a refund cheque approval and at a claim payment to the claimant. Names are compared word by word (order, accents, honorifics and legal forms such as Inc. or Corp. do not matter); a score of 1 is an exact match and matches from </w:t>
      </w:r>
      <w:r>
        <w:rPr>
          <w:rFonts w:eastAsia="Consolas" w:cs="Consolas" w:ascii="Consolas" w:hAnsi="Consolas"/>
          <w:color w:val="101820"/>
          <w:sz w:val="19"/>
        </w:rPr>
        <w:t>aml.match_threshold</w:t>
      </w:r>
      <w:r>
        <w:rPr>
          <w:rFonts w:eastAsia="Segoe UI" w:cs="Segoe UI" w:ascii="Segoe UI" w:hAnsi="Segoe UI"/>
          <w:color w:val="101820"/>
          <w:sz w:val="21"/>
        </w:rPr>
        <w:t xml:space="preserve"> (0.85) are reported. A different year of birth lowers the score.</w:t>
      </w:r>
    </w:p>
    <w:p>
      <w:pPr>
        <w:pStyle w:val="Normal"/>
        <w:numPr>
          <w:ilvl w:val="0"/>
          <w:numId w:val="505"/>
        </w:numPr>
        <w:spacing w:before="0" w:after="60"/>
        <w:rPr/>
      </w:pPr>
      <w:r>
        <w:rPr>
          <w:rFonts w:eastAsia="Segoe UI" w:cs="Segoe UI" w:ascii="Segoe UI" w:hAnsi="Segoe UI"/>
          <w:color w:val="101820"/>
          <w:sz w:val="21"/>
        </w:rPr>
        <w:t>Choose Compliance &gt; Screening Hits. The queue shows the party, the matched list entry with its list, reference, birth date and nationality, the score and the event.</w:t>
      </w:r>
    </w:p>
    <w:p>
      <w:pPr>
        <w:pStyle w:val="Normal"/>
        <w:numPr>
          <w:ilvl w:val="0"/>
          <w:numId w:val="5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Decide</w:t>
      </w:r>
      <w:r>
        <w:rPr>
          <w:rFonts w:eastAsia="Segoe UI" w:cs="Segoe UI" w:ascii="Segoe UI" w:hAnsi="Segoe UI"/>
          <w:color w:val="101820"/>
          <w:sz w:val="21"/>
        </w:rPr>
        <w:t>, compare the details, choose the decision and give the reason:</w:t>
      </w:r>
    </w:p>
    <w:p>
      <w:pPr>
        <w:pStyle w:val="Normal"/>
        <w:numPr>
          <w:ilvl w:val="1"/>
          <w:numId w:val="1"/>
        </w:numPr>
        <w:spacing w:before="0" w:after="60"/>
        <w:rPr/>
      </w:pPr>
      <w:r>
        <w:rPr>
          <w:rFonts w:eastAsia="Segoe UI" w:cs="Segoe UI" w:ascii="Segoe UI" w:hAnsi="Segoe UI"/>
          <w:b/>
          <w:color w:val="101820"/>
          <w:sz w:val="21"/>
        </w:rPr>
        <w:t>Clear</w:t>
      </w:r>
      <w:r>
        <w:rPr>
          <w:rFonts w:eastAsia="Segoe UI" w:cs="Segoe UI" w:ascii="Segoe UI" w:hAnsi="Segoe UI"/>
          <w:color w:val="101820"/>
          <w:sz w:val="21"/>
        </w:rPr>
        <w:t>: false positive. The same match of the same party is cleared again automatically next time, with your earlier reason.</w:t>
      </w:r>
    </w:p>
    <w:p>
      <w:pPr>
        <w:pStyle w:val="Normal"/>
        <w:numPr>
          <w:ilvl w:val="1"/>
          <w:numId w:val="1"/>
        </w:numPr>
        <w:spacing w:before="0" w:after="60"/>
        <w:rPr/>
      </w:pPr>
      <w:r>
        <w:rPr>
          <w:rFonts w:eastAsia="Segoe UI" w:cs="Segoe UI" w:ascii="Segoe UI" w:hAnsi="Segoe UI"/>
          <w:b/>
          <w:color w:val="101820"/>
          <w:sz w:val="21"/>
        </w:rPr>
        <w:t>Escalate</w:t>
      </w:r>
      <w:r>
        <w:rPr>
          <w:rFonts w:eastAsia="Segoe UI" w:cs="Segoe UI" w:ascii="Segoe UI" w:hAnsi="Segoe UI"/>
          <w:color w:val="101820"/>
          <w:sz w:val="21"/>
        </w:rPr>
        <w:t>: needs investigation; the hit goes to an AML case (a new review case or an open case you choose) and keeps stopping the events.</w:t>
      </w:r>
    </w:p>
    <w:p>
      <w:pPr>
        <w:pStyle w:val="Normal"/>
        <w:numPr>
          <w:ilvl w:val="1"/>
          <w:numId w:val="1"/>
        </w:numPr>
        <w:spacing w:before="0" w:after="60"/>
        <w:rPr/>
      </w:pPr>
      <w:r>
        <w:rPr>
          <w:rFonts w:eastAsia="Segoe UI" w:cs="Segoe UI" w:ascii="Segoe UI" w:hAnsi="Segoe UI"/>
          <w:b/>
          <w:color w:val="101820"/>
          <w:sz w:val="21"/>
        </w:rPr>
        <w:t>Confirm</w:t>
      </w:r>
      <w:r>
        <w:rPr>
          <w:rFonts w:eastAsia="Segoe UI" w:cs="Segoe UI" w:ascii="Segoe UI" w:hAnsi="Segoe UI"/>
          <w:color w:val="101820"/>
          <w:sz w:val="21"/>
        </w:rPr>
        <w:t>: true match. The client is blocked and rated High. Report it as your programme requires (an STR case).</w:t>
      </w:r>
    </w:p>
    <w:p>
      <w:pPr>
        <w:pStyle w:val="Normal"/>
        <w:numPr>
          <w:ilvl w:val="0"/>
          <w:numId w:val="507"/>
        </w:numPr>
        <w:spacing w:before="0" w:after="60"/>
        <w:rPr/>
      </w:pPr>
      <w:r>
        <w:rPr>
          <w:rFonts w:eastAsia="Segoe UI" w:cs="Segoe UI" w:ascii="Segoe UI" w:hAnsi="Segoe UI"/>
          <w:b/>
          <w:color w:val="101820"/>
          <w:sz w:val="21"/>
        </w:rPr>
        <w:t>Screen a name</w:t>
      </w:r>
      <w:r>
        <w:rPr>
          <w:rFonts w:eastAsia="Segoe UI" w:cs="Segoe UI" w:ascii="Segoe UI" w:hAnsi="Segoe UI"/>
          <w:color w:val="101820"/>
          <w:sz w:val="21"/>
        </w:rPr>
        <w:t xml:space="preserve"> checks a prospect or a payee who is not a client yet.</w:t>
      </w:r>
    </w:p>
    <w:p>
      <w:pPr>
        <w:pStyle w:val="Normal"/>
        <w:spacing w:lineRule="auto" w:line="276" w:before="0" w:after="120"/>
        <w:rPr/>
      </w:pPr>
      <w:r>
        <w:rPr>
          <w:rFonts w:eastAsia="Segoe UI" w:cs="Segoe UI" w:ascii="Segoe UI" w:hAnsi="Segoe UI"/>
          <w:color w:val="101820"/>
          <w:sz w:val="21"/>
        </w:rPr>
        <w:t>While a hit of the client or payee is open, escalated or confirmed, policy issue and payouts are refused with a message naming the match (</w:t>
      </w:r>
      <w:r>
        <w:rPr>
          <w:rFonts w:eastAsia="Consolas" w:cs="Consolas" w:ascii="Consolas" w:hAnsi="Consolas"/>
          <w:color w:val="101820"/>
          <w:sz w:val="19"/>
        </w:rPr>
        <w:t>aml.screening_block_events</w:t>
      </w:r>
      <w:r>
        <w:rPr>
          <w:rFonts w:eastAsia="Segoe UI" w:cs="Segoe UI" w:ascii="Segoe UI" w:hAnsi="Segoe UI"/>
          <w:color w:val="101820"/>
          <w:sz w:val="21"/>
        </w:rPr>
        <w:t>).</w:t>
      </w:r>
    </w:p>
    <w:p>
      <w:pPr>
        <w:pStyle w:val="Heading2"/>
        <w:rPr/>
      </w:pPr>
      <w:bookmarkStart w:id="165" w:name="__RefHeading___Toc24598_3350804041"/>
      <w:bookmarkEnd w:id="165"/>
      <w:r>
        <w:rPr>
          <w:rFonts w:eastAsia="Segoe UI" w:cs="Segoe UI"/>
          <w:b/>
          <w:color w:val="0F4761"/>
          <w:sz w:val="26"/>
        </w:rPr>
        <w:t>14.9  Screening lists and the screening provider</w:t>
      </w:r>
    </w:p>
    <w:p>
      <w:pPr>
        <w:pStyle w:val="Normal"/>
        <w:spacing w:lineRule="auto" w:line="276" w:before="0" w:after="120"/>
        <w:rPr/>
      </w:pPr>
      <w:r>
        <w:rPr>
          <w:rFonts w:eastAsia="Segoe UI" w:cs="Segoe UI" w:ascii="Segoe UI" w:hAnsi="Segoe UI"/>
          <w:color w:val="101820"/>
          <w:sz w:val="21"/>
        </w:rPr>
        <w:t xml:space="preserve">Compliance &gt; Screening Lists holds the lists screened against: UN Security Council Consolidated List, AMLC and ATC designations, PEP list and the internal negative list (add others with </w:t>
      </w:r>
      <w:r>
        <w:rPr>
          <w:rFonts w:eastAsia="Segoe UI" w:cs="Segoe UI" w:ascii="Segoe UI" w:hAnsi="Segoe UI"/>
          <w:b/>
          <w:color w:val="101820"/>
          <w:sz w:val="21"/>
        </w:rPr>
        <w:t>Add list</w:t>
      </w:r>
      <w:r>
        <w:rPr>
          <w:rFonts w:eastAsia="Segoe UI" w:cs="Segoe UI" w:ascii="Segoe UI" w:hAnsi="Segoe UI"/>
          <w:color w:val="101820"/>
          <w:sz w:val="21"/>
        </w:rPr>
        <w:t>). No list content is delivered with BrokerVerse: the broker loads the lists it is entitled to use.</w:t>
      </w:r>
    </w:p>
    <w:p>
      <w:pPr>
        <w:pStyle w:val="Normal"/>
        <w:numPr>
          <w:ilvl w:val="0"/>
          <w:numId w:val="508"/>
        </w:numPr>
        <w:spacing w:before="0" w:after="60"/>
        <w:rPr/>
      </w:pPr>
      <w:r>
        <w:rPr>
          <w:rFonts w:eastAsia="Segoe UI" w:cs="Segoe UI" w:ascii="Segoe UI" w:hAnsi="Segoe UI"/>
          <w:color w:val="101820"/>
          <w:sz w:val="21"/>
        </w:rPr>
        <w:t>Download the list from its publisher (UN consolidated list XML from the UN website; the AMLC or ATC resolutions; the PEP list from the broker's provider).</w:t>
      </w:r>
    </w:p>
    <w:p>
      <w:pPr>
        <w:pStyle w:val="Normal"/>
        <w:numPr>
          <w:ilvl w:val="0"/>
          <w:numId w:val="5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 version</w:t>
      </w:r>
      <w:r>
        <w:rPr>
          <w:rFonts w:eastAsia="Segoe UI" w:cs="Segoe UI" w:ascii="Segoe UI" w:hAnsi="Segoe UI"/>
          <w:color w:val="101820"/>
          <w:sz w:val="21"/>
        </w:rPr>
        <w:t xml:space="preserve"> on the list, choose the file (XML in the UN format, or CSV / XLSX with the columns Name, Aliases separated by semicolons, Type, Birth Date, Nationality, Reference, Remarks), the publication date and notes, keep </w:t>
      </w:r>
      <w:r>
        <w:rPr>
          <w:rFonts w:eastAsia="Segoe UI" w:cs="Segoe UI" w:ascii="Segoe UI" w:hAnsi="Segoe UI"/>
          <w:b/>
          <w:color w:val="101820"/>
          <w:sz w:val="21"/>
        </w:rPr>
        <w:t>Rescreen every client after loading</w:t>
      </w:r>
      <w:r>
        <w:rPr>
          <w:rFonts w:eastAsia="Segoe UI" w:cs="Segoe UI" w:ascii="Segoe UI" w:hAnsi="Segoe UI"/>
          <w:color w:val="101820"/>
          <w:sz w:val="21"/>
        </w:rPr>
        <w:t xml:space="preserve"> on, and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numPr>
          <w:ilvl w:val="0"/>
          <w:numId w:val="510"/>
        </w:numPr>
        <w:spacing w:before="0" w:after="60"/>
        <w:rPr/>
      </w:pPr>
      <w:r>
        <w:rPr>
          <w:rFonts w:eastAsia="Segoe UI" w:cs="Segoe UI" w:ascii="Segoe UI" w:hAnsi="Segoe UI"/>
          <w:color w:val="101820"/>
          <w:sz w:val="21"/>
        </w:rPr>
        <w:t>The new version becomes current; the earlier versions stay with their file name, checksum, entries and loading user (</w:t>
      </w:r>
      <w:r>
        <w:rPr>
          <w:rFonts w:eastAsia="Segoe UI" w:cs="Segoe UI" w:ascii="Segoe UI" w:hAnsi="Segoe UI"/>
          <w:b/>
          <w:color w:val="101820"/>
          <w:sz w:val="21"/>
        </w:rPr>
        <w:t>Versions</w:t>
      </w:r>
      <w:r>
        <w:rPr>
          <w:rFonts w:eastAsia="Segoe UI" w:cs="Segoe UI" w:ascii="Segoe UI" w:hAnsi="Segoe UI"/>
          <w:color w:val="101820"/>
          <w:sz w:val="21"/>
        </w:rPr>
        <w:t>). The rescreen result (clients and parties screened, new potential matches) shows on the version.</w:t>
      </w:r>
    </w:p>
    <w:p>
      <w:pPr>
        <w:pStyle w:val="Normal"/>
        <w:numPr>
          <w:ilvl w:val="0"/>
          <w:numId w:val="511"/>
        </w:numPr>
        <w:spacing w:before="0" w:after="60"/>
        <w:rPr/>
      </w:pPr>
      <w:r>
        <w:rPr>
          <w:rFonts w:eastAsia="Segoe UI" w:cs="Segoe UI" w:ascii="Segoe UI" w:hAnsi="Segoe UI"/>
          <w:color w:val="101820"/>
          <w:sz w:val="21"/>
        </w:rPr>
        <w:t xml:space="preserve">On the internal negative list use </w:t>
      </w:r>
      <w:r>
        <w:rPr>
          <w:rFonts w:eastAsia="Segoe UI" w:cs="Segoe UI" w:ascii="Segoe UI" w:hAnsi="Segoe UI"/>
          <w:b/>
          <w:color w:val="101820"/>
          <w:sz w:val="21"/>
        </w:rPr>
        <w:t>Entries</w:t>
      </w:r>
      <w:r>
        <w:rPr>
          <w:rFonts w:eastAsia="Segoe UI" w:cs="Segoe UI" w:ascii="Segoe UI" w:hAnsi="Segoe UI"/>
          <w:color w:val="101820"/>
          <w:sz w:val="21"/>
        </w:rPr>
        <w:t xml:space="preserve"> &gt; </w:t>
      </w:r>
      <w:r>
        <w:rPr>
          <w:rFonts w:eastAsia="Segoe UI" w:cs="Segoe UI" w:ascii="Segoe UI" w:hAnsi="Segoe UI"/>
          <w:b/>
          <w:color w:val="101820"/>
          <w:sz w:val="21"/>
        </w:rPr>
        <w:t>Add entry</w:t>
      </w:r>
      <w:r>
        <w:rPr>
          <w:rFonts w:eastAsia="Segoe UI" w:cs="Segoe UI" w:ascii="Segoe UI" w:hAnsi="Segoe UI"/>
          <w:color w:val="101820"/>
          <w:sz w:val="21"/>
        </w:rPr>
        <w:t xml:space="preserve"> (name, aliases, reference, reason) or the bin to remove one with the reason; each change is a new version.</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Provider</w:t>
      </w:r>
      <w:r>
        <w:rPr>
          <w:rFonts w:eastAsia="Segoe UI" w:cs="Segoe UI" w:ascii="Segoe UI" w:hAnsi="Segoe UI"/>
          <w:color w:val="101820"/>
          <w:sz w:val="21"/>
        </w:rPr>
        <w:t xml:space="preserve"> tab shows the commercial screening provider set on AML Settings (</w:t>
      </w:r>
      <w:r>
        <w:rPr>
          <w:rFonts w:eastAsia="Consolas" w:cs="Consolas" w:ascii="Consolas" w:hAnsi="Consolas"/>
          <w:color w:val="101820"/>
          <w:sz w:val="19"/>
        </w:rPr>
        <w:t>aml.screening_provider</w:t>
      </w:r>
      <w:r>
        <w:rPr>
          <w:rFonts w:eastAsia="Segoe UI" w:cs="Segoe UI" w:ascii="Segoe UI" w:hAnsi="Segoe UI"/>
          <w:color w:val="101820"/>
          <w:sz w:val="21"/>
        </w:rPr>
        <w:t xml:space="preserve">): Uploaded lists only, Test provider (no network, for training and tests) or Provider API. The uploaded lists are always screened as well, so screening continues when the provider is down. Every call to the provider is logged with its status and attempts; a failed call is retried by the job aml-provider-retry until the attempts run out, then the compliance officer is notified. </w:t>
      </w:r>
      <w:r>
        <w:rPr>
          <w:rFonts w:eastAsia="Segoe UI" w:cs="Segoe UI" w:ascii="Segoe UI" w:hAnsi="Segoe UI"/>
          <w:b/>
          <w:color w:val="101820"/>
          <w:sz w:val="21"/>
        </w:rPr>
        <w:t>Retry</w:t>
      </w:r>
      <w:r>
        <w:rPr>
          <w:rFonts w:eastAsia="Segoe UI" w:cs="Segoe UI" w:ascii="Segoe UI" w:hAnsi="Segoe UI"/>
          <w:color w:val="101820"/>
          <w:sz w:val="21"/>
        </w:rPr>
        <w:t xml:space="preserve"> sends a request again; </w:t>
      </w:r>
      <w:r>
        <w:rPr>
          <w:rFonts w:eastAsia="Segoe UI" w:cs="Segoe UI" w:ascii="Segoe UI" w:hAnsi="Segoe UI"/>
          <w:b/>
          <w:color w:val="101820"/>
          <w:sz w:val="21"/>
        </w:rPr>
        <w:t>Test the connection</w:t>
      </w:r>
      <w:r>
        <w:rPr>
          <w:rFonts w:eastAsia="Segoe UI" w:cs="Segoe UI" w:ascii="Segoe UI" w:hAnsi="Segoe UI"/>
          <w:color w:val="101820"/>
          <w:sz w:val="21"/>
        </w:rPr>
        <w:t xml:space="preserve"> sends a test name. The API key is never stored: the setting holds only the name of the environment variable that holds it on the server.</w:t>
      </w:r>
    </w:p>
    <w:p>
      <w:pPr>
        <w:pStyle w:val="Heading2"/>
        <w:rPr/>
      </w:pPr>
      <w:bookmarkStart w:id="166" w:name="__RefHeading___Toc24600_3350804041"/>
      <w:bookmarkEnd w:id="166"/>
      <w:r>
        <w:rPr>
          <w:rFonts w:eastAsia="Segoe UI" w:cs="Segoe UI"/>
          <w:b/>
          <w:color w:val="0F4761"/>
          <w:sz w:val="26"/>
        </w:rPr>
        <w:t>14.10  Transaction alerts</w:t>
      </w:r>
    </w:p>
    <w:p>
      <w:pPr>
        <w:pStyle w:val="Normal"/>
        <w:spacing w:lineRule="auto" w:line="276" w:before="0" w:after="120"/>
        <w:rPr/>
      </w:pPr>
      <w:r>
        <w:rPr>
          <w:rFonts w:eastAsia="Segoe UI" w:cs="Segoe UI" w:ascii="Segoe UI" w:hAnsi="Segoe UI"/>
          <w:color w:val="101820"/>
          <w:sz w:val="21"/>
        </w:rPr>
        <w:t xml:space="preserve">The job aml-transaction-monitoring runs the rules every morning over the last 3 days; </w:t>
      </w:r>
      <w:r>
        <w:rPr>
          <w:rFonts w:eastAsia="Segoe UI" w:cs="Segoe UI" w:ascii="Segoe UI" w:hAnsi="Segoe UI"/>
          <w:b/>
          <w:color w:val="101820"/>
          <w:sz w:val="21"/>
        </w:rPr>
        <w:t>Run monitoring</w:t>
      </w:r>
      <w:r>
        <w:rPr>
          <w:rFonts w:eastAsia="Segoe UI" w:cs="Segoe UI" w:ascii="Segoe UI" w:hAnsi="Segoe UI"/>
          <w:color w:val="101820"/>
          <w:sz w:val="21"/>
        </w:rPr>
        <w:t xml:space="preserve"> runs them for any period. An alert (AMA-YYYY-NNNNNN) is raised once per rule and transaction.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Raised when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 cash above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Cash received from a client above </w:t>
            </w:r>
            <w:r>
              <w:rPr>
                <w:rFonts w:eastAsia="Consolas" w:cs="Consolas" w:ascii="Consolas" w:hAnsi="Consolas"/>
                <w:color w:val="101820"/>
                <w:kern w:val="0"/>
                <w:sz w:val="16"/>
                <w:szCs w:val="24"/>
                <w:lang w:val="en-US" w:eastAsia="ja-JP" w:bidi="ar-SA"/>
              </w:rPr>
              <w:t>aml.covered_threshold</w:t>
            </w:r>
            <w:r>
              <w:rPr>
                <w:rFonts w:eastAsia="Segoe UI" w:cs="Segoe UI" w:ascii="Segoe UI" w:hAnsi="Segoe UI"/>
                <w:color w:val="101820"/>
                <w:kern w:val="0"/>
                <w:sz w:val="18"/>
                <w:szCs w:val="24"/>
                <w:lang w:val="en-US" w:eastAsia="ja-JP" w:bidi="ar-SA"/>
              </w:rPr>
              <w:t xml:space="preserve"> (PHP 500,000) in one banking day, or in one receipt (</w:t>
            </w:r>
            <w:r>
              <w:rPr>
                <w:rFonts w:eastAsia="Consolas" w:cs="Consolas" w:ascii="Consolas" w:hAnsi="Consolas"/>
                <w:color w:val="101820"/>
                <w:kern w:val="0"/>
                <w:sz w:val="16"/>
                <w:szCs w:val="24"/>
                <w:lang w:val="en-US" w:eastAsia="ja-JP" w:bidi="ar-SA"/>
              </w:rPr>
              <w:t>aml.covered_aggregation</w:t>
            </w:r>
            <w:r>
              <w:rPr>
                <w:rFonts w:eastAsia="Segoe UI" w:cs="Segoe UI" w:ascii="Segoe UI" w:hAnsi="Segoe UI"/>
                <w:color w:val="101820"/>
                <w:kern w:val="0"/>
                <w:sz w:val="18"/>
                <w:szCs w:val="24"/>
                <w:lang w:val="en-US" w:eastAsia="ja-JP" w:bidi="ar-SA"/>
              </w:rPr>
              <w: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cash payments below the threshold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 cash payments of a client within 7 days, each below the threshold, adding up to PHP 400,000 or more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cancellation with return premium</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cancelled within 90 days of inception with a return premium; high when the refund went to someone else than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 or claim paid to a third party</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refund voucher or a claim payment to a payee whose name does not match the client</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Overpayment refunded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received above the premium billed by PHP 5,000 or more, refunded within 60 days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Payer differs from the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receipt or payment link paid by someone else than the client</w:t>
            </w:r>
          </w:p>
        </w:tc>
      </w:tr>
    </w:tbl>
    <w:p>
      <w:pPr>
        <w:pStyle w:val="Normal"/>
        <w:spacing w:before="0" w:after="80"/>
        <w:rPr/>
      </w:pPr>
      <w:r>
        <w:rPr/>
      </w:r>
    </w:p>
    <w:p>
      <w:pPr>
        <w:pStyle w:val="Normal"/>
        <w:numPr>
          <w:ilvl w:val="0"/>
          <w:numId w:val="512"/>
        </w:numPr>
        <w:spacing w:before="0" w:after="60"/>
        <w:rPr/>
      </w:pPr>
      <w:r>
        <w:rPr>
          <w:rFonts w:eastAsia="Segoe UI" w:cs="Segoe UI" w:ascii="Segoe UI" w:hAnsi="Segoe UI"/>
          <w:color w:val="101820"/>
          <w:sz w:val="21"/>
        </w:rPr>
        <w:t>Review each alert (rule, client, amount, summary).</w:t>
      </w:r>
    </w:p>
    <w:p>
      <w:pPr>
        <w:pStyle w:val="Normal"/>
        <w:numPr>
          <w:ilvl w:val="0"/>
          <w:numId w:val="513"/>
        </w:numPr>
        <w:spacing w:before="0" w:after="60"/>
        <w:rPr/>
      </w:pPr>
      <w:r>
        <w:rPr>
          <w:rFonts w:eastAsia="Segoe UI" w:cs="Segoe UI" w:ascii="Segoe UI" w:hAnsi="Segoe UI"/>
          <w:color w:val="101820"/>
          <w:sz w:val="21"/>
        </w:rPr>
        <w:t xml:space="preserve">A suspicious alert explained by the documents: </w:t>
      </w:r>
      <w:r>
        <w:rPr>
          <w:rFonts w:eastAsia="Segoe UI" w:cs="Segoe UI" w:ascii="Segoe UI" w:hAnsi="Segoe UI"/>
          <w:b/>
          <w:color w:val="101820"/>
          <w:sz w:val="21"/>
        </w:rPr>
        <w:t>Close</w:t>
      </w:r>
      <w:r>
        <w:rPr>
          <w:rFonts w:eastAsia="Segoe UI" w:cs="Segoe UI" w:ascii="Segoe UI" w:hAnsi="Segoe UI"/>
          <w:color w:val="101820"/>
          <w:sz w:val="21"/>
        </w:rPr>
        <w:t xml:space="preserve"> with the reason.</w:t>
      </w:r>
    </w:p>
    <w:p>
      <w:pPr>
        <w:pStyle w:val="Normal"/>
        <w:numPr>
          <w:ilvl w:val="0"/>
          <w:numId w:val="514"/>
        </w:numPr>
        <w:spacing w:before="0" w:after="60"/>
        <w:rPr/>
      </w:pPr>
      <w:r>
        <w:rPr>
          <w:rFonts w:eastAsia="Segoe UI" w:cs="Segoe UI" w:ascii="Segoe UI" w:hAnsi="Segoe UI"/>
          <w:color w:val="101820"/>
          <w:sz w:val="21"/>
        </w:rPr>
        <w:t xml:space="preserve">Otherwise select the alerts and </w:t>
      </w:r>
      <w:r>
        <w:rPr>
          <w:rFonts w:eastAsia="Segoe UI" w:cs="Segoe UI" w:ascii="Segoe UI" w:hAnsi="Segoe UI"/>
          <w:b/>
          <w:color w:val="101820"/>
          <w:sz w:val="21"/>
        </w:rPr>
        <w:t>Open or add to a case</w:t>
      </w:r>
      <w:r>
        <w:rPr>
          <w:rFonts w:eastAsia="Segoe UI" w:cs="Segoe UI" w:ascii="Segoe UI" w:hAnsi="Segoe UI"/>
          <w:color w:val="101820"/>
          <w:sz w:val="21"/>
        </w:rPr>
        <w:t>: an STR case for suspicious alerts, a CTR case or the CTR file for covered transactions. Covered transactions are always reported; they cannot be closed.</w:t>
      </w:r>
    </w:p>
    <w:p>
      <w:pPr>
        <w:pStyle w:val="Heading2"/>
        <w:rPr/>
      </w:pPr>
      <w:bookmarkStart w:id="167" w:name="__RefHeading___Toc24602_3350804041"/>
      <w:bookmarkEnd w:id="167"/>
      <w:r>
        <w:rPr>
          <w:rFonts w:eastAsia="Segoe UI" w:cs="Segoe UI"/>
          <w:b/>
          <w:color w:val="0F4761"/>
          <w:sz w:val="26"/>
        </w:rPr>
        <w:t>14.11  AML cases</w:t>
      </w:r>
    </w:p>
    <w:p>
      <w:pPr>
        <w:pStyle w:val="Normal"/>
        <w:spacing w:lineRule="auto" w:line="276" w:before="0" w:after="120"/>
        <w:rPr/>
      </w:pPr>
      <w:r>
        <w:rPr>
          <w:rFonts w:eastAsia="Segoe UI" w:cs="Segoe UI" w:ascii="Segoe UI" w:hAnsi="Segoe UI"/>
          <w:color w:val="101820"/>
          <w:sz w:val="21"/>
        </w:rPr>
        <w:t>Compliance &gt; AML Cases lists the cases (AMC-YYYY-NNNNN) with type, client, number of alerts, due date and status; overdue cases are flagged.</w:t>
      </w:r>
    </w:p>
    <w:p>
      <w:pPr>
        <w:pStyle w:val="Normal"/>
        <w:numPr>
          <w:ilvl w:val="0"/>
          <w:numId w:val="515"/>
        </w:numPr>
        <w:spacing w:before="0" w:after="60"/>
        <w:rPr/>
      </w:pPr>
      <w:r>
        <w:rPr>
          <w:rFonts w:eastAsia="Segoe UI" w:cs="Segoe UI" w:ascii="Segoe UI" w:hAnsi="Segoe UI"/>
          <w:color w:val="101820"/>
          <w:sz w:val="21"/>
        </w:rPr>
        <w:t xml:space="preserve">Open the case. For an STR, choose the </w:t>
      </w:r>
      <w:r>
        <w:rPr>
          <w:rFonts w:eastAsia="Segoe UI" w:cs="Segoe UI" w:ascii="Segoe UI" w:hAnsi="Segoe UI"/>
          <w:b/>
          <w:color w:val="101820"/>
          <w:sz w:val="21"/>
        </w:rPr>
        <w:t>Grounds of suspicion</w:t>
      </w:r>
      <w:r>
        <w:rPr>
          <w:rFonts w:eastAsia="Segoe UI" w:cs="Segoe UI" w:ascii="Segoe UI" w:hAnsi="Segoe UI"/>
          <w:color w:val="101820"/>
          <w:sz w:val="21"/>
        </w:rPr>
        <w:t xml:space="preserve">, set </w:t>
      </w:r>
      <w:r>
        <w:rPr>
          <w:rFonts w:eastAsia="Segoe UI" w:cs="Segoe UI" w:ascii="Segoe UI" w:hAnsi="Segoe UI"/>
          <w:b/>
          <w:color w:val="101820"/>
          <w:sz w:val="21"/>
        </w:rPr>
        <w:t>Suspicion established on</w:t>
      </w:r>
      <w:r>
        <w:rPr>
          <w:rFonts w:eastAsia="Segoe UI" w:cs="Segoe UI" w:ascii="Segoe UI" w:hAnsi="Segoe UI"/>
          <w:color w:val="101820"/>
          <w:sz w:val="21"/>
        </w:rPr>
        <w:t xml:space="preserve"> (the due date is </w:t>
      </w:r>
      <w:r>
        <w:rPr>
          <w:rFonts w:eastAsia="Consolas" w:cs="Consolas" w:ascii="Consolas" w:hAnsi="Consolas"/>
          <w:color w:val="101820"/>
          <w:sz w:val="19"/>
        </w:rPr>
        <w:t>aml.str_due_working_days</w:t>
      </w:r>
      <w:r>
        <w:rPr>
          <w:rFonts w:eastAsia="Segoe UI" w:cs="Segoe UI" w:ascii="Segoe UI" w:hAnsi="Segoe UI"/>
          <w:color w:val="101820"/>
          <w:sz w:val="21"/>
        </w:rPr>
        <w:t xml:space="preserve"> working days later, weekends and national holidays of the Holiday master skipped) and write the </w:t>
      </w:r>
      <w:r>
        <w:rPr>
          <w:rFonts w:eastAsia="Segoe UI" w:cs="Segoe UI" w:ascii="Segoe UI" w:hAnsi="Segoe UI"/>
          <w:b/>
          <w:color w:val="101820"/>
          <w:sz w:val="21"/>
        </w:rPr>
        <w:t>Narrative</w:t>
      </w:r>
      <w:r>
        <w:rPr>
          <w:rFonts w:eastAsia="Segoe UI" w:cs="Segoe UI" w:ascii="Segoe UI" w:hAnsi="Segoe UI"/>
          <w:color w:val="101820"/>
          <w:sz w:val="21"/>
        </w:rPr>
        <w:t xml:space="preserve">: what happened, why it is suspicious, what was checked.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16"/>
        </w:numPr>
        <w:spacing w:before="0" w:after="60"/>
        <w:rPr/>
      </w:pPr>
      <w:r>
        <w:rPr>
          <w:rFonts w:eastAsia="Segoe UI" w:cs="Segoe UI" w:ascii="Segoe UI" w:hAnsi="Segoe UI"/>
          <w:color w:val="101820"/>
          <w:sz w:val="21"/>
        </w:rPr>
        <w:t xml:space="preserve">The compliance officer selects </w:t>
      </w:r>
      <w:r>
        <w:rPr>
          <w:rFonts w:eastAsia="Segoe UI" w:cs="Segoe UI" w:ascii="Segoe UI" w:hAnsi="Segoe UI"/>
          <w:b/>
          <w:color w:val="101820"/>
          <w:sz w:val="21"/>
        </w:rPr>
        <w:t>Approve for filing</w:t>
      </w:r>
      <w:r>
        <w:rPr>
          <w:rFonts w:eastAsia="Segoe UI" w:cs="Segoe UI" w:ascii="Segoe UI" w:hAnsi="Segoe UI"/>
          <w:color w:val="101820"/>
          <w:sz w:val="21"/>
        </w:rPr>
        <w:t>. A review case is not filed: close it, or open an STR or CTR case.</w:t>
      </w:r>
    </w:p>
    <w:p>
      <w:pPr>
        <w:pStyle w:val="Normal"/>
        <w:numPr>
          <w:ilvl w:val="0"/>
          <w:numId w:val="5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report file</w:t>
      </w:r>
      <w:r>
        <w:rPr>
          <w:rFonts w:eastAsia="Segoe UI" w:cs="Segoe UI" w:ascii="Segoe UI" w:hAnsi="Segoe UI"/>
          <w:color w:val="101820"/>
          <w:sz w:val="21"/>
        </w:rPr>
        <w:t xml:space="preserve">: the file appears under </w:t>
      </w:r>
      <w:r>
        <w:rPr>
          <w:rFonts w:eastAsia="Segoe UI" w:cs="Segoe UI" w:ascii="Segoe UI" w:hAnsi="Segoe UI"/>
          <w:b/>
          <w:color w:val="101820"/>
          <w:sz w:val="21"/>
        </w:rPr>
        <w:t>Report files</w:t>
      </w:r>
      <w:r>
        <w:rPr>
          <w:rFonts w:eastAsia="Segoe UI" w:cs="Segoe UI" w:ascii="Segoe UI" w:hAnsi="Segoe UI"/>
          <w:color w:val="101820"/>
          <w:sz w:val="21"/>
        </w:rPr>
        <w:t xml:space="preserve"> and on AMLC Reports.</w:t>
      </w:r>
    </w:p>
    <w:p>
      <w:pPr>
        <w:pStyle w:val="Normal"/>
        <w:numPr>
          <w:ilvl w:val="0"/>
          <w:numId w:val="518"/>
        </w:numPr>
        <w:spacing w:before="0" w:after="60"/>
        <w:rPr/>
      </w:pPr>
      <w:r>
        <w:rPr>
          <w:rFonts w:eastAsia="Segoe UI" w:cs="Segoe UI" w:ascii="Segoe UI" w:hAnsi="Segoe UI"/>
          <w:color w:val="101820"/>
          <w:sz w:val="21"/>
        </w:rPr>
        <w:t xml:space="preserve">A case that needs no report is closed with </w:t>
      </w:r>
      <w:r>
        <w:rPr>
          <w:rFonts w:eastAsia="Segoe UI" w:cs="Segoe UI" w:ascii="Segoe UI" w:hAnsi="Segoe UI"/>
          <w:b/>
          <w:color w:val="101820"/>
          <w:sz w:val="21"/>
        </w:rPr>
        <w:t>Close case</w:t>
      </w:r>
      <w:r>
        <w:rPr>
          <w:rFonts w:eastAsia="Segoe UI" w:cs="Segoe UI" w:ascii="Segoe UI" w:hAnsi="Segoe UI"/>
          <w:color w:val="101820"/>
          <w:sz w:val="21"/>
        </w:rPr>
        <w:t xml:space="preserve"> and the reason (not possible for covered transactions).</w:t>
      </w:r>
    </w:p>
    <w:p>
      <w:pPr>
        <w:pStyle w:val="Heading2"/>
        <w:rPr/>
      </w:pPr>
      <w:bookmarkStart w:id="168" w:name="__RefHeading___Toc24604_3350804041"/>
      <w:bookmarkEnd w:id="168"/>
      <w:r>
        <w:rPr>
          <w:rFonts w:eastAsia="Segoe UI" w:cs="Segoe UI"/>
          <w:b/>
          <w:color w:val="0F4761"/>
          <w:sz w:val="26"/>
        </w:rPr>
        <w:t>14.12  AMLC reports</w:t>
      </w:r>
    </w:p>
    <w:p>
      <w:pPr>
        <w:pStyle w:val="Normal"/>
        <w:spacing w:lineRule="auto" w:line="276" w:before="0" w:after="120"/>
        <w:rPr/>
      </w:pPr>
      <w:r>
        <w:rPr>
          <w:rFonts w:eastAsia="Segoe UI" w:cs="Segoe UI" w:ascii="Segoe UI" w:hAnsi="Segoe UI"/>
          <w:color w:val="101820"/>
          <w:sz w:val="21"/>
        </w:rPr>
        <w:t>Compliance &gt; AMLC Reports lists the report files (AMR-YYYY-NNNNN): type, period, case, number of transactions, total, format version, status.</w:t>
      </w:r>
    </w:p>
    <w:p>
      <w:pPr>
        <w:pStyle w:val="Normal"/>
        <w:numPr>
          <w:ilvl w:val="0"/>
          <w:numId w:val="519"/>
        </w:numPr>
        <w:spacing w:before="0" w:after="60"/>
        <w:rPr/>
      </w:pPr>
      <w:r>
        <w:rPr>
          <w:rFonts w:eastAsia="Segoe UI" w:cs="Segoe UI" w:ascii="Segoe UI" w:hAnsi="Segoe UI"/>
          <w:b/>
          <w:color w:val="101820"/>
          <w:sz w:val="21"/>
        </w:rPr>
        <w:t>Generate CTR file</w:t>
      </w:r>
      <w:r>
        <w:rPr>
          <w:rFonts w:eastAsia="Segoe UI" w:cs="Segoe UI" w:ascii="Segoe UI" w:hAnsi="Segoe UI"/>
          <w:color w:val="101820"/>
          <w:sz w:val="21"/>
        </w:rPr>
        <w:t xml:space="preserve"> for a period: the covered transactions of the period not yet in a CTR file are included, one detail record per receipt.</w:t>
      </w:r>
    </w:p>
    <w:p>
      <w:pPr>
        <w:pStyle w:val="Normal"/>
        <w:numPr>
          <w:ilvl w:val="0"/>
          <w:numId w:val="520"/>
        </w:numPr>
        <w:spacing w:before="0" w:after="60"/>
        <w:rPr/>
      </w:pPr>
      <w:r>
        <w:rPr>
          <w:rFonts w:eastAsia="Segoe UI" w:cs="Segoe UI" w:ascii="Segoe UI" w:hAnsi="Segoe UI"/>
          <w:b/>
          <w:color w:val="101820"/>
          <w:sz w:val="21"/>
        </w:rPr>
        <w:t>Download</w:t>
      </w:r>
      <w:r>
        <w:rPr>
          <w:rFonts w:eastAsia="Segoe UI" w:cs="Segoe UI" w:ascii="Segoe UI" w:hAnsi="Segoe UI"/>
          <w:color w:val="101820"/>
          <w:sz w:val="21"/>
        </w:rPr>
        <w:t xml:space="preserve"> the file and file it in the AMLC portal.</w:t>
      </w:r>
    </w:p>
    <w:p>
      <w:pPr>
        <w:pStyle w:val="Normal"/>
        <w:numPr>
          <w:ilvl w:val="0"/>
          <w:numId w:val="521"/>
        </w:numPr>
        <w:spacing w:before="0" w:after="60"/>
        <w:rPr/>
      </w:pPr>
      <w:r>
        <w:rPr>
          <w:rFonts w:eastAsia="Segoe UI" w:cs="Segoe UI" w:ascii="Segoe UI" w:hAnsi="Segoe UI"/>
          <w:b/>
          <w:color w:val="101820"/>
          <w:sz w:val="21"/>
        </w:rPr>
        <w:t>Record filing</w:t>
      </w:r>
      <w:r>
        <w:rPr>
          <w:rFonts w:eastAsia="Segoe UI" w:cs="Segoe UI" w:ascii="Segoe UI" w:hAnsi="Segoe UI"/>
          <w:color w:val="101820"/>
          <w:sz w:val="21"/>
        </w:rPr>
        <w:t>: the filing date, the AMLC acknowledgement reference and, later, Acknowledged or Rejected by the AMLC. The alerts become Reported and the case Filed.</w:t>
      </w:r>
    </w:p>
    <w:p>
      <w:pPr>
        <w:pStyle w:val="Normal"/>
        <w:spacing w:lineRule="auto" w:line="276" w:before="0" w:after="120"/>
        <w:rPr/>
      </w:pPr>
      <w:r>
        <w:rPr>
          <w:rFonts w:eastAsia="Segoe UI" w:cs="Segoe UI" w:ascii="Segoe UI" w:hAnsi="Segoe UI"/>
          <w:color w:val="101820"/>
          <w:sz w:val="21"/>
        </w:rPr>
        <w:t xml:space="preserve">The file layout is BV-AMLC-TXN 1.0, a pipe-delimited text file: a header record H (institution code from </w:t>
      </w:r>
      <w:r>
        <w:rPr>
          <w:rFonts w:eastAsia="Consolas" w:cs="Consolas" w:ascii="Consolas" w:hAnsi="Consolas"/>
          <w:color w:val="101820"/>
          <w:sz w:val="19"/>
        </w:rPr>
        <w:t>aml.amlc_institution_code</w:t>
      </w:r>
      <w:r>
        <w:rPr>
          <w:rFonts w:eastAsia="Segoe UI" w:cs="Segoe UI" w:ascii="Segoe UI" w:hAnsi="Segoe UI"/>
          <w:color w:val="101820"/>
          <w:sz w:val="21"/>
        </w:rPr>
        <w:t xml:space="preserve">, report type, report number, date, period, number of transactions, format version), one detail record D per transaction (date, reference, AMLC transaction code from </w:t>
      </w:r>
      <w:r>
        <w:rPr>
          <w:rFonts w:eastAsia="Consolas" w:cs="Consolas" w:ascii="Consolas" w:hAnsi="Consolas"/>
          <w:color w:val="101820"/>
          <w:sz w:val="19"/>
        </w:rPr>
        <w:t>aml.amlc_transaction_codes</w:t>
      </w:r>
      <w:r>
        <w:rPr>
          <w:rFonts w:eastAsia="Segoe UI" w:cs="Segoe UI" w:ascii="Segoe UI" w:hAnsi="Segoe UI"/>
          <w:color w:val="101820"/>
          <w:sz w:val="21"/>
        </w:rPr>
        <w:t>, amount, currency, payment mode, subject type I or C, last, first and middle name or registered name, birth or registration date, place of birth, nationality or country of incorporation, ID type or registration authority, ID or registration number, TIN, address, occupation or nature of business, policy number, counterparty, grounds of suspicion, alert number), narrative records N for an STR, and a trailer T (number and total). Confirm before the first filing, against the AMLC's current reporting guidelines: the institution code, the transaction codes, the ID type codes and the order of the D fields; then validate a test file in the AMLC portal.</w:t>
      </w:r>
    </w:p>
    <w:p>
      <w:pPr>
        <w:pStyle w:val="Heading2"/>
        <w:rPr/>
      </w:pPr>
      <w:bookmarkStart w:id="169" w:name="__RefHeading___Toc24606_3350804041"/>
      <w:bookmarkEnd w:id="169"/>
      <w:r>
        <w:rPr>
          <w:rFonts w:eastAsia="Segoe UI" w:cs="Segoe UI"/>
          <w:b/>
          <w:color w:val="0F4761"/>
          <w:sz w:val="26"/>
        </w:rPr>
        <w:t>14.13  AML settings</w:t>
      </w:r>
    </w:p>
    <w:p>
      <w:pPr>
        <w:pStyle w:val="Normal"/>
        <w:spacing w:lineRule="auto" w:line="276" w:before="0" w:after="120"/>
        <w:rPr/>
      </w:pPr>
      <w:r>
        <w:rPr>
          <w:rFonts w:eastAsia="Segoe UI" w:cs="Segoe UI" w:ascii="Segoe UI" w:hAnsi="Segoe UI"/>
          <w:color w:val="101820"/>
          <w:sz w:val="21"/>
        </w:rPr>
        <w:t>Compliance &gt; AML Settings has three tabs.</w:t>
      </w:r>
    </w:p>
    <w:p>
      <w:pPr>
        <w:pStyle w:val="Normal"/>
        <w:jc w:val="center"/>
        <w:rPr/>
      </w:pPr>
      <w:r>
        <w:rPr/>
        <w:drawing>
          <wp:inline distT="0" distB="0" distL="0" distR="0">
            <wp:extent cx="5760085" cy="4469130"/>
            <wp:effectExtent l="0" t="0" r="0" b="0"/>
            <wp:docPr id="179" name="Picture 21212883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2121288359" descr=""/>
                    <pic:cNvPicPr>
                      <a:picLocks noChangeAspect="1" noChangeArrowheads="1"/>
                    </pic:cNvPicPr>
                  </pic:nvPicPr>
                  <pic:blipFill>
                    <a:blip r:embed="rId17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AML Settings</w:t>
      </w:r>
    </w:p>
    <w:p>
      <w:pPr>
        <w:pStyle w:val="Normal"/>
        <w:spacing w:lineRule="auto" w:line="276" w:before="0" w:after="120"/>
        <w:rPr/>
      </w:pPr>
      <w:r>
        <w:rPr>
          <w:rFonts w:eastAsia="Segoe UI" w:cs="Segoe UI" w:ascii="Segoe UI" w:hAnsi="Segoe UI"/>
          <w:b/>
          <w:color w:val="101820"/>
          <w:sz w:val="21"/>
        </w:rPr>
        <w:t>General</w:t>
      </w:r>
      <w:r>
        <w:rPr>
          <w:rFonts w:eastAsia="Segoe UI" w:cs="Segoe UI" w:ascii="Segoe UI" w:hAnsi="Segoe UI"/>
          <w:color w:val="101820"/>
          <w:sz w:val="21"/>
        </w:rPr>
        <w:t xml:space="preserve">: covered transaction amount and test, payment modes counted as cash, working days to file a CTR and an STR, lowest match score, the Low and High score limits, PEP always High, KYC refresh months per rating and the notice days, beneficial owner threshold, retention years of AML records (at least 5), the events stopped by a hit, the EDD block on policy issue, the AMLC institution code and transaction codes, and the screening provider (provider, mode, endpoint, environment variable of the API key, timeout, attempts). The values delivered follow the AMLA and its rules as known at delivery: the compliance officer confirms them against the AMLC's current issuances. </w:t>
      </w:r>
      <w:r>
        <w:rPr>
          <w:rFonts w:eastAsia="Segoe UI" w:cs="Segoe UI" w:ascii="Segoe UI" w:hAnsi="Segoe UI"/>
          <w:b/>
          <w:color w:val="101820"/>
          <w:sz w:val="21"/>
        </w:rPr>
        <w:t>Save</w:t>
      </w:r>
      <w:r>
        <w:rPr>
          <w:rFonts w:eastAsia="Segoe UI" w:cs="Segoe UI" w:ascii="Segoe UI" w:hAnsi="Segoe UI"/>
          <w:color w:val="101820"/>
          <w:sz w:val="21"/>
        </w:rPr>
        <w:t xml:space="preserve"> records every change in the audit trail.</w:t>
      </w:r>
    </w:p>
    <w:p>
      <w:pPr>
        <w:pStyle w:val="Normal"/>
        <w:spacing w:lineRule="auto" w:line="276" w:before="0" w:after="120"/>
        <w:rPr/>
      </w:pPr>
      <w:r>
        <w:rPr>
          <w:rFonts w:eastAsia="Segoe UI" w:cs="Segoe UI" w:ascii="Segoe UI" w:hAnsi="Segoe UI"/>
          <w:b/>
          <w:color w:val="101820"/>
          <w:sz w:val="21"/>
        </w:rPr>
        <w:t>Risk factors</w:t>
      </w:r>
      <w:r>
        <w:rPr>
          <w:rFonts w:eastAsia="Segoe UI" w:cs="Segoe UI" w:ascii="Segoe UI" w:hAnsi="Segoe UI"/>
          <w:color w:val="101820"/>
          <w:sz w:val="21"/>
        </w:rPr>
        <w:t xml:space="preserve">: the scoring table, grouped by factor. </w:t>
      </w:r>
      <w:r>
        <w:rPr>
          <w:rFonts w:eastAsia="Segoe UI" w:cs="Segoe UI" w:ascii="Segoe UI" w:hAnsi="Segoe UI"/>
          <w:b/>
          <w:color w:val="101820"/>
          <w:sz w:val="21"/>
        </w:rPr>
        <w:t>Add factor value</w:t>
      </w:r>
      <w:r>
        <w:rPr>
          <w:rFonts w:eastAsia="Segoe UI" w:cs="Segoe UI" w:ascii="Segoe UI" w:hAnsi="Segoe UI"/>
          <w:color w:val="101820"/>
          <w:sz w:val="21"/>
        </w:rPr>
        <w:t xml:space="preserve"> (for example geography Sulu 3, or a nationality), change a score, switch a row off, or remove it. Premium size is scored by bands (from, below).</w:t>
      </w:r>
    </w:p>
    <w:p>
      <w:pPr>
        <w:pStyle w:val="Normal"/>
        <w:spacing w:lineRule="auto" w:line="276" w:before="0" w:after="120"/>
        <w:rPr/>
      </w:pPr>
      <w:r>
        <w:rPr>
          <w:rFonts w:eastAsia="Segoe UI" w:cs="Segoe UI" w:ascii="Segoe UI" w:hAnsi="Segoe UI"/>
          <w:b/>
          <w:color w:val="101820"/>
          <w:sz w:val="21"/>
        </w:rPr>
        <w:t>Monitoring rules</w:t>
      </w:r>
      <w:r>
        <w:rPr>
          <w:rFonts w:eastAsia="Segoe UI" w:cs="Segoe UI" w:ascii="Segoe UI" w:hAnsi="Segoe UI"/>
          <w:color w:val="101820"/>
          <w:sz w:val="21"/>
        </w:rPr>
        <w:t>: switch each rule on or off and change its parameters and severity.</w:t>
      </w:r>
    </w:p>
    <w:p>
      <w:pPr>
        <w:pStyle w:val="Normal"/>
        <w:spacing w:lineRule="auto" w:line="276" w:before="0" w:after="120"/>
        <w:rPr/>
      </w:pPr>
      <w:r>
        <w:rPr>
          <w:rFonts w:eastAsia="Segoe UI" w:cs="Segoe UI" w:ascii="Segoe UI" w:hAnsi="Segoe UI"/>
          <w:color w:val="101820"/>
          <w:sz w:val="21"/>
        </w:rPr>
        <w:t xml:space="preserve">AML records (identification, ratings, screenings, alerts, cases, report files) are kept for </w:t>
      </w:r>
      <w:r>
        <w:rPr>
          <w:rFonts w:eastAsia="Consolas" w:cs="Consolas" w:ascii="Consolas" w:hAnsi="Consolas"/>
          <w:color w:val="101820"/>
          <w:sz w:val="19"/>
        </w:rPr>
        <w:t>aml.record_retention_years</w:t>
      </w:r>
      <w:r>
        <w:rPr>
          <w:rFonts w:eastAsia="Segoe UI" w:cs="Segoe UI" w:ascii="Segoe UI" w:hAnsi="Segoe UI"/>
          <w:color w:val="101820"/>
          <w:sz w:val="21"/>
        </w:rPr>
        <w:t xml:space="preserve"> (5) years after the last policy, transaction or case; Master &gt; Data Privacy refuses to anonymise a client before then or while a case on it is open.</w:t>
      </w:r>
    </w:p>
    <w:p>
      <w:pPr>
        <w:pStyle w:val="Heading2"/>
        <w:rPr/>
      </w:pPr>
      <w:bookmarkStart w:id="170" w:name="__RefHeading___Toc24608_3350804041"/>
      <w:bookmarkEnd w:id="170"/>
      <w:r>
        <w:rPr>
          <w:rFonts w:eastAsia="Segoe UI" w:cs="Segoe UI"/>
          <w:b/>
          <w:color w:val="0F4761"/>
          <w:sz w:val="26"/>
        </w:rPr>
        <w:t>14.14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Clear, escalate or confirm a screening hit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Screening Hits &gt; </w:t>
            </w:r>
            <w:r>
              <w:rPr>
                <w:rFonts w:eastAsia="Segoe UI" w:cs="Segoe UI" w:ascii="Segoe UI" w:hAnsi="Segoe UI"/>
                <w:b/>
                <w:color w:val="101820"/>
                <w:kern w:val="0"/>
                <w:sz w:val="18"/>
                <w:szCs w:val="24"/>
                <w:lang w:val="en-US" w:eastAsia="ja-JP" w:bidi="ar-SA"/>
              </w:rPr>
              <w:t>Decide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an EDD review (not one you submitted)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Override a risk rating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Due Diligence &gt; client &gt; </w:t>
            </w:r>
            <w:r>
              <w:rPr>
                <w:rFonts w:eastAsia="Segoe UI" w:cs="Segoe UI" w:ascii="Segoe UI" w:hAnsi="Segoe UI"/>
                <w:b/>
                <w:color w:val="101820"/>
                <w:kern w:val="0"/>
                <w:sz w:val="18"/>
                <w:szCs w:val="24"/>
                <w:lang w:val="en-US" w:eastAsia="ja-JP" w:bidi="ar-SA"/>
              </w:rPr>
              <w:t>Override rating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 case for filing; close a case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Cases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filing with the AMLC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AMLC Reports &gt; </w:t>
            </w:r>
            <w:r>
              <w:rPr>
                <w:rFonts w:eastAsia="Segoe UI" w:cs="Segoe UI" w:ascii="Segoe UI" w:hAnsi="Segoe UI"/>
                <w:b/>
                <w:color w:val="101820"/>
                <w:kern w:val="0"/>
                <w:sz w:val="18"/>
                <w:szCs w:val="24"/>
                <w:lang w:val="en-US" w:eastAsia="ja-JP" w:bidi="ar-SA"/>
              </w:rPr>
              <w:t>Record filing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Resolve, escalate, refer to the IC or reopen a complaint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 a breach, record the NPC and data subject notifications, close the incident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a data subject on an erasure request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Data Privacy &gt; Data Subject Requests &gt; </w:t>
            </w:r>
            <w:r>
              <w:rPr>
                <w:rFonts w:eastAsia="Segoe UI" w:cs="Segoe UI" w:ascii="Segoe UI" w:hAnsi="Segoe UI"/>
                <w:b/>
                <w:color w:val="101820"/>
                <w:kern w:val="0"/>
                <w:sz w:val="18"/>
                <w:szCs w:val="24"/>
                <w:lang w:val="en-US" w:eastAsia="ja-JP" w:bidi="ar-SA"/>
              </w:rPr>
              <w:t>Anonymise</w:t>
            </w:r>
          </w:p>
        </w:tc>
      </w:tr>
    </w:tbl>
    <w:p>
      <w:pPr>
        <w:pStyle w:val="Normal"/>
        <w:spacing w:before="0" w:after="80"/>
        <w:rPr/>
      </w:pPr>
      <w:r>
        <w:rPr/>
      </w:r>
    </w:p>
    <w:p>
      <w:pPr>
        <w:pStyle w:val="Heading2"/>
        <w:rPr/>
      </w:pPr>
      <w:bookmarkStart w:id="171" w:name="__RefHeading___Toc24610_3350804041"/>
      <w:bookmarkEnd w:id="171"/>
      <w:r>
        <w:rPr>
          <w:rFonts w:eastAsia="Segoe UI" w:cs="Segoe UI"/>
          <w:b/>
          <w:color w:val="0F4761"/>
          <w:sz w:val="26"/>
        </w:rPr>
        <w:t>14.15  Insurance Commission registers, complaints and the breach register</w:t>
      </w:r>
    </w:p>
    <w:p>
      <w:pPr>
        <w:pStyle w:val="Normal"/>
        <w:spacing w:lineRule="auto" w:line="276" w:before="0" w:after="120"/>
        <w:rPr/>
      </w:pPr>
      <w:r>
        <w:rPr>
          <w:rFonts w:eastAsia="Segoe UI" w:cs="Segoe UI" w:ascii="Segoe UI" w:hAnsi="Segoe UI"/>
          <w:color w:val="101820"/>
          <w:sz w:val="21"/>
        </w:rPr>
        <w:t xml:space="preserve">The officer works the registers of the chapter Compliance from the Compliance menu: </w:t>
      </w:r>
      <w:r>
        <w:rPr>
          <w:rFonts w:eastAsia="Segoe UI" w:cs="Segoe UI" w:ascii="Segoe UI" w:hAnsi="Segoe UI"/>
          <w:b/>
          <w:color w:val="101820"/>
          <w:sz w:val="21"/>
        </w:rPr>
        <w:t>Licence Register</w:t>
      </w:r>
      <w:r>
        <w:rPr>
          <w:rFonts w:eastAsia="Segoe UI" w:cs="Segoe UI" w:ascii="Segoe UI" w:hAnsi="Segoe UI"/>
          <w:color w:val="101820"/>
          <w:sz w:val="21"/>
        </w:rPr>
        <w:t xml:space="preserve"> (the firm's licence, the officers, the licensed individuals and the agents and referrers paid commission, with the expiry calendar and the renewal records; a referrer without a licence in force cannot be paid commission,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w:t>
      </w:r>
      <w:r>
        <w:rPr>
          <w:rFonts w:eastAsia="Segoe UI" w:cs="Segoe UI" w:ascii="Segoe UI" w:hAnsi="Segoe UI"/>
          <w:b/>
          <w:color w:val="101820"/>
          <w:sz w:val="21"/>
        </w:rPr>
        <w:t>Fit and Proper</w:t>
      </w:r>
      <w:r>
        <w:rPr>
          <w:rFonts w:eastAsia="Segoe UI" w:cs="Segoe UI" w:ascii="Segoe UI" w:hAnsi="Segoe UI"/>
          <w:color w:val="101820"/>
          <w:sz w:val="21"/>
        </w:rPr>
        <w:t xml:space="preserve"> (the declarations and reviews of directors and officers), </w:t>
      </w:r>
      <w:r>
        <w:rPr>
          <w:rFonts w:eastAsia="Segoe UI" w:cs="Segoe UI" w:ascii="Segoe UI" w:hAnsi="Segoe UI"/>
          <w:b/>
          <w:color w:val="101820"/>
          <w:sz w:val="21"/>
        </w:rPr>
        <w:t>Insurer Authority</w:t>
      </w:r>
      <w:r>
        <w:rPr>
          <w:rFonts w:eastAsia="Segoe UI" w:cs="Segoe UI" w:ascii="Segoe UI" w:hAnsi="Segoe UI"/>
          <w:color w:val="101820"/>
          <w:sz w:val="21"/>
        </w:rPr>
        <w:t xml:space="preserve"> (the certificates of authority of the insurers the broker places with, checked when business is sent to the market and issued,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(RA 11765: acknowledgement and resolution deadlines, letters, escalation, referral to the IC, the regulator report), </w:t>
      </w:r>
      <w:r>
        <w:rPr>
          <w:rFonts w:eastAsia="Segoe UI" w:cs="Segoe UI" w:ascii="Segoe UI" w:hAnsi="Segoe UI"/>
          <w:b/>
          <w:color w:val="101820"/>
          <w:sz w:val="21"/>
        </w:rPr>
        <w:t>IC Annual Statement</w:t>
      </w:r>
      <w:r>
        <w:rPr>
          <w:rFonts w:eastAsia="Segoe UI" w:cs="Segoe UI" w:ascii="Segoe UI" w:hAnsi="Segoe UI"/>
          <w:color w:val="101820"/>
          <w:sz w:val="21"/>
        </w:rPr>
        <w:t xml:space="preserve"> and </w:t>
      </w:r>
      <w:r>
        <w:rPr>
          <w:rFonts w:eastAsia="Segoe UI" w:cs="Segoe UI" w:ascii="Segoe UI" w:hAnsi="Segoe UI"/>
          <w:b/>
          <w:color w:val="101820"/>
          <w:sz w:val="21"/>
        </w:rPr>
        <w:t>IC Production Report</w:t>
      </w:r>
      <w:r>
        <w:rPr>
          <w:rFonts w:eastAsia="Segoe UI" w:cs="Segoe UI" w:ascii="Segoe UI" w:hAnsi="Segoe UI"/>
          <w:color w:val="101820"/>
          <w:sz w:val="21"/>
        </w:rPr>
        <w:t xml:space="preserve"> (the yearly workbook and the premiums by insurer and line), and </w:t>
      </w:r>
      <w:r>
        <w:rPr>
          <w:rFonts w:eastAsia="Segoe UI" w:cs="Segoe UI" w:ascii="Segoe UI" w:hAnsi="Segoe UI"/>
          <w:b/>
          <w:color w:val="101820"/>
          <w:sz w:val="21"/>
        </w:rPr>
        <w:t>Breach Register</w:t>
      </w:r>
      <w:r>
        <w:rPr>
          <w:rFonts w:eastAsia="Segoe UI" w:cs="Segoe UI" w:ascii="Segoe UI" w:hAnsi="Segoe UI"/>
          <w:color w:val="101820"/>
          <w:sz w:val="21"/>
        </w:rPr>
        <w:t xml:space="preserve"> (NPC Circular 16-03: the 72-hour clock, the assessment, the notifications and the annual report). The daily jobs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and the hourly </w:t>
      </w:r>
      <w:r>
        <w:rPr>
          <w:rFonts w:eastAsia="Consolas" w:cs="Consolas" w:ascii="Consolas" w:hAnsi="Consolas"/>
          <w:color w:val="101820"/>
          <w:sz w:val="19"/>
        </w:rPr>
        <w:t>privacy-breach-deadlines</w:t>
      </w:r>
      <w:r>
        <w:rPr>
          <w:rFonts w:eastAsia="Segoe UI" w:cs="Segoe UI" w:ascii="Segoe UI" w:hAnsi="Segoe UI"/>
          <w:color w:val="101820"/>
          <w:sz w:val="21"/>
        </w:rPr>
        <w:t xml:space="preserve"> send the officer the reminders of each deadline.</w:t>
      </w:r>
      <w:r>
        <w:br w:type="page"/>
      </w:r>
    </w:p>
    <w:p>
      <w:pPr>
        <w:pStyle w:val="Heading1"/>
        <w:rPr/>
      </w:pPr>
      <w:bookmarkStart w:id="172" w:name="__RefHeading___Toc24612_3350804041"/>
      <w:bookmarkEnd w:id="172"/>
      <w:r>
        <w:rPr>
          <w:rFonts w:eastAsia="Segoe UI" w:cs="Segoe UI" w:ascii="Segoe UI" w:hAnsi="Segoe UI"/>
          <w:b/>
          <w:color w:val="0F4761"/>
          <w:sz w:val="32"/>
        </w:rPr>
        <w:t>15.  Distribution, programmes and products</w:t>
      </w:r>
    </w:p>
    <w:p>
      <w:pPr>
        <w:pStyle w:val="Normal"/>
        <w:spacing w:lineRule="auto" w:line="276" w:before="0" w:after="120"/>
        <w:rPr/>
      </w:pPr>
      <w:r>
        <w:rPr>
          <w:rFonts w:eastAsia="Segoe UI" w:cs="Segoe UI" w:ascii="Segoe UI" w:hAnsi="Segoe UI"/>
          <w:color w:val="101820"/>
          <w:sz w:val="21"/>
        </w:rPr>
        <w:t>This chapter covers the screens that bring business in and the specialist products placed in bulk: who works each prospect, the dealers, banks and affinity partners that refer business, the brand-new vehicle programmes, fleet schedules, marine open covers, facultative reinsurance placements, the comparison report given to clients, marketing campaigns and the Report Builder.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uses it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managers and the lead assignment team (read / write:lead-assignment); every account executive sees the team view of their own reporting line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&gt; Distribution Channels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Processing and Operations (read:channels to view, write:channels to change)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(read / write:motor-programmes)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Processing (quotation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marketing (read / write:campaigns)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write:fleet)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Marine Open Covers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Processing (read / write:marine)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Facultative Placements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(reinsurance permissions)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Production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Dealer Production</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the reports permission; saving needs write:reports; the BI extract tab is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Sales Activities screen, also under Operations &gt; Sales &amp; Marketing, is described in the Sales &amp; Marketing chapter.</w:t>
      </w:r>
    </w:p>
    <w:p>
      <w:pPr>
        <w:pStyle w:val="Heading2"/>
        <w:rPr/>
      </w:pPr>
      <w:bookmarkStart w:id="173" w:name="__RefHeading___Toc24614_3350804041"/>
      <w:bookmarkEnd w:id="173"/>
      <w:r>
        <w:rPr>
          <w:rFonts w:eastAsia="Segoe UI" w:cs="Segoe UI"/>
          <w:b/>
          <w:color w:val="0F4761"/>
          <w:sz w:val="26"/>
        </w:rPr>
        <w:t>15.1  Lead Assignment</w:t>
      </w:r>
    </w:p>
    <w:p>
      <w:pPr>
        <w:pStyle w:val="Normal"/>
        <w:jc w:val="center"/>
        <w:rPr/>
      </w:pPr>
      <w:r>
        <w:rPr/>
        <w:drawing>
          <wp:inline distT="0" distB="0" distL="0" distR="0">
            <wp:extent cx="5760085" cy="4469130"/>
            <wp:effectExtent l="0" t="0" r="0" b="0"/>
            <wp:docPr id="180" name="Picture 21212883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2121288360" descr=""/>
                    <pic:cNvPicPr>
                      <a:picLocks noChangeAspect="1" noChangeArrowheads="1"/>
                    </pic:cNvPicPr>
                  </pic:nvPicPr>
                  <pic:blipFill>
                    <a:blip r:embed="rId1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Lead Assignment</w:t>
      </w:r>
    </w:p>
    <w:p>
      <w:pPr>
        <w:pStyle w:val="Normal"/>
        <w:spacing w:lineRule="auto" w:line="276" w:before="0" w:after="120"/>
        <w:rPr/>
      </w:pPr>
      <w:r>
        <w:rPr>
          <w:rFonts w:eastAsia="Segoe UI" w:cs="Segoe UI" w:ascii="Segoe UI" w:hAnsi="Segoe UI"/>
          <w:color w:val="101820"/>
          <w:sz w:val="21"/>
        </w:rPr>
        <w:t xml:space="preserve">Choose Operations &gt; Sales &amp; Marketing &gt; Lead Assignment. The screen has three tabs: </w:t>
      </w:r>
      <w:r>
        <w:rPr>
          <w:rFonts w:eastAsia="Segoe UI" w:cs="Segoe UI" w:ascii="Segoe UI" w:hAnsi="Segoe UI"/>
          <w:b/>
          <w:color w:val="101820"/>
          <w:sz w:val="21"/>
        </w:rPr>
        <w:t>Team View</w:t>
      </w:r>
      <w:r>
        <w:rPr>
          <w:rFonts w:eastAsia="Segoe UI" w:cs="Segoe UI" w:ascii="Segoe UI" w:hAnsi="Segoe UI"/>
          <w:color w:val="101820"/>
          <w:sz w:val="21"/>
        </w:rPr>
        <w:t xml:space="preserve">, </w:t>
      </w:r>
      <w:r>
        <w:rPr>
          <w:rFonts w:eastAsia="Segoe UI" w:cs="Segoe UI" w:ascii="Segoe UI" w:hAnsi="Segoe UI"/>
          <w:b/>
          <w:color w:val="101820"/>
          <w:sz w:val="21"/>
        </w:rPr>
        <w:t>Queue</w:t>
      </w:r>
      <w:r>
        <w:rPr>
          <w:rFonts w:eastAsia="Segoe UI" w:cs="Segoe UI" w:ascii="Segoe UI" w:hAnsi="Segoe UI"/>
          <w:color w:val="101820"/>
          <w:sz w:val="21"/>
        </w:rPr>
        <w:t xml:space="preserve"> and </w:t>
      </w:r>
      <w:r>
        <w:rPr>
          <w:rFonts w:eastAsia="Segoe UI" w:cs="Segoe UI" w:ascii="Segoe UI" w:hAnsi="Segoe UI"/>
          <w:b/>
          <w:color w:val="101820"/>
          <w:sz w:val="21"/>
        </w:rPr>
        <w:t>Assignment Rules</w:t>
      </w:r>
      <w:r>
        <w:rPr>
          <w:rFonts w:eastAsia="Segoe UI" w:cs="Segoe UI" w:ascii="Segoe UI" w:hAnsi="Segoe UI"/>
          <w:color w:val="101820"/>
          <w:sz w:val="21"/>
        </w:rPr>
        <w:t>. Users without the lead assignment permissions see only the team view.</w:t>
      </w:r>
    </w:p>
    <w:p>
      <w:pPr>
        <w:pStyle w:val="Heading3"/>
        <w:rPr/>
      </w:pPr>
      <w:r>
        <w:rPr>
          <w:rFonts w:eastAsia="Segoe UI" w:cs="Segoe UI"/>
          <w:b/>
          <w:color w:val="0F4761"/>
          <w:sz w:val="23"/>
        </w:rPr>
        <w:t>15.1.1  Team view</w:t>
      </w:r>
    </w:p>
    <w:p>
      <w:pPr>
        <w:pStyle w:val="Normal"/>
        <w:spacing w:lineRule="auto" w:line="276" w:before="0" w:after="120"/>
        <w:rPr/>
      </w:pPr>
      <w:r>
        <w:rPr>
          <w:rFonts w:eastAsia="Segoe UI" w:cs="Segoe UI" w:ascii="Segoe UI" w:hAnsi="Segoe UI"/>
          <w:color w:val="101820"/>
          <w:sz w:val="21"/>
        </w:rPr>
        <w:t xml:space="preserve">The team view lists each account executive of the reporting line (the users who report to the signed-in manager, and their own reports) with the prospects they hold: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Converted</w:t>
      </w:r>
      <w:r>
        <w:rPr>
          <w:rFonts w:eastAsia="Segoe UI" w:cs="Segoe UI" w:ascii="Segoe UI" w:hAnsi="Segoe UI"/>
          <w:color w:val="101820"/>
          <w:sz w:val="21"/>
        </w:rPr>
        <w:t xml:space="preserve">, </w:t>
      </w:r>
      <w:r>
        <w:rPr>
          <w:rFonts w:eastAsia="Segoe UI" w:cs="Segoe UI" w:ascii="Segoe UI" w:hAnsi="Segoe UI"/>
          <w:b/>
          <w:color w:val="101820"/>
          <w:sz w:val="21"/>
        </w:rPr>
        <w:t>Lost</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and </w:t>
      </w:r>
      <w:r>
        <w:rPr>
          <w:rFonts w:eastAsia="Segoe UI" w:cs="Segoe UI" w:ascii="Segoe UI" w:hAnsi="Segoe UI"/>
          <w:b/>
          <w:color w:val="101820"/>
          <w:sz w:val="21"/>
        </w:rPr>
        <w:t>In queue</w:t>
      </w:r>
      <w:r>
        <w:rPr>
          <w:rFonts w:eastAsia="Segoe UI" w:cs="Segoe UI" w:ascii="Segoe UI" w:hAnsi="Segoe UI"/>
          <w:color w:val="101820"/>
          <w:sz w:val="21"/>
        </w:rPr>
        <w:t xml:space="preserve">. Choose a manager to see that manager's line (the default is your own team) or a </w:t>
      </w:r>
      <w:r>
        <w:rPr>
          <w:rFonts w:eastAsia="Segoe UI" w:cs="Segoe UI" w:ascii="Segoe UI" w:hAnsi="Segoe UI"/>
          <w:b/>
          <w:color w:val="101820"/>
          <w:sz w:val="21"/>
        </w:rPr>
        <w:t>Team member</w:t>
      </w:r>
      <w:r>
        <w:rPr>
          <w:rFonts w:eastAsia="Segoe UI" w:cs="Segoe UI" w:ascii="Segoe UI" w:hAnsi="Segoe UI"/>
          <w:color w:val="101820"/>
          <w:sz w:val="21"/>
        </w:rPr>
        <w:t xml:space="preserve"> to see one person. Below the team, the open prospects of the selection are listed, with their </w:t>
      </w:r>
      <w:r>
        <w:rPr>
          <w:rFonts w:eastAsia="Segoe UI" w:cs="Segoe UI" w:ascii="Segoe UI" w:hAnsi="Segoe UI"/>
          <w:b/>
          <w:color w:val="101820"/>
          <w:sz w:val="21"/>
        </w:rPr>
        <w:t>Assignment</w:t>
      </w:r>
      <w:r>
        <w:rPr>
          <w:rFonts w:eastAsia="Segoe UI" w:cs="Segoe UI" w:ascii="Segoe UI" w:hAnsi="Segoe UI"/>
          <w:color w:val="101820"/>
          <w:sz w:val="21"/>
        </w:rPr>
        <w:t xml:space="preserve"> status.</w:t>
      </w:r>
    </w:p>
    <w:p>
      <w:pPr>
        <w:pStyle w:val="Heading3"/>
        <w:rPr/>
      </w:pPr>
      <w:r>
        <w:rPr>
          <w:rFonts w:eastAsia="Segoe UI" w:cs="Segoe UI"/>
          <w:b/>
          <w:color w:val="0F4761"/>
          <w:sz w:val="23"/>
        </w:rPr>
        <w:t>15.1.2  Assignment rules</w:t>
      </w:r>
    </w:p>
    <w:p>
      <w:pPr>
        <w:pStyle w:val="Normal"/>
        <w:spacing w:lineRule="auto" w:line="276" w:before="0" w:after="120"/>
        <w:rPr/>
      </w:pPr>
      <w:r>
        <w:rPr>
          <w:rFonts w:eastAsia="Segoe UI" w:cs="Segoe UI" w:ascii="Segoe UI" w:hAnsi="Segoe UI"/>
          <w:color w:val="101820"/>
          <w:sz w:val="21"/>
        </w:rPr>
        <w:t>Every new prospect, whether entered on the prospect screen, uploaded or created from a dealer sale, is given an account executive by the first active rule that matches it.</w:t>
      </w:r>
    </w:p>
    <w:p>
      <w:pPr>
        <w:pStyle w:val="Normal"/>
        <w:numPr>
          <w:ilvl w:val="0"/>
          <w:numId w:val="522"/>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Assignment Rules</w:t>
      </w:r>
      <w:r>
        <w:rPr>
          <w:rFonts w:eastAsia="Segoe UI" w:cs="Segoe UI" w:ascii="Segoe UI" w:hAnsi="Segoe UI"/>
          <w:color w:val="101820"/>
          <w:sz w:val="21"/>
        </w:rPr>
        <w:t xml:space="preserve"> and select </w:t>
      </w:r>
      <w:r>
        <w:rPr>
          <w:rFonts w:eastAsia="Segoe UI" w:cs="Segoe UI" w:ascii="Segoe UI" w:hAnsi="Segoe UI"/>
          <w:b/>
          <w:color w:val="101820"/>
          <w:sz w:val="21"/>
        </w:rPr>
        <w:t>Add rule</w:t>
      </w:r>
      <w:r>
        <w:rPr>
          <w:rFonts w:eastAsia="Segoe UI" w:cs="Segoe UI" w:ascii="Segoe UI" w:hAnsi="Segoe UI"/>
          <w:color w:val="101820"/>
          <w:sz w:val="21"/>
        </w:rPr>
        <w:t>.</w:t>
      </w:r>
    </w:p>
    <w:p>
      <w:pPr>
        <w:pStyle w:val="Normal"/>
        <w:numPr>
          <w:ilvl w:val="0"/>
          <w:numId w:val="52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Name</w:t>
      </w:r>
      <w:r>
        <w:rPr>
          <w:rFonts w:eastAsia="Segoe UI" w:cs="Segoe UI" w:ascii="Segoe UI" w:hAnsi="Segoe UI"/>
          <w:color w:val="101820"/>
          <w:sz w:val="21"/>
        </w:rPr>
        <w:t xml:space="preserve"> and the </w:t>
      </w:r>
      <w:r>
        <w:rPr>
          <w:rFonts w:eastAsia="Segoe UI" w:cs="Segoe UI" w:ascii="Segoe UI" w:hAnsi="Segoe UI"/>
          <w:b/>
          <w:color w:val="101820"/>
          <w:sz w:val="21"/>
        </w:rPr>
        <w:t>Priority</w:t>
      </w:r>
      <w:r>
        <w:rPr>
          <w:rFonts w:eastAsia="Segoe UI" w:cs="Segoe UI" w:ascii="Segoe UI" w:hAnsi="Segoe UI"/>
          <w:color w:val="101820"/>
          <w:sz w:val="21"/>
        </w:rPr>
        <w:t xml:space="preserve"> (lower numbers are tried first).</w:t>
      </w:r>
    </w:p>
    <w:p>
      <w:pPr>
        <w:pStyle w:val="Normal"/>
        <w:numPr>
          <w:ilvl w:val="0"/>
          <w:numId w:val="52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Method</w:t>
      </w:r>
      <w:r>
        <w:rPr>
          <w:rFonts w:eastAsia="Segoe UI" w:cs="Segoe UI" w:ascii="Segoe UI" w:hAnsi="Segoe UI"/>
          <w:color w:val="101820"/>
          <w:sz w:val="21"/>
        </w:rPr>
        <w:t xml:space="preserve">: </w:t>
      </w:r>
      <w:r>
        <w:rPr>
          <w:rFonts w:eastAsia="Segoe UI" w:cs="Segoe UI" w:ascii="Segoe UI" w:hAnsi="Segoe UI"/>
          <w:b/>
          <w:color w:val="101820"/>
          <w:sz w:val="21"/>
        </w:rPr>
        <w:t>Round robin</w:t>
      </w:r>
      <w:r>
        <w:rPr>
          <w:rFonts w:eastAsia="Segoe UI" w:cs="Segoe UI" w:ascii="Segoe UI" w:hAnsi="Segoe UI"/>
          <w:color w:val="101820"/>
          <w:sz w:val="21"/>
        </w:rPr>
        <w:t xml:space="preserve"> (each matching prospect goes to the next account executive in turn), </w:t>
      </w:r>
      <w:r>
        <w:rPr>
          <w:rFonts w:eastAsia="Segoe UI" w:cs="Segoe UI" w:ascii="Segoe UI" w:hAnsi="Segoe UI"/>
          <w:b/>
          <w:color w:val="101820"/>
          <w:sz w:val="21"/>
        </w:rPr>
        <w:t>Fewest open prospects</w:t>
      </w:r>
      <w:r>
        <w:rPr>
          <w:rFonts w:eastAsia="Segoe UI" w:cs="Segoe UI" w:ascii="Segoe UI" w:hAnsi="Segoe UI"/>
          <w:color w:val="101820"/>
          <w:sz w:val="21"/>
        </w:rPr>
        <w:t xml:space="preserve"> (to whoever holds the fewest open prospects) or </w:t>
      </w:r>
      <w:r>
        <w:rPr>
          <w:rFonts w:eastAsia="Segoe UI" w:cs="Segoe UI" w:ascii="Segoe UI" w:hAnsi="Segoe UI"/>
          <w:b/>
          <w:color w:val="101820"/>
          <w:sz w:val="21"/>
        </w:rPr>
        <w:t>Fixed account executive</w:t>
      </w:r>
      <w:r>
        <w:rPr>
          <w:rFonts w:eastAsia="Segoe UI" w:cs="Segoe UI" w:ascii="Segoe UI" w:hAnsi="Segoe UI"/>
          <w:color w:val="101820"/>
          <w:sz w:val="21"/>
        </w:rPr>
        <w:t xml:space="preserve"> (always the first one listed).</w:t>
      </w:r>
    </w:p>
    <w:p>
      <w:pPr>
        <w:pStyle w:val="Normal"/>
        <w:numPr>
          <w:ilvl w:val="0"/>
          <w:numId w:val="525"/>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Account executives</w:t>
      </w:r>
      <w:r>
        <w:rPr>
          <w:rFonts w:eastAsia="Segoe UI" w:cs="Segoe UI" w:ascii="Segoe UI" w:hAnsi="Segoe UI"/>
          <w:color w:val="101820"/>
          <w:sz w:val="21"/>
        </w:rPr>
        <w:t xml:space="preserve"> who share the work. Only active users can receive prospects.</w:t>
      </w:r>
    </w:p>
    <w:p>
      <w:pPr>
        <w:pStyle w:val="Normal"/>
        <w:numPr>
          <w:ilvl w:val="0"/>
          <w:numId w:val="526"/>
        </w:numPr>
        <w:spacing w:before="0" w:after="60"/>
        <w:rPr/>
      </w:pPr>
      <w:r>
        <w:rPr>
          <w:rFonts w:eastAsia="Segoe UI" w:cs="Segoe UI" w:ascii="Segoe UI" w:hAnsi="Segoe UI"/>
          <w:color w:val="101820"/>
          <w:sz w:val="21"/>
        </w:rPr>
        <w:t xml:space="preserve">Set the conditions the prospect must meet: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Source</w:t>
      </w:r>
      <w:r>
        <w:rPr>
          <w:rFonts w:eastAsia="Segoe UI" w:cs="Segoe UI" w:ascii="Segoe UI" w:hAnsi="Segoe UI"/>
          <w:color w:val="101820"/>
          <w:sz w:val="21"/>
        </w:rPr>
        <w:t xml:space="preserve"> and </w:t>
      </w:r>
      <w:r>
        <w:rPr>
          <w:rFonts w:eastAsia="Segoe UI" w:cs="Segoe UI" w:ascii="Segoe UI" w:hAnsi="Segoe UI"/>
          <w:b/>
          <w:color w:val="101820"/>
          <w:sz w:val="21"/>
        </w:rPr>
        <w:t>Category</w:t>
      </w:r>
      <w:r>
        <w:rPr>
          <w:rFonts w:eastAsia="Segoe UI" w:cs="Segoe UI" w:ascii="Segoe UI" w:hAnsi="Segoe UI"/>
          <w:color w:val="101820"/>
          <w:sz w:val="21"/>
        </w:rPr>
        <w:t>. An empty condition matches anything.</w:t>
      </w:r>
    </w:p>
    <w:p>
      <w:pPr>
        <w:pStyle w:val="Normal"/>
        <w:numPr>
          <w:ilvl w:val="0"/>
          <w:numId w:val="52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When rules exist but none matches, the setting </w:t>
      </w:r>
      <w:r>
        <w:rPr>
          <w:rFonts w:eastAsia="Segoe UI" w:cs="Segoe UI" w:ascii="Segoe UI" w:hAnsi="Segoe UI"/>
          <w:b/>
          <w:color w:val="101820"/>
          <w:sz w:val="21"/>
        </w:rPr>
        <w:t>leads.assignment_fallback</w:t>
      </w:r>
      <w:r>
        <w:rPr>
          <w:rFonts w:eastAsia="Segoe UI" w:cs="Segoe UI" w:ascii="Segoe UI" w:hAnsi="Segoe UI"/>
          <w:color w:val="101820"/>
          <w:sz w:val="21"/>
        </w:rPr>
        <w:t xml:space="preserve"> decides: </w:t>
      </w:r>
      <w:r>
        <w:rPr>
          <w:rFonts w:eastAsia="Segoe UI" w:cs="Segoe UI" w:ascii="Segoe UI" w:hAnsi="Segoe UI"/>
          <w:b/>
          <w:color w:val="101820"/>
          <w:sz w:val="21"/>
        </w:rPr>
        <w:t>creator</w:t>
      </w:r>
      <w:r>
        <w:rPr>
          <w:rFonts w:eastAsia="Segoe UI" w:cs="Segoe UI" w:ascii="Segoe UI" w:hAnsi="Segoe UI"/>
          <w:color w:val="101820"/>
          <w:sz w:val="21"/>
        </w:rPr>
        <w:t xml:space="preserve"> (the person who entered the prospect keeps it) or </w:t>
      </w:r>
      <w:r>
        <w:rPr>
          <w:rFonts w:eastAsia="Segoe UI" w:cs="Segoe UI" w:ascii="Segoe UI" w:hAnsi="Segoe UI"/>
          <w:b/>
          <w:color w:val="101820"/>
          <w:sz w:val="21"/>
        </w:rPr>
        <w:t>queue</w:t>
      </w:r>
      <w:r>
        <w:rPr>
          <w:rFonts w:eastAsia="Segoe UI" w:cs="Segoe UI" w:ascii="Segoe UI" w:hAnsi="Segoe UI"/>
          <w:color w:val="101820"/>
          <w:sz w:val="21"/>
        </w:rPr>
        <w:t xml:space="preserve"> (the prospect waits in the reassignment queue). Assignment can be switched off with </w:t>
      </w:r>
      <w:r>
        <w:rPr>
          <w:rFonts w:eastAsia="Segoe UI" w:cs="Segoe UI" w:ascii="Segoe UI" w:hAnsi="Segoe UI"/>
          <w:b/>
          <w:color w:val="101820"/>
          <w:sz w:val="21"/>
        </w:rPr>
        <w:t>leads.assignment_enabled</w:t>
      </w:r>
      <w:r>
        <w:rPr>
          <w:rFonts w:eastAsia="Segoe UI" w:cs="Segoe UI" w:ascii="Segoe UI" w:hAnsi="Segoe UI"/>
          <w:color w:val="101820"/>
          <w:sz w:val="21"/>
        </w:rPr>
        <w:t xml:space="preserve">. Every assignment is written to the prospect's </w:t>
      </w:r>
      <w:r>
        <w:rPr>
          <w:rFonts w:eastAsia="Segoe UI" w:cs="Segoe UI" w:ascii="Segoe UI" w:hAnsi="Segoe UI"/>
          <w:b/>
          <w:color w:val="101820"/>
          <w:sz w:val="21"/>
        </w:rPr>
        <w:t>Assignment history</w:t>
      </w:r>
      <w:r>
        <w:rPr>
          <w:rFonts w:eastAsia="Segoe UI" w:cs="Segoe UI" w:ascii="Segoe UI" w:hAnsi="Segoe UI"/>
          <w:color w:val="101820"/>
          <w:sz w:val="21"/>
        </w:rPr>
        <w:t xml:space="preserve"> (rule, from, to, reason, who and when).</w:t>
      </w:r>
    </w:p>
    <w:p>
      <w:pPr>
        <w:pStyle w:val="Heading3"/>
        <w:rPr/>
      </w:pPr>
      <w:r>
        <w:rPr>
          <w:rFonts w:eastAsia="Segoe UI" w:cs="Segoe UI"/>
          <w:b/>
          <w:color w:val="0F4761"/>
          <w:sz w:val="23"/>
        </w:rPr>
        <w:t>15.1.3  Reassignment queue and bulk reassignment</w:t>
      </w:r>
    </w:p>
    <w:p>
      <w:pPr>
        <w:pStyle w:val="Normal"/>
        <w:spacing w:lineRule="auto" w:line="276" w:before="0" w:after="120"/>
        <w:rPr/>
      </w:pPr>
      <w:r>
        <w:rPr>
          <w:rFonts w:eastAsia="Segoe UI" w:cs="Segoe UI" w:ascii="Segoe UI" w:hAnsi="Segoe UI"/>
          <w:color w:val="101820"/>
          <w:sz w:val="21"/>
        </w:rPr>
        <w:t xml:space="preserve">The </w:t>
      </w:r>
      <w:r>
        <w:rPr>
          <w:rFonts w:eastAsia="Segoe UI" w:cs="Segoe UI" w:ascii="Segoe UI" w:hAnsi="Segoe UI"/>
          <w:b/>
          <w:color w:val="101820"/>
          <w:sz w:val="21"/>
        </w:rPr>
        <w:t>Queue</w:t>
      </w:r>
      <w:r>
        <w:rPr>
          <w:rFonts w:eastAsia="Segoe UI" w:cs="Segoe UI" w:ascii="Segoe UI" w:hAnsi="Segoe UI"/>
          <w:color w:val="101820"/>
          <w:sz w:val="21"/>
        </w:rPr>
        <w:t xml:space="preserve"> tab lists prospects waiting for an account executive: those no rule matched (with fallback queue), those sent to the queue by a manager, and those left untouched longer than </w:t>
      </w:r>
      <w:r>
        <w:rPr>
          <w:rFonts w:eastAsia="Segoe UI" w:cs="Segoe UI" w:ascii="Segoe UI" w:hAnsi="Segoe UI"/>
          <w:b/>
          <w:color w:val="101820"/>
          <w:sz w:val="21"/>
        </w:rPr>
        <w:t>leads.assignment_sla_hours</w:t>
      </w:r>
      <w:r>
        <w:rPr>
          <w:rFonts w:eastAsia="Segoe UI" w:cs="Segoe UI" w:ascii="Segoe UI" w:hAnsi="Segoe UI"/>
          <w:color w:val="101820"/>
          <w:sz w:val="21"/>
        </w:rPr>
        <w:t xml:space="preserve"> (the </w:t>
      </w:r>
      <w:r>
        <w:rPr>
          <w:rFonts w:eastAsia="Segoe UI" w:cs="Segoe UI" w:ascii="Segoe UI" w:hAnsi="Segoe UI"/>
          <w:b/>
          <w:color w:val="101820"/>
          <w:sz w:val="21"/>
        </w:rPr>
        <w:t>lead-assignment-sla</w:t>
      </w:r>
      <w:r>
        <w:rPr>
          <w:rFonts w:eastAsia="Segoe UI" w:cs="Segoe UI" w:ascii="Segoe UI" w:hAnsi="Segoe UI"/>
          <w:color w:val="101820"/>
          <w:sz w:val="21"/>
        </w:rPr>
        <w:t xml:space="preserve"> job moves them each morning once it is switched on in Master &gt; Schedules).</w:t>
      </w:r>
    </w:p>
    <w:p>
      <w:pPr>
        <w:pStyle w:val="Normal"/>
        <w:numPr>
          <w:ilvl w:val="0"/>
          <w:numId w:val="528"/>
        </w:numPr>
        <w:spacing w:before="0" w:after="60"/>
        <w:rPr/>
      </w:pPr>
      <w:r>
        <w:rPr>
          <w:rFonts w:eastAsia="Segoe UI" w:cs="Segoe UI" w:ascii="Segoe UI" w:hAnsi="Segoe UI"/>
          <w:color w:val="101820"/>
          <w:sz w:val="21"/>
        </w:rPr>
        <w:t>Tick one or more prospects (on the queue or on the team view).</w:t>
      </w:r>
    </w:p>
    <w:p>
      <w:pPr>
        <w:pStyle w:val="Normal"/>
        <w:numPr>
          <w:ilvl w:val="0"/>
          <w:numId w:val="5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Reassign</w:t>
      </w:r>
      <w:r>
        <w:rPr>
          <w:rFonts w:eastAsia="Segoe UI" w:cs="Segoe UI" w:ascii="Segoe UI" w:hAnsi="Segoe UI"/>
          <w:color w:val="101820"/>
          <w:sz w:val="21"/>
        </w:rPr>
        <w:t xml:space="preserve">, choose </w:t>
      </w:r>
      <w:r>
        <w:rPr>
          <w:rFonts w:eastAsia="Segoe UI" w:cs="Segoe UI" w:ascii="Segoe UI" w:hAnsi="Segoe UI"/>
          <w:b/>
          <w:color w:val="101820"/>
          <w:sz w:val="21"/>
        </w:rPr>
        <w:t>To account executive</w:t>
      </w:r>
      <w:r>
        <w:rPr>
          <w:rFonts w:eastAsia="Segoe UI" w:cs="Segoe UI" w:ascii="Segoe UI" w:hAnsi="Segoe UI"/>
          <w:color w:val="101820"/>
          <w:sz w:val="21"/>
        </w:rPr>
        <w:t xml:space="preserve"> and enter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5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Each prospect changes owner, the history records a manual or bulk reassignment and the new owner is notified when </w:t>
      </w:r>
      <w:r>
        <w:rPr>
          <w:rFonts w:eastAsia="Segoe UI" w:cs="Segoe UI" w:ascii="Segoe UI" w:hAnsi="Segoe UI"/>
          <w:b/>
          <w:color w:val="101820"/>
          <w:sz w:val="21"/>
        </w:rPr>
        <w:t>leads.assignment_notify</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Send to queue</w:t>
      </w:r>
      <w:r>
        <w:rPr>
          <w:rFonts w:eastAsia="Segoe UI" w:cs="Segoe UI" w:ascii="Segoe UI" w:hAnsi="Segoe UI"/>
          <w:color w:val="101820"/>
          <w:sz w:val="21"/>
        </w:rPr>
        <w:t xml:space="preserve"> returns prospects to the queue with a reason, for example when an account executive leaves.</w:t>
      </w:r>
    </w:p>
    <w:p>
      <w:pPr>
        <w:pStyle w:val="Heading2"/>
        <w:rPr/>
      </w:pPr>
      <w:bookmarkStart w:id="174" w:name="__RefHeading___Toc24616_3350804041"/>
      <w:bookmarkEnd w:id="174"/>
      <w:r>
        <w:rPr>
          <w:rFonts w:eastAsia="Segoe UI" w:cs="Segoe UI"/>
          <w:b/>
          <w:color w:val="0F4761"/>
          <w:sz w:val="26"/>
        </w:rPr>
        <w:t>15.2  Distribution Channels</w:t>
      </w:r>
    </w:p>
    <w:p>
      <w:pPr>
        <w:pStyle w:val="Normal"/>
        <w:jc w:val="center"/>
        <w:rPr/>
      </w:pPr>
      <w:r>
        <w:rPr/>
        <w:drawing>
          <wp:inline distT="0" distB="0" distL="0" distR="0">
            <wp:extent cx="5760085" cy="4469130"/>
            <wp:effectExtent l="0" t="0" r="0" b="0"/>
            <wp:docPr id="181" name="Picture 21212883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2121288361" descr=""/>
                    <pic:cNvPicPr>
                      <a:picLocks noChangeAspect="1" noChangeArrowheads="1"/>
                    </pic:cNvPicPr>
                  </pic:nvPicPr>
                  <pic:blipFill>
                    <a:blip r:embed="rId1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Insurance &gt; Distribution Channels</w:t>
      </w:r>
    </w:p>
    <w:p>
      <w:pPr>
        <w:pStyle w:val="Normal"/>
        <w:spacing w:lineRule="auto" w:line="276" w:before="0" w:after="120"/>
        <w:rPr/>
      </w:pPr>
      <w:r>
        <w:rPr>
          <w:rFonts w:eastAsia="Segoe UI" w:cs="Segoe UI" w:ascii="Segoe UI" w:hAnsi="Segoe UI"/>
          <w:color w:val="101820"/>
          <w:sz w:val="21"/>
        </w:rPr>
        <w:t>Choose Master &gt; Insurance &gt; Distribution Channels. A channel is a dealer group or dealer branch, a financing bank or bank branch, or an affinity partner (a company whose members or homeowners are referred to the broker).</w:t>
      </w:r>
    </w:p>
    <w:p>
      <w:pPr>
        <w:pStyle w:val="Normal"/>
        <w:numPr>
          <w:ilvl w:val="0"/>
          <w:numId w:val="53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channel</w:t>
      </w:r>
      <w:r>
        <w:rPr>
          <w:rFonts w:eastAsia="Segoe UI" w:cs="Segoe UI" w:ascii="Segoe UI" w:hAnsi="Segoe UI"/>
          <w:color w:val="101820"/>
          <w:sz w:val="21"/>
        </w:rPr>
        <w:t>.</w:t>
      </w:r>
    </w:p>
    <w:p>
      <w:pPr>
        <w:pStyle w:val="Normal"/>
        <w:numPr>
          <w:ilvl w:val="0"/>
          <w:numId w:val="53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Channel type</w:t>
      </w:r>
      <w:r>
        <w:rPr>
          <w:rFonts w:eastAsia="Segoe UI" w:cs="Segoe UI" w:ascii="Segoe UI" w:hAnsi="Segoe UI"/>
          <w:color w:val="101820"/>
          <w:sz w:val="21"/>
        </w:rPr>
        <w:t xml:space="preserve">. A dealer branch </w:t>
      </w:r>
      <w:r>
        <w:rPr>
          <w:rFonts w:eastAsia="Segoe UI" w:cs="Segoe UI" w:ascii="Segoe UI" w:hAnsi="Segoe UI"/>
          <w:b/>
          <w:color w:val="101820"/>
          <w:sz w:val="21"/>
        </w:rPr>
        <w:t>Belongs to</w:t>
      </w:r>
      <w:r>
        <w:rPr>
          <w:rFonts w:eastAsia="Segoe UI" w:cs="Segoe UI" w:ascii="Segoe UI" w:hAnsi="Segoe UI"/>
          <w:color w:val="101820"/>
          <w:sz w:val="21"/>
        </w:rPr>
        <w:t xml:space="preserve"> a dealer group and a bank branch to a financing bank; a group, bank or affinity partner stands alone.</w:t>
      </w:r>
    </w:p>
    <w:p>
      <w:pPr>
        <w:pStyle w:val="Normal"/>
        <w:numPr>
          <w:ilvl w:val="0"/>
          <w:numId w:val="533"/>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Servicing branch code</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Address</w:t>
      </w:r>
      <w:r>
        <w:rPr>
          <w:rFonts w:eastAsia="Segoe UI" w:cs="Segoe UI" w:ascii="Segoe UI" w:hAnsi="Segoe UI"/>
          <w:color w:val="101820"/>
          <w:sz w:val="21"/>
        </w:rPr>
        <w:t xml:space="preserve">, </w:t>
      </w:r>
      <w:r>
        <w:rPr>
          <w:rFonts w:eastAsia="Segoe UI" w:cs="Segoe UI" w:ascii="Segoe UI" w:hAnsi="Segoe UI"/>
          <w:b/>
          <w:color w:val="101820"/>
          <w:sz w:val="21"/>
        </w:rPr>
        <w:t>Contact person</w:t>
      </w:r>
      <w:r>
        <w:rPr>
          <w:rFonts w:eastAsia="Segoe UI" w:cs="Segoe UI" w:ascii="Segoe UI" w:hAnsi="Segoe UI"/>
          <w:color w:val="101820"/>
          <w:sz w:val="21"/>
        </w:rPr>
        <w:t xml:space="preserve">, </w:t>
      </w:r>
      <w:r>
        <w:rPr>
          <w:rFonts w:eastAsia="Segoe UI" w:cs="Segoe UI" w:ascii="Segoe UI" w:hAnsi="Segoe UI"/>
          <w:b/>
          <w:color w:val="101820"/>
          <w:sz w:val="21"/>
        </w:rPr>
        <w:t>Contact e-mail</w:t>
      </w:r>
      <w:r>
        <w:rPr>
          <w:rFonts w:eastAsia="Segoe UI" w:cs="Segoe UI" w:ascii="Segoe UI" w:hAnsi="Segoe UI"/>
          <w:color w:val="101820"/>
          <w:sz w:val="21"/>
        </w:rPr>
        <w:t xml:space="preserve">, </w:t>
      </w:r>
      <w:r>
        <w:rPr>
          <w:rFonts w:eastAsia="Segoe UI" w:cs="Segoe UI" w:ascii="Segoe UI" w:hAnsi="Segoe UI"/>
          <w:b/>
          <w:color w:val="101820"/>
          <w:sz w:val="21"/>
        </w:rPr>
        <w:t>Contact phone</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534"/>
        </w:numPr>
        <w:spacing w:before="0" w:after="60"/>
        <w:rPr/>
      </w:pPr>
      <w:r>
        <w:rPr>
          <w:rFonts w:eastAsia="Segoe UI" w:cs="Segoe UI" w:ascii="Segoe UI" w:hAnsi="Segoe UI"/>
          <w:color w:val="101820"/>
          <w:sz w:val="21"/>
        </w:rPr>
        <w:t xml:space="preserve">For dealers and affinity partners choose the </w:t>
      </w:r>
      <w:r>
        <w:rPr>
          <w:rFonts w:eastAsia="Segoe UI" w:cs="Segoe UI" w:ascii="Segoe UI" w:hAnsi="Segoe UI"/>
          <w:b/>
          <w:color w:val="101820"/>
          <w:sz w:val="21"/>
        </w:rPr>
        <w:t>Referrer</w:t>
      </w:r>
      <w:r>
        <w:rPr>
          <w:rFonts w:eastAsia="Segoe UI" w:cs="Segoe UI" w:ascii="Segoe UI" w:hAnsi="Segoe UI"/>
          <w:color w:val="101820"/>
          <w:sz w:val="21"/>
        </w:rPr>
        <w:t xml:space="preserve"> (the referrer of the commission master) and the </w:t>
      </w:r>
      <w:r>
        <w:rPr>
          <w:rFonts w:eastAsia="Segoe UI" w:cs="Segoe UI" w:ascii="Segoe UI" w:hAnsi="Segoe UI"/>
          <w:b/>
          <w:color w:val="101820"/>
          <w:sz w:val="21"/>
        </w:rPr>
        <w:t>Comsub %</w:t>
      </w:r>
      <w:r>
        <w:rPr>
          <w:rFonts w:eastAsia="Segoe UI" w:cs="Segoe UI" w:ascii="Segoe UI" w:hAnsi="Segoe UI"/>
          <w:color w:val="101820"/>
          <w:sz w:val="21"/>
        </w:rPr>
        <w:t xml:space="preserve"> paid to it. Policies of the channel without their own referrer pay the referrer's share at this rate.</w:t>
      </w:r>
    </w:p>
    <w:p>
      <w:pPr>
        <w:pStyle w:val="Normal"/>
        <w:numPr>
          <w:ilvl w:val="0"/>
          <w:numId w:val="535"/>
        </w:numPr>
        <w:spacing w:before="0" w:after="60"/>
        <w:rPr/>
      </w:pPr>
      <w:r>
        <w:rPr>
          <w:rFonts w:eastAsia="Segoe UI" w:cs="Segoe UI" w:ascii="Segoe UI" w:hAnsi="Segoe UI"/>
          <w:color w:val="101820"/>
          <w:sz w:val="21"/>
        </w:rPr>
        <w:t xml:space="preserve">For a financing bank choose the </w:t>
      </w:r>
      <w:r>
        <w:rPr>
          <w:rFonts w:eastAsia="Segoe UI" w:cs="Segoe UI" w:ascii="Segoe UI" w:hAnsi="Segoe UI"/>
          <w:b/>
          <w:color w:val="101820"/>
          <w:sz w:val="21"/>
        </w:rPr>
        <w:t>Bank (Bank master)</w:t>
      </w:r>
      <w:r>
        <w:rPr>
          <w:rFonts w:eastAsia="Segoe UI" w:cs="Segoe UI" w:ascii="Segoe UI" w:hAnsi="Segoe UI"/>
          <w:color w:val="101820"/>
          <w:sz w:val="21"/>
        </w:rPr>
        <w:t xml:space="preserve">, the </w:t>
      </w:r>
      <w:r>
        <w:rPr>
          <w:rFonts w:eastAsia="Segoe UI" w:cs="Segoe UI" w:ascii="Segoe UI" w:hAnsi="Segoe UI"/>
          <w:b/>
          <w:color w:val="101820"/>
          <w:sz w:val="21"/>
        </w:rPr>
        <w:t>Mortgagee clause</w:t>
      </w:r>
      <w:r>
        <w:rPr>
          <w:rFonts w:eastAsia="Segoe UI" w:cs="Segoe UI" w:ascii="Segoe UI" w:hAnsi="Segoe UI"/>
          <w:color w:val="101820"/>
          <w:sz w:val="21"/>
        </w:rPr>
        <w:t xml:space="preserve"> printed on its borrowers' policies ({{bankName}} is replaced by the bank's name) and the </w:t>
      </w:r>
      <w:r>
        <w:rPr>
          <w:rFonts w:eastAsia="Segoe UI" w:cs="Segoe UI" w:ascii="Segoe UI" w:hAnsi="Segoe UI"/>
          <w:b/>
          <w:color w:val="101820"/>
          <w:sz w:val="21"/>
        </w:rPr>
        <w:t>Letter addressee</w:t>
      </w:r>
      <w:r>
        <w:rPr>
          <w:rFonts w:eastAsia="Segoe UI" w:cs="Segoe UI" w:ascii="Segoe UI" w:hAnsi="Segoe UI"/>
          <w:color w:val="101820"/>
          <w:sz w:val="21"/>
        </w:rPr>
        <w:t xml:space="preserve"> of the bank endorsement letter. A bank branch without its own clause uses the bank's.</w:t>
      </w:r>
    </w:p>
    <w:p>
      <w:pPr>
        <w:pStyle w:val="Normal"/>
        <w:numPr>
          <w:ilvl w:val="0"/>
          <w:numId w:val="5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list shows each channel with its group and the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and </w:t>
      </w:r>
      <w:r>
        <w:rPr>
          <w:rFonts w:eastAsia="Segoe UI" w:cs="Segoe UI" w:ascii="Segoe UI" w:hAnsi="Segoe UI"/>
          <w:b/>
          <w:color w:val="101820"/>
          <w:sz w:val="21"/>
        </w:rPr>
        <w:t>Premium</w:t>
      </w:r>
      <w:r>
        <w:rPr>
          <w:rFonts w:eastAsia="Segoe UI" w:cs="Segoe UI" w:ascii="Segoe UI" w:hAnsi="Segoe UI"/>
          <w:color w:val="101820"/>
          <w:sz w:val="21"/>
        </w:rPr>
        <w:t xml:space="preserve"> it brought in. </w:t>
      </w:r>
      <w:r>
        <w:rPr>
          <w:rFonts w:eastAsia="Segoe UI" w:cs="Segoe UI" w:ascii="Segoe UI" w:hAnsi="Segoe UI"/>
          <w:b/>
          <w:color w:val="101820"/>
          <w:sz w:val="21"/>
        </w:rPr>
        <w:t>Delete</w:t>
      </w:r>
      <w:r>
        <w:rPr>
          <w:rFonts w:eastAsia="Segoe UI" w:cs="Segoe UI" w:ascii="Segoe UI" w:hAnsi="Segoe UI"/>
          <w:color w:val="101820"/>
          <w:sz w:val="21"/>
        </w:rPr>
        <w:t xml:space="preserve"> removes a channel that was never used; a channel with business, branches, programmes or a billing account is made </w:t>
      </w:r>
      <w:r>
        <w:rPr>
          <w:rFonts w:eastAsia="Segoe UI" w:cs="Segoe UI" w:ascii="Segoe UI" w:hAnsi="Segoe UI"/>
          <w:b/>
          <w:color w:val="101820"/>
          <w:sz w:val="21"/>
        </w:rPr>
        <w:t>Inactive</w:t>
      </w:r>
      <w:r>
        <w:rPr>
          <w:rFonts w:eastAsia="Segoe UI" w:cs="Segoe UI" w:ascii="Segoe UI" w:hAnsi="Segoe UI"/>
          <w:color w:val="101820"/>
          <w:sz w:val="21"/>
        </w:rPr>
        <w:t xml:space="preserve"> instead, so its history stays.</w:t>
      </w:r>
    </w:p>
    <w:p>
      <w:pPr>
        <w:pStyle w:val="Normal"/>
        <w:spacing w:lineRule="auto" w:line="276" w:before="0" w:after="120"/>
        <w:rPr/>
      </w:pPr>
      <w:r>
        <w:rPr>
          <w:rFonts w:eastAsia="Segoe UI" w:cs="Segoe UI" w:ascii="Segoe UI" w:hAnsi="Segoe UI"/>
          <w:color w:val="101820"/>
          <w:sz w:val="21"/>
        </w:rPr>
        <w:t xml:space="preserve">The channel is recorded on prospects (field </w:t>
      </w:r>
      <w:r>
        <w:rPr>
          <w:rFonts w:eastAsia="Segoe UI" w:cs="Segoe UI" w:ascii="Segoe UI" w:hAnsi="Segoe UI"/>
          <w:b/>
          <w:color w:val="101820"/>
          <w:sz w:val="21"/>
        </w:rPr>
        <w:t>Distribution channel</w:t>
      </w:r>
      <w:r>
        <w:rPr>
          <w:rFonts w:eastAsia="Segoe UI" w:cs="Segoe UI" w:ascii="Segoe UI" w:hAnsi="Segoe UI"/>
          <w:color w:val="101820"/>
          <w:sz w:val="21"/>
        </w:rPr>
        <w:t xml:space="preserve">), carried to the quotation made from the prospect and to the policy issued from the quotation (setting </w:t>
      </w:r>
      <w:r>
        <w:rPr>
          <w:rFonts w:eastAsia="Segoe UI" w:cs="Segoe UI" w:ascii="Segoe UI" w:hAnsi="Segoe UI"/>
          <w:b/>
          <w:color w:val="101820"/>
          <w:sz w:val="21"/>
        </w:rPr>
        <w:t>channels.inherit_from_lead</w:t>
      </w:r>
      <w:r>
        <w:rPr>
          <w:rFonts w:eastAsia="Segoe UI" w:cs="Segoe UI" w:ascii="Segoe UI" w:hAnsi="Segoe UI"/>
          <w:color w:val="101820"/>
          <w:sz w:val="21"/>
        </w:rPr>
        <w:t xml:space="preserve">). The report </w:t>
      </w:r>
      <w:r>
        <w:rPr>
          <w:rFonts w:eastAsia="Segoe UI" w:cs="Segoe UI" w:ascii="Segoe UI" w:hAnsi="Segoe UI"/>
          <w:b/>
          <w:color w:val="101820"/>
          <w:sz w:val="21"/>
        </w:rPr>
        <w:t>Dealer Production</w:t>
      </w:r>
      <w:r>
        <w:rPr>
          <w:rFonts w:eastAsia="Segoe UI" w:cs="Segoe UI" w:ascii="Segoe UI" w:hAnsi="Segoe UI"/>
          <w:color w:val="101820"/>
          <w:sz w:val="21"/>
        </w:rPr>
        <w:t xml:space="preserve"> (Reports &gt; Operational Reports &gt; Dealer Production) shows per dealer group and channel the prospects, quotations, policies, sum insured, premium and commission for a period, filtered by channel, dealer group or channel type, and exports to Excel and PDF like every report.</w:t>
      </w:r>
    </w:p>
    <w:p>
      <w:pPr>
        <w:pStyle w:val="Heading2"/>
        <w:rPr/>
      </w:pPr>
      <w:bookmarkStart w:id="175" w:name="__RefHeading___Toc24618_3350804041"/>
      <w:bookmarkEnd w:id="175"/>
      <w:r>
        <w:rPr>
          <w:rFonts w:eastAsia="Segoe UI" w:cs="Segoe UI"/>
          <w:b/>
          <w:color w:val="0F4761"/>
          <w:sz w:val="26"/>
        </w:rPr>
        <w:t>15.3  Dealer Programmes</w:t>
      </w:r>
    </w:p>
    <w:p>
      <w:pPr>
        <w:pStyle w:val="Normal"/>
        <w:jc w:val="center"/>
        <w:rPr/>
      </w:pPr>
      <w:r>
        <w:rPr/>
        <w:drawing>
          <wp:inline distT="0" distB="0" distL="0" distR="0">
            <wp:extent cx="5760085" cy="4469130"/>
            <wp:effectExtent l="0" t="0" r="0" b="0"/>
            <wp:docPr id="182" name="Picture 21212883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2121288362" descr=""/>
                    <pic:cNvPicPr>
                      <a:picLocks noChangeAspect="1" noChangeArrowheads="1"/>
                    </pic:cNvPicPr>
                  </pic:nvPicPr>
                  <pic:blipFill>
                    <a:blip r:embed="rId1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Dealer Programmes</w:t>
      </w:r>
    </w:p>
    <w:p>
      <w:pPr>
        <w:pStyle w:val="Normal"/>
        <w:spacing w:lineRule="auto" w:line="276" w:before="0" w:after="120"/>
        <w:rPr/>
      </w:pPr>
      <w:r>
        <w:rPr>
          <w:rFonts w:eastAsia="Segoe UI" w:cs="Segoe UI" w:ascii="Segoe UI" w:hAnsi="Segoe UI"/>
          <w:color w:val="101820"/>
          <w:sz w:val="21"/>
        </w:rPr>
        <w:t>Choose Operations &gt; Sales &amp; Marketing &gt; Dealer Programmes. A programme holds the terms agreed with a dealer, and optionally its financing bank, for brand-new vehicles.</w:t>
      </w:r>
    </w:p>
    <w:p>
      <w:pPr>
        <w:pStyle w:val="Heading3"/>
        <w:rPr/>
      </w:pPr>
      <w:r>
        <w:rPr>
          <w:rFonts w:eastAsia="Segoe UI" w:cs="Segoe UI"/>
          <w:b/>
          <w:color w:val="0F4761"/>
          <w:sz w:val="23"/>
        </w:rPr>
        <w:t>15.3.1  Set up a programme</w:t>
      </w:r>
    </w:p>
    <w:p>
      <w:pPr>
        <w:pStyle w:val="Normal"/>
        <w:numPr>
          <w:ilvl w:val="0"/>
          <w:numId w:val="5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programme</w:t>
      </w:r>
      <w:r>
        <w:rPr>
          <w:rFonts w:eastAsia="Segoe UI" w:cs="Segoe UI" w:ascii="Segoe UI" w:hAnsi="Segoe UI"/>
          <w:color w:val="101820"/>
          <w:sz w:val="21"/>
        </w:rPr>
        <w:t xml:space="preserve"> and enter the </w:t>
      </w:r>
      <w:r>
        <w:rPr>
          <w:rFonts w:eastAsia="Segoe UI" w:cs="Segoe UI" w:ascii="Segoe UI" w:hAnsi="Segoe UI"/>
          <w:b/>
          <w:color w:val="101820"/>
          <w:sz w:val="21"/>
        </w:rPr>
        <w:t>Code</w:t>
      </w:r>
      <w:r>
        <w:rPr>
          <w:rFonts w:eastAsia="Segoe UI" w:cs="Segoe UI" w:ascii="Segoe UI" w:hAnsi="Segoe UI"/>
          <w:color w:val="101820"/>
          <w:sz w:val="21"/>
        </w:rPr>
        <w:t xml:space="preserve"> and </w:t>
      </w:r>
      <w:r>
        <w:rPr>
          <w:rFonts w:eastAsia="Segoe UI" w:cs="Segoe UI" w:ascii="Segoe UI" w:hAnsi="Segoe UI"/>
          <w:b/>
          <w:color w:val="101820"/>
          <w:sz w:val="21"/>
        </w:rPr>
        <w:t>Name</w:t>
      </w:r>
      <w:r>
        <w:rPr>
          <w:rFonts w:eastAsia="Segoe UI" w:cs="Segoe UI" w:ascii="Segoe UI" w:hAnsi="Segoe UI"/>
          <w:color w:val="101820"/>
          <w:sz w:val="21"/>
        </w:rPr>
        <w:t>.</w:t>
      </w:r>
    </w:p>
    <w:p>
      <w:pPr>
        <w:pStyle w:val="Normal"/>
        <w:numPr>
          <w:ilvl w:val="0"/>
          <w:numId w:val="53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Dealer</w:t>
      </w:r>
      <w:r>
        <w:rPr>
          <w:rFonts w:eastAsia="Segoe UI" w:cs="Segoe UI" w:ascii="Segoe UI" w:hAnsi="Segoe UI"/>
          <w:color w:val="101820"/>
          <w:sz w:val="21"/>
        </w:rPr>
        <w:t xml:space="preserve"> (group or branch), the </w:t>
      </w:r>
      <w:r>
        <w:rPr>
          <w:rFonts w:eastAsia="Segoe UI" w:cs="Segoe UI" w:ascii="Segoe UI" w:hAnsi="Segoe UI"/>
          <w:b/>
          <w:color w:val="101820"/>
          <w:sz w:val="21"/>
        </w:rPr>
        <w:t>Financing bank</w:t>
      </w:r>
      <w:r>
        <w:rPr>
          <w:rFonts w:eastAsia="Segoe UI" w:cs="Segoe UI" w:ascii="Segoe UI" w:hAnsi="Segoe UI"/>
          <w:color w:val="101820"/>
          <w:sz w:val="21"/>
        </w:rPr>
        <w:t xml:space="preserve"> if the buyers' loans are with one bank, and the </w:t>
      </w:r>
      <w:r>
        <w:rPr>
          <w:rFonts w:eastAsia="Segoe UI" w:cs="Segoe UI" w:ascii="Segoe UI" w:hAnsi="Segoe UI"/>
          <w:b/>
          <w:color w:val="101820"/>
          <w:sz w:val="21"/>
        </w:rPr>
        <w:t>Insurer</w:t>
      </w:r>
      <w:r>
        <w:rPr>
          <w:rFonts w:eastAsia="Segoe UI" w:cs="Segoe UI" w:ascii="Segoe UI" w:hAnsi="Segoe UI"/>
          <w:color w:val="101820"/>
          <w:sz w:val="21"/>
        </w:rPr>
        <w:t>.</w:t>
      </w:r>
    </w:p>
    <w:p>
      <w:pPr>
        <w:pStyle w:val="Normal"/>
        <w:numPr>
          <w:ilvl w:val="0"/>
          <w:numId w:val="539"/>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Rates</w:t>
      </w:r>
      <w:r>
        <w:rPr>
          <w:rFonts w:eastAsia="Segoe UI" w:cs="Segoe UI" w:ascii="Segoe UI" w:hAnsi="Segoe UI"/>
          <w:color w:val="101820"/>
          <w:sz w:val="21"/>
        </w:rPr>
        <w:t xml:space="preserve">, enter the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and </w:t>
      </w:r>
      <w:r>
        <w:rPr>
          <w:rFonts w:eastAsia="Segoe UI" w:cs="Segoe UI" w:ascii="Segoe UI" w:hAnsi="Segoe UI"/>
          <w:b/>
          <w:color w:val="101820"/>
          <w:sz w:val="21"/>
        </w:rPr>
        <w:t>Property damage</w:t>
      </w:r>
      <w:r>
        <w:rPr>
          <w:rFonts w:eastAsia="Segoe UI" w:cs="Segoe UI" w:ascii="Segoe UI" w:hAnsi="Segoe UI"/>
          <w:color w:val="101820"/>
          <w:sz w:val="21"/>
        </w:rPr>
        <w:t xml:space="preserve"> limits, the </w:t>
      </w:r>
      <w:r>
        <w:rPr>
          <w:rFonts w:eastAsia="Segoe UI" w:cs="Segoe UI" w:ascii="Segoe UI" w:hAnsi="Segoe UI"/>
          <w:b/>
          <w:color w:val="101820"/>
          <w:sz w:val="21"/>
        </w:rPr>
        <w:t>Default vehicle class</w:t>
      </w:r>
      <w:r>
        <w:rPr>
          <w:rFonts w:eastAsia="Segoe UI" w:cs="Segoe UI" w:ascii="Segoe UI" w:hAnsi="Segoe UI"/>
          <w:color w:val="101820"/>
          <w:sz w:val="21"/>
        </w:rPr>
        <w:t xml:space="preserve"> and whether </w:t>
      </w:r>
      <w:r>
        <w:rPr>
          <w:rFonts w:eastAsia="Segoe UI" w:cs="Segoe UI" w:ascii="Segoe UI" w:hAnsi="Segoe UI"/>
          <w:b/>
          <w:color w:val="101820"/>
          <w:sz w:val="21"/>
        </w:rPr>
        <w:t>CTPL</w:t>
      </w:r>
      <w:r>
        <w:rPr>
          <w:rFonts w:eastAsia="Segoe UI" w:cs="Segoe UI" w:ascii="Segoe UI" w:hAnsi="Segoe UI"/>
          <w:color w:val="101820"/>
          <w:sz w:val="21"/>
        </w:rPr>
        <w:t xml:space="preserve"> is included and for how many years (three years for a new car registered with the LTO).</w:t>
      </w:r>
    </w:p>
    <w:p>
      <w:pPr>
        <w:pStyle w:val="Normal"/>
        <w:numPr>
          <w:ilvl w:val="0"/>
          <w:numId w:val="5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Who pays</w:t>
      </w:r>
      <w:r>
        <w:rPr>
          <w:rFonts w:eastAsia="Segoe UI" w:cs="Segoe UI" w:ascii="Segoe UI" w:hAnsi="Segoe UI"/>
          <w:color w:val="101820"/>
          <w:sz w:val="21"/>
        </w:rPr>
        <w:t xml:space="preserve">, tick </w:t>
      </w:r>
      <w:r>
        <w:rPr>
          <w:rFonts w:eastAsia="Segoe UI" w:cs="Segoe UI" w:ascii="Segoe UI" w:hAnsi="Segoe UI"/>
          <w:b/>
          <w:color w:val="101820"/>
          <w:sz w:val="21"/>
        </w:rPr>
        <w:t>Free first year</w:t>
      </w:r>
      <w:r>
        <w:rPr>
          <w:rFonts w:eastAsia="Segoe UI" w:cs="Segoe UI" w:ascii="Segoe UI" w:hAnsi="Segoe UI"/>
          <w:color w:val="101820"/>
          <w:sz w:val="21"/>
        </w:rPr>
        <w:t xml:space="preserve"> when the first-year premium is paid by the dealer or the bank, or set the </w:t>
      </w:r>
      <w:r>
        <w:rPr>
          <w:rFonts w:eastAsia="Segoe UI" w:cs="Segoe UI" w:ascii="Segoe UI" w:hAnsi="Segoe UI"/>
          <w:b/>
          <w:color w:val="101820"/>
          <w:sz w:val="21"/>
        </w:rPr>
        <w:t>Subsidy paid by</w:t>
      </w:r>
      <w:r>
        <w:rPr>
          <w:rFonts w:eastAsia="Segoe UI" w:cs="Segoe UI" w:ascii="Segoe UI" w:hAnsi="Segoe UI"/>
          <w:color w:val="101820"/>
          <w:sz w:val="21"/>
        </w:rPr>
        <w:t xml:space="preserve"> (dealer or bank), the </w:t>
      </w:r>
      <w:r>
        <w:rPr>
          <w:rFonts w:eastAsia="Segoe UI" w:cs="Segoe UI" w:ascii="Segoe UI" w:hAnsi="Segoe UI"/>
          <w:b/>
          <w:color w:val="101820"/>
          <w:sz w:val="21"/>
        </w:rPr>
        <w:t>Subsidy</w:t>
      </w:r>
      <w:r>
        <w:rPr>
          <w:rFonts w:eastAsia="Segoe UI" w:cs="Segoe UI" w:ascii="Segoe UI" w:hAnsi="Segoe UI"/>
          <w:color w:val="101820"/>
          <w:sz w:val="21"/>
        </w:rPr>
        <w:t xml:space="preserve"> kind (percent of premium, fixed amount, full premium) and the </w:t>
      </w:r>
      <w:r>
        <w:rPr>
          <w:rFonts w:eastAsia="Segoe UI" w:cs="Segoe UI" w:ascii="Segoe UI" w:hAnsi="Segoe UI"/>
          <w:b/>
          <w:color w:val="101820"/>
          <w:sz w:val="21"/>
        </w:rPr>
        <w:t>Subsidy value</w:t>
      </w:r>
      <w:r>
        <w:rPr>
          <w:rFonts w:eastAsia="Segoe UI" w:cs="Segoe UI" w:ascii="Segoe UI" w:hAnsi="Segoe UI"/>
          <w:color w:val="101820"/>
          <w:sz w:val="21"/>
        </w:rPr>
        <w:t>. The buyer pays the rest.</w:t>
      </w:r>
    </w:p>
    <w:p>
      <w:pPr>
        <w:pStyle w:val="Normal"/>
        <w:numPr>
          <w:ilvl w:val="0"/>
          <w:numId w:val="541"/>
        </w:numPr>
        <w:spacing w:before="0" w:after="60"/>
        <w:rPr/>
      </w:pPr>
      <w:r>
        <w:rPr>
          <w:rFonts w:eastAsia="Segoe UI" w:cs="Segoe UI" w:ascii="Segoe UI" w:hAnsi="Segoe UI"/>
          <w:color w:val="101820"/>
          <w:sz w:val="21"/>
        </w:rPr>
        <w:t xml:space="preserve">Choose what </w:t>
      </w:r>
      <w:r>
        <w:rPr>
          <w:rFonts w:eastAsia="Segoe UI" w:cs="Segoe UI" w:ascii="Segoe UI" w:hAnsi="Segoe UI"/>
          <w:b/>
          <w:color w:val="101820"/>
          <w:sz w:val="21"/>
        </w:rPr>
        <w:t>Upload creates</w:t>
      </w:r>
      <w:r>
        <w:rPr>
          <w:rFonts w:eastAsia="Segoe UI" w:cs="Segoe UI" w:ascii="Segoe UI" w:hAnsi="Segoe UI"/>
          <w:color w:val="101820"/>
          <w:sz w:val="21"/>
        </w:rPr>
        <w:t xml:space="preserve">: </w:t>
      </w:r>
      <w:r>
        <w:rPr>
          <w:rFonts w:eastAsia="Segoe UI" w:cs="Segoe UI" w:ascii="Segoe UI" w:hAnsi="Segoe UI"/>
          <w:b/>
          <w:color w:val="101820"/>
          <w:sz w:val="21"/>
        </w:rPr>
        <w:t>Quotation to follow up</w:t>
      </w:r>
      <w:r>
        <w:rPr>
          <w:rFonts w:eastAsia="Segoe UI" w:cs="Segoe UI" w:ascii="Segoe UI" w:hAnsi="Segoe UI"/>
          <w:color w:val="101820"/>
          <w:sz w:val="21"/>
        </w:rPr>
        <w:t xml:space="preserve"> (draft quotations the account executive completes with the buyer) or </w:t>
      </w:r>
      <w:r>
        <w:rPr>
          <w:rFonts w:eastAsia="Segoe UI" w:cs="Segoe UI" w:ascii="Segoe UI" w:hAnsi="Segoe UI"/>
          <w:b/>
          <w:color w:val="101820"/>
          <w:sz w:val="21"/>
        </w:rPr>
        <w:t>Policy issued</w:t>
      </w:r>
      <w:r>
        <w:rPr>
          <w:rFonts w:eastAsia="Segoe UI" w:cs="Segoe UI" w:ascii="Segoe UI" w:hAnsi="Segoe UI"/>
          <w:color w:val="101820"/>
          <w:sz w:val="21"/>
        </w:rPr>
        <w:t xml:space="preserve"> (the policy is issued and billed straight away).</w:t>
      </w:r>
    </w:p>
    <w:p>
      <w:pPr>
        <w:pStyle w:val="Normal"/>
        <w:numPr>
          <w:ilvl w:val="0"/>
          <w:numId w:val="542"/>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Effective from</w:t>
      </w:r>
      <w:r>
        <w:rPr>
          <w:rFonts w:eastAsia="Segoe UI" w:cs="Segoe UI" w:ascii="Segoe UI" w:hAnsi="Segoe UI"/>
          <w:color w:val="101820"/>
          <w:sz w:val="21"/>
        </w:rPr>
        <w:t xml:space="preserve"> and </w:t>
      </w:r>
      <w:r>
        <w:rPr>
          <w:rFonts w:eastAsia="Segoe UI" w:cs="Segoe UI" w:ascii="Segoe UI" w:hAnsi="Segoe UI"/>
          <w:b/>
          <w:color w:val="101820"/>
          <w:sz w:val="21"/>
        </w:rPr>
        <w:t>Effective to</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 xml:space="preserve">. </w:t>
      </w:r>
      <w:r>
        <w:rPr>
          <w:rFonts w:eastAsia="Segoe UI" w:cs="Segoe UI" w:ascii="Segoe UI" w:hAnsi="Segoe UI"/>
          <w:b/>
          <w:color w:val="101820"/>
          <w:sz w:val="21"/>
        </w:rPr>
        <w:t>Premium preview</w:t>
      </w:r>
      <w:r>
        <w:rPr>
          <w:rFonts w:eastAsia="Segoe UI" w:cs="Segoe UI" w:ascii="Segoe UI" w:hAnsi="Segoe UI"/>
          <w:color w:val="101820"/>
          <w:sz w:val="21"/>
        </w:rPr>
        <w:t xml:space="preserve"> shows the premium of a sample vehicle with the programme's rates.</w:t>
      </w:r>
    </w:p>
    <w:p>
      <w:pPr>
        <w:pStyle w:val="Heading3"/>
        <w:rPr/>
      </w:pPr>
      <w:r>
        <w:rPr>
          <w:rFonts w:eastAsia="Segoe UI" w:cs="Segoe UI"/>
          <w:b/>
          <w:color w:val="0F4761"/>
          <w:sz w:val="23"/>
        </w:rPr>
        <w:t>15.3.2  Upload the dealer's sales</w:t>
      </w:r>
    </w:p>
    <w:p>
      <w:pPr>
        <w:pStyle w:val="Normal"/>
        <w:numPr>
          <w:ilvl w:val="0"/>
          <w:numId w:val="5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Template</w:t>
      </w:r>
      <w:r>
        <w:rPr>
          <w:rFonts w:eastAsia="Segoe UI" w:cs="Segoe UI" w:ascii="Segoe UI" w:hAnsi="Segoe UI"/>
          <w:color w:val="101820"/>
          <w:sz w:val="21"/>
        </w:rPr>
        <w:t xml:space="preserve"> to download the Dealer Sales upload template (Excel). One row per vehicle sold: dealer branch code, date sold, sales invoice, buyer, contact details, make, model, variant, year, colour, vehicle class, plate or conduction sticker, chassis and engine numbers, invoice price, the financing bank branch code and the loan amount.</w:t>
      </w:r>
    </w:p>
    <w:p>
      <w:pPr>
        <w:pStyle w:val="Normal"/>
        <w:numPr>
          <w:ilvl w:val="0"/>
          <w:numId w:val="544"/>
        </w:numPr>
        <w:spacing w:before="0" w:after="60"/>
        <w:rPr/>
      </w:pPr>
      <w:r>
        <w:rPr>
          <w:rFonts w:eastAsia="Segoe UI" w:cs="Segoe UI" w:ascii="Segoe UI" w:hAnsi="Segoe UI"/>
          <w:color w:val="101820"/>
          <w:sz w:val="21"/>
        </w:rPr>
        <w:t xml:space="preserve">On the programme, select </w:t>
      </w:r>
      <w:r>
        <w:rPr>
          <w:rFonts w:eastAsia="Segoe UI" w:cs="Segoe UI" w:ascii="Segoe UI" w:hAnsi="Segoe UI"/>
          <w:b/>
          <w:color w:val="101820"/>
          <w:sz w:val="21"/>
        </w:rPr>
        <w:t>Upload sales</w:t>
      </w:r>
      <w:r>
        <w:rPr>
          <w:rFonts w:eastAsia="Segoe UI" w:cs="Segoe UI" w:ascii="Segoe UI" w:hAnsi="Segoe UI"/>
          <w:color w:val="101820"/>
          <w:sz w:val="21"/>
        </w:rPr>
        <w:t xml:space="preserve"> and choose the file. The system checks every row (required fields, the vehicle class, a chassis number not already uploaded) and creates, for each valid row, the prospect (channel: the dealer branch), the quotation priced with the motor tariff and, in issue mode Policy issued, the client and the policy with the financing bank as mortgagee.</w:t>
      </w:r>
    </w:p>
    <w:p>
      <w:pPr>
        <w:pStyle w:val="Normal"/>
        <w:numPr>
          <w:ilvl w:val="0"/>
          <w:numId w:val="545"/>
        </w:numPr>
        <w:spacing w:before="0" w:after="60"/>
        <w:rPr/>
      </w:pPr>
      <w:r>
        <w:rPr>
          <w:rFonts w:eastAsia="Segoe UI" w:cs="Segoe UI" w:ascii="Segoe UI" w:hAnsi="Segoe UI"/>
          <w:color w:val="101820"/>
          <w:sz w:val="21"/>
        </w:rPr>
        <w:t xml:space="preserve">The result lists the rows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Failed</w:t>
      </w:r>
      <w:r>
        <w:rPr>
          <w:rFonts w:eastAsia="Segoe UI" w:cs="Segoe UI" w:ascii="Segoe UI" w:hAnsi="Segoe UI"/>
          <w:color w:val="101820"/>
          <w:sz w:val="21"/>
        </w:rPr>
        <w:t xml:space="preserve"> with the reason of each failure. Correct the failed rows and upload them again.</w:t>
      </w:r>
    </w:p>
    <w:p>
      <w:pPr>
        <w:pStyle w:val="Normal"/>
        <w:spacing w:lineRule="auto" w:line="276" w:before="0" w:after="120"/>
        <w:rPr/>
      </w:pPr>
      <w:r>
        <w:rPr>
          <w:rFonts w:eastAsia="Segoe UI" w:cs="Segoe UI" w:ascii="Segoe UI" w:hAnsi="Segoe UI"/>
          <w:color w:val="101820"/>
          <w:sz w:val="21"/>
        </w:rPr>
        <w:t>The premium is billed to who pays: the dealer or the bank for its subsidy, the buyer for the rest, each through its own bill with its booking journal. The commission of the policy is split in proportion.</w:t>
      </w:r>
    </w:p>
    <w:p>
      <w:pPr>
        <w:pStyle w:val="Heading3"/>
        <w:rPr/>
      </w:pPr>
      <w:r>
        <w:rPr>
          <w:rFonts w:eastAsia="Segoe UI" w:cs="Segoe UI"/>
          <w:b/>
          <w:color w:val="0F4761"/>
          <w:sz w:val="23"/>
        </w:rPr>
        <w:t>15.3.3  Bank endorsement letter</w:t>
      </w:r>
    </w:p>
    <w:p>
      <w:pPr>
        <w:pStyle w:val="Normal"/>
        <w:spacing w:lineRule="auto" w:line="276" w:before="0" w:after="120"/>
        <w:rPr/>
      </w:pPr>
      <w:r>
        <w:rPr>
          <w:rFonts w:eastAsia="Segoe UI" w:cs="Segoe UI" w:ascii="Segoe UI" w:hAnsi="Segoe UI"/>
          <w:color w:val="101820"/>
          <w:sz w:val="21"/>
        </w:rPr>
        <w:t xml:space="preserve">For every financed sale, </w:t>
      </w:r>
      <w:r>
        <w:rPr>
          <w:rFonts w:eastAsia="Segoe UI" w:cs="Segoe UI" w:ascii="Segoe UI" w:hAnsi="Segoe UI"/>
          <w:b/>
          <w:color w:val="101820"/>
          <w:sz w:val="21"/>
        </w:rPr>
        <w:t>Bank endorsement letter</w:t>
      </w:r>
      <w:r>
        <w:rPr>
          <w:rFonts w:eastAsia="Segoe UI" w:cs="Segoe UI" w:ascii="Segoe UI" w:hAnsi="Segoe UI"/>
          <w:color w:val="101820"/>
          <w:sz w:val="21"/>
        </w:rPr>
        <w:t xml:space="preserve"> prints the letter to the bank confirming the policy, the vehicle, the loan and the mortgagee clause. </w:t>
      </w:r>
      <w:r>
        <w:rPr>
          <w:rFonts w:eastAsia="Segoe UI" w:cs="Segoe UI" w:ascii="Segoe UI" w:hAnsi="Segoe UI"/>
          <w:b/>
          <w:color w:val="101820"/>
          <w:sz w:val="21"/>
        </w:rPr>
        <w:t>Bank letters of the batch</w:t>
      </w:r>
      <w:r>
        <w:rPr>
          <w:rFonts w:eastAsia="Segoe UI" w:cs="Segoe UI" w:ascii="Segoe UI" w:hAnsi="Segoe UI"/>
          <w:color w:val="101820"/>
          <w:sz w:val="21"/>
        </w:rPr>
        <w:t xml:space="preserve"> prints the letters of a whole upload in one PDF. </w:t>
      </w:r>
      <w:r>
        <w:rPr>
          <w:rFonts w:eastAsia="Segoe UI" w:cs="Segoe UI" w:ascii="Segoe UI" w:hAnsi="Segoe UI"/>
          <w:b/>
          <w:color w:val="101820"/>
          <w:sz w:val="21"/>
        </w:rPr>
        <w:t>E-mail the letter to the bank</w:t>
      </w:r>
      <w:r>
        <w:rPr>
          <w:rFonts w:eastAsia="Segoe UI" w:cs="Segoe UI" w:ascii="Segoe UI" w:hAnsi="Segoe UI"/>
          <w:color w:val="101820"/>
          <w:sz w:val="21"/>
        </w:rPr>
        <w:t xml:space="preserve"> queues the letter as a PDF attachment to the bank branch's contact e-mail (or the bank's). With the setting </w:t>
      </w:r>
      <w:r>
        <w:rPr>
          <w:rFonts w:eastAsia="Segoe UI" w:cs="Segoe UI" w:ascii="Segoe UI" w:hAnsi="Segoe UI"/>
          <w:b/>
          <w:color w:val="101820"/>
          <w:sz w:val="21"/>
        </w:rPr>
        <w:t>motor_programmes.email_bank_letter</w:t>
      </w:r>
      <w:r>
        <w:rPr>
          <w:rFonts w:eastAsia="Segoe UI" w:cs="Segoe UI" w:ascii="Segoe UI" w:hAnsi="Segoe UI"/>
          <w:color w:val="101820"/>
          <w:sz w:val="21"/>
        </w:rPr>
        <w:t xml:space="preserve"> on, the letters are queued automatically when an upload issues financed policies. The letter's subject and wording are in the settings </w:t>
      </w:r>
      <w:r>
        <w:rPr>
          <w:rFonts w:eastAsia="Segoe UI" w:cs="Segoe UI" w:ascii="Segoe UI" w:hAnsi="Segoe UI"/>
          <w:b/>
          <w:color w:val="101820"/>
          <w:sz w:val="21"/>
        </w:rPr>
        <w:t>motor_programmes.bank_letter_subject</w:t>
      </w:r>
      <w:r>
        <w:rPr>
          <w:rFonts w:eastAsia="Segoe UI" w:cs="Segoe UI" w:ascii="Segoe UI" w:hAnsi="Segoe UI"/>
          <w:color w:val="101820"/>
          <w:sz w:val="21"/>
        </w:rPr>
        <w:t xml:space="preserve"> and </w:t>
      </w:r>
      <w:r>
        <w:rPr>
          <w:rFonts w:eastAsia="Segoe UI" w:cs="Segoe UI" w:ascii="Segoe UI" w:hAnsi="Segoe UI"/>
          <w:b/>
          <w:color w:val="101820"/>
          <w:sz w:val="21"/>
        </w:rPr>
        <w:t>motor_programmes.bank_letter_body</w:t>
      </w:r>
      <w:r>
        <w:rPr>
          <w:rFonts w:eastAsia="Segoe UI" w:cs="Segoe UI" w:ascii="Segoe UI" w:hAnsi="Segoe UI"/>
          <w:color w:val="101820"/>
          <w:sz w:val="21"/>
        </w:rPr>
        <w:t>.</w:t>
      </w:r>
    </w:p>
    <w:p>
      <w:pPr>
        <w:pStyle w:val="Heading2"/>
        <w:rPr/>
      </w:pPr>
      <w:bookmarkStart w:id="176" w:name="__RefHeading___Toc24620_3350804041"/>
      <w:bookmarkEnd w:id="176"/>
      <w:r>
        <w:rPr>
          <w:rFonts w:eastAsia="Segoe UI" w:cs="Segoe UI"/>
          <w:b/>
          <w:color w:val="0F4761"/>
          <w:sz w:val="26"/>
        </w:rPr>
        <w:t>15.4  Fleet Schedules</w:t>
      </w:r>
    </w:p>
    <w:p>
      <w:pPr>
        <w:pStyle w:val="Normal"/>
        <w:spacing w:lineRule="auto" w:line="276" w:before="0" w:after="120"/>
        <w:rPr/>
      </w:pPr>
      <w:r>
        <w:rPr>
          <w:rFonts w:eastAsia="Segoe UI" w:cs="Segoe UI" w:ascii="Segoe UI" w:hAnsi="Segoe UI"/>
          <w:color w:val="101820"/>
          <w:sz w:val="21"/>
        </w:rPr>
        <w:t>Choose Operations &gt; Fleet Schedules. A fleet schedule is one motor policy covering many vehicles of a client.</w:t>
      </w:r>
    </w:p>
    <w:p>
      <w:pPr>
        <w:pStyle w:val="Normal"/>
        <w:jc w:val="center"/>
        <w:rPr/>
      </w:pPr>
      <w:r>
        <w:rPr/>
        <w:drawing>
          <wp:inline distT="0" distB="0" distL="0" distR="0">
            <wp:extent cx="5760085" cy="4469130"/>
            <wp:effectExtent l="0" t="0" r="0" b="0"/>
            <wp:docPr id="183" name="Picture 21212883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2121288363" descr=""/>
                    <pic:cNvPicPr>
                      <a:picLocks noChangeAspect="1" noChangeArrowheads="1"/>
                    </pic:cNvPicPr>
                  </pic:nvPicPr>
                  <pic:blipFill>
                    <a:blip r:embed="rId1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Fleet Schedules</w:t>
      </w:r>
    </w:p>
    <w:p>
      <w:pPr>
        <w:pStyle w:val="Normal"/>
        <w:numPr>
          <w:ilvl w:val="0"/>
          <w:numId w:val="5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fleet schedule</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and the rates: </w:t>
      </w:r>
      <w:r>
        <w:rPr>
          <w:rFonts w:eastAsia="Segoe UI" w:cs="Segoe UI" w:ascii="Segoe UI" w:hAnsi="Segoe UI"/>
          <w:b/>
          <w:color w:val="101820"/>
          <w:sz w:val="21"/>
        </w:rPr>
        <w:t>Own damage rate %</w:t>
      </w:r>
      <w:r>
        <w:rPr>
          <w:rFonts w:eastAsia="Segoe UI" w:cs="Segoe UI" w:ascii="Segoe UI" w:hAnsi="Segoe UI"/>
          <w:color w:val="101820"/>
          <w:sz w:val="21"/>
        </w:rPr>
        <w:t xml:space="preserve">, </w:t>
      </w:r>
      <w:r>
        <w:rPr>
          <w:rFonts w:eastAsia="Segoe UI" w:cs="Segoe UI" w:ascii="Segoe UI" w:hAnsi="Segoe UI"/>
          <w:b/>
          <w:color w:val="101820"/>
          <w:sz w:val="21"/>
        </w:rPr>
        <w:t>Acts of nature rate %</w:t>
      </w:r>
      <w:r>
        <w:rPr>
          <w:rFonts w:eastAsia="Segoe UI" w:cs="Segoe UI" w:ascii="Segoe UI" w:hAnsi="Segoe UI"/>
          <w:color w:val="101820"/>
          <w:sz w:val="21"/>
        </w:rPr>
        <w:t xml:space="preserve">, </w:t>
      </w:r>
      <w:r>
        <w:rPr>
          <w:rFonts w:eastAsia="Segoe UI" w:cs="Segoe UI" w:ascii="Segoe UI" w:hAnsi="Segoe UI"/>
          <w:b/>
          <w:color w:val="101820"/>
          <w:sz w:val="21"/>
        </w:rPr>
        <w:t>Excess bodily injury</w:t>
      </w:r>
      <w:r>
        <w:rPr>
          <w:rFonts w:eastAsia="Segoe UI" w:cs="Segoe UI" w:ascii="Segoe UI" w:hAnsi="Segoe UI"/>
          <w:color w:val="101820"/>
          <w:sz w:val="21"/>
        </w:rPr>
        <w:t xml:space="preserve">, </w:t>
      </w:r>
      <w:r>
        <w:rPr>
          <w:rFonts w:eastAsia="Segoe UI" w:cs="Segoe UI" w:ascii="Segoe UI" w:hAnsi="Segoe UI"/>
          <w:b/>
          <w:color w:val="101820"/>
          <w:sz w:val="21"/>
        </w:rPr>
        <w:t>Property damage</w:t>
      </w:r>
      <w:r>
        <w:rPr>
          <w:rFonts w:eastAsia="Segoe UI" w:cs="Segoe UI" w:ascii="Segoe UI" w:hAnsi="Segoe UI"/>
          <w:color w:val="101820"/>
          <w:sz w:val="21"/>
        </w:rPr>
        <w:t>.</w:t>
      </w:r>
    </w:p>
    <w:p>
      <w:pPr>
        <w:pStyle w:val="Normal"/>
        <w:numPr>
          <w:ilvl w:val="0"/>
          <w:numId w:val="547"/>
        </w:numPr>
        <w:spacing w:before="0" w:after="60"/>
        <w:rPr/>
      </w:pPr>
      <w:r>
        <w:rPr>
          <w:rFonts w:eastAsia="Segoe UI" w:cs="Segoe UI" w:ascii="Segoe UI" w:hAnsi="Segoe UI"/>
          <w:color w:val="101820"/>
          <w:sz w:val="21"/>
        </w:rPr>
        <w:t xml:space="preserve">Add the vehicles: </w:t>
      </w:r>
      <w:r>
        <w:rPr>
          <w:rFonts w:eastAsia="Segoe UI" w:cs="Segoe UI" w:ascii="Segoe UI" w:hAnsi="Segoe UI"/>
          <w:b/>
          <w:color w:val="101820"/>
          <w:sz w:val="21"/>
        </w:rPr>
        <w:t>Add vehicle</w:t>
      </w:r>
      <w:r>
        <w:rPr>
          <w:rFonts w:eastAsia="Segoe UI" w:cs="Segoe UI" w:ascii="Segoe UI" w:hAnsi="Segoe UI"/>
          <w:color w:val="101820"/>
          <w:sz w:val="21"/>
        </w:rPr>
        <w:t xml:space="preserve"> for one, or </w:t>
      </w:r>
      <w:r>
        <w:rPr>
          <w:rFonts w:eastAsia="Segoe UI" w:cs="Segoe UI" w:ascii="Segoe UI" w:hAnsi="Segoe UI"/>
          <w:b/>
          <w:color w:val="101820"/>
          <w:sz w:val="21"/>
        </w:rPr>
        <w:t>Template</w:t>
      </w:r>
      <w:r>
        <w:rPr>
          <w:rFonts w:eastAsia="Segoe UI" w:cs="Segoe UI" w:ascii="Segoe UI" w:hAnsi="Segoe UI"/>
          <w:color w:val="101820"/>
          <w:sz w:val="21"/>
        </w:rPr>
        <w:t xml:space="preserve"> and </w:t>
      </w:r>
      <w:r>
        <w:rPr>
          <w:rFonts w:eastAsia="Segoe UI" w:cs="Segoe UI" w:ascii="Segoe UI" w:hAnsi="Segoe UI"/>
          <w:b/>
          <w:color w:val="101820"/>
          <w:sz w:val="21"/>
        </w:rPr>
        <w:t>Upload vehicles</w:t>
      </w:r>
      <w:r>
        <w:rPr>
          <w:rFonts w:eastAsia="Segoe UI" w:cs="Segoe UI" w:ascii="Segoe UI" w:hAnsi="Segoe UI"/>
          <w:color w:val="101820"/>
          <w:sz w:val="21"/>
        </w:rPr>
        <w:t xml:space="preserve"> for many (Fleet Vehicles upload template). For each vehicle enter the plate number or conduction sticker, chassis and engine numbers, make, model, year model, colour, </w:t>
      </w:r>
      <w:r>
        <w:rPr>
          <w:rFonts w:eastAsia="Segoe UI" w:cs="Segoe UI" w:ascii="Segoe UI" w:hAnsi="Segoe UI"/>
          <w:b/>
          <w:color w:val="101820"/>
          <w:sz w:val="21"/>
        </w:rPr>
        <w:t>Vehicle class (CTPL tariff)</w:t>
      </w:r>
      <w:r>
        <w:rPr>
          <w:rFonts w:eastAsia="Segoe UI" w:cs="Segoe UI" w:ascii="Segoe UI" w:hAnsi="Segoe UI"/>
          <w:color w:val="101820"/>
          <w:sz w:val="21"/>
        </w:rPr>
        <w:t>, usage, sum insured and mortgagee if any.</w:t>
      </w:r>
    </w:p>
    <w:p>
      <w:pPr>
        <w:pStyle w:val="Normal"/>
        <w:numPr>
          <w:ilvl w:val="0"/>
          <w:numId w:val="548"/>
        </w:numPr>
        <w:spacing w:before="0" w:after="60"/>
        <w:rPr/>
      </w:pPr>
      <w:r>
        <w:rPr>
          <w:rFonts w:eastAsia="Segoe UI" w:cs="Segoe UI" w:ascii="Segoe UI" w:hAnsi="Segoe UI"/>
          <w:color w:val="101820"/>
          <w:sz w:val="21"/>
        </w:rPr>
        <w:t xml:space="preserve">Each vehicle is priced on its own: own damage and acts of nature on its sum insured, the excess liability premium, the CTPL of its class and the premium taxes. The totals show under </w:t>
      </w:r>
      <w:r>
        <w:rPr>
          <w:rFonts w:eastAsia="Segoe UI" w:cs="Segoe UI" w:ascii="Segoe UI" w:hAnsi="Segoe UI"/>
          <w:b/>
          <w:color w:val="101820"/>
          <w:sz w:val="21"/>
        </w:rPr>
        <w:t>Vehicles on cover</w:t>
      </w:r>
      <w:r>
        <w:rPr>
          <w:rFonts w:eastAsia="Segoe UI" w:cs="Segoe UI" w:ascii="Segoe UI" w:hAnsi="Segoe UI"/>
          <w:color w:val="101820"/>
          <w:sz w:val="21"/>
        </w:rPr>
        <w:t>.</w:t>
      </w:r>
    </w:p>
    <w:p>
      <w:pPr>
        <w:pStyle w:val="Normal"/>
        <w:numPr>
          <w:ilvl w:val="0"/>
          <w:numId w:val="5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Issue policy</w:t>
      </w:r>
      <w:r>
        <w:rPr>
          <w:rFonts w:eastAsia="Segoe UI" w:cs="Segoe UI" w:ascii="Segoe UI" w:hAnsi="Segoe UI"/>
          <w:color w:val="101820"/>
          <w:sz w:val="21"/>
        </w:rPr>
        <w:t xml:space="preserve">. The policy is issued for the totals of the schedule and billed with its booking journal and commission, like any policy. At least </w:t>
      </w:r>
      <w:r>
        <w:rPr>
          <w:rFonts w:eastAsia="Segoe UI" w:cs="Segoe UI" w:ascii="Segoe UI" w:hAnsi="Segoe UI"/>
          <w:b/>
          <w:color w:val="101820"/>
          <w:sz w:val="21"/>
        </w:rPr>
        <w:t>fleet.minimum_vehicles</w:t>
      </w:r>
      <w:r>
        <w:rPr>
          <w:rFonts w:eastAsia="Segoe UI" w:cs="Segoe UI" w:ascii="Segoe UI" w:hAnsi="Segoe UI"/>
          <w:color w:val="101820"/>
          <w:sz w:val="21"/>
        </w:rPr>
        <w:t xml:space="preserve"> vehicles are needed.</w:t>
      </w:r>
    </w:p>
    <w:p>
      <w:pPr>
        <w:pStyle w:val="Normal"/>
        <w:spacing w:lineRule="auto" w:line="276" w:before="0" w:after="120"/>
        <w:rPr/>
      </w:pPr>
      <w:r>
        <w:rPr>
          <w:rFonts w:eastAsia="Segoe UI" w:cs="Segoe UI" w:ascii="Segoe UI" w:hAnsi="Segoe UI"/>
          <w:color w:val="101820"/>
          <w:sz w:val="21"/>
        </w:rPr>
        <w:t xml:space="preserve">After issue, </w:t>
      </w:r>
      <w:r>
        <w:rPr>
          <w:rFonts w:eastAsia="Segoe UI" w:cs="Segoe UI" w:ascii="Segoe UI" w:hAnsi="Segoe UI"/>
          <w:b/>
          <w:color w:val="101820"/>
          <w:sz w:val="21"/>
        </w:rPr>
        <w:t>Add vehicle by endorsement</w:t>
      </w:r>
      <w:r>
        <w:rPr>
          <w:rFonts w:eastAsia="Segoe UI" w:cs="Segoe UI" w:ascii="Segoe UI" w:hAnsi="Segoe UI"/>
          <w:color w:val="101820"/>
          <w:sz w:val="21"/>
        </w:rPr>
        <w:t xml:space="preserve"> adds a vehicle and </w:t>
      </w:r>
      <w:r>
        <w:rPr>
          <w:rFonts w:eastAsia="Segoe UI" w:cs="Segoe UI" w:ascii="Segoe UI" w:hAnsi="Segoe UI"/>
          <w:b/>
          <w:color w:val="101820"/>
          <w:sz w:val="21"/>
        </w:rPr>
        <w:t>Delete</w:t>
      </w:r>
      <w:r>
        <w:rPr>
          <w:rFonts w:eastAsia="Segoe UI" w:cs="Segoe UI" w:ascii="Segoe UI" w:hAnsi="Segoe UI"/>
          <w:color w:val="101820"/>
          <w:sz w:val="21"/>
        </w:rPr>
        <w:t xml:space="preserve"> (on a vehicle row) removes one. Each change is an endorsement whose premium is the vehicle's annual premium pro-rata to the days left (setting </w:t>
      </w:r>
      <w:r>
        <w:rPr>
          <w:rFonts w:eastAsia="Segoe UI" w:cs="Segoe UI" w:ascii="Segoe UI" w:hAnsi="Segoe UI"/>
          <w:b/>
          <w:color w:val="101820"/>
          <w:sz w:val="21"/>
        </w:rPr>
        <w:t>fleet.pro_rata_basis</w:t>
      </w:r>
      <w:r>
        <w:rPr>
          <w:rFonts w:eastAsia="Segoe UI" w:cs="Segoe UI" w:ascii="Segoe UI" w:hAnsi="Segoe UI"/>
          <w:color w:val="101820"/>
          <w:sz w:val="21"/>
        </w:rPr>
        <w:t xml:space="preserve">); completing it bills the additional premium or credits the return premium (setting </w:t>
      </w:r>
      <w:r>
        <w:rPr>
          <w:rFonts w:eastAsia="Segoe UI" w:cs="Segoe UI" w:ascii="Segoe UI" w:hAnsi="Segoe UI"/>
          <w:b/>
          <w:color w:val="101820"/>
          <w:sz w:val="21"/>
        </w:rPr>
        <w:t>fleet.return_premium_on_delete</w:t>
      </w:r>
      <w:r>
        <w:rPr>
          <w:rFonts w:eastAsia="Segoe UI" w:cs="Segoe UI" w:ascii="Segoe UI" w:hAnsi="Segoe UI"/>
          <w:color w:val="101820"/>
          <w:sz w:val="21"/>
        </w:rPr>
        <w:t xml:space="preserve">). </w:t>
      </w:r>
      <w:r>
        <w:rPr>
          <w:rFonts w:eastAsia="Segoe UI" w:cs="Segoe UI" w:ascii="Segoe UI" w:hAnsi="Segoe UI"/>
          <w:b/>
          <w:color w:val="101820"/>
          <w:sz w:val="21"/>
        </w:rPr>
        <w:t>Schedule PDF</w:t>
      </w:r>
      <w:r>
        <w:rPr>
          <w:rFonts w:eastAsia="Segoe UI" w:cs="Segoe UI" w:ascii="Segoe UI" w:hAnsi="Segoe UI"/>
          <w:color w:val="101820"/>
          <w:sz w:val="21"/>
        </w:rPr>
        <w:t xml:space="preserve"> prints the schedule of vehicles on cover with each vehicle's premium and CTPL; </w:t>
      </w:r>
      <w:r>
        <w:rPr>
          <w:rFonts w:eastAsia="Segoe UI" w:cs="Segoe UI" w:ascii="Segoe UI" w:hAnsi="Segoe UI"/>
          <w:b/>
          <w:color w:val="101820"/>
          <w:sz w:val="21"/>
        </w:rPr>
        <w:t>Excel</w:t>
      </w:r>
      <w:r>
        <w:rPr>
          <w:rFonts w:eastAsia="Segoe UI" w:cs="Segoe UI" w:ascii="Segoe UI" w:hAnsi="Segoe UI"/>
          <w:color w:val="101820"/>
          <w:sz w:val="21"/>
        </w:rPr>
        <w:t xml:space="preserve"> exports it.</w:t>
      </w:r>
    </w:p>
    <w:p>
      <w:pPr>
        <w:pStyle w:val="Heading2"/>
        <w:rPr/>
      </w:pPr>
      <w:bookmarkStart w:id="177" w:name="__RefHeading___Toc24622_3350804041"/>
      <w:bookmarkEnd w:id="177"/>
      <w:r>
        <w:rPr>
          <w:rFonts w:eastAsia="Segoe UI" w:cs="Segoe UI"/>
          <w:b/>
          <w:color w:val="0F4761"/>
          <w:sz w:val="26"/>
        </w:rPr>
        <w:t>15.5  Marine Open Covers</w:t>
      </w:r>
    </w:p>
    <w:p>
      <w:pPr>
        <w:pStyle w:val="Normal"/>
        <w:jc w:val="center"/>
        <w:rPr/>
      </w:pPr>
      <w:r>
        <w:rPr/>
        <w:drawing>
          <wp:inline distT="0" distB="0" distL="0" distR="0">
            <wp:extent cx="5760085" cy="4469130"/>
            <wp:effectExtent l="0" t="0" r="0" b="0"/>
            <wp:docPr id="184" name="Picture 21212883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121288364" descr=""/>
                    <pic:cNvPicPr>
                      <a:picLocks noChangeAspect="1" noChangeArrowheads="1"/>
                    </pic:cNvPicPr>
                  </pic:nvPicPr>
                  <pic:blipFill>
                    <a:blip r:embed="rId1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Marine Open Covers</w:t>
      </w:r>
    </w:p>
    <w:p>
      <w:pPr>
        <w:pStyle w:val="Normal"/>
        <w:spacing w:lineRule="auto" w:line="276" w:before="0" w:after="120"/>
        <w:rPr/>
      </w:pPr>
      <w:r>
        <w:rPr>
          <w:rFonts w:eastAsia="Segoe UI" w:cs="Segoe UI" w:ascii="Segoe UI" w:hAnsi="Segoe UI"/>
          <w:color w:val="101820"/>
          <w:sz w:val="21"/>
        </w:rPr>
        <w:t>Choose Operations &gt; Marine Open Covers. An open cover insures a client's cargo shipments for a period: each shipment is certified or declared and the premium is billed per declaration period.</w:t>
      </w:r>
    </w:p>
    <w:p>
      <w:pPr>
        <w:pStyle w:val="Heading3"/>
        <w:rPr/>
      </w:pPr>
      <w:r>
        <w:rPr>
          <w:rFonts w:eastAsia="Segoe UI" w:cs="Segoe UI"/>
          <w:b/>
          <w:color w:val="0F4761"/>
          <w:sz w:val="23"/>
        </w:rPr>
        <w:t>15.5.1  Set up the open cover</w:t>
      </w:r>
    </w:p>
    <w:p>
      <w:pPr>
        <w:pStyle w:val="Normal"/>
        <w:numPr>
          <w:ilvl w:val="0"/>
          <w:numId w:val="5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open cover</w:t>
      </w:r>
      <w:r>
        <w:rPr>
          <w:rFonts w:eastAsia="Segoe UI" w:cs="Segoe UI" w:ascii="Segoe UI" w:hAnsi="Segoe UI"/>
          <w:color w:val="101820"/>
          <w:sz w:val="21"/>
        </w:rPr>
        <w:t xml:space="preserve">. Choose the </w:t>
      </w:r>
      <w:r>
        <w:rPr>
          <w:rFonts w:eastAsia="Segoe UI" w:cs="Segoe UI" w:ascii="Segoe UI" w:hAnsi="Segoe UI"/>
          <w:b/>
          <w:color w:val="101820"/>
          <w:sz w:val="21"/>
        </w:rPr>
        <w:t>Client</w:t>
      </w:r>
      <w:r>
        <w:rPr>
          <w:rFonts w:eastAsia="Segoe UI" w:cs="Segoe UI" w:ascii="Segoe UI" w:hAnsi="Segoe UI"/>
          <w:color w:val="101820"/>
          <w:sz w:val="21"/>
        </w:rPr>
        <w:t xml:space="preserve"> and </w:t>
      </w:r>
      <w:r>
        <w:rPr>
          <w:rFonts w:eastAsia="Segoe UI" w:cs="Segoe UI" w:ascii="Segoe UI" w:hAnsi="Segoe UI"/>
          <w:b/>
          <w:color w:val="101820"/>
          <w:sz w:val="21"/>
        </w:rPr>
        <w:t>Insurer</w:t>
      </w:r>
      <w:r>
        <w:rPr>
          <w:rFonts w:eastAsia="Segoe UI" w:cs="Segoe UI" w:ascii="Segoe UI" w:hAnsi="Segoe UI"/>
          <w:color w:val="101820"/>
          <w:sz w:val="21"/>
        </w:rPr>
        <w:t xml:space="preserve">, enter the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Goods insured</w:t>
      </w:r>
      <w:r>
        <w:rPr>
          <w:rFonts w:eastAsia="Segoe UI" w:cs="Segoe UI" w:ascii="Segoe UI" w:hAnsi="Segoe UI"/>
          <w:color w:val="101820"/>
          <w:sz w:val="21"/>
        </w:rPr>
        <w:t xml:space="preserve">, </w:t>
      </w:r>
      <w:r>
        <w:rPr>
          <w:rFonts w:eastAsia="Segoe UI" w:cs="Segoe UI" w:ascii="Segoe UI" w:hAnsi="Segoe UI"/>
          <w:b/>
          <w:color w:val="101820"/>
          <w:sz w:val="21"/>
        </w:rPr>
        <w:t>Voyages</w:t>
      </w:r>
      <w:r>
        <w:rPr>
          <w:rFonts w:eastAsia="Segoe UI" w:cs="Segoe UI" w:ascii="Segoe UI" w:hAnsi="Segoe UI"/>
          <w:color w:val="101820"/>
          <w:sz w:val="21"/>
        </w:rPr>
        <w:t xml:space="preserve"> and </w:t>
      </w:r>
      <w:r>
        <w:rPr>
          <w:rFonts w:eastAsia="Segoe UI" w:cs="Segoe UI" w:ascii="Segoe UI" w:hAnsi="Segoe UI"/>
          <w:b/>
          <w:color w:val="101820"/>
          <w:sz w:val="21"/>
        </w:rPr>
        <w:t>Clauses</w:t>
      </w:r>
      <w:r>
        <w:rPr>
          <w:rFonts w:eastAsia="Segoe UI" w:cs="Segoe UI" w:ascii="Segoe UI" w:hAnsi="Segoe UI"/>
          <w:color w:val="101820"/>
          <w:sz w:val="21"/>
        </w:rPr>
        <w:t>.</w:t>
      </w:r>
    </w:p>
    <w:p>
      <w:pPr>
        <w:pStyle w:val="Normal"/>
        <w:numPr>
          <w:ilvl w:val="0"/>
          <w:numId w:val="551"/>
        </w:numPr>
        <w:spacing w:before="0" w:after="60"/>
        <w:rPr/>
      </w:pPr>
      <w:r>
        <w:rPr>
          <w:rFonts w:eastAsia="Segoe UI" w:cs="Segoe UI" w:ascii="Segoe UI" w:hAnsi="Segoe UI"/>
          <w:color w:val="101820"/>
          <w:sz w:val="21"/>
        </w:rPr>
        <w:t xml:space="preserve">For each conveyance (Sea, Air, Land) covered, enter the </w:t>
      </w:r>
      <w:r>
        <w:rPr>
          <w:rFonts w:eastAsia="Segoe UI" w:cs="Segoe UI" w:ascii="Segoe UI" w:hAnsi="Segoe UI"/>
          <w:b/>
          <w:color w:val="101820"/>
          <w:sz w:val="21"/>
        </w:rPr>
        <w:t>Rate %</w:t>
      </w:r>
      <w:r>
        <w:rPr>
          <w:rFonts w:eastAsia="Segoe UI" w:cs="Segoe UI" w:ascii="Segoe UI" w:hAnsi="Segoe UI"/>
          <w:color w:val="101820"/>
          <w:sz w:val="21"/>
        </w:rPr>
        <w:t xml:space="preserve"> and the </w:t>
      </w:r>
      <w:r>
        <w:rPr>
          <w:rFonts w:eastAsia="Segoe UI" w:cs="Segoe UI" w:ascii="Segoe UI" w:hAnsi="Segoe UI"/>
          <w:b/>
          <w:color w:val="101820"/>
          <w:sz w:val="21"/>
        </w:rPr>
        <w:t>Limit any one conveyance</w:t>
      </w:r>
      <w:r>
        <w:rPr>
          <w:rFonts w:eastAsia="Segoe UI" w:cs="Segoe UI" w:ascii="Segoe UI" w:hAnsi="Segoe UI"/>
          <w:color w:val="101820"/>
          <w:sz w:val="21"/>
        </w:rPr>
        <w:t>.</w:t>
      </w:r>
    </w:p>
    <w:p>
      <w:pPr>
        <w:pStyle w:val="Normal"/>
        <w:numPr>
          <w:ilvl w:val="0"/>
          <w:numId w:val="552"/>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Mark-up on invoice %</w:t>
      </w:r>
      <w:r>
        <w:rPr>
          <w:rFonts w:eastAsia="Segoe UI" w:cs="Segoe UI" w:ascii="Segoe UI" w:hAnsi="Segoe UI"/>
          <w:color w:val="101820"/>
          <w:sz w:val="21"/>
        </w:rPr>
        <w:t xml:space="preserve"> (insured value = invoice value plus the mark-up; default in </w:t>
      </w:r>
      <w:r>
        <w:rPr>
          <w:rFonts w:eastAsia="Segoe UI" w:cs="Segoe UI" w:ascii="Segoe UI" w:hAnsi="Segoe UI"/>
          <w:b/>
          <w:color w:val="101820"/>
          <w:sz w:val="21"/>
        </w:rPr>
        <w:t>marine.default_markup_percent</w:t>
      </w:r>
      <w:r>
        <w:rPr>
          <w:rFonts w:eastAsia="Segoe UI" w:cs="Segoe UI" w:ascii="Segoe UI" w:hAnsi="Segoe UI"/>
          <w:color w:val="101820"/>
          <w:sz w:val="21"/>
        </w:rPr>
        <w:t xml:space="preserve">), the </w:t>
      </w:r>
      <w:r>
        <w:rPr>
          <w:rFonts w:eastAsia="Segoe UI" w:cs="Segoe UI" w:ascii="Segoe UI" w:hAnsi="Segoe UI"/>
          <w:b/>
          <w:color w:val="101820"/>
          <w:sz w:val="21"/>
        </w:rPr>
        <w:t>Minimum premium per certificate</w:t>
      </w:r>
      <w:r>
        <w:rPr>
          <w:rFonts w:eastAsia="Segoe UI" w:cs="Segoe UI" w:ascii="Segoe UI" w:hAnsi="Segoe UI"/>
          <w:color w:val="101820"/>
          <w:sz w:val="21"/>
        </w:rPr>
        <w:t xml:space="preserve"> and the declaration frequency (monthly or quarterly).</w:t>
      </w:r>
    </w:p>
    <w:p>
      <w:pPr>
        <w:pStyle w:val="Normal"/>
        <w:numPr>
          <w:ilvl w:val="0"/>
          <w:numId w:val="5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Activate</w:t>
      </w:r>
      <w:r>
        <w:rPr>
          <w:rFonts w:eastAsia="Segoe UI" w:cs="Segoe UI" w:ascii="Segoe UI" w:hAnsi="Segoe UI"/>
          <w:color w:val="101820"/>
          <w:sz w:val="21"/>
        </w:rPr>
        <w:t>. Activating issues the open policy without a bill; the premium is billed through the declarations.</w:t>
      </w:r>
    </w:p>
    <w:p>
      <w:pPr>
        <w:pStyle w:val="Heading3"/>
        <w:rPr/>
      </w:pPr>
      <w:r>
        <w:rPr>
          <w:rFonts w:eastAsia="Segoe UI" w:cs="Segoe UI"/>
          <w:b/>
          <w:color w:val="0F4761"/>
          <w:sz w:val="23"/>
        </w:rPr>
        <w:t>15.5.2  Certificates and shipments</w:t>
      </w:r>
    </w:p>
    <w:p>
      <w:pPr>
        <w:pStyle w:val="Normal"/>
        <w:numPr>
          <w:ilvl w:val="0"/>
          <w:numId w:val="554"/>
        </w:numPr>
        <w:spacing w:before="0" w:after="60"/>
        <w:rPr/>
      </w:pPr>
      <w:r>
        <w:rPr>
          <w:rFonts w:eastAsia="Segoe UI" w:cs="Segoe UI" w:ascii="Segoe UI" w:hAnsi="Segoe UI"/>
          <w:color w:val="101820"/>
          <w:sz w:val="21"/>
        </w:rPr>
        <w:t xml:space="preserve">On an active cover select </w:t>
      </w:r>
      <w:r>
        <w:rPr>
          <w:rFonts w:eastAsia="Segoe UI" w:cs="Segoe UI" w:ascii="Segoe UI" w:hAnsi="Segoe UI"/>
          <w:b/>
          <w:color w:val="101820"/>
          <w:sz w:val="21"/>
        </w:rPr>
        <w:t>Issue certificate</w:t>
      </w:r>
      <w:r>
        <w:rPr>
          <w:rFonts w:eastAsia="Segoe UI" w:cs="Segoe UI" w:ascii="Segoe UI" w:hAnsi="Segoe UI"/>
          <w:color w:val="101820"/>
          <w:sz w:val="21"/>
        </w:rPr>
        <w:t xml:space="preserve">. Enter the shipment date, the </w:t>
      </w:r>
      <w:r>
        <w:rPr>
          <w:rFonts w:eastAsia="Segoe UI" w:cs="Segoe UI" w:ascii="Segoe UI" w:hAnsi="Segoe UI"/>
          <w:b/>
          <w:color w:val="101820"/>
          <w:sz w:val="21"/>
        </w:rPr>
        <w:t>Conveyance</w:t>
      </w:r>
      <w:r>
        <w:rPr>
          <w:rFonts w:eastAsia="Segoe UI" w:cs="Segoe UI" w:ascii="Segoe UI" w:hAnsi="Segoe UI"/>
          <w:color w:val="101820"/>
          <w:sz w:val="21"/>
        </w:rPr>
        <w:t xml:space="preserve">, </w:t>
      </w:r>
      <w:r>
        <w:rPr>
          <w:rFonts w:eastAsia="Segoe UI" w:cs="Segoe UI" w:ascii="Segoe UI" w:hAnsi="Segoe UI"/>
          <w:b/>
          <w:color w:val="101820"/>
          <w:sz w:val="21"/>
        </w:rPr>
        <w:t>Vessel / flight</w:t>
      </w:r>
      <w:r>
        <w:rPr>
          <w:rFonts w:eastAsia="Segoe UI" w:cs="Segoe UI" w:ascii="Segoe UI" w:hAnsi="Segoe UI"/>
          <w:color w:val="101820"/>
          <w:sz w:val="21"/>
        </w:rPr>
        <w:t xml:space="preserve">, voyage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Bill of lading / airway bill</w:t>
      </w:r>
      <w:r>
        <w:rPr>
          <w:rFonts w:eastAsia="Segoe UI" w:cs="Segoe UI" w:ascii="Segoe UI" w:hAnsi="Segoe UI"/>
          <w:color w:val="101820"/>
          <w:sz w:val="21"/>
        </w:rPr>
        <w:t xml:space="preserve">, consignee, packing, goods and the </w:t>
      </w:r>
      <w:r>
        <w:rPr>
          <w:rFonts w:eastAsia="Segoe UI" w:cs="Segoe UI" w:ascii="Segoe UI" w:hAnsi="Segoe UI"/>
          <w:b/>
          <w:color w:val="101820"/>
          <w:sz w:val="21"/>
        </w:rPr>
        <w:t>Invoice value</w:t>
      </w:r>
      <w:r>
        <w:rPr>
          <w:rFonts w:eastAsia="Segoe UI" w:cs="Segoe UI" w:ascii="Segoe UI" w:hAnsi="Segoe UI"/>
          <w:color w:val="101820"/>
          <w:sz w:val="21"/>
        </w:rPr>
        <w:t>.</w:t>
      </w:r>
    </w:p>
    <w:p>
      <w:pPr>
        <w:pStyle w:val="Normal"/>
        <w:numPr>
          <w:ilvl w:val="0"/>
          <w:numId w:val="555"/>
        </w:numPr>
        <w:spacing w:before="0" w:after="60"/>
        <w:rPr/>
      </w:pPr>
      <w:r>
        <w:rPr>
          <w:rFonts w:eastAsia="Segoe UI" w:cs="Segoe UI" w:ascii="Segoe UI" w:hAnsi="Segoe UI"/>
          <w:color w:val="101820"/>
          <w:sz w:val="21"/>
        </w:rPr>
        <w:t xml:space="preserve">The system computes the </w:t>
      </w:r>
      <w:r>
        <w:rPr>
          <w:rFonts w:eastAsia="Segoe UI" w:cs="Segoe UI" w:ascii="Segoe UI" w:hAnsi="Segoe UI"/>
          <w:b/>
          <w:color w:val="101820"/>
          <w:sz w:val="21"/>
        </w:rPr>
        <w:t>Insured value</w:t>
      </w:r>
      <w:r>
        <w:rPr>
          <w:rFonts w:eastAsia="Segoe UI" w:cs="Segoe UI" w:ascii="Segoe UI" w:hAnsi="Segoe UI"/>
          <w:color w:val="101820"/>
          <w:sz w:val="21"/>
        </w:rPr>
        <w:t xml:space="preserve"> and the premium (at least the minimum premium) and refuses a shipment over the limit of its conveyance or outside the period.</w:t>
      </w:r>
    </w:p>
    <w:p>
      <w:pPr>
        <w:pStyle w:val="Normal"/>
        <w:numPr>
          <w:ilvl w:val="0"/>
          <w:numId w:val="556"/>
        </w:numPr>
        <w:spacing w:before="0" w:after="60"/>
        <w:rPr/>
      </w:pPr>
      <w:r>
        <w:rPr>
          <w:rFonts w:eastAsia="Segoe UI" w:cs="Segoe UI" w:ascii="Segoe UI" w:hAnsi="Segoe UI"/>
          <w:b/>
          <w:color w:val="101820"/>
          <w:sz w:val="21"/>
        </w:rPr>
        <w:t>Print</w:t>
      </w:r>
      <w:r>
        <w:rPr>
          <w:rFonts w:eastAsia="Segoe UI" w:cs="Segoe UI" w:ascii="Segoe UI" w:hAnsi="Segoe UI"/>
          <w:color w:val="101820"/>
          <w:sz w:val="21"/>
        </w:rPr>
        <w:t xml:space="preserve"> produces the certificate of insurance (wording in </w:t>
      </w:r>
      <w:r>
        <w:rPr>
          <w:rFonts w:eastAsia="Segoe UI" w:cs="Segoe UI" w:ascii="Segoe UI" w:hAnsi="Segoe UI"/>
          <w:b/>
          <w:color w:val="101820"/>
          <w:sz w:val="21"/>
        </w:rPr>
        <w:t>marine.certificate_wording</w:t>
      </w:r>
      <w:r>
        <w:rPr>
          <w:rFonts w:eastAsia="Segoe UI" w:cs="Segoe UI" w:ascii="Segoe UI" w:hAnsi="Segoe UI"/>
          <w:color w:val="101820"/>
          <w:sz w:val="21"/>
        </w:rPr>
        <w:t xml:space="preserve">). </w:t>
      </w:r>
      <w:r>
        <w:rPr>
          <w:rFonts w:eastAsia="Segoe UI" w:cs="Segoe UI" w:ascii="Segoe UI" w:hAnsi="Segoe UI"/>
          <w:b/>
          <w:color w:val="101820"/>
          <w:sz w:val="21"/>
        </w:rPr>
        <w:t>Cancel certificate</w:t>
      </w:r>
      <w:r>
        <w:rPr>
          <w:rFonts w:eastAsia="Segoe UI" w:cs="Segoe UI" w:ascii="Segoe UI" w:hAnsi="Segoe UI"/>
          <w:color w:val="101820"/>
          <w:sz w:val="21"/>
        </w:rPr>
        <w:t xml:space="preserve"> cancels a certificate issued in error.</w:t>
      </w:r>
    </w:p>
    <w:p>
      <w:pPr>
        <w:pStyle w:val="Normal"/>
        <w:spacing w:lineRule="auto" w:line="276" w:before="0" w:after="120"/>
        <w:rPr/>
      </w:pPr>
      <w:r>
        <w:rPr>
          <w:rFonts w:eastAsia="Segoe UI" w:cs="Segoe UI" w:ascii="Segoe UI" w:hAnsi="Segoe UI"/>
          <w:b/>
          <w:color w:val="101820"/>
          <w:sz w:val="21"/>
        </w:rPr>
        <w:t>Shipment without certificate</w:t>
      </w:r>
      <w:r>
        <w:rPr>
          <w:rFonts w:eastAsia="Segoe UI" w:cs="Segoe UI" w:ascii="Segoe UI" w:hAnsi="Segoe UI"/>
          <w:color w:val="101820"/>
          <w:sz w:val="21"/>
        </w:rPr>
        <w:t xml:space="preserve"> records a shipment the client declares without a certificate having been issued.</w:t>
      </w:r>
    </w:p>
    <w:p>
      <w:pPr>
        <w:pStyle w:val="Heading3"/>
        <w:rPr/>
      </w:pPr>
      <w:r>
        <w:rPr>
          <w:rFonts w:eastAsia="Segoe UI" w:cs="Segoe UI"/>
          <w:b/>
          <w:color w:val="0F4761"/>
          <w:sz w:val="23"/>
        </w:rPr>
        <w:t>15.5.3  Declarations, billing and remittance</w:t>
      </w:r>
    </w:p>
    <w:p>
      <w:pPr>
        <w:pStyle w:val="Normal"/>
        <w:numPr>
          <w:ilvl w:val="0"/>
          <w:numId w:val="557"/>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Declarations</w:t>
      </w:r>
      <w:r>
        <w:rPr>
          <w:rFonts w:eastAsia="Segoe UI" w:cs="Segoe UI" w:ascii="Segoe UI" w:hAnsi="Segoe UI"/>
          <w:color w:val="101820"/>
          <w:sz w:val="21"/>
        </w:rPr>
        <w:t xml:space="preserve"> and select </w:t>
      </w:r>
      <w:r>
        <w:rPr>
          <w:rFonts w:eastAsia="Segoe UI" w:cs="Segoe UI" w:ascii="Segoe UI" w:hAnsi="Segoe UI"/>
          <w:b/>
          <w:color w:val="101820"/>
          <w:sz w:val="21"/>
        </w:rPr>
        <w:t>New declaration</w:t>
      </w:r>
      <w:r>
        <w:rPr>
          <w:rFonts w:eastAsia="Segoe UI" w:cs="Segoe UI" w:ascii="Segoe UI" w:hAnsi="Segoe UI"/>
          <w:color w:val="101820"/>
          <w:sz w:val="21"/>
        </w:rPr>
        <w:t xml:space="preserve"> for the period. The certificates and declared shipments of the period are gathered with their premium and the premium taxes of the marine line. A period with no shipment is a nil declaration.</w:t>
      </w:r>
    </w:p>
    <w:p>
      <w:pPr>
        <w:pStyle w:val="Normal"/>
        <w:numPr>
          <w:ilvl w:val="0"/>
          <w:numId w:val="558"/>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the declaration, then </w:t>
      </w:r>
      <w:r>
        <w:rPr>
          <w:rFonts w:eastAsia="Segoe UI" w:cs="Segoe UI" w:ascii="Segoe UI" w:hAnsi="Segoe UI"/>
          <w:b/>
          <w:color w:val="101820"/>
          <w:sz w:val="21"/>
        </w:rPr>
        <w:t>Bill</w:t>
      </w:r>
      <w:r>
        <w:rPr>
          <w:rFonts w:eastAsia="Segoe UI" w:cs="Segoe UI" w:ascii="Segoe UI" w:hAnsi="Segoe UI"/>
          <w:color w:val="101820"/>
          <w:sz w:val="21"/>
        </w:rPr>
        <w:t xml:space="preserve"> it. Billing raises the bill on the open policy (premium receivable, booking journal, collection item and commission). Collection, the official receipt and the remittance to the insurer follow as for any bill.</w:t>
      </w:r>
    </w:p>
    <w:p>
      <w:pPr>
        <w:pStyle w:val="Normal"/>
        <w:spacing w:lineRule="auto" w:line="276" w:before="0" w:after="120"/>
        <w:rPr/>
      </w:pPr>
      <w:r>
        <w:rPr>
          <w:rFonts w:eastAsia="Segoe UI" w:cs="Segoe UI" w:ascii="Segoe UI" w:hAnsi="Segoe UI"/>
          <w:color w:val="101820"/>
          <w:sz w:val="21"/>
        </w:rPr>
        <w:t xml:space="preserve">Declarations are due </w:t>
      </w:r>
      <w:r>
        <w:rPr>
          <w:rFonts w:eastAsia="Segoe UI" w:cs="Segoe UI" w:ascii="Segoe UI" w:hAnsi="Segoe UI"/>
          <w:b/>
          <w:color w:val="101820"/>
          <w:sz w:val="21"/>
        </w:rPr>
        <w:t>marine.declaration_due_days</w:t>
      </w:r>
      <w:r>
        <w:rPr>
          <w:rFonts w:eastAsia="Segoe UI" w:cs="Segoe UI" w:ascii="Segoe UI" w:hAnsi="Segoe UI"/>
          <w:color w:val="101820"/>
          <w:sz w:val="21"/>
        </w:rPr>
        <w:t xml:space="preserve"> days after the period ends.</w:t>
      </w:r>
    </w:p>
    <w:p>
      <w:pPr>
        <w:pStyle w:val="Heading2"/>
        <w:rPr/>
      </w:pPr>
      <w:bookmarkStart w:id="178" w:name="__RefHeading___Toc24624_3350804041"/>
      <w:bookmarkEnd w:id="178"/>
      <w:r>
        <w:rPr>
          <w:rFonts w:eastAsia="Segoe UI" w:cs="Segoe UI"/>
          <w:b/>
          <w:color w:val="0F4761"/>
          <w:sz w:val="26"/>
        </w:rPr>
        <w:t>15.6  Facultative Placements</w:t>
      </w:r>
    </w:p>
    <w:p>
      <w:pPr>
        <w:pStyle w:val="Normal"/>
        <w:jc w:val="center"/>
        <w:rPr/>
      </w:pPr>
      <w:r>
        <w:rPr/>
        <w:drawing>
          <wp:inline distT="0" distB="0" distL="0" distR="0">
            <wp:extent cx="5760085" cy="4469130"/>
            <wp:effectExtent l="0" t="0" r="0" b="0"/>
            <wp:docPr id="185" name="Picture 21212883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2121288365" descr=""/>
                    <pic:cNvPicPr>
                      <a:picLocks noChangeAspect="1" noChangeArrowheads="1"/>
                    </pic:cNvPicPr>
                  </pic:nvPicPr>
                  <pic:blipFill>
                    <a:blip r:embed="rId1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Facultative Placements</w:t>
      </w:r>
    </w:p>
    <w:p>
      <w:pPr>
        <w:pStyle w:val="Normal"/>
        <w:spacing w:lineRule="auto" w:line="276" w:before="0" w:after="120"/>
        <w:rPr/>
      </w:pPr>
      <w:r>
        <w:rPr>
          <w:rFonts w:eastAsia="Segoe UI" w:cs="Segoe UI" w:ascii="Segoe UI" w:hAnsi="Segoe UI"/>
          <w:color w:val="101820"/>
          <w:sz w:val="21"/>
        </w:rPr>
        <w:t>Choose Reinsurance &gt; Facultative Placements. Here the broker acts as reinsurance broker: an insurer (the cedant) offers part of a risk to the facultative market.</w:t>
      </w:r>
    </w:p>
    <w:p>
      <w:pPr>
        <w:pStyle w:val="Normal"/>
        <w:numPr>
          <w:ilvl w:val="0"/>
          <w:numId w:val="5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slip</w:t>
      </w:r>
      <w:r>
        <w:rPr>
          <w:rFonts w:eastAsia="Segoe UI" w:cs="Segoe UI" w:ascii="Segoe UI" w:hAnsi="Segoe UI"/>
          <w:color w:val="101820"/>
          <w:sz w:val="21"/>
        </w:rPr>
        <w:t xml:space="preserve">. Choose the </w:t>
      </w:r>
      <w:r>
        <w:rPr>
          <w:rFonts w:eastAsia="Segoe UI" w:cs="Segoe UI" w:ascii="Segoe UI" w:hAnsi="Segoe UI"/>
          <w:b/>
          <w:color w:val="101820"/>
          <w:sz w:val="21"/>
        </w:rPr>
        <w:t>Cedant</w:t>
      </w:r>
      <w:r>
        <w:rPr>
          <w:rFonts w:eastAsia="Segoe UI" w:cs="Segoe UI" w:ascii="Segoe UI" w:hAnsi="Segoe UI"/>
          <w:color w:val="101820"/>
          <w:sz w:val="21"/>
        </w:rPr>
        <w:t xml:space="preserve">, enter the </w:t>
      </w:r>
      <w:r>
        <w:rPr>
          <w:rFonts w:eastAsia="Segoe UI" w:cs="Segoe UI" w:ascii="Segoe UI" w:hAnsi="Segoe UI"/>
          <w:b/>
          <w:color w:val="101820"/>
          <w:sz w:val="21"/>
        </w:rPr>
        <w:t>Original insured</w:t>
      </w:r>
      <w:r>
        <w:rPr>
          <w:rFonts w:eastAsia="Segoe UI" w:cs="Segoe UI" w:ascii="Segoe UI" w:hAnsi="Segoe UI"/>
          <w:color w:val="101820"/>
          <w:sz w:val="21"/>
        </w:rPr>
        <w:t xml:space="preserve">, </w:t>
      </w:r>
      <w:r>
        <w:rPr>
          <w:rFonts w:eastAsia="Segoe UI" w:cs="Segoe UI" w:ascii="Segoe UI" w:hAnsi="Segoe UI"/>
          <w:b/>
          <w:color w:val="101820"/>
          <w:sz w:val="21"/>
        </w:rPr>
        <w:t>Original policy number</w:t>
      </w:r>
      <w:r>
        <w:rPr>
          <w:rFonts w:eastAsia="Segoe UI" w:cs="Segoe UI" w:ascii="Segoe UI" w:hAnsi="Segoe UI"/>
          <w:color w:val="101820"/>
          <w:sz w:val="21"/>
        </w:rPr>
        <w:t xml:space="preserve">, </w:t>
      </w:r>
      <w:r>
        <w:rPr>
          <w:rFonts w:eastAsia="Segoe UI" w:cs="Segoe UI" w:ascii="Segoe UI" w:hAnsi="Segoe UI"/>
          <w:b/>
          <w:color w:val="101820"/>
          <w:sz w:val="21"/>
        </w:rPr>
        <w:t>Class</w:t>
      </w:r>
      <w:r>
        <w:rPr>
          <w:rFonts w:eastAsia="Segoe UI" w:cs="Segoe UI" w:ascii="Segoe UI" w:hAnsi="Segoe UI"/>
          <w:color w:val="101820"/>
          <w:sz w:val="21"/>
        </w:rPr>
        <w:t xml:space="preserve">, </w:t>
      </w:r>
      <w:r>
        <w:rPr>
          <w:rFonts w:eastAsia="Segoe UI" w:cs="Segoe UI" w:ascii="Segoe UI" w:hAnsi="Segoe UI"/>
          <w:b/>
          <w:color w:val="101820"/>
          <w:sz w:val="21"/>
        </w:rPr>
        <w:t>Risk</w:t>
      </w:r>
      <w:r>
        <w:rPr>
          <w:rFonts w:eastAsia="Segoe UI" w:cs="Segoe UI" w:ascii="Segoe UI" w:hAnsi="Segoe UI"/>
          <w:color w:val="101820"/>
          <w:sz w:val="21"/>
        </w:rPr>
        <w:t xml:space="preserve">, </w:t>
      </w:r>
      <w:r>
        <w:rPr>
          <w:rFonts w:eastAsia="Segoe UI" w:cs="Segoe UI" w:ascii="Segoe UI" w:hAnsi="Segoe UI"/>
          <w:b/>
          <w:color w:val="101820"/>
          <w:sz w:val="21"/>
        </w:rPr>
        <w:t>Location</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w:t>
      </w:r>
      <w:r>
        <w:rPr>
          <w:rFonts w:eastAsia="Segoe UI" w:cs="Segoe UI" w:ascii="Segoe UI" w:hAnsi="Segoe UI"/>
          <w:b/>
          <w:color w:val="101820"/>
          <w:sz w:val="21"/>
        </w:rPr>
        <w:t>Currency</w:t>
      </w:r>
      <w:r>
        <w:rPr>
          <w:rFonts w:eastAsia="Segoe UI" w:cs="Segoe UI" w:ascii="Segoe UI" w:hAnsi="Segoe UI"/>
          <w:color w:val="101820"/>
          <w:sz w:val="21"/>
        </w:rPr>
        <w:t xml:space="preserve">, </w:t>
      </w:r>
      <w:r>
        <w:rPr>
          <w:rFonts w:eastAsia="Segoe UI" w:cs="Segoe UI" w:ascii="Segoe UI" w:hAnsi="Segoe UI"/>
          <w:b/>
          <w:color w:val="101820"/>
          <w:sz w:val="21"/>
        </w:rPr>
        <w:t>Sum insured (100%)</w:t>
      </w:r>
      <w:r>
        <w:rPr>
          <w:rFonts w:eastAsia="Segoe UI" w:cs="Segoe UI" w:ascii="Segoe UI" w:hAnsi="Segoe UI"/>
          <w:color w:val="101820"/>
          <w:sz w:val="21"/>
        </w:rPr>
        <w:t xml:space="preserve">, </w:t>
      </w:r>
      <w:r>
        <w:rPr>
          <w:rFonts w:eastAsia="Segoe UI" w:cs="Segoe UI" w:ascii="Segoe UI" w:hAnsi="Segoe UI"/>
          <w:b/>
          <w:color w:val="101820"/>
          <w:sz w:val="21"/>
        </w:rPr>
        <w:t>Premium (100%)</w:t>
      </w:r>
      <w:r>
        <w:rPr>
          <w:rFonts w:eastAsia="Segoe UI" w:cs="Segoe UI" w:ascii="Segoe UI" w:hAnsi="Segoe UI"/>
          <w:color w:val="101820"/>
          <w:sz w:val="21"/>
        </w:rPr>
        <w:t xml:space="preserve"> and the </w:t>
      </w:r>
      <w:r>
        <w:rPr>
          <w:rFonts w:eastAsia="Segoe UI" w:cs="Segoe UI" w:ascii="Segoe UI" w:hAnsi="Segoe UI"/>
          <w:b/>
          <w:color w:val="101820"/>
          <w:sz w:val="21"/>
        </w:rPr>
        <w:t>Share offered</w:t>
      </w:r>
      <w:r>
        <w:rPr>
          <w:rFonts w:eastAsia="Segoe UI" w:cs="Segoe UI" w:ascii="Segoe UI" w:hAnsi="Segoe UI"/>
          <w:color w:val="101820"/>
          <w:sz w:val="21"/>
        </w:rPr>
        <w:t>.</w:t>
      </w:r>
    </w:p>
    <w:p>
      <w:pPr>
        <w:pStyle w:val="Normal"/>
        <w:numPr>
          <w:ilvl w:val="0"/>
          <w:numId w:val="560"/>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Reinsurance commission %</w:t>
      </w:r>
      <w:r>
        <w:rPr>
          <w:rFonts w:eastAsia="Segoe UI" w:cs="Segoe UI" w:ascii="Segoe UI" w:hAnsi="Segoe UI"/>
          <w:color w:val="101820"/>
          <w:sz w:val="21"/>
        </w:rPr>
        <w:t xml:space="preserve"> allowed to the cedant and the </w:t>
      </w:r>
      <w:r>
        <w:rPr>
          <w:rFonts w:eastAsia="Segoe UI" w:cs="Segoe UI" w:ascii="Segoe UI" w:hAnsi="Segoe UI"/>
          <w:b/>
          <w:color w:val="101820"/>
          <w:sz w:val="21"/>
        </w:rPr>
        <w:t>Brokerage %</w:t>
      </w:r>
      <w:r>
        <w:rPr>
          <w:rFonts w:eastAsia="Segoe UI" w:cs="Segoe UI" w:ascii="Segoe UI" w:hAnsi="Segoe UI"/>
          <w:color w:val="101820"/>
          <w:sz w:val="21"/>
        </w:rPr>
        <w:t xml:space="preserve"> (defaults in </w:t>
      </w:r>
      <w:r>
        <w:rPr>
          <w:rFonts w:eastAsia="Segoe UI" w:cs="Segoe UI" w:ascii="Segoe UI" w:hAnsi="Segoe UI"/>
          <w:b/>
          <w:color w:val="101820"/>
          <w:sz w:val="21"/>
        </w:rPr>
        <w:t>reinsurance.fac_default_ceding_commission_pct</w:t>
      </w:r>
      <w:r>
        <w:rPr>
          <w:rFonts w:eastAsia="Segoe UI" w:cs="Segoe UI" w:ascii="Segoe UI" w:hAnsi="Segoe UI"/>
          <w:color w:val="101820"/>
          <w:sz w:val="21"/>
        </w:rPr>
        <w:t xml:space="preserve"> and </w:t>
      </w:r>
      <w:r>
        <w:rPr>
          <w:rFonts w:eastAsia="Segoe UI" w:cs="Segoe UI" w:ascii="Segoe UI" w:hAnsi="Segoe UI"/>
          <w:b/>
          <w:color w:val="101820"/>
          <w:sz w:val="21"/>
        </w:rPr>
        <w:t>reinsurance.fac_default_brokerage_pct</w:t>
      </w:r>
      <w:r>
        <w:rPr>
          <w:rFonts w:eastAsia="Segoe UI" w:cs="Segoe UI" w:ascii="Segoe UI" w:hAnsi="Segoe UI"/>
          <w:color w:val="101820"/>
          <w:sz w:val="21"/>
        </w:rPr>
        <w:t xml:space="preserve">), the </w:t>
      </w:r>
      <w:r>
        <w:rPr>
          <w:rFonts w:eastAsia="Segoe UI" w:cs="Segoe UI" w:ascii="Segoe UI" w:hAnsi="Segoe UI"/>
          <w:b/>
          <w:color w:val="101820"/>
          <w:sz w:val="21"/>
        </w:rPr>
        <w:t>Deductibles</w:t>
      </w:r>
      <w:r>
        <w:rPr>
          <w:rFonts w:eastAsia="Segoe UI" w:cs="Segoe UI" w:ascii="Segoe UI" w:hAnsi="Segoe UI"/>
          <w:color w:val="101820"/>
          <w:sz w:val="21"/>
        </w:rPr>
        <w:t xml:space="preserve"> and </w:t>
      </w:r>
      <w:r>
        <w:rPr>
          <w:rFonts w:eastAsia="Segoe UI" w:cs="Segoe UI" w:ascii="Segoe UI" w:hAnsi="Segoe UI"/>
          <w:b/>
          <w:color w:val="101820"/>
          <w:sz w:val="21"/>
        </w:rPr>
        <w:t>Conditions</w:t>
      </w:r>
      <w:r>
        <w:rPr>
          <w:rFonts w:eastAsia="Segoe UI" w:cs="Segoe UI" w:ascii="Segoe UI" w:hAnsi="Segoe UI"/>
          <w:color w:val="101820"/>
          <w:sz w:val="21"/>
        </w:rPr>
        <w:t xml:space="preserve">.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numPr>
          <w:ilvl w:val="0"/>
          <w:numId w:val="561"/>
        </w:numPr>
        <w:spacing w:before="0" w:after="60"/>
        <w:rPr/>
      </w:pPr>
      <w:r>
        <w:rPr>
          <w:rFonts w:eastAsia="Segoe UI" w:cs="Segoe UI" w:ascii="Segoe UI" w:hAnsi="Segoe UI"/>
          <w:b/>
          <w:color w:val="101820"/>
          <w:sz w:val="21"/>
        </w:rPr>
        <w:t>Add reinsurer</w:t>
      </w:r>
      <w:r>
        <w:rPr>
          <w:rFonts w:eastAsia="Segoe UI" w:cs="Segoe UI" w:ascii="Segoe UI" w:hAnsi="Segoe UI"/>
          <w:color w:val="101820"/>
          <w:sz w:val="21"/>
        </w:rPr>
        <w:t xml:space="preserve"> for each reinsurer approached. Only reinsurers that meet the security rating set on the Reinsurers master can be added.</w:t>
      </w:r>
    </w:p>
    <w:p>
      <w:pPr>
        <w:pStyle w:val="Normal"/>
        <w:numPr>
          <w:ilvl w:val="0"/>
          <w:numId w:val="562"/>
        </w:numPr>
        <w:spacing w:before="0" w:after="60"/>
        <w:rPr/>
      </w:pPr>
      <w:r>
        <w:rPr>
          <w:rFonts w:eastAsia="Segoe UI" w:cs="Segoe UI" w:ascii="Segoe UI" w:hAnsi="Segoe UI"/>
          <w:b/>
          <w:color w:val="101820"/>
          <w:sz w:val="21"/>
        </w:rPr>
        <w:t>Send to market</w:t>
      </w:r>
      <w:r>
        <w:rPr>
          <w:rFonts w:eastAsia="Segoe UI" w:cs="Segoe UI" w:ascii="Segoe UI" w:hAnsi="Segoe UI"/>
          <w:color w:val="101820"/>
          <w:sz w:val="21"/>
        </w:rPr>
        <w:t xml:space="preserve"> marks the slip in market and can e-mail the </w:t>
      </w:r>
      <w:r>
        <w:rPr>
          <w:rFonts w:eastAsia="Segoe UI" w:cs="Segoe UI" w:ascii="Segoe UI" w:hAnsi="Segoe UI"/>
          <w:b/>
          <w:color w:val="101820"/>
          <w:sz w:val="21"/>
        </w:rPr>
        <w:t>Slip</w:t>
      </w:r>
      <w:r>
        <w:rPr>
          <w:rFonts w:eastAsia="Segoe UI" w:cs="Segoe UI" w:ascii="Segoe UI" w:hAnsi="Segoe UI"/>
          <w:color w:val="101820"/>
          <w:sz w:val="21"/>
        </w:rPr>
        <w:t xml:space="preserve"> PDF to each reinsurer.</w:t>
      </w:r>
    </w:p>
    <w:p>
      <w:pPr>
        <w:pStyle w:val="Normal"/>
        <w:numPr>
          <w:ilvl w:val="0"/>
          <w:numId w:val="563"/>
        </w:numPr>
        <w:spacing w:before="0" w:after="60"/>
        <w:rPr/>
      </w:pPr>
      <w:r>
        <w:rPr>
          <w:rFonts w:eastAsia="Segoe UI" w:cs="Segoe UI" w:ascii="Segoe UI" w:hAnsi="Segoe UI"/>
          <w:color w:val="101820"/>
          <w:sz w:val="21"/>
        </w:rPr>
        <w:t xml:space="preserve">Record each reinsurer's answer: accepted with its </w:t>
      </w:r>
      <w:r>
        <w:rPr>
          <w:rFonts w:eastAsia="Segoe UI" w:cs="Segoe UI" w:ascii="Segoe UI" w:hAnsi="Segoe UI"/>
          <w:b/>
          <w:color w:val="101820"/>
          <w:sz w:val="21"/>
        </w:rPr>
        <w:t>Line % of share</w:t>
      </w:r>
      <w:r>
        <w:rPr>
          <w:rFonts w:eastAsia="Segoe UI" w:cs="Segoe UI" w:ascii="Segoe UI" w:hAnsi="Segoe UI"/>
          <w:color w:val="101820"/>
          <w:sz w:val="21"/>
        </w:rPr>
        <w:t xml:space="preserve"> and </w:t>
      </w:r>
      <w:r>
        <w:rPr>
          <w:rFonts w:eastAsia="Segoe UI" w:cs="Segoe UI" w:ascii="Segoe UI" w:hAnsi="Segoe UI"/>
          <w:b/>
          <w:color w:val="101820"/>
          <w:sz w:val="21"/>
        </w:rPr>
        <w:t>Reference</w:t>
      </w:r>
      <w:r>
        <w:rPr>
          <w:rFonts w:eastAsia="Segoe UI" w:cs="Segoe UI" w:ascii="Segoe UI" w:hAnsi="Segoe UI"/>
          <w:color w:val="101820"/>
          <w:sz w:val="21"/>
        </w:rPr>
        <w:t xml:space="preserve">, or declined. When the accepted lines reach 100% of the share offered the slip is </w:t>
      </w:r>
      <w:r>
        <w:rPr>
          <w:rFonts w:eastAsia="Segoe UI" w:cs="Segoe UI" w:ascii="Segoe UI" w:hAnsi="Segoe UI"/>
          <w:b/>
          <w:color w:val="101820"/>
          <w:sz w:val="21"/>
        </w:rPr>
        <w:t>Placed</w:t>
      </w:r>
      <w:r>
        <w:rPr>
          <w:rFonts w:eastAsia="Segoe UI" w:cs="Segoe UI" w:ascii="Segoe UI" w:hAnsi="Segoe UI"/>
          <w:color w:val="101820"/>
          <w:sz w:val="21"/>
        </w:rPr>
        <w:t>.</w:t>
      </w:r>
    </w:p>
    <w:p>
      <w:pPr>
        <w:pStyle w:val="Normal"/>
        <w:numPr>
          <w:ilvl w:val="0"/>
          <w:numId w:val="564"/>
        </w:numPr>
        <w:spacing w:before="0" w:after="60"/>
        <w:rPr/>
      </w:pPr>
      <w:r>
        <w:rPr>
          <w:rFonts w:eastAsia="Segoe UI" w:cs="Segoe UI" w:ascii="Segoe UI" w:hAnsi="Segoe UI"/>
          <w:b/>
          <w:color w:val="101820"/>
          <w:sz w:val="21"/>
        </w:rPr>
        <w:t>Bind</w:t>
      </w:r>
      <w:r>
        <w:rPr>
          <w:rFonts w:eastAsia="Segoe UI" w:cs="Segoe UI" w:ascii="Segoe UI" w:hAnsi="Segoe UI"/>
          <w:color w:val="101820"/>
          <w:sz w:val="21"/>
        </w:rPr>
        <w:t xml:space="preserve"> the slip. Binding posts the journal (posting rule ri.facultative.bind): the premium due from the cedant net of its reinsurance commission, the net premium due to each reinsurer, and the brokerage income.</w:t>
      </w:r>
    </w:p>
    <w:p>
      <w:pPr>
        <w:pStyle w:val="Normal"/>
        <w:spacing w:lineRule="auto" w:line="276" w:before="0" w:after="120"/>
        <w:rPr/>
      </w:pPr>
      <w:r>
        <w:rPr>
          <w:rFonts w:eastAsia="Segoe UI" w:cs="Segoe UI" w:ascii="Segoe UI" w:hAnsi="Segoe UI"/>
          <w:b/>
          <w:color w:val="101820"/>
          <w:sz w:val="21"/>
        </w:rPr>
        <w:t>Cover note</w:t>
      </w:r>
      <w:r>
        <w:rPr>
          <w:rFonts w:eastAsia="Segoe UI" w:cs="Segoe UI" w:ascii="Segoe UI" w:hAnsi="Segoe UI"/>
          <w:color w:val="101820"/>
          <w:sz w:val="21"/>
        </w:rPr>
        <w:t xml:space="preserve"> (to the cedant), </w:t>
      </w:r>
      <w:r>
        <w:rPr>
          <w:rFonts w:eastAsia="Segoe UI" w:cs="Segoe UI" w:ascii="Segoe UI" w:hAnsi="Segoe UI"/>
          <w:b/>
          <w:color w:val="101820"/>
          <w:sz w:val="21"/>
        </w:rPr>
        <w:t>Debit note</w:t>
      </w:r>
      <w:r>
        <w:rPr>
          <w:rFonts w:eastAsia="Segoe UI" w:cs="Segoe UI" w:ascii="Segoe UI" w:hAnsi="Segoe UI"/>
          <w:color w:val="101820"/>
          <w:sz w:val="21"/>
        </w:rPr>
        <w:t xml:space="preserve"> (the premium due from the cedant) and </w:t>
      </w:r>
      <w:r>
        <w:rPr>
          <w:rFonts w:eastAsia="Segoe UI" w:cs="Segoe UI" w:ascii="Segoe UI" w:hAnsi="Segoe UI"/>
          <w:b/>
          <w:color w:val="101820"/>
          <w:sz w:val="21"/>
        </w:rPr>
        <w:t>Credit note</w:t>
      </w:r>
      <w:r>
        <w:rPr>
          <w:rFonts w:eastAsia="Segoe UI" w:cs="Segoe UI" w:ascii="Segoe UI" w:hAnsi="Segoe UI"/>
          <w:color w:val="101820"/>
          <w:sz w:val="21"/>
        </w:rPr>
        <w:t xml:space="preserve"> (per reinsurer, its net premium) print once the slip is bound. </w:t>
      </w:r>
      <w:r>
        <w:rPr>
          <w:rFonts w:eastAsia="Segoe UI" w:cs="Segoe UI" w:ascii="Segoe UI" w:hAnsi="Segoe UI"/>
          <w:b/>
          <w:color w:val="101820"/>
          <w:sz w:val="21"/>
        </w:rPr>
        <w:t>Record premium received</w:t>
      </w:r>
      <w:r>
        <w:rPr>
          <w:rFonts w:eastAsia="Segoe UI" w:cs="Segoe UI" w:ascii="Segoe UI" w:hAnsi="Segoe UI"/>
          <w:color w:val="101820"/>
          <w:sz w:val="21"/>
        </w:rPr>
        <w:t xml:space="preserve"> records the cedant's payment and </w:t>
      </w:r>
      <w:r>
        <w:rPr>
          <w:rFonts w:eastAsia="Segoe UI" w:cs="Segoe UI" w:ascii="Segoe UI" w:hAnsi="Segoe UI"/>
          <w:b/>
          <w:color w:val="101820"/>
          <w:sz w:val="21"/>
        </w:rPr>
        <w:t>Record payment</w:t>
      </w:r>
      <w:r>
        <w:rPr>
          <w:rFonts w:eastAsia="Segoe UI" w:cs="Segoe UI" w:ascii="Segoe UI" w:hAnsi="Segoe UI"/>
          <w:color w:val="101820"/>
          <w:sz w:val="21"/>
        </w:rPr>
        <w:t xml:space="preserve"> the payment to a reinsurer, each with its own journal. The slip closes when both sides are settled. </w:t>
      </w:r>
      <w:r>
        <w:rPr>
          <w:rFonts w:eastAsia="Segoe UI" w:cs="Segoe UI" w:ascii="Segoe UI" w:hAnsi="Segoe UI"/>
          <w:b/>
          <w:color w:val="101820"/>
          <w:sz w:val="21"/>
        </w:rPr>
        <w:t>Bordereau</w:t>
      </w:r>
      <w:r>
        <w:rPr>
          <w:rFonts w:eastAsia="Segoe UI" w:cs="Segoe UI" w:ascii="Segoe UI" w:hAnsi="Segoe UI"/>
          <w:color w:val="101820"/>
          <w:sz w:val="21"/>
        </w:rPr>
        <w:t xml:space="preserve"> lists the facultative premium of a period by reinsurer; </w:t>
      </w:r>
      <w:r>
        <w:rPr>
          <w:rFonts w:eastAsia="Segoe UI" w:cs="Segoe UI" w:ascii="Segoe UI" w:hAnsi="Segoe UI"/>
          <w:b/>
          <w:color w:val="101820"/>
          <w:sz w:val="21"/>
        </w:rPr>
        <w:t>Generate and keep</w:t>
      </w:r>
      <w:r>
        <w:rPr>
          <w:rFonts w:eastAsia="Segoe UI" w:cs="Segoe UI" w:ascii="Segoe UI" w:hAnsi="Segoe UI"/>
          <w:color w:val="101820"/>
          <w:sz w:val="21"/>
        </w:rPr>
        <w:t xml:space="preserve"> saves it as a document of the month.</w:t>
      </w:r>
    </w:p>
    <w:p>
      <w:pPr>
        <w:pStyle w:val="Heading2"/>
        <w:rPr/>
      </w:pPr>
      <w:bookmarkStart w:id="179" w:name="__RefHeading___Toc24626_3350804041"/>
      <w:bookmarkEnd w:id="179"/>
      <w:r>
        <w:rPr>
          <w:rFonts w:eastAsia="Segoe UI" w:cs="Segoe UI"/>
          <w:b/>
          <w:color w:val="0F4761"/>
          <w:sz w:val="26"/>
        </w:rPr>
        <w:t>15.7  Comparison Reports</w:t>
      </w:r>
    </w:p>
    <w:p>
      <w:pPr>
        <w:pStyle w:val="Normal"/>
        <w:jc w:val="center"/>
        <w:rPr/>
      </w:pPr>
      <w:r>
        <w:rPr/>
        <w:drawing>
          <wp:inline distT="0" distB="0" distL="0" distR="0">
            <wp:extent cx="5760085" cy="4469130"/>
            <wp:effectExtent l="0" t="0" r="0" b="0"/>
            <wp:docPr id="186" name="Picture 21212883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2121288366" descr=""/>
                    <pic:cNvPicPr>
                      <a:picLocks noChangeAspect="1" noChangeArrowheads="1"/>
                    </pic:cNvPicPr>
                  </pic:nvPicPr>
                  <pic:blipFill>
                    <a:blip r:embed="rId1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Comparison Reports</w:t>
      </w:r>
    </w:p>
    <w:p>
      <w:pPr>
        <w:pStyle w:val="Normal"/>
        <w:spacing w:lineRule="auto" w:line="276" w:before="0" w:after="120"/>
        <w:rPr/>
      </w:pPr>
      <w:r>
        <w:rPr>
          <w:rFonts w:eastAsia="Segoe UI" w:cs="Segoe UI" w:ascii="Segoe UI" w:hAnsi="Segoe UI"/>
          <w:color w:val="101820"/>
          <w:sz w:val="21"/>
        </w:rPr>
        <w:t>Choose Operations &gt; Sales &amp; Marketing &gt; Comparison Reports. The comparison report is the printed, branded document given to the client comparing the insurers' offers, with the option the broker recommends and why. It never shows commission.</w:t>
      </w:r>
    </w:p>
    <w:p>
      <w:pPr>
        <w:pStyle w:val="Normal"/>
        <w:numPr>
          <w:ilvl w:val="0"/>
          <w:numId w:val="5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report</w:t>
      </w:r>
      <w:r>
        <w:rPr>
          <w:rFonts w:eastAsia="Segoe UI" w:cs="Segoe UI" w:ascii="Segoe UI" w:hAnsi="Segoe UI"/>
          <w:color w:val="101820"/>
          <w:sz w:val="21"/>
        </w:rPr>
        <w:t xml:space="preserve">. Choose what is </w:t>
      </w:r>
      <w:r>
        <w:rPr>
          <w:rFonts w:eastAsia="Segoe UI" w:cs="Segoe UI" w:ascii="Segoe UI" w:hAnsi="Segoe UI"/>
          <w:b/>
          <w:color w:val="101820"/>
          <w:sz w:val="21"/>
        </w:rPr>
        <w:t>Compared</w:t>
      </w:r>
      <w:r>
        <w:rPr>
          <w:rFonts w:eastAsia="Segoe UI" w:cs="Segoe UI" w:ascii="Segoe UI" w:hAnsi="Segoe UI"/>
          <w:color w:val="101820"/>
          <w:sz w:val="21"/>
        </w:rPr>
        <w:t xml:space="preserve">: a </w:t>
      </w:r>
      <w:r>
        <w:rPr>
          <w:rFonts w:eastAsia="Segoe UI" w:cs="Segoe UI" w:ascii="Segoe UI" w:hAnsi="Segoe UI"/>
          <w:b/>
          <w:color w:val="101820"/>
          <w:sz w:val="21"/>
        </w:rPr>
        <w:t>Request for quotation</w:t>
      </w:r>
      <w:r>
        <w:rPr>
          <w:rFonts w:eastAsia="Segoe UI" w:cs="Segoe UI" w:ascii="Segoe UI" w:hAnsi="Segoe UI"/>
          <w:color w:val="101820"/>
          <w:sz w:val="21"/>
        </w:rPr>
        <w:t xml:space="preserve"> (its insurers' offers become the options) or two or more </w:t>
      </w:r>
      <w:r>
        <w:rPr>
          <w:rFonts w:eastAsia="Segoe UI" w:cs="Segoe UI" w:ascii="Segoe UI" w:hAnsi="Segoe UI"/>
          <w:b/>
          <w:color w:val="101820"/>
          <w:sz w:val="21"/>
        </w:rPr>
        <w:t>Quotations</w:t>
      </w:r>
      <w:r>
        <w:rPr>
          <w:rFonts w:eastAsia="Segoe UI" w:cs="Segoe UI" w:ascii="Segoe UI" w:hAnsi="Segoe UI"/>
          <w:color w:val="101820"/>
          <w:sz w:val="21"/>
        </w:rPr>
        <w:t xml:space="preserve"> of the same client or prospect (enter their numbers). From a request for quotation the report can also be opened with the address /sales/comparison-reports?brokerSlipId= followed by the slip.</w:t>
      </w:r>
    </w:p>
    <w:p>
      <w:pPr>
        <w:pStyle w:val="Normal"/>
        <w:numPr>
          <w:ilvl w:val="0"/>
          <w:numId w:val="56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w:t>
      </w:r>
      <w:r>
        <w:rPr>
          <w:rFonts w:eastAsia="Segoe UI" w:cs="Segoe UI" w:ascii="Segoe UI" w:hAnsi="Segoe UI"/>
          <w:color w:val="101820"/>
          <w:sz w:val="21"/>
        </w:rPr>
        <w:t>. The options are ranked by total premium.</w:t>
      </w:r>
    </w:p>
    <w:p>
      <w:pPr>
        <w:pStyle w:val="Normal"/>
        <w:numPr>
          <w:ilvl w:val="0"/>
          <w:numId w:val="567"/>
        </w:numPr>
        <w:spacing w:before="0" w:after="60"/>
        <w:rPr/>
      </w:pPr>
      <w:r>
        <w:rPr>
          <w:rFonts w:eastAsia="Segoe UI" w:cs="Segoe UI" w:ascii="Segoe UI" w:hAnsi="Segoe UI"/>
          <w:color w:val="101820"/>
          <w:sz w:val="21"/>
        </w:rPr>
        <w:t xml:space="preserve">Edit </w:t>
      </w:r>
      <w:r>
        <w:rPr>
          <w:rFonts w:eastAsia="Segoe UI" w:cs="Segoe UI" w:ascii="Segoe UI" w:hAnsi="Segoe UI"/>
          <w:b/>
          <w:color w:val="101820"/>
          <w:sz w:val="21"/>
        </w:rPr>
        <w:t>Prepared for</w:t>
      </w:r>
      <w:r>
        <w:rPr>
          <w:rFonts w:eastAsia="Segoe UI" w:cs="Segoe UI" w:ascii="Segoe UI" w:hAnsi="Segoe UI"/>
          <w:color w:val="101820"/>
          <w:sz w:val="21"/>
        </w:rPr>
        <w:t xml:space="preserve">, </w:t>
      </w:r>
      <w:r>
        <w:rPr>
          <w:rFonts w:eastAsia="Segoe UI" w:cs="Segoe UI" w:ascii="Segoe UI" w:hAnsi="Segoe UI"/>
          <w:b/>
          <w:color w:val="101820"/>
          <w:sz w:val="21"/>
        </w:rPr>
        <w:t>Title</w:t>
      </w:r>
      <w:r>
        <w:rPr>
          <w:rFonts w:eastAsia="Segoe UI" w:cs="Segoe UI" w:ascii="Segoe UI" w:hAnsi="Segoe UI"/>
          <w:color w:val="101820"/>
          <w:sz w:val="21"/>
        </w:rPr>
        <w:t xml:space="preserve"> and </w:t>
      </w:r>
      <w:r>
        <w:rPr>
          <w:rFonts w:eastAsia="Segoe UI" w:cs="Segoe UI" w:ascii="Segoe UI" w:hAnsi="Segoe UI"/>
          <w:b/>
          <w:color w:val="101820"/>
          <w:sz w:val="21"/>
        </w:rPr>
        <w:t>Introduction</w:t>
      </w:r>
      <w:r>
        <w:rPr>
          <w:rFonts w:eastAsia="Segoe UI" w:cs="Segoe UI" w:ascii="Segoe UI" w:hAnsi="Segoe UI"/>
          <w:color w:val="101820"/>
          <w:sz w:val="21"/>
        </w:rPr>
        <w:t xml:space="preserve"> (defaults in the </w:t>
      </w:r>
      <w:r>
        <w:rPr>
          <w:rFonts w:eastAsia="Segoe UI" w:cs="Segoe UI" w:ascii="Segoe UI" w:hAnsi="Segoe UI"/>
          <w:b/>
          <w:color w:val="101820"/>
          <w:sz w:val="21"/>
        </w:rPr>
        <w:t>comparison.</w:t>
      </w:r>
      <w:r>
        <w:rPr>
          <w:rFonts w:eastAsia="Segoe UI" w:cs="Segoe UI" w:ascii="Segoe UI" w:hAnsi="Segoe UI"/>
          <w:color w:val="101820"/>
          <w:sz w:val="21"/>
        </w:rPr>
        <w:t xml:space="preserve">* settings). For each option enter </w:t>
      </w:r>
      <w:r>
        <w:rPr>
          <w:rFonts w:eastAsia="Segoe UI" w:cs="Segoe UI" w:ascii="Segoe UI" w:hAnsi="Segoe UI"/>
          <w:b/>
          <w:color w:val="101820"/>
          <w:sz w:val="21"/>
        </w:rPr>
        <w:t>What stands out</w:t>
      </w:r>
      <w:r>
        <w:rPr>
          <w:rFonts w:eastAsia="Segoe UI" w:cs="Segoe UI" w:ascii="Segoe UI" w:hAnsi="Segoe UI"/>
          <w:color w:val="101820"/>
          <w:sz w:val="21"/>
        </w:rPr>
        <w:t>.</w:t>
      </w:r>
    </w:p>
    <w:p>
      <w:pPr>
        <w:pStyle w:val="Normal"/>
        <w:numPr>
          <w:ilvl w:val="0"/>
          <w:numId w:val="568"/>
        </w:numPr>
        <w:spacing w:before="0" w:after="60"/>
        <w:rPr/>
      </w:pPr>
      <w:r>
        <w:rPr>
          <w:rFonts w:eastAsia="Segoe UI" w:cs="Segoe UI" w:ascii="Segoe UI" w:hAnsi="Segoe UI"/>
          <w:color w:val="101820"/>
          <w:sz w:val="21"/>
        </w:rPr>
        <w:t xml:space="preserve">Choose the option to </w:t>
      </w:r>
      <w:r>
        <w:rPr>
          <w:rFonts w:eastAsia="Segoe UI" w:cs="Segoe UI" w:ascii="Segoe UI" w:hAnsi="Segoe UI"/>
          <w:b/>
          <w:color w:val="101820"/>
          <w:sz w:val="21"/>
        </w:rPr>
        <w:t>Recommend</w:t>
      </w:r>
      <w:r>
        <w:rPr>
          <w:rFonts w:eastAsia="Segoe UI" w:cs="Segoe UI" w:ascii="Segoe UI" w:hAnsi="Segoe UI"/>
          <w:color w:val="101820"/>
          <w:sz w:val="21"/>
        </w:rPr>
        <w:t xml:space="preserve"> and write </w:t>
      </w:r>
      <w:r>
        <w:rPr>
          <w:rFonts w:eastAsia="Segoe UI" w:cs="Segoe UI" w:ascii="Segoe UI" w:hAnsi="Segoe UI"/>
          <w:b/>
          <w:color w:val="101820"/>
          <w:sz w:val="21"/>
        </w:rPr>
        <w:t>Why we recommend it</w:t>
      </w:r>
      <w:r>
        <w:rPr>
          <w:rFonts w:eastAsia="Segoe UI" w:cs="Segoe UI" w:ascii="Segoe UI" w:hAnsi="Segoe UI"/>
          <w:color w:val="101820"/>
          <w:sz w:val="21"/>
        </w:rPr>
        <w:t xml:space="preserve">, one reason per line; the suggested reasons of </w:t>
      </w:r>
      <w:r>
        <w:rPr>
          <w:rFonts w:eastAsia="Segoe UI" w:cs="Segoe UI" w:ascii="Segoe UI" w:hAnsi="Segoe UI"/>
          <w:b/>
          <w:color w:val="101820"/>
          <w:sz w:val="21"/>
        </w:rPr>
        <w:t>comparison.default_reasons</w:t>
      </w:r>
      <w:r>
        <w:rPr>
          <w:rFonts w:eastAsia="Segoe UI" w:cs="Segoe UI" w:ascii="Segoe UI" w:hAnsi="Segoe UI"/>
          <w:color w:val="101820"/>
          <w:sz w:val="21"/>
        </w:rPr>
        <w:t xml:space="preserve"> can be added with one click. Adjust the </w:t>
      </w:r>
      <w:r>
        <w:rPr>
          <w:rFonts w:eastAsia="Segoe UI" w:cs="Segoe UI" w:ascii="Segoe UI" w:hAnsi="Segoe UI"/>
          <w:b/>
          <w:color w:val="101820"/>
          <w:sz w:val="21"/>
        </w:rPr>
        <w:t>Disclaimer</w:t>
      </w:r>
      <w:r>
        <w:rPr>
          <w:rFonts w:eastAsia="Segoe UI" w:cs="Segoe UI" w:ascii="Segoe UI" w:hAnsi="Segoe UI"/>
          <w:color w:val="101820"/>
          <w:sz w:val="21"/>
        </w:rPr>
        <w:t>.</w:t>
      </w:r>
    </w:p>
    <w:p>
      <w:pPr>
        <w:pStyle w:val="Normal"/>
        <w:numPr>
          <w:ilvl w:val="0"/>
          <w:numId w:val="56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xml:space="preserve">, then </w:t>
      </w:r>
      <w:r>
        <w:rPr>
          <w:rFonts w:eastAsia="Segoe UI" w:cs="Segoe UI" w:ascii="Segoe UI" w:hAnsi="Segoe UI"/>
          <w:b/>
          <w:color w:val="101820"/>
          <w:sz w:val="21"/>
        </w:rPr>
        <w:t>Client report (PDF)</w:t>
      </w:r>
      <w:r>
        <w:rPr>
          <w:rFonts w:eastAsia="Segoe UI" w:cs="Segoe UI" w:ascii="Segoe UI" w:hAnsi="Segoe UI"/>
          <w:color w:val="101820"/>
          <w:sz w:val="21"/>
        </w:rPr>
        <w:t xml:space="preserve"> to print it on the letterhead.</w:t>
      </w:r>
    </w:p>
    <w:p>
      <w:pPr>
        <w:pStyle w:val="Normal"/>
        <w:spacing w:lineRule="auto" w:line="276" w:before="0" w:after="120"/>
        <w:rPr/>
      </w:pPr>
      <w:r>
        <w:rPr>
          <w:rFonts w:eastAsia="Segoe UI" w:cs="Segoe UI" w:ascii="Segoe UI" w:hAnsi="Segoe UI"/>
          <w:b/>
          <w:color w:val="101820"/>
          <w:sz w:val="21"/>
        </w:rPr>
        <w:t>E-mail to the client</w:t>
      </w:r>
      <w:r>
        <w:rPr>
          <w:rFonts w:eastAsia="Segoe UI" w:cs="Segoe UI" w:ascii="Segoe UI" w:hAnsi="Segoe UI"/>
          <w:color w:val="101820"/>
          <w:sz w:val="21"/>
        </w:rPr>
        <w:t xml:space="preserve"> queues the report as a PDF attachment to the client's e-mail on file or to the address entered. When the client decides, </w:t>
      </w:r>
      <w:r>
        <w:rPr>
          <w:rFonts w:eastAsia="Segoe UI" w:cs="Segoe UI" w:ascii="Segoe UI" w:hAnsi="Segoe UI"/>
          <w:b/>
          <w:color w:val="101820"/>
          <w:sz w:val="21"/>
        </w:rPr>
        <w:t>Client chose</w:t>
      </w:r>
      <w:r>
        <w:rPr>
          <w:rFonts w:eastAsia="Segoe UI" w:cs="Segoe UI" w:ascii="Segoe UI" w:hAnsi="Segoe UI"/>
          <w:color w:val="101820"/>
          <w:sz w:val="21"/>
        </w:rPr>
        <w:t xml:space="preserve"> on the chosen option records the decision and closes the report as </w:t>
      </w:r>
      <w:r>
        <w:rPr>
          <w:rFonts w:eastAsia="Segoe UI" w:cs="Segoe UI" w:ascii="Segoe UI" w:hAnsi="Segoe UI"/>
          <w:b/>
          <w:color w:val="101820"/>
          <w:sz w:val="21"/>
        </w:rPr>
        <w:t>Accepted</w:t>
      </w:r>
      <w:r>
        <w:rPr>
          <w:rFonts w:eastAsia="Segoe UI" w:cs="Segoe UI" w:ascii="Segoe UI" w:hAnsi="Segoe UI"/>
          <w:color w:val="101820"/>
          <w:sz w:val="21"/>
        </w:rPr>
        <w:t>.</w:t>
      </w:r>
    </w:p>
    <w:p>
      <w:pPr>
        <w:pStyle w:val="Heading2"/>
        <w:rPr/>
      </w:pPr>
      <w:bookmarkStart w:id="180" w:name="__RefHeading___Toc24628_3350804041"/>
      <w:bookmarkEnd w:id="180"/>
      <w:r>
        <w:rPr>
          <w:rFonts w:eastAsia="Segoe UI" w:cs="Segoe UI"/>
          <w:b/>
          <w:color w:val="0F4761"/>
          <w:sz w:val="26"/>
        </w:rPr>
        <w:t>15.8  Campaigns</w:t>
      </w:r>
    </w:p>
    <w:p>
      <w:pPr>
        <w:pStyle w:val="Normal"/>
        <w:jc w:val="center"/>
        <w:rPr/>
      </w:pPr>
      <w:r>
        <w:rPr/>
        <w:drawing>
          <wp:inline distT="0" distB="0" distL="0" distR="0">
            <wp:extent cx="5760085" cy="4469130"/>
            <wp:effectExtent l="0" t="0" r="0" b="0"/>
            <wp:docPr id="187" name="Picture 21212883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2121288367" descr=""/>
                    <pic:cNvPicPr>
                      <a:picLocks noChangeAspect="1" noChangeArrowheads="1"/>
                    </pic:cNvPicPr>
                  </pic:nvPicPr>
                  <pic:blipFill>
                    <a:blip r:embed="rId18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Campaigns</w:t>
      </w:r>
    </w:p>
    <w:p>
      <w:pPr>
        <w:pStyle w:val="Normal"/>
        <w:spacing w:lineRule="auto" w:line="276" w:before="0" w:after="120"/>
        <w:rPr/>
      </w:pPr>
      <w:r>
        <w:rPr>
          <w:rFonts w:eastAsia="Segoe UI" w:cs="Segoe UI" w:ascii="Segoe UI" w:hAnsi="Segoe UI"/>
          <w:color w:val="101820"/>
          <w:sz w:val="21"/>
        </w:rPr>
        <w:t>Choose Operations &gt; Sales &amp; Marketing &gt; Campaigns. Campaigns e-mail offers only to clients and prospects whose marketing consent is in force in the consent register (Master &gt; Data Privacy) and who have an e-mail address. Everyone else is left out and recorded with the reason.</w:t>
      </w:r>
    </w:p>
    <w:p>
      <w:pPr>
        <w:pStyle w:val="Heading3"/>
        <w:rPr/>
      </w:pPr>
      <w:r>
        <w:rPr>
          <w:rFonts w:eastAsia="Segoe UI" w:cs="Segoe UI"/>
          <w:b/>
          <w:color w:val="0F4761"/>
          <w:sz w:val="23"/>
        </w:rPr>
        <w:t>15.8.1  Segments</w:t>
      </w:r>
    </w:p>
    <w:p>
      <w:pPr>
        <w:pStyle w:val="Normal"/>
        <w:numPr>
          <w:ilvl w:val="0"/>
          <w:numId w:val="570"/>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Segments</w:t>
      </w:r>
      <w:r>
        <w:rPr>
          <w:rFonts w:eastAsia="Segoe UI" w:cs="Segoe UI" w:ascii="Segoe UI" w:hAnsi="Segoe UI"/>
          <w:color w:val="101820"/>
          <w:sz w:val="21"/>
        </w:rPr>
        <w:t xml:space="preserve"> and select </w:t>
      </w:r>
      <w:r>
        <w:rPr>
          <w:rFonts w:eastAsia="Segoe UI" w:cs="Segoe UI" w:ascii="Segoe UI" w:hAnsi="Segoe UI"/>
          <w:b/>
          <w:color w:val="101820"/>
          <w:sz w:val="21"/>
        </w:rPr>
        <w:t>New segment</w:t>
      </w:r>
      <w:r>
        <w:rPr>
          <w:rFonts w:eastAsia="Segoe UI" w:cs="Segoe UI" w:ascii="Segoe UI" w:hAnsi="Segoe UI"/>
          <w:color w:val="101820"/>
          <w:sz w:val="21"/>
        </w:rPr>
        <w:t>.</w:t>
      </w:r>
    </w:p>
    <w:p>
      <w:pPr>
        <w:pStyle w:val="Normal"/>
        <w:numPr>
          <w:ilvl w:val="0"/>
          <w:numId w:val="571"/>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Who</w:t>
      </w:r>
      <w:r>
        <w:rPr>
          <w:rFonts w:eastAsia="Segoe UI" w:cs="Segoe UI" w:ascii="Segoe UI" w:hAnsi="Segoe UI"/>
          <w:color w:val="101820"/>
          <w:sz w:val="21"/>
        </w:rPr>
        <w:t xml:space="preserve"> (clients, prospects or both) and narrow the audience by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Province</w:t>
      </w:r>
      <w:r>
        <w:rPr>
          <w:rFonts w:eastAsia="Segoe UI" w:cs="Segoe UI" w:ascii="Segoe UI" w:hAnsi="Segoe UI"/>
          <w:color w:val="101820"/>
          <w:sz w:val="21"/>
        </w:rPr>
        <w:t xml:space="preserve">, </w:t>
      </w:r>
      <w:r>
        <w:rPr>
          <w:rFonts w:eastAsia="Segoe UI" w:cs="Segoe UI" w:ascii="Segoe UI" w:hAnsi="Segoe UI"/>
          <w:b/>
          <w:color w:val="101820"/>
          <w:sz w:val="21"/>
        </w:rPr>
        <w:t>City / municipality</w:t>
      </w:r>
      <w:r>
        <w:rPr>
          <w:rFonts w:eastAsia="Segoe UI" w:cs="Segoe UI" w:ascii="Segoe UI" w:hAnsi="Segoe UI"/>
          <w:color w:val="101820"/>
          <w:sz w:val="21"/>
        </w:rPr>
        <w:t xml:space="preserve">, </w:t>
      </w:r>
      <w:r>
        <w:rPr>
          <w:rFonts w:eastAsia="Segoe UI" w:cs="Segoe UI" w:ascii="Segoe UI" w:hAnsi="Segoe UI"/>
          <w:b/>
          <w:color w:val="101820"/>
          <w:sz w:val="21"/>
        </w:rPr>
        <w:t>Distribution channel</w:t>
      </w:r>
      <w:r>
        <w:rPr>
          <w:rFonts w:eastAsia="Segoe UI" w:cs="Segoe UI" w:ascii="Segoe UI" w:hAnsi="Segoe UI"/>
          <w:color w:val="101820"/>
          <w:sz w:val="21"/>
        </w:rPr>
        <w:t xml:space="preserve">, </w:t>
      </w:r>
      <w:r>
        <w:rPr>
          <w:rFonts w:eastAsia="Segoe UI" w:cs="Segoe UI" w:ascii="Segoe UI" w:hAnsi="Segoe UI"/>
          <w:b/>
          <w:color w:val="101820"/>
          <w:sz w:val="21"/>
        </w:rPr>
        <w:t>Client type</w:t>
      </w:r>
      <w:r>
        <w:rPr>
          <w:rFonts w:eastAsia="Segoe UI" w:cs="Segoe UI" w:ascii="Segoe UI" w:hAnsi="Segoe UI"/>
          <w:color w:val="101820"/>
          <w:sz w:val="21"/>
        </w:rPr>
        <w:t xml:space="preserve">, </w:t>
      </w:r>
      <w:r>
        <w:rPr>
          <w:rFonts w:eastAsia="Segoe UI" w:cs="Segoe UI" w:ascii="Segoe UI" w:hAnsi="Segoe UI"/>
          <w:b/>
          <w:color w:val="101820"/>
          <w:sz w:val="21"/>
        </w:rPr>
        <w:t>Prospect status</w:t>
      </w:r>
      <w:r>
        <w:rPr>
          <w:rFonts w:eastAsia="Segoe UI" w:cs="Segoe UI" w:ascii="Segoe UI" w:hAnsi="Segoe UI"/>
          <w:color w:val="101820"/>
          <w:sz w:val="21"/>
        </w:rPr>
        <w:t xml:space="preserve"> and </w:t>
      </w:r>
      <w:r>
        <w:rPr>
          <w:rFonts w:eastAsia="Segoe UI" w:cs="Segoe UI" w:ascii="Segoe UI" w:hAnsi="Segoe UI"/>
          <w:b/>
          <w:color w:val="101820"/>
          <w:sz w:val="21"/>
        </w:rPr>
        <w:t>Policy expiring within (days)</w:t>
      </w:r>
      <w:r>
        <w:rPr>
          <w:rFonts w:eastAsia="Segoe UI" w:cs="Segoe UI" w:ascii="Segoe UI" w:hAnsi="Segoe UI"/>
          <w:color w:val="101820"/>
          <w:sz w:val="21"/>
        </w:rPr>
        <w:t>.</w:t>
      </w:r>
    </w:p>
    <w:p>
      <w:pPr>
        <w:pStyle w:val="Normal"/>
        <w:numPr>
          <w:ilvl w:val="0"/>
          <w:numId w:val="5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Who is reached</w:t>
      </w:r>
      <w:r>
        <w:rPr>
          <w:rFonts w:eastAsia="Segoe UI" w:cs="Segoe UI" w:ascii="Segoe UI" w:hAnsi="Segoe UI"/>
          <w:color w:val="101820"/>
          <w:sz w:val="21"/>
        </w:rPr>
        <w:t xml:space="preserve">. The preview shows how many match, how many are reachable and how many are </w:t>
      </w:r>
      <w:r>
        <w:rPr>
          <w:rFonts w:eastAsia="Segoe UI" w:cs="Segoe UI" w:ascii="Segoe UI" w:hAnsi="Segoe UI"/>
          <w:b/>
          <w:color w:val="101820"/>
          <w:sz w:val="21"/>
        </w:rPr>
        <w:t>Left out because</w:t>
      </w:r>
      <w:r>
        <w:rPr>
          <w:rFonts w:eastAsia="Segoe UI" w:cs="Segoe UI" w:ascii="Segoe UI" w:hAnsi="Segoe UI"/>
          <w:color w:val="101820"/>
          <w:sz w:val="21"/>
        </w:rPr>
        <w:t xml:space="preserve"> of a missing or withdrawn consent or a missing e-mail.</w:t>
      </w:r>
    </w:p>
    <w:p>
      <w:pPr>
        <w:pStyle w:val="Normal"/>
        <w:numPr>
          <w:ilvl w:val="0"/>
          <w:numId w:val="5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Heading3"/>
        <w:rPr/>
      </w:pPr>
      <w:r>
        <w:rPr>
          <w:rFonts w:eastAsia="Segoe UI" w:cs="Segoe UI"/>
          <w:b/>
          <w:color w:val="0F4761"/>
          <w:sz w:val="23"/>
        </w:rPr>
        <w:t>15.8.2  Templates</w:t>
      </w:r>
    </w:p>
    <w:p>
      <w:pPr>
        <w:pStyle w:val="Normal"/>
        <w:numPr>
          <w:ilvl w:val="0"/>
          <w:numId w:val="574"/>
        </w:numPr>
        <w:spacing w:before="0" w:after="60"/>
        <w:rPr/>
      </w:pPr>
      <w:r>
        <w:rPr>
          <w:rFonts w:eastAsia="Segoe UI" w:cs="Segoe UI" w:ascii="Segoe UI" w:hAnsi="Segoe UI"/>
          <w:color w:val="101820"/>
          <w:sz w:val="21"/>
        </w:rPr>
        <w:t xml:space="preserve">Open </w:t>
      </w:r>
      <w:r>
        <w:rPr>
          <w:rFonts w:eastAsia="Segoe UI" w:cs="Segoe UI" w:ascii="Segoe UI" w:hAnsi="Segoe UI"/>
          <w:b/>
          <w:color w:val="101820"/>
          <w:sz w:val="21"/>
        </w:rPr>
        <w:t>Templates</w:t>
      </w:r>
      <w:r>
        <w:rPr>
          <w:rFonts w:eastAsia="Segoe UI" w:cs="Segoe UI" w:ascii="Segoe UI" w:hAnsi="Segoe UI"/>
          <w:color w:val="101820"/>
          <w:sz w:val="21"/>
        </w:rPr>
        <w:t xml:space="preserve"> and select </w:t>
      </w:r>
      <w:r>
        <w:rPr>
          <w:rFonts w:eastAsia="Segoe UI" w:cs="Segoe UI" w:ascii="Segoe UI" w:hAnsi="Segoe UI"/>
          <w:b/>
          <w:color w:val="101820"/>
          <w:sz w:val="21"/>
        </w:rPr>
        <w:t>New template</w:t>
      </w:r>
      <w:r>
        <w:rPr>
          <w:rFonts w:eastAsia="Segoe UI" w:cs="Segoe UI" w:ascii="Segoe UI" w:hAnsi="Segoe UI"/>
          <w:color w:val="101820"/>
          <w:sz w:val="21"/>
        </w:rPr>
        <w:t xml:space="preserve">. Enter the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and the </w:t>
      </w:r>
      <w:r>
        <w:rPr>
          <w:rFonts w:eastAsia="Segoe UI" w:cs="Segoe UI" w:ascii="Segoe UI" w:hAnsi="Segoe UI"/>
          <w:b/>
          <w:color w:val="101820"/>
          <w:sz w:val="21"/>
        </w:rPr>
        <w:t>Message (HTML)</w:t>
      </w:r>
      <w:r>
        <w:rPr>
          <w:rFonts w:eastAsia="Segoe UI" w:cs="Segoe UI" w:ascii="Segoe UI" w:hAnsi="Segoe UI"/>
          <w:color w:val="101820"/>
          <w:sz w:val="21"/>
        </w:rPr>
        <w:t>.</w:t>
      </w:r>
    </w:p>
    <w:p>
      <w:pPr>
        <w:pStyle w:val="Normal"/>
        <w:numPr>
          <w:ilvl w:val="0"/>
          <w:numId w:val="575"/>
        </w:numPr>
        <w:spacing w:before="0" w:after="60"/>
        <w:rPr/>
      </w:pPr>
      <w:r>
        <w:rPr>
          <w:rFonts w:eastAsia="Segoe UI" w:cs="Segoe UI" w:ascii="Segoe UI" w:hAnsi="Segoe UI"/>
          <w:color w:val="101820"/>
          <w:sz w:val="21"/>
        </w:rPr>
        <w:t xml:space="preserve">Use the placeholders {{firstName}}, {{fullName}}, {{companyName}} and {{optOutLink}}. A template without an opt-out link gets the unsubscribe paragraph of </w:t>
      </w:r>
      <w:r>
        <w:rPr>
          <w:rFonts w:eastAsia="Segoe UI" w:cs="Segoe UI" w:ascii="Segoe UI" w:hAnsi="Segoe UI"/>
          <w:b/>
          <w:color w:val="101820"/>
          <w:sz w:val="21"/>
        </w:rPr>
        <w:t>campaigns.opt_out_text</w:t>
      </w:r>
      <w:r>
        <w:rPr>
          <w:rFonts w:eastAsia="Segoe UI" w:cs="Segoe UI" w:ascii="Segoe UI" w:hAnsi="Segoe UI"/>
          <w:color w:val="101820"/>
          <w:sz w:val="21"/>
        </w:rPr>
        <w:t xml:space="preserve"> added at the end.</w:t>
      </w:r>
    </w:p>
    <w:p>
      <w:pPr>
        <w:pStyle w:val="Normal"/>
        <w:numPr>
          <w:ilvl w:val="0"/>
          <w:numId w:val="576"/>
        </w:numPr>
        <w:spacing w:before="0" w:after="60"/>
        <w:rPr/>
      </w:pPr>
      <w:r>
        <w:rPr>
          <w:rFonts w:eastAsia="Segoe UI" w:cs="Segoe UI" w:ascii="Segoe UI" w:hAnsi="Segoe UI"/>
          <w:b/>
          <w:color w:val="101820"/>
          <w:sz w:val="21"/>
        </w:rPr>
        <w:t>Preview</w:t>
      </w:r>
      <w:r>
        <w:rPr>
          <w:rFonts w:eastAsia="Segoe UI" w:cs="Segoe UI" w:ascii="Segoe UI" w:hAnsi="Segoe UI"/>
          <w:color w:val="101820"/>
          <w:sz w:val="21"/>
        </w:rPr>
        <w:t xml:space="preserve"> shows the template filled in for a sample recipient.</w:t>
      </w:r>
    </w:p>
    <w:p>
      <w:pPr>
        <w:pStyle w:val="Heading3"/>
        <w:rPr/>
      </w:pPr>
      <w:r>
        <w:rPr>
          <w:rFonts w:eastAsia="Segoe UI" w:cs="Segoe UI"/>
          <w:b/>
          <w:color w:val="0F4761"/>
          <w:sz w:val="23"/>
        </w:rPr>
        <w:t>15.8.3  Send a campaign and read the results</w:t>
      </w:r>
    </w:p>
    <w:p>
      <w:pPr>
        <w:pStyle w:val="Normal"/>
        <w:numPr>
          <w:ilvl w:val="0"/>
          <w:numId w:val="577"/>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Campaigns</w:t>
      </w:r>
      <w:r>
        <w:rPr>
          <w:rFonts w:eastAsia="Segoe UI" w:cs="Segoe UI" w:ascii="Segoe UI" w:hAnsi="Segoe UI"/>
          <w:color w:val="101820"/>
          <w:sz w:val="21"/>
        </w:rPr>
        <w:t xml:space="preserve">, select </w:t>
      </w:r>
      <w:r>
        <w:rPr>
          <w:rFonts w:eastAsia="Segoe UI" w:cs="Segoe UI" w:ascii="Segoe UI" w:hAnsi="Segoe UI"/>
          <w:b/>
          <w:color w:val="101820"/>
          <w:sz w:val="21"/>
        </w:rPr>
        <w:t>New campaign</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choose the </w:t>
      </w:r>
      <w:r>
        <w:rPr>
          <w:rFonts w:eastAsia="Segoe UI" w:cs="Segoe UI" w:ascii="Segoe UI" w:hAnsi="Segoe UI"/>
          <w:b/>
          <w:color w:val="101820"/>
          <w:sz w:val="21"/>
        </w:rPr>
        <w:t>Segment</w:t>
      </w:r>
      <w:r>
        <w:rPr>
          <w:rFonts w:eastAsia="Segoe UI" w:cs="Segoe UI" w:ascii="Segoe UI" w:hAnsi="Segoe UI"/>
          <w:color w:val="101820"/>
          <w:sz w:val="21"/>
        </w:rPr>
        <w:t xml:space="preserve"> and </w:t>
      </w:r>
      <w:r>
        <w:rPr>
          <w:rFonts w:eastAsia="Segoe UI" w:cs="Segoe UI" w:ascii="Segoe UI" w:hAnsi="Segoe UI"/>
          <w:b/>
          <w:color w:val="101820"/>
          <w:sz w:val="21"/>
        </w:rPr>
        <w:t>Template</w:t>
      </w:r>
      <w:r>
        <w:rPr>
          <w:rFonts w:eastAsia="Segoe UI" w:cs="Segoe UI" w:ascii="Segoe UI" w:hAnsi="Segoe UI"/>
          <w:color w:val="101820"/>
          <w:sz w:val="21"/>
        </w:rPr>
        <w:t>.</w:t>
      </w:r>
    </w:p>
    <w:p>
      <w:pPr>
        <w:pStyle w:val="Normal"/>
        <w:numPr>
          <w:ilvl w:val="0"/>
          <w:numId w:val="57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now</w:t>
      </w:r>
      <w:r>
        <w:rPr>
          <w:rFonts w:eastAsia="Segoe UI" w:cs="Segoe UI" w:ascii="Segoe UI" w:hAnsi="Segoe UI"/>
          <w:color w:val="101820"/>
          <w:sz w:val="21"/>
        </w:rPr>
        <w:t xml:space="preserve"> to queue the e-mails to the E-mail Outbox, or </w:t>
      </w:r>
      <w:r>
        <w:rPr>
          <w:rFonts w:eastAsia="Segoe UI" w:cs="Segoe UI" w:ascii="Segoe UI" w:hAnsi="Segoe UI"/>
          <w:b/>
          <w:color w:val="101820"/>
          <w:sz w:val="21"/>
        </w:rPr>
        <w:t>Schedule</w:t>
      </w:r>
      <w:r>
        <w:rPr>
          <w:rFonts w:eastAsia="Segoe UI" w:cs="Segoe UI" w:ascii="Segoe UI" w:hAnsi="Segoe UI"/>
          <w:color w:val="101820"/>
          <w:sz w:val="21"/>
        </w:rPr>
        <w:t xml:space="preserve"> to choose the date and time; the </w:t>
      </w:r>
      <w:r>
        <w:rPr>
          <w:rFonts w:eastAsia="Segoe UI" w:cs="Segoe UI" w:ascii="Segoe UI" w:hAnsi="Segoe UI"/>
          <w:b/>
          <w:color w:val="101820"/>
          <w:sz w:val="21"/>
        </w:rPr>
        <w:t>campaign-dispatch</w:t>
      </w:r>
      <w:r>
        <w:rPr>
          <w:rFonts w:eastAsia="Segoe UI" w:cs="Segoe UI" w:ascii="Segoe UI" w:hAnsi="Segoe UI"/>
          <w:color w:val="101820"/>
          <w:sz w:val="21"/>
        </w:rPr>
        <w:t xml:space="preserve"> job sends scheduled campaigns. </w:t>
      </w:r>
      <w:r>
        <w:rPr>
          <w:rFonts w:eastAsia="Segoe UI" w:cs="Segoe UI" w:ascii="Segoe UI" w:hAnsi="Segoe UI"/>
          <w:b/>
          <w:color w:val="101820"/>
          <w:sz w:val="21"/>
        </w:rPr>
        <w:t>Cancel campaign</w:t>
      </w:r>
      <w:r>
        <w:rPr>
          <w:rFonts w:eastAsia="Segoe UI" w:cs="Segoe UI" w:ascii="Segoe UI" w:hAnsi="Segoe UI"/>
          <w:color w:val="101820"/>
          <w:sz w:val="21"/>
        </w:rPr>
        <w:t xml:space="preserve"> stops a draft or scheduled campaign.</w:t>
      </w:r>
    </w:p>
    <w:p>
      <w:pPr>
        <w:pStyle w:val="Normal"/>
        <w:numPr>
          <w:ilvl w:val="0"/>
          <w:numId w:val="579"/>
        </w:numPr>
        <w:spacing w:before="0" w:after="60"/>
        <w:rPr/>
      </w:pPr>
      <w:r>
        <w:rPr>
          <w:rFonts w:eastAsia="Segoe UI" w:cs="Segoe UI" w:ascii="Segoe UI" w:hAnsi="Segoe UI"/>
          <w:b/>
          <w:color w:val="101820"/>
          <w:sz w:val="21"/>
        </w:rPr>
        <w:t>Results</w:t>
      </w:r>
      <w:r>
        <w:rPr>
          <w:rFonts w:eastAsia="Segoe UI" w:cs="Segoe UI" w:ascii="Segoe UI" w:hAnsi="Segoe UI"/>
          <w:color w:val="101820"/>
          <w:sz w:val="21"/>
        </w:rPr>
        <w:t xml:space="preserve"> shows the recipients, the e-mails sent, waiting and failed (from the outbox), those excluded by reason, opt-outs, and the recipients who were quoted or insured within </w:t>
      </w:r>
      <w:r>
        <w:rPr>
          <w:rFonts w:eastAsia="Segoe UI" w:cs="Segoe UI" w:ascii="Segoe UI" w:hAnsi="Segoe UI"/>
          <w:b/>
          <w:color w:val="101820"/>
          <w:sz w:val="21"/>
        </w:rPr>
        <w:t>campaigns.conversion_window_days</w:t>
      </w:r>
      <w:r>
        <w:rPr>
          <w:rFonts w:eastAsia="Segoe UI" w:cs="Segoe UI" w:ascii="Segoe UI" w:hAnsi="Segoe UI"/>
          <w:color w:val="101820"/>
          <w:sz w:val="21"/>
        </w:rPr>
        <w:t xml:space="preserve"> days.</w:t>
      </w:r>
    </w:p>
    <w:p>
      <w:pPr>
        <w:pStyle w:val="Normal"/>
        <w:spacing w:lineRule="auto" w:line="276" w:before="0" w:after="120"/>
        <w:rPr/>
      </w:pPr>
      <w:r>
        <w:rPr>
          <w:rFonts w:eastAsia="Segoe UI" w:cs="Segoe UI" w:ascii="Segoe UI" w:hAnsi="Segoe UI"/>
          <w:color w:val="101820"/>
          <w:sz w:val="21"/>
        </w:rPr>
        <w:t xml:space="preserve">Each e-mail carries its own opt-out link. Opening it shows an unsubscribe page; confirming records a refusal of the marketing purpose in the consent register (channel E-mail), so later campaigns leave the person out. A campaign reaches at most </w:t>
      </w:r>
      <w:r>
        <w:rPr>
          <w:rFonts w:eastAsia="Segoe UI" w:cs="Segoe UI" w:ascii="Segoe UI" w:hAnsi="Segoe UI"/>
          <w:b/>
          <w:color w:val="101820"/>
          <w:sz w:val="21"/>
        </w:rPr>
        <w:t>campaigns.max_recipients</w:t>
      </w:r>
      <w:r>
        <w:rPr>
          <w:rFonts w:eastAsia="Segoe UI" w:cs="Segoe UI" w:ascii="Segoe UI" w:hAnsi="Segoe UI"/>
          <w:color w:val="101820"/>
          <w:sz w:val="21"/>
        </w:rPr>
        <w:t xml:space="preserve"> people.</w:t>
      </w:r>
    </w:p>
    <w:p>
      <w:pPr>
        <w:pStyle w:val="Heading2"/>
        <w:rPr/>
      </w:pPr>
      <w:bookmarkStart w:id="181" w:name="__RefHeading___Toc24630_3350804041"/>
      <w:bookmarkEnd w:id="181"/>
      <w:r>
        <w:rPr>
          <w:rFonts w:eastAsia="Segoe UI" w:cs="Segoe UI"/>
          <w:b/>
          <w:color w:val="0F4761"/>
          <w:sz w:val="26"/>
        </w:rPr>
        <w:t>15.9  Report Builder</w:t>
      </w:r>
    </w:p>
    <w:p>
      <w:pPr>
        <w:pStyle w:val="Normal"/>
        <w:jc w:val="center"/>
        <w:rPr/>
      </w:pPr>
      <w:r>
        <w:rPr/>
        <w:drawing>
          <wp:inline distT="0" distB="0" distL="0" distR="0">
            <wp:extent cx="5760085" cy="4469130"/>
            <wp:effectExtent l="0" t="0" r="0" b="0"/>
            <wp:docPr id="188" name="Picture 21212883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2121288368" descr=""/>
                    <pic:cNvPicPr>
                      <a:picLocks noChangeAspect="1" noChangeArrowheads="1"/>
                    </pic:cNvPicPr>
                  </pic:nvPicPr>
                  <pic:blipFill>
                    <a:blip r:embed="rId18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Report Builder</w:t>
      </w:r>
    </w:p>
    <w:p>
      <w:pPr>
        <w:pStyle w:val="Normal"/>
        <w:spacing w:lineRule="auto" w:line="276" w:before="0" w:after="120"/>
        <w:rPr/>
      </w:pPr>
      <w:r>
        <w:rPr>
          <w:rFonts w:eastAsia="Segoe UI" w:cs="Segoe UI" w:ascii="Segoe UI" w:hAnsi="Segoe UI"/>
          <w:color w:val="101820"/>
          <w:sz w:val="21"/>
        </w:rPr>
        <w:t>Choose Reports &gt; Report Builder. The Report Builder answers ad hoc questions over curated datasets (Policies, Clients, Bills (premium receivables), Claims and Commissions); each dataset needs the read permission of its module without a new report being programmed. A user who sees only their own book (data scope) sees only their own rows here too.</w:t>
      </w:r>
    </w:p>
    <w:p>
      <w:pPr>
        <w:pStyle w:val="Normal"/>
        <w:numPr>
          <w:ilvl w:val="0"/>
          <w:numId w:val="580"/>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Build</w:t>
      </w:r>
      <w:r>
        <w:rPr>
          <w:rFonts w:eastAsia="Segoe UI" w:cs="Segoe UI" w:ascii="Segoe UI" w:hAnsi="Segoe UI"/>
          <w:color w:val="101820"/>
          <w:sz w:val="21"/>
        </w:rPr>
        <w:t xml:space="preserve">, choose the </w:t>
      </w:r>
      <w:r>
        <w:rPr>
          <w:rFonts w:eastAsia="Segoe UI" w:cs="Segoe UI" w:ascii="Segoe UI" w:hAnsi="Segoe UI"/>
          <w:b/>
          <w:color w:val="101820"/>
          <w:sz w:val="21"/>
        </w:rPr>
        <w:t>Dataset</w:t>
      </w:r>
      <w:r>
        <w:rPr>
          <w:rFonts w:eastAsia="Segoe UI" w:cs="Segoe UI" w:ascii="Segoe UI" w:hAnsi="Segoe UI"/>
          <w:color w:val="101820"/>
          <w:sz w:val="21"/>
        </w:rPr>
        <w:t>.</w:t>
      </w:r>
    </w:p>
    <w:p>
      <w:pPr>
        <w:pStyle w:val="Normal"/>
        <w:numPr>
          <w:ilvl w:val="0"/>
          <w:numId w:val="58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Columns</w:t>
      </w:r>
      <w:r>
        <w:rPr>
          <w:rFonts w:eastAsia="Segoe UI" w:cs="Segoe UI" w:ascii="Segoe UI" w:hAnsi="Segoe UI"/>
          <w:color w:val="101820"/>
          <w:sz w:val="21"/>
        </w:rPr>
        <w:t xml:space="preserve">. Without grouping each row is a record; with </w:t>
      </w:r>
      <w:r>
        <w:rPr>
          <w:rFonts w:eastAsia="Segoe UI" w:cs="Segoe UI" w:ascii="Segoe UI" w:hAnsi="Segoe UI"/>
          <w:b/>
          <w:color w:val="101820"/>
          <w:sz w:val="21"/>
        </w:rPr>
        <w:t>Group by</w:t>
      </w:r>
      <w:r>
        <w:rPr>
          <w:rFonts w:eastAsia="Segoe UI" w:cs="Segoe UI" w:ascii="Segoe UI" w:hAnsi="Segoe UI"/>
          <w:color w:val="101820"/>
          <w:sz w:val="21"/>
        </w:rPr>
        <w:t xml:space="preserve"> (up to five text or date columns) each row is a group and the numeric columns chosen are summed (a count column counts the records).</w:t>
      </w:r>
    </w:p>
    <w:p>
      <w:pPr>
        <w:pStyle w:val="Normal"/>
        <w:numPr>
          <w:ilvl w:val="0"/>
          <w:numId w:val="582"/>
        </w:numPr>
        <w:spacing w:before="0" w:after="60"/>
        <w:rPr/>
      </w:pPr>
      <w:r>
        <w:rPr>
          <w:rFonts w:eastAsia="Segoe UI" w:cs="Segoe UI" w:ascii="Segoe UI" w:hAnsi="Segoe UI"/>
          <w:b/>
          <w:color w:val="101820"/>
          <w:sz w:val="21"/>
        </w:rPr>
        <w:t>Add filter</w:t>
      </w:r>
      <w:r>
        <w:rPr>
          <w:rFonts w:eastAsia="Segoe UI" w:cs="Segoe UI" w:ascii="Segoe UI" w:hAnsi="Segoe UI"/>
          <w:color w:val="101820"/>
          <w:sz w:val="21"/>
        </w:rPr>
        <w:t xml:space="preserve"> for each condition: the column, the operator (equals, contains, between and so on, depending on the type) and the value.</w:t>
      </w:r>
    </w:p>
    <w:p>
      <w:pPr>
        <w:pStyle w:val="Normal"/>
        <w:numPr>
          <w:ilvl w:val="0"/>
          <w:numId w:val="583"/>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Sort by</w:t>
      </w:r>
      <w:r>
        <w:rPr>
          <w:rFonts w:eastAsia="Segoe UI" w:cs="Segoe UI" w:ascii="Segoe UI" w:hAnsi="Segoe UI"/>
          <w:color w:val="101820"/>
          <w:sz w:val="21"/>
        </w:rPr>
        <w:t xml:space="preserve"> and the direction.</w:t>
      </w:r>
    </w:p>
    <w:p>
      <w:pPr>
        <w:pStyle w:val="Normal"/>
        <w:numPr>
          <w:ilvl w:val="0"/>
          <w:numId w:val="5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Run</w:t>
      </w:r>
      <w:r>
        <w:rPr>
          <w:rFonts w:eastAsia="Segoe UI" w:cs="Segoe UI" w:ascii="Segoe UI" w:hAnsi="Segoe UI"/>
          <w:color w:val="101820"/>
          <w:sz w:val="21"/>
        </w:rPr>
        <w:t xml:space="preserve"> to see the result with the totals of the numeric columns. The screen shows up to </w:t>
      </w:r>
      <w:r>
        <w:rPr>
          <w:rFonts w:eastAsia="Segoe UI" w:cs="Segoe UI" w:ascii="Segoe UI" w:hAnsi="Segoe UI"/>
          <w:b/>
          <w:color w:val="101820"/>
          <w:sz w:val="21"/>
        </w:rPr>
        <w:t>report_builder.preview_rows</w:t>
      </w:r>
      <w:r>
        <w:rPr>
          <w:rFonts w:eastAsia="Segoe UI" w:cs="Segoe UI" w:ascii="Segoe UI" w:hAnsi="Segoe UI"/>
          <w:color w:val="101820"/>
          <w:sz w:val="21"/>
        </w:rPr>
        <w:t xml:space="preserve"> rows;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all of them, up to </w:t>
      </w:r>
      <w:r>
        <w:rPr>
          <w:rFonts w:eastAsia="Segoe UI" w:cs="Segoe UI" w:ascii="Segoe UI" w:hAnsi="Segoe UI"/>
          <w:b/>
          <w:color w:val="101820"/>
          <w:sz w:val="21"/>
        </w:rPr>
        <w:t>report_builder.max_rows</w:t>
      </w:r>
      <w:r>
        <w:rPr>
          <w:rFonts w:eastAsia="Segoe UI" w:cs="Segoe UI" w:ascii="Segoe UI" w:hAnsi="Segoe UI"/>
          <w:color w:val="101820"/>
          <w:sz w:val="21"/>
        </w:rPr>
        <w:t>.</w:t>
      </w:r>
    </w:p>
    <w:p>
      <w:pPr>
        <w:pStyle w:val="Normal"/>
        <w:numPr>
          <w:ilvl w:val="0"/>
          <w:numId w:val="5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report</w:t>
      </w:r>
      <w:r>
        <w:rPr>
          <w:rFonts w:eastAsia="Segoe UI" w:cs="Segoe UI" w:ascii="Segoe UI" w:hAnsi="Segoe UI"/>
          <w:color w:val="101820"/>
          <w:sz w:val="21"/>
        </w:rPr>
        <w:t xml:space="preserve">, enter the </w:t>
      </w:r>
      <w:r>
        <w:rPr>
          <w:rFonts w:eastAsia="Segoe UI" w:cs="Segoe UI" w:ascii="Segoe UI" w:hAnsi="Segoe UI"/>
          <w:b/>
          <w:color w:val="101820"/>
          <w:sz w:val="21"/>
        </w:rPr>
        <w:t>Name</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and choose the roles to </w:t>
      </w:r>
      <w:r>
        <w:rPr>
          <w:rFonts w:eastAsia="Segoe UI" w:cs="Segoe UI" w:ascii="Segoe UI" w:hAnsi="Segoe UI"/>
          <w:b/>
          <w:color w:val="101820"/>
          <w:sz w:val="21"/>
        </w:rPr>
        <w:t>Share with</w:t>
      </w:r>
      <w:r>
        <w:rPr>
          <w:rFonts w:eastAsia="Segoe UI" w:cs="Segoe UI" w:ascii="Segoe UI" w:hAnsi="Segoe UI"/>
          <w:color w:val="101820"/>
          <w:sz w:val="21"/>
        </w:rPr>
        <w:t>. A report shared with no role is private.</w:t>
      </w:r>
    </w:p>
    <w:p>
      <w:pPr>
        <w:pStyle w:val="Normal"/>
        <w:spacing w:lineRule="auto" w:line="276" w:before="0" w:after="120"/>
        <w:rPr/>
      </w:pPr>
      <w:r>
        <w:rPr>
          <w:rFonts w:eastAsia="Segoe UI" w:cs="Segoe UI" w:ascii="Segoe UI" w:hAnsi="Segoe UI"/>
          <w:b/>
          <w:color w:val="101820"/>
          <w:sz w:val="21"/>
        </w:rPr>
        <w:t>Saved reports</w:t>
      </w:r>
      <w:r>
        <w:rPr>
          <w:rFonts w:eastAsia="Segoe UI" w:cs="Segoe UI" w:ascii="Segoe UI" w:hAnsi="Segoe UI"/>
          <w:color w:val="101820"/>
          <w:sz w:val="21"/>
        </w:rPr>
        <w:t xml:space="preserve"> lists your own reports and those shared with your roles: </w:t>
      </w:r>
      <w:r>
        <w:rPr>
          <w:rFonts w:eastAsia="Segoe UI" w:cs="Segoe UI" w:ascii="Segoe UI" w:hAnsi="Segoe UI"/>
          <w:b/>
          <w:color w:val="101820"/>
          <w:sz w:val="21"/>
        </w:rPr>
        <w:t>Open</w:t>
      </w:r>
      <w:r>
        <w:rPr>
          <w:rFonts w:eastAsia="Segoe UI" w:cs="Segoe UI" w:ascii="Segoe UI" w:hAnsi="Segoe UI"/>
          <w:color w:val="101820"/>
          <w:sz w:val="21"/>
        </w:rPr>
        <w:t xml:space="preserve"> loads one into Build, </w:t>
      </w:r>
      <w:r>
        <w:rPr>
          <w:rFonts w:eastAsia="Segoe UI" w:cs="Segoe UI" w:ascii="Segoe UI" w:hAnsi="Segoe UI"/>
          <w:b/>
          <w:color w:val="101820"/>
          <w:sz w:val="21"/>
        </w:rPr>
        <w:t>Export to Excel</w:t>
      </w:r>
      <w:r>
        <w:rPr>
          <w:rFonts w:eastAsia="Segoe UI" w:cs="Segoe UI" w:ascii="Segoe UI" w:hAnsi="Segoe UI"/>
          <w:color w:val="101820"/>
          <w:sz w:val="21"/>
        </w:rPr>
        <w:t xml:space="preserve"> exports it directly, and the owner or the administrator can delete it.</w:t>
      </w:r>
    </w:p>
    <w:p>
      <w:pPr>
        <w:pStyle w:val="Heading3"/>
        <w:rPr/>
      </w:pPr>
      <w:r>
        <w:rPr>
          <w:rFonts w:eastAsia="Segoe UI" w:cs="Segoe UI"/>
          <w:b/>
          <w:color w:val="0F4761"/>
          <w:sz w:val="23"/>
        </w:rPr>
        <w:t>15.9.1  BI extract</w:t>
      </w:r>
    </w:p>
    <w:p>
      <w:pPr>
        <w:pStyle w:val="Normal"/>
        <w:spacing w:lineRule="auto" w:line="276" w:before="0" w:after="120"/>
        <w:rPr/>
      </w:pPr>
      <w:r>
        <w:rPr>
          <w:rFonts w:eastAsia="Segoe UI" w:cs="Segoe UI" w:ascii="Segoe UI" w:hAnsi="Segoe UI"/>
          <w:color w:val="101820"/>
          <w:sz w:val="21"/>
        </w:rPr>
        <w:t xml:space="preserve">The administrator's </w:t>
      </w:r>
      <w:r>
        <w:rPr>
          <w:rFonts w:eastAsia="Segoe UI" w:cs="Segoe UI" w:ascii="Segoe UI" w:hAnsi="Segoe UI"/>
          <w:b/>
          <w:color w:val="101820"/>
          <w:sz w:val="21"/>
        </w:rPr>
        <w:t>BI extract</w:t>
      </w:r>
      <w:r>
        <w:rPr>
          <w:rFonts w:eastAsia="Segoe UI" w:cs="Segoe UI" w:ascii="Segoe UI" w:hAnsi="Segoe UI"/>
          <w:color w:val="101820"/>
          <w:sz w:val="21"/>
        </w:rPr>
        <w:t xml:space="preserve"> tab lists the runs of the </w:t>
      </w:r>
      <w:r>
        <w:rPr>
          <w:rFonts w:eastAsia="Segoe UI" w:cs="Segoe UI" w:ascii="Segoe UI" w:hAnsi="Segoe UI"/>
          <w:b/>
          <w:color w:val="101820"/>
          <w:sz w:val="21"/>
        </w:rPr>
        <w:t>bi-extract</w:t>
      </w:r>
      <w:r>
        <w:rPr>
          <w:rFonts w:eastAsia="Segoe UI" w:cs="Segoe UI" w:ascii="Segoe UI" w:hAnsi="Segoe UI"/>
          <w:color w:val="101820"/>
          <w:sz w:val="21"/>
        </w:rPr>
        <w:t xml:space="preserve"> job, which writes one CSV file per dataset listed in </w:t>
      </w:r>
      <w:r>
        <w:rPr>
          <w:rFonts w:eastAsia="Segoe UI" w:cs="Segoe UI" w:ascii="Segoe UI" w:hAnsi="Segoe UI"/>
          <w:b/>
          <w:color w:val="101820"/>
          <w:sz w:val="21"/>
        </w:rPr>
        <w:t>bi.extract_datasets</w:t>
      </w:r>
      <w:r>
        <w:rPr>
          <w:rFonts w:eastAsia="Segoe UI" w:cs="Segoe UI" w:ascii="Segoe UI" w:hAnsi="Segoe UI"/>
          <w:color w:val="101820"/>
          <w:sz w:val="21"/>
        </w:rPr>
        <w:t xml:space="preserve"> to the storage folder </w:t>
      </w:r>
      <w:r>
        <w:rPr>
          <w:rFonts w:eastAsia="Segoe UI" w:cs="Segoe UI" w:ascii="Segoe UI" w:hAnsi="Segoe UI"/>
          <w:b/>
          <w:color w:val="101820"/>
          <w:sz w:val="21"/>
        </w:rPr>
        <w:t>bi.extract_folder</w:t>
      </w:r>
      <w:r>
        <w:rPr>
          <w:rFonts w:eastAsia="Segoe UI" w:cs="Segoe UI" w:ascii="Segoe UI" w:hAnsi="Segoe UI"/>
          <w:color w:val="101820"/>
          <w:sz w:val="21"/>
        </w:rPr>
        <w:t xml:space="preserve">, dated, for the BI tool to pick up. </w:t>
      </w:r>
      <w:r>
        <w:rPr>
          <w:rFonts w:eastAsia="Segoe UI" w:cs="Segoe UI" w:ascii="Segoe UI" w:hAnsi="Segoe UI"/>
          <w:b/>
          <w:color w:val="101820"/>
          <w:sz w:val="21"/>
        </w:rPr>
        <w:t>Run now</w:t>
      </w:r>
      <w:r>
        <w:rPr>
          <w:rFonts w:eastAsia="Segoe UI" w:cs="Segoe UI" w:ascii="Segoe UI" w:hAnsi="Segoe UI"/>
          <w:color w:val="101820"/>
          <w:sz w:val="21"/>
        </w:rPr>
        <w:t xml:space="preserve"> runs it immediately. The job keeps the last </w:t>
      </w:r>
      <w:r>
        <w:rPr>
          <w:rFonts w:eastAsia="Segoe UI" w:cs="Segoe UI" w:ascii="Segoe UI" w:hAnsi="Segoe UI"/>
          <w:b/>
          <w:color w:val="101820"/>
          <w:sz w:val="21"/>
        </w:rPr>
        <w:t>bi.extract_keep_runs</w:t>
      </w:r>
      <w:r>
        <w:rPr>
          <w:rFonts w:eastAsia="Segoe UI" w:cs="Segoe UI" w:ascii="Segoe UI" w:hAnsi="Segoe UI"/>
          <w:color w:val="101820"/>
          <w:sz w:val="21"/>
        </w:rPr>
        <w:t xml:space="preserve"> runs.</w:t>
      </w:r>
      <w:r>
        <w:br w:type="page"/>
      </w:r>
    </w:p>
    <w:p>
      <w:pPr>
        <w:pStyle w:val="Heading1"/>
        <w:rPr/>
      </w:pPr>
      <w:bookmarkStart w:id="182" w:name="__RefHeading___Toc24632_3350804041"/>
      <w:bookmarkEnd w:id="182"/>
      <w:r>
        <w:rPr>
          <w:rFonts w:eastAsia="Segoe UI" w:cs="Segoe UI" w:ascii="Segoe UI" w:hAnsi="Segoe UI"/>
          <w:b/>
          <w:color w:val="0F4761"/>
          <w:sz w:val="32"/>
        </w:rPr>
        <w:t>16.  Compliance</w:t>
      </w:r>
    </w:p>
    <w:p>
      <w:pPr>
        <w:pStyle w:val="Normal"/>
        <w:spacing w:lineRule="auto" w:line="276" w:before="0" w:after="120"/>
        <w:rPr/>
      </w:pPr>
      <w:r>
        <w:rPr>
          <w:rFonts w:eastAsia="Segoe UI" w:cs="Segoe UI" w:ascii="Segoe UI" w:hAnsi="Segoe UI"/>
          <w:color w:val="101820"/>
          <w:sz w:val="21"/>
        </w:rPr>
        <w:t>The Compliance menu holds the registers and reports the broker keeps for its regulators: the Insurance Commission (licences, fit and proper records, insurer certificates of authority, complaints, the annual statement and the production report) and the National Privacy Commission (breach register). Who sees what: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Fit and Proper, Insurer Authority, IC Annual Statement, IC Production Report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Accounting, Accounting Manager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Sales (</w:t>
            </w:r>
            <w:r>
              <w:rPr>
                <w:rFonts w:eastAsia="Consolas" w:cs="Consolas" w:ascii="Consolas" w:hAnsi="Consolas"/>
                <w:color w:val="101820"/>
                <w:kern w:val="0"/>
                <w:sz w:val="16"/>
                <w:szCs w:val="24"/>
                <w:lang w:val="en-US" w:eastAsia="ja-JP" w:bidi="ar-SA"/>
              </w:rPr>
              <w:t>read:complaints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Claims (</w:t>
            </w:r>
            <w:r>
              <w:rPr>
                <w:rFonts w:eastAsia="Consolas" w:cs="Consolas" w:ascii="Consolas" w:hAnsi="Consolas"/>
                <w:color w:val="101820"/>
                <w:kern w:val="0"/>
                <w:sz w:val="16"/>
                <w:szCs w:val="24"/>
                <w:lang w:val="en-US" w:eastAsia="ja-JP" w:bidi="ar-SA"/>
              </w:rPr>
              <w:t>write:complaints</w:t>
            </w:r>
            <w:r>
              <w:rPr>
                <w:rFonts w:eastAsia="Segoe UI" w:cs="Segoe UI" w:ascii="Segoe UI" w:hAnsi="Segoe UI"/>
                <w:color w:val="101820"/>
                <w:kern w:val="0"/>
                <w:sz w:val="18"/>
                <w:szCs w:val="24"/>
                <w:lang w:val="en-US" w:eastAsia="ja-JP" w:bidi="ar-SA"/>
              </w:rPr>
              <w:t xml:space="preserve">); escalations go to </w:t>
            </w:r>
            <w:r>
              <w:rPr>
                <w:rFonts w:eastAsia="Consolas" w:cs="Consolas" w:ascii="Consolas" w:hAnsi="Consolas"/>
                <w:color w:val="101820"/>
                <w:kern w:val="0"/>
                <w:sz w:val="16"/>
                <w:szCs w:val="24"/>
                <w:lang w:val="en-US" w:eastAsia="ja-JP" w:bidi="ar-SA"/>
              </w:rPr>
              <w:t>approve:complaints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Compliance Officer, Operations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settings named below are in Master &gt; Configuration (groups </w:t>
      </w:r>
      <w:r>
        <w:rPr>
          <w:rFonts w:eastAsia="Segoe UI" w:cs="Segoe UI" w:ascii="Segoe UI" w:hAnsi="Segoe UI"/>
          <w:b/>
          <w:color w:val="101820"/>
          <w:sz w:val="21"/>
        </w:rPr>
        <w:t>compliance</w:t>
      </w:r>
      <w:r>
        <w:rPr>
          <w:rFonts w:eastAsia="Segoe UI" w:cs="Segoe UI" w:ascii="Segoe UI" w:hAnsi="Segoe UI"/>
          <w:color w:val="101820"/>
          <w:sz w:val="21"/>
        </w:rPr>
        <w:t xml:space="preserve">, </w:t>
      </w:r>
      <w:r>
        <w:rPr>
          <w:rFonts w:eastAsia="Segoe UI" w:cs="Segoe UI" w:ascii="Segoe UI" w:hAnsi="Segoe UI"/>
          <w:b/>
          <w:color w:val="101820"/>
          <w:sz w:val="21"/>
        </w:rPr>
        <w:t>complaints</w:t>
      </w:r>
      <w:r>
        <w:rPr>
          <w:rFonts w:eastAsia="Segoe UI" w:cs="Segoe UI" w:ascii="Segoe UI" w:hAnsi="Segoe UI"/>
          <w:color w:val="101820"/>
          <w:sz w:val="21"/>
        </w:rPr>
        <w:t xml:space="preserve"> and </w:t>
      </w:r>
      <w:r>
        <w:rPr>
          <w:rFonts w:eastAsia="Segoe UI" w:cs="Segoe UI" w:ascii="Segoe UI" w:hAnsi="Segoe UI"/>
          <w:b/>
          <w:color w:val="101820"/>
          <w:sz w:val="21"/>
        </w:rPr>
        <w:t>privacy</w:t>
      </w:r>
      <w:r>
        <w:rPr>
          <w:rFonts w:eastAsia="Segoe UI" w:cs="Segoe UI" w:ascii="Segoe UI" w:hAnsi="Segoe UI"/>
          <w:color w:val="101820"/>
          <w:sz w:val="21"/>
        </w:rPr>
        <w:t>).</w:t>
      </w:r>
    </w:p>
    <w:p>
      <w:pPr>
        <w:pStyle w:val="Heading2"/>
        <w:rPr/>
      </w:pPr>
      <w:bookmarkStart w:id="183" w:name="__RefHeading___Toc24634_3350804041"/>
      <w:bookmarkEnd w:id="183"/>
      <w:r>
        <w:rPr>
          <w:rFonts w:eastAsia="Segoe UI" w:cs="Segoe UI"/>
          <w:b/>
          <w:color w:val="0F4761"/>
          <w:sz w:val="26"/>
        </w:rPr>
        <w:t>16.1  Licence register</w:t>
      </w:r>
    </w:p>
    <w:p>
      <w:pPr>
        <w:pStyle w:val="Normal"/>
        <w:spacing w:lineRule="auto" w:line="276" w:before="0" w:after="120"/>
        <w:rPr/>
      </w:pPr>
      <w:r>
        <w:rPr>
          <w:rFonts w:eastAsia="Segoe UI" w:cs="Segoe UI" w:ascii="Segoe UI" w:hAnsi="Segoe UI"/>
          <w:color w:val="101820"/>
          <w:sz w:val="21"/>
        </w:rPr>
        <w:t>Compliance &gt; Insurance Commission &gt; Licence Register keeps the licences of the firm (the broker's licence), of its officers and licensed individuals, and of the agents, sub-agents and referrers paid commission.</w:t>
      </w:r>
    </w:p>
    <w:p>
      <w:pPr>
        <w:pStyle w:val="Normal"/>
        <w:jc w:val="center"/>
        <w:rPr/>
      </w:pPr>
      <w:r>
        <w:rPr/>
        <w:drawing>
          <wp:inline distT="0" distB="0" distL="0" distR="0">
            <wp:extent cx="5760085" cy="4469130"/>
            <wp:effectExtent l="0" t="0" r="0" b="0"/>
            <wp:docPr id="189" name="Picture 21212883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2121288369" descr=""/>
                    <pic:cNvPicPr>
                      <a:picLocks noChangeAspect="1" noChangeArrowheads="1"/>
                    </pic:cNvPicPr>
                  </pic:nvPicPr>
                  <pic:blipFill>
                    <a:blip r:embed="rId18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Licence Register</w:t>
      </w:r>
    </w:p>
    <w:p>
      <w:pPr>
        <w:pStyle w:val="Normal"/>
        <w:numPr>
          <w:ilvl w:val="0"/>
          <w:numId w:val="5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licence</w:t>
      </w:r>
      <w:r>
        <w:rPr>
          <w:rFonts w:eastAsia="Segoe UI" w:cs="Segoe UI" w:ascii="Segoe UI" w:hAnsi="Segoe UI"/>
          <w:color w:val="101820"/>
          <w:sz w:val="21"/>
        </w:rPr>
        <w:t xml:space="preserve">. Choose the </w:t>
      </w:r>
      <w:r>
        <w:rPr>
          <w:rFonts w:eastAsia="Segoe UI" w:cs="Segoe UI" w:ascii="Segoe UI" w:hAnsi="Segoe UI"/>
          <w:b/>
          <w:color w:val="101820"/>
          <w:sz w:val="21"/>
        </w:rPr>
        <w:t>Holder type</w:t>
      </w:r>
      <w:r>
        <w:rPr>
          <w:rFonts w:eastAsia="Segoe UI" w:cs="Segoe UI" w:ascii="Segoe UI" w:hAnsi="Segoe UI"/>
          <w:color w:val="101820"/>
          <w:sz w:val="21"/>
        </w:rPr>
        <w:t xml:space="preserve">: </w:t>
      </w:r>
      <w:r>
        <w:rPr>
          <w:rFonts w:eastAsia="Segoe UI" w:cs="Segoe UI" w:ascii="Segoe UI" w:hAnsi="Segoe UI"/>
          <w:b/>
          <w:color w:val="101820"/>
          <w:sz w:val="21"/>
        </w:rPr>
        <w:t>The firm</w:t>
      </w:r>
      <w:r>
        <w:rPr>
          <w:rFonts w:eastAsia="Segoe UI" w:cs="Segoe UI" w:ascii="Segoe UI" w:hAnsi="Segoe UI"/>
          <w:color w:val="101820"/>
          <w:sz w:val="21"/>
        </w:rPr>
        <w:t xml:space="preserve">, </w:t>
      </w:r>
      <w:r>
        <w:rPr>
          <w:rFonts w:eastAsia="Segoe UI" w:cs="Segoe UI" w:ascii="Segoe UI" w:hAnsi="Segoe UI"/>
          <w:b/>
          <w:color w:val="101820"/>
          <w:sz w:val="21"/>
        </w:rPr>
        <w:t>Officer</w:t>
      </w:r>
      <w:r>
        <w:rPr>
          <w:rFonts w:eastAsia="Segoe UI" w:cs="Segoe UI" w:ascii="Segoe UI" w:hAnsi="Segoe UI"/>
          <w:color w:val="101820"/>
          <w:sz w:val="21"/>
        </w:rPr>
        <w:t xml:space="preserve">, </w:t>
      </w:r>
      <w:r>
        <w:rPr>
          <w:rFonts w:eastAsia="Segoe UI" w:cs="Segoe UI" w:ascii="Segoe UI" w:hAnsi="Segoe UI"/>
          <w:b/>
          <w:color w:val="101820"/>
          <w:sz w:val="21"/>
        </w:rPr>
        <w:t>Licensed individual</w:t>
      </w:r>
      <w:r>
        <w:rPr>
          <w:rFonts w:eastAsia="Segoe UI" w:cs="Segoe UI" w:ascii="Segoe UI" w:hAnsi="Segoe UI"/>
          <w:color w:val="101820"/>
          <w:sz w:val="21"/>
        </w:rPr>
        <w:t xml:space="preserve"> or </w:t>
      </w:r>
      <w:r>
        <w:rPr>
          <w:rFonts w:eastAsia="Segoe UI" w:cs="Segoe UI" w:ascii="Segoe UI" w:hAnsi="Segoe UI"/>
          <w:b/>
          <w:color w:val="101820"/>
          <w:sz w:val="21"/>
        </w:rPr>
        <w:t>Agent / referrer</w:t>
      </w:r>
      <w:r>
        <w:rPr>
          <w:rFonts w:eastAsia="Segoe UI" w:cs="Segoe UI" w:ascii="Segoe UI" w:hAnsi="Segoe UI"/>
          <w:color w:val="101820"/>
          <w:sz w:val="21"/>
        </w:rPr>
        <w:t>. For an agent choose the referrer account; for an officer or individual the user (optional) and the position.</w:t>
      </w:r>
    </w:p>
    <w:p>
      <w:pPr>
        <w:pStyle w:val="Normal"/>
        <w:numPr>
          <w:ilvl w:val="0"/>
          <w:numId w:val="58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Licence type</w:t>
      </w:r>
      <w:r>
        <w:rPr>
          <w:rFonts w:eastAsia="Segoe UI" w:cs="Segoe UI" w:ascii="Segoe UI" w:hAnsi="Segoe UI"/>
          <w:color w:val="101820"/>
          <w:sz w:val="21"/>
        </w:rPr>
        <w:t xml:space="preserve"> (list in </w:t>
      </w:r>
      <w:r>
        <w:rPr>
          <w:rFonts w:eastAsia="Consolas" w:cs="Consolas" w:ascii="Consolas" w:hAnsi="Consolas"/>
          <w:color w:val="101820"/>
          <w:sz w:val="19"/>
        </w:rPr>
        <w:t>compliance.licence_types</w:t>
      </w:r>
      <w:r>
        <w:rPr>
          <w:rFonts w:eastAsia="Segoe UI" w:cs="Segoe UI" w:ascii="Segoe UI" w:hAnsi="Segoe UI"/>
          <w:color w:val="101820"/>
          <w:sz w:val="21"/>
        </w:rPr>
        <w:t xml:space="preserve">), enter the </w:t>
      </w:r>
      <w:r>
        <w:rPr>
          <w:rFonts w:eastAsia="Segoe UI" w:cs="Segoe UI" w:ascii="Segoe UI" w:hAnsi="Segoe UI"/>
          <w:b/>
          <w:color w:val="101820"/>
          <w:sz w:val="21"/>
        </w:rPr>
        <w:t>Licence number</w:t>
      </w:r>
      <w:r>
        <w:rPr>
          <w:rFonts w:eastAsia="Segoe UI" w:cs="Segoe UI" w:ascii="Segoe UI" w:hAnsi="Segoe UI"/>
          <w:color w:val="101820"/>
          <w:sz w:val="21"/>
        </w:rPr>
        <w:t xml:space="preserve">, </w:t>
      </w:r>
      <w:r>
        <w:rPr>
          <w:rFonts w:eastAsia="Segoe UI" w:cs="Segoe UI" w:ascii="Segoe UI" w:hAnsi="Segoe UI"/>
          <w:b/>
          <w:color w:val="101820"/>
          <w:sz w:val="21"/>
        </w:rPr>
        <w:t>Issued by</w:t>
      </w:r>
      <w:r>
        <w:rPr>
          <w:rFonts w:eastAsia="Segoe UI" w:cs="Segoe UI" w:ascii="Segoe UI" w:hAnsi="Segoe UI"/>
          <w:color w:val="101820"/>
          <w:sz w:val="21"/>
        </w:rPr>
        <w:t xml:space="preserve"> (Insurance Commission by default), the lines authorised, the </w:t>
      </w:r>
      <w:r>
        <w:rPr>
          <w:rFonts w:eastAsia="Segoe UI" w:cs="Segoe UI" w:ascii="Segoe UI" w:hAnsi="Segoe UI"/>
          <w:b/>
          <w:color w:val="101820"/>
          <w:sz w:val="21"/>
        </w:rPr>
        <w:t>Issued</w:t>
      </w:r>
      <w:r>
        <w:rPr>
          <w:rFonts w:eastAsia="Segoe UI" w:cs="Segoe UI" w:ascii="Segoe UI" w:hAnsi="Segoe UI"/>
          <w:color w:val="101820"/>
          <w:sz w:val="21"/>
        </w:rPr>
        <w:t xml:space="preserve"> and </w:t>
      </w:r>
      <w:r>
        <w:rPr>
          <w:rFonts w:eastAsia="Segoe UI" w:cs="Segoe UI" w:ascii="Segoe UI" w:hAnsi="Segoe UI"/>
          <w:b/>
          <w:color w:val="101820"/>
          <w:sz w:val="21"/>
        </w:rPr>
        <w:t>Expires</w:t>
      </w:r>
      <w:r>
        <w:rPr>
          <w:rFonts w:eastAsia="Segoe UI" w:cs="Segoe UI" w:ascii="Segoe UI" w:hAnsi="Segoe UI"/>
          <w:color w:val="101820"/>
          <w:sz w:val="21"/>
        </w:rPr>
        <w:t xml:space="preserve"> dates, and attach the licence and the official receipt of the fees with </w:t>
      </w:r>
      <w:r>
        <w:rPr>
          <w:rFonts w:eastAsia="Segoe UI" w:cs="Segoe UI" w:ascii="Segoe UI" w:hAnsi="Segoe UI"/>
          <w:b/>
          <w:color w:val="101820"/>
          <w:sz w:val="21"/>
        </w:rPr>
        <w:t>Attach documents</w:t>
      </w:r>
      <w:r>
        <w:rPr>
          <w:rFonts w:eastAsia="Segoe UI" w:cs="Segoe UI" w:ascii="Segoe UI" w:hAnsi="Segoe UI"/>
          <w:color w:val="101820"/>
          <w:sz w:val="21"/>
        </w:rPr>
        <w:t>.</w:t>
      </w:r>
    </w:p>
    <w:p>
      <w:pPr>
        <w:pStyle w:val="Normal"/>
        <w:numPr>
          <w:ilvl w:val="0"/>
          <w:numId w:val="588"/>
        </w:numPr>
        <w:spacing w:before="0" w:after="60"/>
        <w:rPr/>
      </w:pPr>
      <w:r>
        <w:rPr>
          <w:rFonts w:eastAsia="Segoe UI" w:cs="Segoe UI" w:ascii="Segoe UI" w:hAnsi="Segoe UI"/>
          <w:color w:val="101820"/>
          <w:sz w:val="21"/>
        </w:rPr>
        <w:t xml:space="preserve">Save. The register shows each licence with its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compliance.licence_expiring_days</w:t>
      </w:r>
      <w:r>
        <w:rPr>
          <w:rFonts w:eastAsia="Segoe UI" w:cs="Segoe UI" w:ascii="Segoe UI" w:hAnsi="Segoe UI"/>
          <w:color w:val="101820"/>
          <w:sz w:val="21"/>
        </w:rPr>
        <w:t xml:space="preserve">, 90),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expiry date</w:t>
      </w:r>
      <w:r>
        <w:rPr>
          <w:rFonts w:eastAsia="Segoe UI" w:cs="Segoe UI" w:ascii="Segoe UI" w:hAnsi="Segoe UI"/>
          <w:color w:val="101820"/>
          <w:sz w:val="21"/>
        </w:rPr>
        <w:t>. The cards count each state; select a card to filter.</w:t>
      </w:r>
    </w:p>
    <w:p>
      <w:pPr>
        <w:pStyle w:val="Normal"/>
        <w:numPr>
          <w:ilvl w:val="0"/>
          <w:numId w:val="589"/>
        </w:numPr>
        <w:spacing w:before="0" w:after="60"/>
        <w:rPr/>
      </w:pPr>
      <w:r>
        <w:rPr>
          <w:rFonts w:eastAsia="Segoe UI" w:cs="Segoe UI" w:ascii="Segoe UI" w:hAnsi="Segoe UI"/>
          <w:color w:val="101820"/>
          <w:sz w:val="21"/>
        </w:rPr>
        <w:t xml:space="preserve">When the renewal is filed with the IC, edit the licence and set </w:t>
      </w:r>
      <w:r>
        <w:rPr>
          <w:rFonts w:eastAsia="Segoe UI" w:cs="Segoe UI" w:ascii="Segoe UI" w:hAnsi="Segoe UI"/>
          <w:b/>
          <w:color w:val="101820"/>
          <w:sz w:val="21"/>
        </w:rPr>
        <w:t>Renewal</w:t>
      </w:r>
      <w:r>
        <w:rPr>
          <w:rFonts w:eastAsia="Segoe UI" w:cs="Segoe UI" w:ascii="Segoe UI" w:hAnsi="Segoe UI"/>
          <w:color w:val="101820"/>
          <w:sz w:val="21"/>
        </w:rPr>
        <w:t xml:space="preserve"> to </w:t>
      </w:r>
      <w:r>
        <w:rPr>
          <w:rFonts w:eastAsia="Segoe UI" w:cs="Segoe UI" w:ascii="Segoe UI" w:hAnsi="Segoe UI"/>
          <w:b/>
          <w:color w:val="101820"/>
          <w:sz w:val="21"/>
        </w:rPr>
        <w:t>Filed with the IC</w:t>
      </w:r>
      <w:r>
        <w:rPr>
          <w:rFonts w:eastAsia="Segoe UI" w:cs="Segoe UI" w:ascii="Segoe UI" w:hAnsi="Segoe UI"/>
          <w:color w:val="101820"/>
          <w:sz w:val="21"/>
        </w:rPr>
        <w:t xml:space="preserve"> with the date and reference.</w:t>
      </w:r>
    </w:p>
    <w:p>
      <w:pPr>
        <w:pStyle w:val="Normal"/>
        <w:numPr>
          <w:ilvl w:val="0"/>
          <w:numId w:val="590"/>
        </w:numPr>
        <w:spacing w:before="0" w:after="60"/>
        <w:rPr/>
      </w:pPr>
      <w:r>
        <w:rPr>
          <w:rFonts w:eastAsia="Segoe UI" w:cs="Segoe UI" w:ascii="Segoe UI" w:hAnsi="Segoe UI"/>
          <w:color w:val="101820"/>
          <w:sz w:val="21"/>
        </w:rPr>
        <w:t xml:space="preserve">When the renewed licence is received, select </w:t>
      </w:r>
      <w:r>
        <w:rPr>
          <w:rFonts w:eastAsia="Segoe UI" w:cs="Segoe UI" w:ascii="Segoe UI" w:hAnsi="Segoe UI"/>
          <w:b/>
          <w:color w:val="101820"/>
          <w:sz w:val="21"/>
        </w:rPr>
        <w:t>Record renewal</w:t>
      </w:r>
      <w:r>
        <w:rPr>
          <w:rFonts w:eastAsia="Segoe UI" w:cs="Segoe UI" w:ascii="Segoe UI" w:hAnsi="Segoe UI"/>
          <w:color w:val="101820"/>
          <w:sz w:val="21"/>
        </w:rPr>
        <w:t xml:space="preserve">, enter the new number and dates and attach the licence. The renewed licence becomes the licence in force and the old one is kept as </w:t>
      </w:r>
      <w:r>
        <w:rPr>
          <w:rFonts w:eastAsia="Segoe UI" w:cs="Segoe UI" w:ascii="Segoe UI" w:hAnsi="Segoe UI"/>
          <w:b/>
          <w:color w:val="101820"/>
          <w:sz w:val="21"/>
        </w:rPr>
        <w:t>Superseded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Expiry calendar</w:t>
      </w:r>
      <w:r>
        <w:rPr>
          <w:rFonts w:eastAsia="Segoe UI" w:cs="Segoe UI" w:ascii="Segoe UI" w:hAnsi="Segoe UI"/>
          <w:color w:val="101820"/>
          <w:sz w:val="21"/>
        </w:rPr>
        <w:t xml:space="preserve"> shows the licences expiring in each of the next twelve months and the expired licences. The page warns when the firm has no licence in force and lists the agents whose commission is held because they have no licence in force.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Normal"/>
        <w:spacing w:lineRule="auto" w:line="276" w:before="0" w:after="120"/>
        <w:rPr/>
      </w:pPr>
      <w:r>
        <w:rPr>
          <w:rFonts w:eastAsia="Segoe UI" w:cs="Segoe UI" w:ascii="Segoe UI" w:hAnsi="Segoe UI"/>
          <w:color w:val="101820"/>
          <w:sz w:val="21"/>
        </w:rPr>
        <w:t xml:space="preserve">The daily job </w:t>
      </w:r>
      <w:r>
        <w:rPr>
          <w:rFonts w:eastAsia="Consolas" w:cs="Consolas" w:ascii="Consolas" w:hAnsi="Consolas"/>
          <w:color w:val="101820"/>
          <w:sz w:val="19"/>
        </w:rPr>
        <w:t>compliance-reminders</w:t>
      </w:r>
      <w:r>
        <w:rPr>
          <w:rFonts w:eastAsia="Segoe UI" w:cs="Segoe UI" w:ascii="Segoe UI" w:hAnsi="Segoe UI"/>
          <w:color w:val="101820"/>
          <w:sz w:val="21"/>
        </w:rPr>
        <w:t xml:space="preserve"> (Master &gt; Schedules) reminds the compliance team (</w:t>
      </w:r>
      <w:r>
        <w:rPr>
          <w:rFonts w:eastAsia="Consolas" w:cs="Consolas" w:ascii="Consolas" w:hAnsi="Consolas"/>
          <w:color w:val="101820"/>
          <w:sz w:val="19"/>
        </w:rPr>
        <w:t>read:compliance</w:t>
      </w:r>
      <w:r>
        <w:rPr>
          <w:rFonts w:eastAsia="Segoe UI" w:cs="Segoe UI" w:ascii="Segoe UI" w:hAnsi="Segoe UI"/>
          <w:color w:val="101820"/>
          <w:sz w:val="21"/>
        </w:rPr>
        <w:t xml:space="preserve">) of each licence at each threshold of </w:t>
      </w:r>
      <w:r>
        <w:rPr>
          <w:rFonts w:eastAsia="Consolas" w:cs="Consolas" w:ascii="Consolas" w:hAnsi="Consolas"/>
          <w:color w:val="101820"/>
          <w:sz w:val="19"/>
        </w:rPr>
        <w:t>compliance.licence_reminder_days</w:t>
      </w:r>
      <w:r>
        <w:rPr>
          <w:rFonts w:eastAsia="Segoe UI" w:cs="Segoe UI" w:ascii="Segoe UI" w:hAnsi="Segoe UI"/>
          <w:color w:val="101820"/>
          <w:sz w:val="21"/>
        </w:rPr>
        <w:t xml:space="preserve"> (90, 60, 30, 15 and 7 days before expiry, and when it has expired), once per threshold, and the user who holds the licence. A licence within 30 days of expiry is marked </w:t>
      </w:r>
      <w:r>
        <w:rPr>
          <w:rFonts w:eastAsia="Segoe UI" w:cs="Segoe UI" w:ascii="Segoe UI" w:hAnsi="Segoe UI"/>
          <w:b/>
          <w:color w:val="101820"/>
          <w:sz w:val="21"/>
        </w:rPr>
        <w:t>Renewal due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Commission to unlicensed agents.</w:t>
      </w:r>
      <w:r>
        <w:rPr>
          <w:rFonts w:eastAsia="Segoe UI" w:cs="Segoe UI" w:ascii="Segoe UI" w:hAnsi="Segoe UI"/>
          <w:color w:val="101820"/>
          <w:sz w:val="21"/>
        </w:rPr>
        <w:t xml:space="preserve"> Commission to a referrer whose type is in </w:t>
      </w:r>
      <w:r>
        <w:rPr>
          <w:rFonts w:eastAsia="Consolas" w:cs="Consolas" w:ascii="Consolas" w:hAnsi="Consolas"/>
          <w:color w:val="101820"/>
          <w:sz w:val="19"/>
        </w:rPr>
        <w:t>compliance.licence_required_referrer_types</w:t>
      </w:r>
      <w:r>
        <w:rPr>
          <w:rFonts w:eastAsia="Segoe UI" w:cs="Segoe UI" w:ascii="Segoe UI" w:hAnsi="Segoe UI"/>
          <w:color w:val="101820"/>
          <w:sz w:val="21"/>
        </w:rPr>
        <w:t xml:space="preserve"> (Agent and Sub-agent) is approved and paid only when the licence register holds a licence in force for that referrer on the day. </w:t>
      </w:r>
      <w:r>
        <w:rPr>
          <w:rFonts w:eastAsia="Consolas" w:cs="Consolas" w:ascii="Consolas" w:hAnsi="Consolas"/>
          <w:color w:val="101820"/>
          <w:sz w:val="19"/>
        </w:rPr>
        <w:t>compliance.referrer_licence_check</w:t>
      </w:r>
      <w:r>
        <w:rPr>
          <w:rFonts w:eastAsia="Segoe UI" w:cs="Segoe UI" w:ascii="Segoe UI" w:hAnsi="Segoe UI"/>
          <w:color w:val="101820"/>
          <w:sz w:val="21"/>
        </w:rPr>
        <w:t xml:space="preserve"> decides what happens otherwise:</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(delivered): </w:t>
      </w:r>
      <w:r>
        <w:rPr>
          <w:rFonts w:eastAsia="Segoe UI" w:cs="Segoe UI" w:ascii="Segoe UI" w:hAnsi="Segoe UI"/>
          <w:b/>
          <w:color w:val="101820"/>
          <w:sz w:val="21"/>
        </w:rPr>
        <w:t>Approve</w:t>
      </w:r>
      <w:r>
        <w:rPr>
          <w:rFonts w:eastAsia="Segoe UI" w:cs="Segoe UI" w:ascii="Segoe UI" w:hAnsi="Segoe UI"/>
          <w:color w:val="101820"/>
          <w:sz w:val="21"/>
        </w:rPr>
        <w:t xml:space="preserve">, </w:t>
      </w:r>
      <w:r>
        <w:rPr>
          <w:rFonts w:eastAsia="Segoe UI" w:cs="Segoe UI" w:ascii="Segoe UI" w:hAnsi="Segoe UI"/>
          <w:b/>
          <w:color w:val="101820"/>
          <w:sz w:val="21"/>
        </w:rPr>
        <w:t>Generate payout</w:t>
      </w:r>
      <w:r>
        <w:rPr>
          <w:rFonts w:eastAsia="Segoe UI" w:cs="Segoe UI" w:ascii="Segoe UI" w:hAnsi="Segoe UI"/>
          <w:color w:val="101820"/>
          <w:sz w:val="21"/>
        </w:rPr>
        <w:t>, single-line payment and the approval of the payout voucher are refused with the reason, which is also shown on the referrer account (Commission &gt; Agents/Referrer Accounts).</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the payout goes ahead; the warning is shown on the referrer account and after the action, and recorded in the audit trail (action Compliance warning).</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Heading2"/>
        <w:rPr/>
      </w:pPr>
      <w:bookmarkStart w:id="184" w:name="__RefHeading___Toc24636_3350804041"/>
      <w:bookmarkEnd w:id="184"/>
      <w:r>
        <w:rPr>
          <w:rFonts w:eastAsia="Segoe UI" w:cs="Segoe UI"/>
          <w:b/>
          <w:color w:val="0F4761"/>
          <w:sz w:val="26"/>
        </w:rPr>
        <w:t>16.2  Fit and proper records</w:t>
      </w:r>
    </w:p>
    <w:p>
      <w:pPr>
        <w:pStyle w:val="Normal"/>
        <w:spacing w:lineRule="auto" w:line="276" w:before="0" w:after="120"/>
        <w:rPr/>
      </w:pPr>
      <w:r>
        <w:rPr>
          <w:rFonts w:eastAsia="Segoe UI" w:cs="Segoe UI" w:ascii="Segoe UI" w:hAnsi="Segoe UI"/>
          <w:color w:val="101820"/>
          <w:sz w:val="21"/>
        </w:rPr>
        <w:t>Compliance &gt; Insurance Commission &gt; Fit and Proper keeps the record of each director and officer.</w:t>
      </w:r>
    </w:p>
    <w:p>
      <w:pPr>
        <w:pStyle w:val="Normal"/>
        <w:jc w:val="center"/>
        <w:rPr/>
      </w:pPr>
      <w:r>
        <w:rPr/>
        <w:drawing>
          <wp:inline distT="0" distB="0" distL="0" distR="0">
            <wp:extent cx="5760085" cy="4469130"/>
            <wp:effectExtent l="0" t="0" r="0" b="0"/>
            <wp:docPr id="190" name="Picture 21212883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2121288370" descr=""/>
                    <pic:cNvPicPr>
                      <a:picLocks noChangeAspect="1" noChangeArrowheads="1"/>
                    </pic:cNvPicPr>
                  </pic:nvPicPr>
                  <pic:blipFill>
                    <a:blip r:embed="rId18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Fit and Proper</w:t>
      </w:r>
    </w:p>
    <w:p>
      <w:pPr>
        <w:pStyle w:val="Normal"/>
        <w:numPr>
          <w:ilvl w:val="0"/>
          <w:numId w:val="59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director or officer</w:t>
      </w:r>
      <w:r>
        <w:rPr>
          <w:rFonts w:eastAsia="Segoe UI" w:cs="Segoe UI" w:ascii="Segoe UI" w:hAnsi="Segoe UI"/>
          <w:color w:val="101820"/>
          <w:sz w:val="21"/>
        </w:rPr>
        <w:t xml:space="preserve">. Enter the name, the </w:t>
      </w:r>
      <w:r>
        <w:rPr>
          <w:rFonts w:eastAsia="Segoe UI" w:cs="Segoe UI" w:ascii="Segoe UI" w:hAnsi="Segoe UI"/>
          <w:b/>
          <w:color w:val="101820"/>
          <w:sz w:val="21"/>
        </w:rPr>
        <w:t>Category</w:t>
      </w:r>
      <w:r>
        <w:rPr>
          <w:rFonts w:eastAsia="Segoe UI" w:cs="Segoe UI" w:ascii="Segoe UI" w:hAnsi="Segoe UI"/>
          <w:color w:val="101820"/>
          <w:sz w:val="21"/>
        </w:rPr>
        <w:t xml:space="preserve"> (Director, Officer, Compliance officer, Key person), the position and the date appointed.</w:t>
      </w:r>
    </w:p>
    <w:p>
      <w:pPr>
        <w:pStyle w:val="Normal"/>
        <w:numPr>
          <w:ilvl w:val="0"/>
          <w:numId w:val="592"/>
        </w:numPr>
        <w:spacing w:before="0" w:after="60"/>
        <w:rPr/>
      </w:pPr>
      <w:r>
        <w:rPr>
          <w:rFonts w:eastAsia="Segoe UI" w:cs="Segoe UI" w:ascii="Segoe UI" w:hAnsi="Segoe UI"/>
          <w:color w:val="101820"/>
          <w:sz w:val="21"/>
        </w:rPr>
        <w:t xml:space="preserve">Answer each declaration </w:t>
      </w:r>
      <w:r>
        <w:rPr>
          <w:rFonts w:eastAsia="Segoe UI" w:cs="Segoe UI" w:ascii="Segoe UI" w:hAnsi="Segoe UI"/>
          <w:b/>
          <w:color w:val="101820"/>
          <w:sz w:val="21"/>
        </w:rPr>
        <w:t>Yes</w:t>
      </w:r>
      <w:r>
        <w:rPr>
          <w:rFonts w:eastAsia="Segoe UI" w:cs="Segoe UI" w:ascii="Segoe UI" w:hAnsi="Segoe UI"/>
          <w:color w:val="101820"/>
          <w:sz w:val="21"/>
        </w:rPr>
        <w:t xml:space="preserve"> or </w:t>
      </w:r>
      <w:r>
        <w:rPr>
          <w:rFonts w:eastAsia="Segoe UI" w:cs="Segoe UI" w:ascii="Segoe UI" w:hAnsi="Segoe UI"/>
          <w:b/>
          <w:color w:val="101820"/>
          <w:sz w:val="21"/>
        </w:rPr>
        <w:t>No</w:t>
      </w:r>
      <w:r>
        <w:rPr>
          <w:rFonts w:eastAsia="Segoe UI" w:cs="Segoe UI" w:ascii="Segoe UI" w:hAnsi="Segoe UI"/>
          <w:color w:val="101820"/>
          <w:sz w:val="21"/>
        </w:rPr>
        <w:t xml:space="preserve">. The declarations are the list in </w:t>
      </w:r>
      <w:r>
        <w:rPr>
          <w:rFonts w:eastAsia="Consolas" w:cs="Consolas" w:ascii="Consolas" w:hAnsi="Consolas"/>
          <w:color w:val="101820"/>
          <w:sz w:val="19"/>
        </w:rPr>
        <w:t>compliance.fit_proper_declarations</w:t>
      </w:r>
      <w:r>
        <w:rPr>
          <w:rFonts w:eastAsia="Segoe UI" w:cs="Segoe UI" w:ascii="Segoe UI" w:hAnsi="Segoe UI"/>
          <w:color w:val="101820"/>
          <w:sz w:val="21"/>
        </w:rPr>
        <w:t xml:space="preserve"> (confirm the wording with the compliance officer against the IC rules in force). A </w:t>
      </w:r>
      <w:r>
        <w:rPr>
          <w:rFonts w:eastAsia="Segoe UI" w:cs="Segoe UI" w:ascii="Segoe UI" w:hAnsi="Segoe UI"/>
          <w:b/>
          <w:color w:val="101820"/>
          <w:sz w:val="21"/>
        </w:rPr>
        <w:t>No</w:t>
      </w:r>
      <w:r>
        <w:rPr>
          <w:rFonts w:eastAsia="Segoe UI" w:cs="Segoe UI" w:ascii="Segoe UI" w:hAnsi="Segoe UI"/>
          <w:color w:val="101820"/>
          <w:sz w:val="21"/>
        </w:rPr>
        <w:t xml:space="preserve"> needs an explanation.</w:t>
      </w:r>
    </w:p>
    <w:p>
      <w:pPr>
        <w:pStyle w:val="Normal"/>
        <w:numPr>
          <w:ilvl w:val="0"/>
          <w:numId w:val="593"/>
        </w:numPr>
        <w:spacing w:before="0" w:after="60"/>
        <w:rPr/>
      </w:pPr>
      <w:r>
        <w:rPr>
          <w:rFonts w:eastAsia="Segoe UI" w:cs="Segoe UI" w:ascii="Segoe UI" w:hAnsi="Segoe UI"/>
          <w:color w:val="101820"/>
          <w:sz w:val="21"/>
        </w:rPr>
        <w:t>Enter the date the declaration was signed and attach the clearances, curriculum vitae and board resolution.</w:t>
      </w:r>
    </w:p>
    <w:p>
      <w:pPr>
        <w:pStyle w:val="Normal"/>
        <w:numPr>
          <w:ilvl w:val="0"/>
          <w:numId w:val="5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review</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(Fit and proper, Conditional, Not fit and proper) and the date. A person is found fit and proper only when every declaration is answered. The next review is due </w:t>
      </w:r>
      <w:r>
        <w:rPr>
          <w:rFonts w:eastAsia="Consolas" w:cs="Consolas" w:ascii="Consolas" w:hAnsi="Consolas"/>
          <w:color w:val="101820"/>
          <w:sz w:val="19"/>
        </w:rPr>
        <w:t>compliance.fit_proper_review_months</w:t>
      </w:r>
      <w:r>
        <w:rPr>
          <w:rFonts w:eastAsia="Segoe UI" w:cs="Segoe UI" w:ascii="Segoe UI" w:hAnsi="Segoe UI"/>
          <w:color w:val="101820"/>
          <w:sz w:val="21"/>
        </w:rPr>
        <w:t xml:space="preserve"> (12) months later.</w:t>
      </w:r>
    </w:p>
    <w:p>
      <w:pPr>
        <w:pStyle w:val="Normal"/>
        <w:spacing w:lineRule="auto" w:line="276" w:before="0" w:after="120"/>
        <w:rPr/>
      </w:pPr>
      <w:r>
        <w:rPr>
          <w:rFonts w:eastAsia="Segoe UI" w:cs="Segoe UI" w:ascii="Segoe UI" w:hAnsi="Segoe UI"/>
          <w:color w:val="101820"/>
          <w:sz w:val="21"/>
        </w:rPr>
        <w:t xml:space="preserve">The cards count reviews overdue, due soon (within </w:t>
      </w:r>
      <w:r>
        <w:rPr>
          <w:rFonts w:eastAsia="Consolas" w:cs="Consolas" w:ascii="Consolas" w:hAnsi="Consolas"/>
          <w:color w:val="101820"/>
          <w:sz w:val="19"/>
        </w:rPr>
        <w:t>compliance.fit_proper_reminder_days</w:t>
      </w:r>
      <w:r>
        <w:rPr>
          <w:rFonts w:eastAsia="Segoe UI" w:cs="Segoe UI" w:ascii="Segoe UI" w:hAnsi="Segoe UI"/>
          <w:color w:val="101820"/>
          <w:sz w:val="21"/>
        </w:rPr>
        <w:t xml:space="preserve">, 30) and records not yet reviewed; 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register.</w:t>
      </w:r>
    </w:p>
    <w:p>
      <w:pPr>
        <w:pStyle w:val="Heading2"/>
        <w:rPr/>
      </w:pPr>
      <w:bookmarkStart w:id="185" w:name="__RefHeading___Toc24638_3350804041"/>
      <w:bookmarkEnd w:id="185"/>
      <w:r>
        <w:rPr>
          <w:rFonts w:eastAsia="Segoe UI" w:cs="Segoe UI"/>
          <w:b/>
          <w:color w:val="0F4761"/>
          <w:sz w:val="26"/>
        </w:rPr>
        <w:t>16.3  Insurer authority</w:t>
      </w:r>
    </w:p>
    <w:p>
      <w:pPr>
        <w:pStyle w:val="Normal"/>
        <w:spacing w:lineRule="auto" w:line="276" w:before="0" w:after="120"/>
        <w:rPr/>
      </w:pPr>
      <w:r>
        <w:rPr>
          <w:rFonts w:eastAsia="Segoe UI" w:cs="Segoe UI" w:ascii="Segoe UI" w:hAnsi="Segoe UI"/>
          <w:color w:val="101820"/>
          <w:sz w:val="21"/>
        </w:rPr>
        <w:t xml:space="preserve">Business is placed only with insurers whose IC certificate of authority is in force. The certificate number and validity are the fields </w:t>
      </w:r>
      <w:r>
        <w:rPr>
          <w:rFonts w:eastAsia="Segoe UI" w:cs="Segoe UI" w:ascii="Segoe UI" w:hAnsi="Segoe UI"/>
          <w:b/>
          <w:color w:val="101820"/>
          <w:sz w:val="21"/>
        </w:rPr>
        <w:t>IC Certificate of Authority No.</w:t>
      </w:r>
      <w:r>
        <w:rPr>
          <w:rFonts w:eastAsia="Segoe UI" w:cs="Segoe UI" w:ascii="Segoe UI" w:hAnsi="Segoe UI"/>
          <w:color w:val="101820"/>
          <w:sz w:val="21"/>
        </w:rPr>
        <w:t xml:space="preserve"> and </w:t>
      </w:r>
      <w:r>
        <w:rPr>
          <w:rFonts w:eastAsia="Segoe UI" w:cs="Segoe UI" w:ascii="Segoe UI" w:hAnsi="Segoe UI"/>
          <w:b/>
          <w:color w:val="101820"/>
          <w:sz w:val="21"/>
        </w:rPr>
        <w:t>Certificate of Authority Valid Until</w:t>
      </w:r>
      <w:r>
        <w:rPr>
          <w:rFonts w:eastAsia="Segoe UI" w:cs="Segoe UI" w:ascii="Segoe UI" w:hAnsi="Segoe UI"/>
          <w:color w:val="101820"/>
          <w:sz w:val="21"/>
        </w:rPr>
        <w:t xml:space="preserve"> of the insurer (Master &gt; Insurance &gt; Insurance Company).</w:t>
      </w:r>
    </w:p>
    <w:p>
      <w:pPr>
        <w:pStyle w:val="Normal"/>
        <w:jc w:val="center"/>
        <w:rPr/>
      </w:pPr>
      <w:r>
        <w:rPr/>
        <w:drawing>
          <wp:inline distT="0" distB="0" distL="0" distR="0">
            <wp:extent cx="5760085" cy="4469130"/>
            <wp:effectExtent l="0" t="0" r="0" b="0"/>
            <wp:docPr id="191" name="Picture 21212883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2121288371" descr=""/>
                    <pic:cNvPicPr>
                      <a:picLocks noChangeAspect="1" noChangeArrowheads="1"/>
                    </pic:cNvPicPr>
                  </pic:nvPicPr>
                  <pic:blipFill>
                    <a:blip r:embed="rId1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Insurer Authority</w:t>
      </w:r>
    </w:p>
    <w:p>
      <w:pPr>
        <w:pStyle w:val="Normal"/>
        <w:spacing w:lineRule="auto" w:line="276" w:before="0" w:after="120"/>
        <w:rPr/>
      </w:pPr>
      <w:r>
        <w:rPr>
          <w:rFonts w:eastAsia="Segoe UI" w:cs="Segoe UI" w:ascii="Segoe UI" w:hAnsi="Segoe UI"/>
          <w:color w:val="101820"/>
          <w:sz w:val="21"/>
        </w:rPr>
        <w:t xml:space="preserve">Compliance &gt; Insurance Commission &gt; Insurer Authority lists every active insurer (switch </w:t>
      </w:r>
      <w:r>
        <w:rPr>
          <w:rFonts w:eastAsia="Segoe UI" w:cs="Segoe UI" w:ascii="Segoe UI" w:hAnsi="Segoe UI"/>
          <w:b/>
          <w:color w:val="101820"/>
          <w:sz w:val="21"/>
        </w:rPr>
        <w:t>Include inactive insurers</w:t>
      </w:r>
      <w:r>
        <w:rPr>
          <w:rFonts w:eastAsia="Segoe UI" w:cs="Segoe UI" w:ascii="Segoe UI" w:hAnsi="Segoe UI"/>
          <w:color w:val="101820"/>
          <w:sz w:val="21"/>
        </w:rPr>
        <w:t xml:space="preserve"> for all) with its certificate, the validity, the days left and the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Expiring</w:t>
      </w:r>
      <w:r>
        <w:rPr>
          <w:rFonts w:eastAsia="Segoe UI" w:cs="Segoe UI" w:ascii="Segoe UI" w:hAnsi="Segoe UI"/>
          <w:color w:val="101820"/>
          <w:sz w:val="21"/>
        </w:rPr>
        <w:t xml:space="preserve"> (within </w:t>
      </w:r>
      <w:r>
        <w:rPr>
          <w:rFonts w:eastAsia="Consolas" w:cs="Consolas" w:ascii="Consolas" w:hAnsi="Consolas"/>
          <w:color w:val="101820"/>
          <w:sz w:val="19"/>
        </w:rPr>
        <w:t>compliance.insurer_authority_expiring_days</w:t>
      </w:r>
      <w:r>
        <w:rPr>
          <w:rFonts w:eastAsia="Segoe UI" w:cs="Segoe UI" w:ascii="Segoe UI" w:hAnsi="Segoe UI"/>
          <w:color w:val="101820"/>
          <w:sz w:val="21"/>
        </w:rPr>
        <w:t xml:space="preserve">, 60), </w:t>
      </w:r>
      <w:r>
        <w:rPr>
          <w:rFonts w:eastAsia="Segoe UI" w:cs="Segoe UI" w:ascii="Segoe UI" w:hAnsi="Segoe UI"/>
          <w:b/>
          <w:color w:val="101820"/>
          <w:sz w:val="21"/>
        </w:rPr>
        <w:t>Expired</w:t>
      </w:r>
      <w:r>
        <w:rPr>
          <w:rFonts w:eastAsia="Segoe UI" w:cs="Segoe UI" w:ascii="Segoe UI" w:hAnsi="Segoe UI"/>
          <w:color w:val="101820"/>
          <w:sz w:val="21"/>
        </w:rPr>
        <w:t xml:space="preserve">, or </w:t>
      </w:r>
      <w:r>
        <w:rPr>
          <w:rFonts w:eastAsia="Segoe UI" w:cs="Segoe UI" w:ascii="Segoe UI" w:hAnsi="Segoe UI"/>
          <w:b/>
          <w:color w:val="101820"/>
          <w:sz w:val="21"/>
        </w:rPr>
        <w:t>No certificate</w:t>
      </w:r>
      <w:r>
        <w:rPr>
          <w:rFonts w:eastAsia="Segoe UI" w:cs="Segoe UI" w:ascii="Segoe UI" w:hAnsi="Segoe UI"/>
          <w:color w:val="101820"/>
          <w:sz w:val="21"/>
        </w:rPr>
        <w:t xml:space="preserve"> / </w:t>
      </w:r>
      <w:r>
        <w:rPr>
          <w:rFonts w:eastAsia="Segoe UI" w:cs="Segoe UI" w:ascii="Segoe UI" w:hAnsi="Segoe UI"/>
          <w:b/>
          <w:color w:val="101820"/>
          <w:sz w:val="21"/>
        </w:rPr>
        <w:t>No validity date</w:t>
      </w:r>
      <w:r>
        <w:rPr>
          <w:rFonts w:eastAsia="Segoe UI" w:cs="Segoe UI" w:ascii="Segoe UI" w:hAnsi="Segoe UI"/>
          <w:color w:val="101820"/>
          <w:sz w:val="21"/>
        </w:rPr>
        <w:t xml:space="preserve">. </w:t>
      </w:r>
      <w:r>
        <w:rPr>
          <w:rFonts w:eastAsia="Segoe UI" w:cs="Segoe UI" w:ascii="Segoe UI" w:hAnsi="Segoe UI"/>
          <w:b/>
          <w:color w:val="101820"/>
          <w:sz w:val="21"/>
        </w:rPr>
        <w:t>Open insurer</w:t>
      </w:r>
      <w:r>
        <w:rPr>
          <w:rFonts w:eastAsia="Segoe UI" w:cs="Segoe UI" w:ascii="Segoe UI" w:hAnsi="Segoe UI"/>
          <w:color w:val="101820"/>
          <w:sz w:val="21"/>
        </w:rPr>
        <w:t xml:space="preserve"> opens the insurer master to update the certificate.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report.</w:t>
      </w:r>
    </w:p>
    <w:p>
      <w:pPr>
        <w:pStyle w:val="Normal"/>
        <w:spacing w:lineRule="auto" w:line="276" w:before="0" w:after="120"/>
        <w:rPr/>
      </w:pPr>
      <w:r>
        <w:rPr>
          <w:rFonts w:eastAsia="Segoe UI" w:cs="Segoe UI" w:ascii="Segoe UI" w:hAnsi="Segoe UI"/>
          <w:color w:val="101820"/>
          <w:sz w:val="21"/>
        </w:rPr>
        <w:t xml:space="preserve">The certificate is checked when a request for quotation is sent (a broker slip submitted to the market, an insurer added to a submitted slip, a quotation submitted to the insurer), when the firm order of a placement slip is sent, and when a policy is issued (from a quotation, from a placement slip, or with Record Issued Policy).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warn</w:t>
      </w:r>
      <w:r>
        <w:rPr>
          <w:rFonts w:eastAsia="Segoe UI" w:cs="Segoe UI" w:ascii="Segoe UI" w:hAnsi="Segoe UI"/>
          <w:color w:val="101820"/>
          <w:sz w:val="21"/>
        </w:rPr>
        <w:t xml:space="preserve"> (delivered): the step goes ahead; a warning appears on the screen and is recorded in the audit trail.</w:t>
      </w:r>
    </w:p>
    <w:p>
      <w:pPr>
        <w:pStyle w:val="Normal"/>
        <w:numPr>
          <w:ilvl w:val="0"/>
          <w:numId w:val="1"/>
        </w:numPr>
        <w:spacing w:before="0" w:after="60"/>
        <w:rPr/>
      </w:pPr>
      <w:r>
        <w:rPr>
          <w:rFonts w:eastAsia="Segoe UI" w:cs="Segoe UI" w:ascii="Segoe UI" w:hAnsi="Segoe UI"/>
          <w:b/>
          <w:color w:val="101820"/>
          <w:sz w:val="21"/>
        </w:rPr>
        <w:t>block</w:t>
      </w:r>
      <w:r>
        <w:rPr>
          <w:rFonts w:eastAsia="Segoe UI" w:cs="Segoe UI" w:ascii="Segoe UI" w:hAnsi="Segoe UI"/>
          <w:color w:val="101820"/>
          <w:sz w:val="21"/>
        </w:rPr>
        <w:t xml:space="preserve">: the step is refused and the message names the insurer and why. Switch to </w:t>
      </w:r>
      <w:r>
        <w:rPr>
          <w:rFonts w:eastAsia="Segoe UI" w:cs="Segoe UI" w:ascii="Segoe UI" w:hAnsi="Segoe UI"/>
          <w:b/>
          <w:color w:val="101820"/>
          <w:sz w:val="21"/>
        </w:rPr>
        <w:t>block</w:t>
      </w:r>
      <w:r>
        <w:rPr>
          <w:rFonts w:eastAsia="Segoe UI" w:cs="Segoe UI" w:ascii="Segoe UI" w:hAnsi="Segoe UI"/>
          <w:color w:val="101820"/>
          <w:sz w:val="21"/>
        </w:rPr>
        <w:t xml:space="preserve"> once the certificate numbers of the insurers the broker works with are entered.</w:t>
      </w:r>
    </w:p>
    <w:p>
      <w:pPr>
        <w:pStyle w:val="Normal"/>
        <w:numPr>
          <w:ilvl w:val="0"/>
          <w:numId w:val="1"/>
        </w:numPr>
        <w:spacing w:before="0" w:after="60"/>
        <w:rPr/>
      </w:pPr>
      <w:r>
        <w:rPr>
          <w:rFonts w:eastAsia="Segoe UI" w:cs="Segoe UI" w:ascii="Segoe UI" w:hAnsi="Segoe UI"/>
          <w:b/>
          <w:color w:val="101820"/>
          <w:sz w:val="21"/>
        </w:rPr>
        <w:t>off</w:t>
      </w:r>
      <w:r>
        <w:rPr>
          <w:rFonts w:eastAsia="Segoe UI" w:cs="Segoe UI" w:ascii="Segoe UI" w:hAnsi="Segoe UI"/>
          <w:color w:val="101820"/>
          <w:sz w:val="21"/>
        </w:rPr>
        <w:t>: no check.</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compliance-reminders</w:t>
      </w:r>
      <w:r>
        <w:rPr>
          <w:rFonts w:eastAsia="Segoe UI" w:cs="Segoe UI" w:ascii="Segoe UI" w:hAnsi="Segoe UI"/>
          <w:color w:val="101820"/>
          <w:sz w:val="21"/>
        </w:rPr>
        <w:t xml:space="preserve"> reminds the compliance team of certificates expiring and expired.</w:t>
      </w:r>
    </w:p>
    <w:p>
      <w:pPr>
        <w:pStyle w:val="Heading2"/>
        <w:rPr/>
      </w:pPr>
      <w:bookmarkStart w:id="186" w:name="__RefHeading___Toc24640_3350804041"/>
      <w:bookmarkEnd w:id="186"/>
      <w:r>
        <w:rPr>
          <w:rFonts w:eastAsia="Segoe UI" w:cs="Segoe UI"/>
          <w:b/>
          <w:color w:val="0F4761"/>
          <w:sz w:val="26"/>
        </w:rPr>
        <w:t>16.4  Complaints register</w:t>
      </w:r>
    </w:p>
    <w:p>
      <w:pPr>
        <w:pStyle w:val="Normal"/>
        <w:spacing w:lineRule="auto" w:line="276" w:before="0" w:after="120"/>
        <w:rPr/>
      </w:pPr>
      <w:r>
        <w:rPr>
          <w:rFonts w:eastAsia="Segoe UI" w:cs="Segoe UI" w:ascii="Segoe UI" w:hAnsi="Segoe UI"/>
          <w:color w:val="101820"/>
          <w:sz w:val="21"/>
        </w:rPr>
        <w:t>Compliance &gt; Insurance Commission &gt; Complaints is the register of complaints of clients and claimants under RA 11765 (Financial Products and Services Consumer Protection Act) and the IC rules on complaints handling.</w:t>
      </w:r>
    </w:p>
    <w:p>
      <w:pPr>
        <w:pStyle w:val="Normal"/>
        <w:jc w:val="center"/>
        <w:rPr/>
      </w:pPr>
      <w:r>
        <w:rPr/>
        <w:drawing>
          <wp:inline distT="0" distB="0" distL="0" distR="0">
            <wp:extent cx="5760085" cy="4469130"/>
            <wp:effectExtent l="0" t="0" r="0" b="0"/>
            <wp:docPr id="192" name="Picture 21212883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2121288372" descr=""/>
                    <pic:cNvPicPr>
                      <a:picLocks noChangeAspect="1" noChangeArrowheads="1"/>
                    </pic:cNvPicPr>
                  </pic:nvPicPr>
                  <pic:blipFill>
                    <a:blip r:embed="rId1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Complaints</w:t>
      </w:r>
    </w:p>
    <w:p>
      <w:pPr>
        <w:pStyle w:val="Normal"/>
        <w:numPr>
          <w:ilvl w:val="0"/>
          <w:numId w:val="5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complaint</w:t>
      </w:r>
      <w:r>
        <w:rPr>
          <w:rFonts w:eastAsia="Segoe UI" w:cs="Segoe UI" w:ascii="Segoe UI" w:hAnsi="Segoe UI"/>
          <w:color w:val="101820"/>
          <w:sz w:val="21"/>
        </w:rPr>
        <w:t xml:space="preserve">. Enter the date received, the </w:t>
      </w:r>
      <w:r>
        <w:rPr>
          <w:rFonts w:eastAsia="Segoe UI" w:cs="Segoe UI" w:ascii="Segoe UI" w:hAnsi="Segoe UI"/>
          <w:b/>
          <w:color w:val="101820"/>
          <w:sz w:val="21"/>
        </w:rPr>
        <w:t>Channel</w:t>
      </w:r>
      <w:r>
        <w:rPr>
          <w:rFonts w:eastAsia="Segoe UI" w:cs="Segoe UI" w:ascii="Segoe UI" w:hAnsi="Segoe UI"/>
          <w:color w:val="101820"/>
          <w:sz w:val="21"/>
        </w:rPr>
        <w:t xml:space="preserve"> (list in </w:t>
      </w:r>
      <w:r>
        <w:rPr>
          <w:rFonts w:eastAsia="Consolas" w:cs="Consolas" w:ascii="Consolas" w:hAnsi="Consolas"/>
          <w:color w:val="101820"/>
          <w:sz w:val="19"/>
        </w:rPr>
        <w:t>complaints.channels</w:t>
      </w:r>
      <w:r>
        <w:rPr>
          <w:rFonts w:eastAsia="Segoe UI" w:cs="Segoe UI" w:ascii="Segoe UI" w:hAnsi="Segoe UI"/>
          <w:color w:val="101820"/>
          <w:sz w:val="21"/>
        </w:rPr>
        <w:t xml:space="preserve">), the complainant, the contact, the </w:t>
      </w:r>
      <w:r>
        <w:rPr>
          <w:rFonts w:eastAsia="Segoe UI" w:cs="Segoe UI" w:ascii="Segoe UI" w:hAnsi="Segoe UI"/>
          <w:b/>
          <w:color w:val="101820"/>
          <w:sz w:val="21"/>
        </w:rPr>
        <w:t>Complainant type</w:t>
      </w:r>
      <w:r>
        <w:rPr>
          <w:rFonts w:eastAsia="Segoe UI" w:cs="Segoe UI" w:ascii="Segoe UI" w:hAnsi="Segoe UI"/>
          <w:color w:val="101820"/>
          <w:sz w:val="21"/>
        </w:rPr>
        <w:t xml:space="preserve">, the policy number and claim number when the complaint concerns them (the policy fills the client and the insurer), the </w:t>
      </w:r>
      <w:r>
        <w:rPr>
          <w:rFonts w:eastAsia="Segoe UI" w:cs="Segoe UI" w:ascii="Segoe UI" w:hAnsi="Segoe UI"/>
          <w:b/>
          <w:color w:val="101820"/>
          <w:sz w:val="21"/>
        </w:rPr>
        <w:t>Category</w:t>
      </w:r>
      <w:r>
        <w:rPr>
          <w:rFonts w:eastAsia="Segoe UI" w:cs="Segoe UI" w:ascii="Segoe UI" w:hAnsi="Segoe UI"/>
          <w:color w:val="101820"/>
          <w:sz w:val="21"/>
        </w:rPr>
        <w:t xml:space="preserve"> (list in </w:t>
      </w:r>
      <w:r>
        <w:rPr>
          <w:rFonts w:eastAsia="Consolas" w:cs="Consolas" w:ascii="Consolas" w:hAnsi="Consolas"/>
          <w:color w:val="101820"/>
          <w:sz w:val="19"/>
        </w:rPr>
        <w:t>complaints.categories</w:t>
      </w:r>
      <w:r>
        <w:rPr>
          <w:rFonts w:eastAsia="Segoe UI" w:cs="Segoe UI" w:ascii="Segoe UI" w:hAnsi="Segoe UI"/>
          <w:color w:val="101820"/>
          <w:sz w:val="21"/>
        </w:rPr>
        <w:t xml:space="preserve">), </w:t>
      </w:r>
      <w:r>
        <w:rPr>
          <w:rFonts w:eastAsia="Segoe UI" w:cs="Segoe UI" w:ascii="Segoe UI" w:hAnsi="Segoe UI"/>
          <w:b/>
          <w:color w:val="101820"/>
          <w:sz w:val="21"/>
        </w:rPr>
        <w:t>Simple</w:t>
      </w:r>
      <w:r>
        <w:rPr>
          <w:rFonts w:eastAsia="Segoe UI" w:cs="Segoe UI" w:ascii="Segoe UI" w:hAnsi="Segoe UI"/>
          <w:color w:val="101820"/>
          <w:sz w:val="21"/>
        </w:rPr>
        <w:t xml:space="preserve"> or </w:t>
      </w:r>
      <w:r>
        <w:rPr>
          <w:rFonts w:eastAsia="Segoe UI" w:cs="Segoe UI" w:ascii="Segoe UI" w:hAnsi="Segoe UI"/>
          <w:b/>
          <w:color w:val="101820"/>
          <w:sz w:val="21"/>
        </w:rPr>
        <w:t>Complex</w:t>
      </w:r>
      <w:r>
        <w:rPr>
          <w:rFonts w:eastAsia="Segoe UI" w:cs="Segoe UI" w:ascii="Segoe UI" w:hAnsi="Segoe UI"/>
          <w:color w:val="101820"/>
          <w:sz w:val="21"/>
        </w:rPr>
        <w:t>, the amount disputed, the subject and the description, and attach the complainant's letter.</w:t>
      </w:r>
    </w:p>
    <w:p>
      <w:pPr>
        <w:pStyle w:val="Normal"/>
        <w:numPr>
          <w:ilvl w:val="0"/>
          <w:numId w:val="596"/>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Assigned to</w:t>
      </w:r>
      <w:r>
        <w:rPr>
          <w:rFonts w:eastAsia="Segoe UI" w:cs="Segoe UI" w:ascii="Segoe UI" w:hAnsi="Segoe UI"/>
          <w:color w:val="101820"/>
          <w:sz w:val="21"/>
        </w:rPr>
        <w:t>: the person is notified with the deadlines.</w:t>
      </w:r>
    </w:p>
    <w:p>
      <w:pPr>
        <w:pStyle w:val="Normal"/>
        <w:numPr>
          <w:ilvl w:val="0"/>
          <w:numId w:val="597"/>
        </w:numPr>
        <w:spacing w:before="0" w:after="60"/>
        <w:rPr/>
      </w:pPr>
      <w:r>
        <w:rPr>
          <w:rFonts w:eastAsia="Segoe UI" w:cs="Segoe UI" w:ascii="Segoe UI" w:hAnsi="Segoe UI"/>
          <w:color w:val="101820"/>
          <w:sz w:val="21"/>
        </w:rPr>
        <w:t xml:space="preserve">Save. The complaint takes a number from the CPT series (CMP is the comparison report series). The deadlines are counted in calendar days from the date received: acknowledgement </w:t>
      </w:r>
      <w:r>
        <w:rPr>
          <w:rFonts w:eastAsia="Consolas" w:cs="Consolas" w:ascii="Consolas" w:hAnsi="Consolas"/>
          <w:color w:val="101820"/>
          <w:sz w:val="19"/>
        </w:rPr>
        <w:t>complaints.ack_days</w:t>
      </w:r>
      <w:r>
        <w:rPr>
          <w:rFonts w:eastAsia="Segoe UI" w:cs="Segoe UI" w:ascii="Segoe UI" w:hAnsi="Segoe UI"/>
          <w:color w:val="101820"/>
          <w:sz w:val="21"/>
        </w:rPr>
        <w:t xml:space="preserve"> (2), resolution </w:t>
      </w:r>
      <w:r>
        <w:rPr>
          <w:rFonts w:eastAsia="Consolas" w:cs="Consolas" w:ascii="Consolas" w:hAnsi="Consolas"/>
          <w:color w:val="101820"/>
          <w:sz w:val="19"/>
        </w:rPr>
        <w:t>complaints.resolution_days_simple</w:t>
      </w:r>
      <w:r>
        <w:rPr>
          <w:rFonts w:eastAsia="Segoe UI" w:cs="Segoe UI" w:ascii="Segoe UI" w:hAnsi="Segoe UI"/>
          <w:color w:val="101820"/>
          <w:sz w:val="21"/>
        </w:rPr>
        <w:t xml:space="preserve"> (7) or </w:t>
      </w:r>
      <w:r>
        <w:rPr>
          <w:rFonts w:eastAsia="Consolas" w:cs="Consolas" w:ascii="Consolas" w:hAnsi="Consolas"/>
          <w:color w:val="101820"/>
          <w:sz w:val="19"/>
        </w:rPr>
        <w:t>complaints.resolution_days_complex</w:t>
      </w:r>
      <w:r>
        <w:rPr>
          <w:rFonts w:eastAsia="Segoe UI" w:cs="Segoe UI" w:ascii="Segoe UI" w:hAnsi="Segoe UI"/>
          <w:color w:val="101820"/>
          <w:sz w:val="21"/>
        </w:rPr>
        <w:t xml:space="preserve"> (45). Confirm these values against the IC rules in force. Changing the complexity moves the resolution deadline.</w:t>
      </w:r>
    </w:p>
    <w:p>
      <w:pPr>
        <w:pStyle w:val="Normal"/>
        <w:numPr>
          <w:ilvl w:val="0"/>
          <w:numId w:val="5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Acknowledge</w:t>
      </w:r>
      <w:r>
        <w:rPr>
          <w:rFonts w:eastAsia="Segoe UI" w:cs="Segoe UI" w:ascii="Segoe UI" w:hAnsi="Segoe UI"/>
          <w:color w:val="101820"/>
          <w:sz w:val="21"/>
        </w:rPr>
        <w:t xml:space="preserve">, then print the </w:t>
      </w:r>
      <w:r>
        <w:rPr>
          <w:rFonts w:eastAsia="Segoe UI" w:cs="Segoe UI" w:ascii="Segoe UI" w:hAnsi="Segoe UI"/>
          <w:b/>
          <w:color w:val="101820"/>
          <w:sz w:val="21"/>
        </w:rPr>
        <w:t>Acknowledgement letter</w:t>
      </w:r>
      <w:r>
        <w:rPr>
          <w:rFonts w:eastAsia="Segoe UI" w:cs="Segoe UI" w:ascii="Segoe UI" w:hAnsi="Segoe UI"/>
          <w:color w:val="101820"/>
          <w:sz w:val="21"/>
        </w:rPr>
        <w:t xml:space="preserve"> (print icon). The letter is on the letterhead; its text is </w:t>
      </w:r>
      <w:r>
        <w:rPr>
          <w:rFonts w:eastAsia="Consolas" w:cs="Consolas" w:ascii="Consolas" w:hAnsi="Consolas"/>
          <w:color w:val="101820"/>
          <w:sz w:val="19"/>
        </w:rPr>
        <w:t>complaints.ack_letter_text</w:t>
      </w:r>
      <w:r>
        <w:rPr>
          <w:rFonts w:eastAsia="Segoe UI" w:cs="Segoe UI" w:ascii="Segoe UI" w:hAnsi="Segoe UI"/>
          <w:color w:val="101820"/>
          <w:sz w:val="21"/>
        </w:rPr>
        <w:t>.</w:t>
      </w:r>
    </w:p>
    <w:p>
      <w:pPr>
        <w:pStyle w:val="Normal"/>
        <w:numPr>
          <w:ilvl w:val="0"/>
          <w:numId w:val="599"/>
        </w:numPr>
        <w:spacing w:before="0" w:after="60"/>
        <w:rPr/>
      </w:pPr>
      <w:r>
        <w:rPr>
          <w:rFonts w:eastAsia="Segoe UI" w:cs="Segoe UI" w:ascii="Segoe UI" w:hAnsi="Segoe UI"/>
          <w:color w:val="101820"/>
          <w:sz w:val="21"/>
        </w:rPr>
        <w:t xml:space="preserve">When the matter is settled, select </w:t>
      </w:r>
      <w:r>
        <w:rPr>
          <w:rFonts w:eastAsia="Segoe UI" w:cs="Segoe UI" w:ascii="Segoe UI" w:hAnsi="Segoe UI"/>
          <w:b/>
          <w:color w:val="101820"/>
          <w:sz w:val="21"/>
        </w:rPr>
        <w:t>Resolve</w:t>
      </w:r>
      <w:r>
        <w:rPr>
          <w:rFonts w:eastAsia="Segoe UI" w:cs="Segoe UI" w:ascii="Segoe UI" w:hAnsi="Segoe UI"/>
          <w:color w:val="101820"/>
          <w:sz w:val="21"/>
        </w:rPr>
        <w:t xml:space="preserve">, choose the </w:t>
      </w:r>
      <w:r>
        <w:rPr>
          <w:rFonts w:eastAsia="Segoe UI" w:cs="Segoe UI" w:ascii="Segoe UI" w:hAnsi="Segoe UI"/>
          <w:b/>
          <w:color w:val="101820"/>
          <w:sz w:val="21"/>
        </w:rPr>
        <w:t>Outcome</w:t>
      </w:r>
      <w:r>
        <w:rPr>
          <w:rFonts w:eastAsia="Segoe UI" w:cs="Segoe UI" w:ascii="Segoe UI" w:hAnsi="Segoe UI"/>
          <w:color w:val="101820"/>
          <w:sz w:val="21"/>
        </w:rPr>
        <w:t xml:space="preserve"> (Upheld, Partially upheld, Not upheld, Withdrawn), enter the resolution given and any redress amount, and print the </w:t>
      </w:r>
      <w:r>
        <w:rPr>
          <w:rFonts w:eastAsia="Segoe UI" w:cs="Segoe UI" w:ascii="Segoe UI" w:hAnsi="Segoe UI"/>
          <w:b/>
          <w:color w:val="101820"/>
          <w:sz w:val="21"/>
        </w:rPr>
        <w:t>Resolution letter</w:t>
      </w:r>
      <w:r>
        <w:rPr>
          <w:rFonts w:eastAsia="Segoe UI" w:cs="Segoe UI" w:ascii="Segoe UI" w:hAnsi="Segoe UI"/>
          <w:color w:val="101820"/>
          <w:sz w:val="21"/>
        </w:rPr>
        <w:t xml:space="preserve"> (</w:t>
      </w:r>
      <w:r>
        <w:rPr>
          <w:rFonts w:eastAsia="Consolas" w:cs="Consolas" w:ascii="Consolas" w:hAnsi="Consolas"/>
          <w:color w:val="101820"/>
          <w:sz w:val="19"/>
        </w:rPr>
        <w:t>complaints.resolution_letter_text</w:t>
      </w:r>
      <w:r>
        <w:rPr>
          <w:rFonts w:eastAsia="Segoe UI" w:cs="Segoe UI" w:ascii="Segoe UI" w:hAnsi="Segoe UI"/>
          <w:color w:val="101820"/>
          <w:sz w:val="21"/>
        </w:rPr>
        <w:t>, which tells the complainant how to elevate the complaint to the Insurance Commission).</w:t>
      </w:r>
    </w:p>
    <w:p>
      <w:pPr>
        <w:pStyle w:val="Normal"/>
        <w:numPr>
          <w:ilvl w:val="0"/>
          <w:numId w:val="600"/>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a resolved complaint. </w:t>
      </w:r>
      <w:r>
        <w:rPr>
          <w:rFonts w:eastAsia="Segoe UI" w:cs="Segoe UI" w:ascii="Segoe UI" w:hAnsi="Segoe UI"/>
          <w:b/>
          <w:color w:val="101820"/>
          <w:sz w:val="21"/>
        </w:rPr>
        <w:t>Reopen</w:t>
      </w:r>
      <w:r>
        <w:rPr>
          <w:rFonts w:eastAsia="Segoe UI" w:cs="Segoe UI" w:ascii="Segoe UI" w:hAnsi="Segoe UI"/>
          <w:color w:val="101820"/>
          <w:sz w:val="21"/>
        </w:rPr>
        <w:t xml:space="preserve"> one the complainant contests (with the reason).</w:t>
      </w:r>
    </w:p>
    <w:p>
      <w:pPr>
        <w:pStyle w:val="Normal"/>
        <w:spacing w:lineRule="auto" w:line="276" w:before="0" w:after="120"/>
        <w:rPr/>
      </w:pPr>
      <w:r>
        <w:rPr>
          <w:rFonts w:eastAsia="Segoe UI" w:cs="Segoe UI" w:ascii="Segoe UI" w:hAnsi="Segoe UI"/>
          <w:b/>
          <w:color w:val="101820"/>
          <w:sz w:val="21"/>
        </w:rPr>
        <w:t>Escalate</w:t>
      </w:r>
      <w:r>
        <w:rPr>
          <w:rFonts w:eastAsia="Segoe UI" w:cs="Segoe UI" w:ascii="Segoe UI" w:hAnsi="Segoe UI"/>
          <w:color w:val="101820"/>
          <w:sz w:val="21"/>
        </w:rPr>
        <w:t xml:space="preserve"> sends the complaint, with the reason, to the complaints officers (</w:t>
      </w:r>
      <w:r>
        <w:rPr>
          <w:rFonts w:eastAsia="Consolas" w:cs="Consolas" w:ascii="Consolas" w:hAnsi="Consolas"/>
          <w:color w:val="101820"/>
          <w:sz w:val="19"/>
        </w:rPr>
        <w:t>approve:complaints</w:t>
      </w:r>
      <w:r>
        <w:rPr>
          <w:rFonts w:eastAsia="Segoe UI" w:cs="Segoe UI" w:ascii="Segoe UI" w:hAnsi="Segoe UI"/>
          <w:color w:val="101820"/>
          <w:sz w:val="21"/>
        </w:rPr>
        <w:t xml:space="preserve">). </w:t>
      </w:r>
      <w:r>
        <w:rPr>
          <w:rFonts w:eastAsia="Segoe UI" w:cs="Segoe UI" w:ascii="Segoe UI" w:hAnsi="Segoe UI"/>
          <w:b/>
          <w:color w:val="101820"/>
          <w:sz w:val="21"/>
        </w:rPr>
        <w:t>Refer to the IC</w:t>
      </w:r>
      <w:r>
        <w:rPr>
          <w:rFonts w:eastAsia="Segoe UI" w:cs="Segoe UI" w:ascii="Segoe UI" w:hAnsi="Segoe UI"/>
          <w:color w:val="101820"/>
          <w:sz w:val="21"/>
        </w:rPr>
        <w:t xml:space="preserve"> records the Insurance Commission's reference when the complainant has elevated the complaint. Every step is kept in the history of the complaint and in the audit trail.</w:t>
      </w:r>
    </w:p>
    <w:p>
      <w:pPr>
        <w:pStyle w:val="Normal"/>
        <w:spacing w:lineRule="auto" w:line="276" w:before="0" w:after="120"/>
        <w:rPr/>
      </w:pPr>
      <w:r>
        <w:rPr>
          <w:rFonts w:eastAsia="Segoe UI" w:cs="Segoe UI" w:ascii="Segoe UI" w:hAnsi="Segoe UI"/>
          <w:color w:val="101820"/>
          <w:sz w:val="21"/>
        </w:rPr>
        <w:t xml:space="preserve">The cards count open complaints, complaints past a deadline and escalated ones; the columns </w:t>
      </w:r>
      <w:r>
        <w:rPr>
          <w:rFonts w:eastAsia="Segoe UI" w:cs="Segoe UI" w:ascii="Segoe UI" w:hAnsi="Segoe UI"/>
          <w:b/>
          <w:color w:val="101820"/>
          <w:sz w:val="21"/>
        </w:rPr>
        <w:t>Acknowledge by</w:t>
      </w:r>
      <w:r>
        <w:rPr>
          <w:rFonts w:eastAsia="Segoe UI" w:cs="Segoe UI" w:ascii="Segoe UI" w:hAnsi="Segoe UI"/>
          <w:color w:val="101820"/>
          <w:sz w:val="21"/>
        </w:rPr>
        <w:t xml:space="preserve"> and </w:t>
      </w:r>
      <w:r>
        <w:rPr>
          <w:rFonts w:eastAsia="Segoe UI" w:cs="Segoe UI" w:ascii="Segoe UI" w:hAnsi="Segoe UI"/>
          <w:b/>
          <w:color w:val="101820"/>
          <w:sz w:val="21"/>
        </w:rPr>
        <w:t>Resolve by</w:t>
      </w:r>
      <w:r>
        <w:rPr>
          <w:rFonts w:eastAsia="Segoe UI" w:cs="Segoe UI" w:ascii="Segoe UI" w:hAnsi="Segoe UI"/>
          <w:color w:val="101820"/>
          <w:sz w:val="21"/>
        </w:rPr>
        <w:t xml:space="preserve"> show a passed deadline in red and </w:t>
      </w:r>
      <w:r>
        <w:rPr>
          <w:rFonts w:eastAsia="Segoe UI" w:cs="Segoe UI" w:ascii="Segoe UI" w:hAnsi="Segoe UI"/>
          <w:b/>
          <w:color w:val="101820"/>
          <w:sz w:val="21"/>
        </w:rPr>
        <w:t>Age (days)</w:t>
      </w:r>
      <w:r>
        <w:rPr>
          <w:rFonts w:eastAsia="Segoe UI" w:cs="Segoe UI" w:ascii="Segoe UI" w:hAnsi="Segoe UI"/>
          <w:color w:val="101820"/>
          <w:sz w:val="21"/>
        </w:rPr>
        <w:t xml:space="preserve"> the days since receipt. The daily job </w:t>
      </w:r>
      <w:r>
        <w:rPr>
          <w:rFonts w:eastAsia="Consolas" w:cs="Consolas" w:ascii="Consolas" w:hAnsi="Consolas"/>
          <w:color w:val="101820"/>
          <w:sz w:val="19"/>
        </w:rPr>
        <w:t>complaints-deadlines</w:t>
      </w:r>
      <w:r>
        <w:rPr>
          <w:rFonts w:eastAsia="Segoe UI" w:cs="Segoe UI" w:ascii="Segoe UI" w:hAnsi="Segoe UI"/>
          <w:color w:val="101820"/>
          <w:sz w:val="21"/>
        </w:rPr>
        <w:t xml:space="preserve"> reminds the person assigned of each deadline that has come, and escalates complaints whose resolution is overdue when </w:t>
      </w:r>
      <w:r>
        <w:rPr>
          <w:rFonts w:eastAsia="Consolas" w:cs="Consolas" w:ascii="Consolas" w:hAnsi="Consolas"/>
          <w:color w:val="101820"/>
          <w:sz w:val="19"/>
        </w:rPr>
        <w:t>complaints.auto_escalate</w:t>
      </w:r>
      <w:r>
        <w:rPr>
          <w:rFonts w:eastAsia="Segoe UI" w:cs="Segoe UI" w:ascii="Segoe UI" w:hAnsi="Segoe UI"/>
          <w:color w:val="101820"/>
          <w:sz w:val="21"/>
        </w:rPr>
        <w:t xml:space="preserve"> is on.</w:t>
      </w:r>
    </w:p>
    <w:p>
      <w:pPr>
        <w:pStyle w:val="Normal"/>
        <w:spacing w:lineRule="auto" w:line="276" w:before="0" w:after="120"/>
        <w:rPr/>
      </w:pPr>
      <w:r>
        <w:rPr>
          <w:rFonts w:eastAsia="Segoe UI" w:cs="Segoe UI" w:ascii="Segoe UI" w:hAnsi="Segoe UI"/>
          <w:b/>
          <w:color w:val="101820"/>
          <w:sz w:val="21"/>
        </w:rPr>
        <w:t>Regulator report.</w:t>
      </w:r>
      <w:r>
        <w:rPr>
          <w:rFonts w:eastAsia="Segoe UI" w:cs="Segoe UI" w:ascii="Segoe UI" w:hAnsi="Segoe UI"/>
          <w:color w:val="101820"/>
          <w:sz w:val="21"/>
        </w:rPr>
        <w:t xml:space="preserve"> Choose the period and select </w:t>
      </w:r>
      <w:r>
        <w:rPr>
          <w:rFonts w:eastAsia="Segoe UI" w:cs="Segoe UI" w:ascii="Segoe UI" w:hAnsi="Segoe UI"/>
          <w:b/>
          <w:color w:val="101820"/>
          <w:sz w:val="21"/>
        </w:rPr>
        <w:t>Download report</w:t>
      </w:r>
      <w:r>
        <w:rPr>
          <w:rFonts w:eastAsia="Segoe UI" w:cs="Segoe UI" w:ascii="Segoe UI" w:hAnsi="Segoe UI"/>
          <w:color w:val="101820"/>
          <w:sz w:val="21"/>
        </w:rPr>
        <w:t>: an Excel workbook with the summary (received, resolved, open, resolved within the deadline, average days to resolve, referred to the IC), the counts by category, channel, status and outcome, the ageing and the register of the period.</w:t>
      </w:r>
    </w:p>
    <w:p>
      <w:pPr>
        <w:pStyle w:val="Heading2"/>
        <w:rPr/>
      </w:pPr>
      <w:bookmarkStart w:id="187" w:name="__RefHeading___Toc24642_3350804041"/>
      <w:bookmarkEnd w:id="187"/>
      <w:r>
        <w:rPr>
          <w:rFonts w:eastAsia="Segoe UI" w:cs="Segoe UI"/>
          <w:b/>
          <w:color w:val="0F4761"/>
          <w:sz w:val="26"/>
        </w:rPr>
        <w:t>16.5  IC annual statement</w:t>
      </w:r>
    </w:p>
    <w:p>
      <w:pPr>
        <w:pStyle w:val="Normal"/>
        <w:jc w:val="center"/>
        <w:rPr/>
      </w:pPr>
      <w:r>
        <w:rPr/>
        <w:drawing>
          <wp:inline distT="0" distB="0" distL="0" distR="0">
            <wp:extent cx="5760085" cy="4469130"/>
            <wp:effectExtent l="0" t="0" r="0" b="0"/>
            <wp:docPr id="193" name="Picture 21212883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2121288373" descr=""/>
                    <pic:cNvPicPr>
                      <a:picLocks noChangeAspect="1" noChangeArrowheads="1"/>
                    </pic:cNvPicPr>
                  </pic:nvPicPr>
                  <pic:blipFill>
                    <a:blip r:embed="rId1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Annual Statement</w:t>
      </w:r>
    </w:p>
    <w:p>
      <w:pPr>
        <w:pStyle w:val="Normal"/>
        <w:spacing w:lineRule="auto" w:line="276" w:before="0" w:after="120"/>
        <w:rPr/>
      </w:pPr>
      <w:r>
        <w:rPr>
          <w:rFonts w:eastAsia="Segoe UI" w:cs="Segoe UI" w:ascii="Segoe UI" w:hAnsi="Segoe UI"/>
          <w:color w:val="101820"/>
          <w:sz w:val="21"/>
        </w:rPr>
        <w:t xml:space="preserve">Compliance &gt; Insurance Commission &gt; IC Annual Statement builds the schedules of the broker's annual statement from the ledger and the production records, as a working paper for the accountant. It follows the structure of the IC annual statement of an insurance broker; the name and version of the form set it follows are in </w:t>
      </w:r>
      <w:r>
        <w:rPr>
          <w:rFonts w:eastAsia="Consolas" w:cs="Consolas" w:ascii="Consolas" w:hAnsi="Consolas"/>
          <w:color w:val="101820"/>
          <w:sz w:val="19"/>
        </w:rPr>
        <w:t>compliance.ic_statement_form</w:t>
      </w:r>
      <w:r>
        <w:rPr>
          <w:rFonts w:eastAsia="Segoe UI" w:cs="Segoe UI" w:ascii="Segoe UI" w:hAnsi="Segoe UI"/>
          <w:color w:val="101820"/>
          <w:sz w:val="21"/>
        </w:rPr>
        <w:t xml:space="preserve"> and printed on the cover. The accountant confirms the figures and transcribes them onto the IC form set in force for the year before filing.</w:t>
      </w:r>
    </w:p>
    <w:p>
      <w:pPr>
        <w:pStyle w:val="Normal"/>
        <w:numPr>
          <w:ilvl w:val="0"/>
          <w:numId w:val="60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Year</w:t>
      </w:r>
      <w:r>
        <w:rPr>
          <w:rFonts w:eastAsia="Segoe UI" w:cs="Segoe UI" w:ascii="Segoe UI" w:hAnsi="Segoe UI"/>
          <w:color w:val="101820"/>
          <w:sz w:val="21"/>
        </w:rPr>
        <w:t xml:space="preserve"> (the calendar year; the previous year is shown beside every figure).</w:t>
      </w:r>
    </w:p>
    <w:p>
      <w:pPr>
        <w:pStyle w:val="Normal"/>
        <w:numPr>
          <w:ilvl w:val="0"/>
          <w:numId w:val="602"/>
        </w:numPr>
        <w:spacing w:before="0" w:after="60"/>
        <w:rPr/>
      </w:pPr>
      <w:r>
        <w:rPr>
          <w:rFonts w:eastAsia="Segoe UI" w:cs="Segoe UI" w:ascii="Segoe UI" w:hAnsi="Segoe UI"/>
          <w:color w:val="101820"/>
          <w:sz w:val="21"/>
        </w:rPr>
        <w:t xml:space="preserve">The tab </w:t>
      </w:r>
      <w:r>
        <w:rPr>
          <w:rFonts w:eastAsia="Segoe UI" w:cs="Segoe UI" w:ascii="Segoe UI" w:hAnsi="Segoe UI"/>
          <w:b/>
          <w:color w:val="101820"/>
          <w:sz w:val="21"/>
        </w:rPr>
        <w:t>Checks and confirmations</w:t>
      </w:r>
      <w:r>
        <w:rPr>
          <w:rFonts w:eastAsia="Segoe UI" w:cs="Segoe UI" w:ascii="Segoe UI" w:hAnsi="Segoe UI"/>
          <w:color w:val="101820"/>
          <w:sz w:val="21"/>
        </w:rPr>
        <w:t xml:space="preserve"> shows the system checks (the balance sheet balances, every ledger account with a balance is mapped, premiums held for insurers are covered by the premium trust account, the firm's licence is in force, and, when </w:t>
      </w:r>
      <w:r>
        <w:rPr>
          <w:rFonts w:eastAsia="Consolas" w:cs="Consolas" w:ascii="Consolas" w:hAnsi="Consolas"/>
          <w:color w:val="101820"/>
          <w:sz w:val="19"/>
        </w:rPr>
        <w:t>compliance.ic_minimum_net_worth</w:t>
      </w:r>
      <w:r>
        <w:rPr>
          <w:rFonts w:eastAsia="Segoe UI" w:cs="Segoe UI" w:ascii="Segoe UI" w:hAnsi="Segoe UI"/>
          <w:color w:val="101820"/>
          <w:sz w:val="21"/>
        </w:rPr>
        <w:t xml:space="preserve"> is set, the net worth against it) and the lines the accountant must confirm.</w:t>
      </w:r>
    </w:p>
    <w:p>
      <w:pPr>
        <w:pStyle w:val="Normal"/>
        <w:numPr>
          <w:ilvl w:val="0"/>
          <w:numId w:val="603"/>
        </w:numPr>
        <w:spacing w:before="0" w:after="60"/>
        <w:rPr/>
      </w:pPr>
      <w:r>
        <w:rPr>
          <w:rFonts w:eastAsia="Segoe UI" w:cs="Segoe UI" w:ascii="Segoe UI" w:hAnsi="Segoe UI"/>
          <w:color w:val="101820"/>
          <w:sz w:val="21"/>
        </w:rPr>
        <w:t xml:space="preserve">The tabs </w:t>
      </w:r>
      <w:r>
        <w:rPr>
          <w:rFonts w:eastAsia="Segoe UI" w:cs="Segoe UI" w:ascii="Segoe UI" w:hAnsi="Segoe UI"/>
          <w:b/>
          <w:color w:val="101820"/>
          <w:sz w:val="21"/>
        </w:rPr>
        <w:t>Balance sheet</w:t>
      </w:r>
      <w:r>
        <w:rPr>
          <w:rFonts w:eastAsia="Segoe UI" w:cs="Segoe UI" w:ascii="Segoe UI" w:hAnsi="Segoe UI"/>
          <w:color w:val="101820"/>
          <w:sz w:val="21"/>
        </w:rPr>
        <w:t xml:space="preserve"> and </w:t>
      </w:r>
      <w:r>
        <w:rPr>
          <w:rFonts w:eastAsia="Segoe UI" w:cs="Segoe UI" w:ascii="Segoe UI" w:hAnsi="Segoe UI"/>
          <w:b/>
          <w:color w:val="101820"/>
          <w:sz w:val="21"/>
        </w:rPr>
        <w:t>Income statement</w:t>
      </w:r>
      <w:r>
        <w:rPr>
          <w:rFonts w:eastAsia="Segoe UI" w:cs="Segoe UI" w:ascii="Segoe UI" w:hAnsi="Segoe UI"/>
          <w:color w:val="101820"/>
          <w:sz w:val="21"/>
        </w:rPr>
        <w:t xml:space="preserve"> show schedule 1 and 2 on the IC lines with the ledger accounts of each line; </w:t>
      </w:r>
      <w:r>
        <w:rPr>
          <w:rFonts w:eastAsia="Segoe UI" w:cs="Segoe UI" w:ascii="Segoe UI" w:hAnsi="Segoe UI"/>
          <w:b/>
          <w:color w:val="101820"/>
          <w:sz w:val="21"/>
        </w:rPr>
        <w:t>Premiums held in trust</w:t>
      </w:r>
      <w:r>
        <w:rPr>
          <w:rFonts w:eastAsia="Segoe UI" w:cs="Segoe UI" w:ascii="Segoe UI" w:hAnsi="Segoe UI"/>
          <w:color w:val="101820"/>
          <w:sz w:val="21"/>
        </w:rPr>
        <w:t xml:space="preserve"> shows the premiums payable to each insurer at the year end against the premium trust account.</w:t>
      </w:r>
    </w:p>
    <w:p>
      <w:pPr>
        <w:pStyle w:val="Normal"/>
        <w:numPr>
          <w:ilvl w:val="0"/>
          <w:numId w:val="6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workbook</w:t>
      </w:r>
      <w:r>
        <w:rPr>
          <w:rFonts w:eastAsia="Segoe UI" w:cs="Segoe UI" w:ascii="Segoe UI" w:hAnsi="Segoe UI"/>
          <w:color w:val="101820"/>
          <w:sz w:val="21"/>
        </w:rPr>
        <w:t xml:space="preserve">. The Excel workbook has the sheets </w:t>
      </w:r>
      <w:r>
        <w:rPr>
          <w:rFonts w:eastAsia="Segoe UI" w:cs="Segoe UI" w:ascii="Segoe UI" w:hAnsi="Segoe UI"/>
          <w:b/>
          <w:color w:val="101820"/>
          <w:sz w:val="21"/>
        </w:rPr>
        <w:t>Cover</w:t>
      </w:r>
      <w:r>
        <w:rPr>
          <w:rFonts w:eastAsia="Segoe UI" w:cs="Segoe UI" w:ascii="Segoe UI" w:hAnsi="Segoe UI"/>
          <w:color w:val="101820"/>
          <w:sz w:val="21"/>
        </w:rPr>
        <w:t xml:space="preserve">, </w:t>
      </w:r>
      <w:r>
        <w:rPr>
          <w:rFonts w:eastAsia="Segoe UI" w:cs="Segoe UI" w:ascii="Segoe UI" w:hAnsi="Segoe UI"/>
          <w:b/>
          <w:color w:val="101820"/>
          <w:sz w:val="21"/>
        </w:rPr>
        <w:t>Sch 1 Balance sheet</w:t>
      </w:r>
      <w:r>
        <w:rPr>
          <w:rFonts w:eastAsia="Segoe UI" w:cs="Segoe UI" w:ascii="Segoe UI" w:hAnsi="Segoe UI"/>
          <w:color w:val="101820"/>
          <w:sz w:val="21"/>
        </w:rPr>
        <w:t xml:space="preserve">, </w:t>
      </w:r>
      <w:r>
        <w:rPr>
          <w:rFonts w:eastAsia="Segoe UI" w:cs="Segoe UI" w:ascii="Segoe UI" w:hAnsi="Segoe UI"/>
          <w:b/>
          <w:color w:val="101820"/>
          <w:sz w:val="21"/>
        </w:rPr>
        <w:t>Sch 2 Income statement</w:t>
      </w:r>
      <w:r>
        <w:rPr>
          <w:rFonts w:eastAsia="Segoe UI" w:cs="Segoe UI" w:ascii="Segoe UI" w:hAnsi="Segoe UI"/>
          <w:color w:val="101820"/>
          <w:sz w:val="21"/>
        </w:rPr>
        <w:t xml:space="preserve">, </w:t>
      </w:r>
      <w:r>
        <w:rPr>
          <w:rFonts w:eastAsia="Segoe UI" w:cs="Segoe UI" w:ascii="Segoe UI" w:hAnsi="Segoe UI"/>
          <w:b/>
          <w:color w:val="101820"/>
          <w:sz w:val="21"/>
        </w:rPr>
        <w:t>Sch 3 by insurer</w:t>
      </w:r>
      <w:r>
        <w:rPr>
          <w:rFonts w:eastAsia="Segoe UI" w:cs="Segoe UI" w:ascii="Segoe UI" w:hAnsi="Segoe UI"/>
          <w:color w:val="101820"/>
          <w:sz w:val="21"/>
        </w:rPr>
        <w:t xml:space="preserve"> (premiums placed and commission earned by insurer and line of business), </w:t>
      </w:r>
      <w:r>
        <w:rPr>
          <w:rFonts w:eastAsia="Segoe UI" w:cs="Segoe UI" w:ascii="Segoe UI" w:hAnsi="Segoe UI"/>
          <w:b/>
          <w:color w:val="101820"/>
          <w:sz w:val="21"/>
        </w:rPr>
        <w:t>Sch 4 Premiums held</w:t>
      </w:r>
      <w:r>
        <w:rPr>
          <w:rFonts w:eastAsia="Segoe UI" w:cs="Segoe UI" w:ascii="Segoe UI" w:hAnsi="Segoe UI"/>
          <w:color w:val="101820"/>
          <w:sz w:val="21"/>
        </w:rPr>
        <w:t xml:space="preserve">, </w:t>
      </w:r>
      <w:r>
        <w:rPr>
          <w:rFonts w:eastAsia="Segoe UI" w:cs="Segoe UI" w:ascii="Segoe UI" w:hAnsi="Segoe UI"/>
          <w:b/>
          <w:color w:val="101820"/>
          <w:sz w:val="21"/>
        </w:rPr>
        <w:t>Accountant confirmation</w:t>
      </w:r>
      <w:r>
        <w:rPr>
          <w:rFonts w:eastAsia="Segoe UI" w:cs="Segoe UI" w:ascii="Segoe UI" w:hAnsi="Segoe UI"/>
          <w:color w:val="101820"/>
          <w:sz w:val="21"/>
        </w:rPr>
        <w:t xml:space="preserve"> (each check, each line to confirm, and a column for the name and date of the person who confirms) and </w:t>
      </w:r>
      <w:r>
        <w:rPr>
          <w:rFonts w:eastAsia="Segoe UI" w:cs="Segoe UI" w:ascii="Segoe UI" w:hAnsi="Segoe UI"/>
          <w:b/>
          <w:color w:val="101820"/>
          <w:sz w:val="21"/>
        </w:rPr>
        <w:t>Unmapped accounts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Account mapping.</w:t>
      </w:r>
      <w:r>
        <w:rPr>
          <w:rFonts w:eastAsia="Segoe UI" w:cs="Segoe UI" w:ascii="Segoe UI" w:hAnsi="Segoe UI"/>
          <w:color w:val="101820"/>
          <w:sz w:val="21"/>
        </w:rPr>
        <w:t xml:space="preserve"> The tab </w:t>
      </w:r>
      <w:r>
        <w:rPr>
          <w:rFonts w:eastAsia="Segoe UI" w:cs="Segoe UI" w:ascii="Segoe UI" w:hAnsi="Segoe UI"/>
          <w:b/>
          <w:color w:val="101820"/>
          <w:sz w:val="21"/>
        </w:rPr>
        <w:t>Account mapping</w:t>
      </w:r>
      <w:r>
        <w:rPr>
          <w:rFonts w:eastAsia="Segoe UI" w:cs="Segoe UI" w:ascii="Segoe UI" w:hAnsi="Segoe UI"/>
          <w:color w:val="101820"/>
          <w:sz w:val="21"/>
        </w:rPr>
        <w:t xml:space="preserve"> lists the lines of the statement and the ledger account prefixes of each. An account belongs to the line whose prefix matches it longest, so a general line (for example Other operating expenses, prefix 44) takes what the specific lines do not. A user with </w:t>
      </w:r>
      <w:r>
        <w:rPr>
          <w:rFonts w:eastAsia="Consolas" w:cs="Consolas" w:ascii="Consolas" w:hAnsi="Consolas"/>
          <w:color w:val="101820"/>
          <w:sz w:val="19"/>
        </w:rPr>
        <w:t>write:compliance</w:t>
      </w:r>
      <w:r>
        <w:rPr>
          <w:rFonts w:eastAsia="Segoe UI" w:cs="Segoe UI" w:ascii="Segoe UI" w:hAnsi="Segoe UI"/>
          <w:color w:val="101820"/>
          <w:sz w:val="21"/>
        </w:rPr>
        <w:t xml:space="preserve"> edits a line (title, prefixes, what the accountant must confirm). The delivered mapping follows the delivered chart of accounts; a broker with its own chart adapts it before the first statement.</w:t>
      </w:r>
    </w:p>
    <w:p>
      <w:pPr>
        <w:pStyle w:val="Heading2"/>
        <w:rPr/>
      </w:pPr>
      <w:bookmarkStart w:id="188" w:name="__RefHeading___Toc24644_3350804041"/>
      <w:bookmarkEnd w:id="188"/>
      <w:r>
        <w:rPr>
          <w:rFonts w:eastAsia="Segoe UI" w:cs="Segoe UI"/>
          <w:b/>
          <w:color w:val="0F4761"/>
          <w:sz w:val="26"/>
        </w:rPr>
        <w:t>16.6  IC production report</w:t>
      </w:r>
    </w:p>
    <w:p>
      <w:pPr>
        <w:pStyle w:val="Normal"/>
        <w:spacing w:lineRule="auto" w:line="276" w:before="0" w:after="120"/>
        <w:rPr/>
      </w:pPr>
      <w:r>
        <w:rPr>
          <w:rFonts w:eastAsia="Segoe UI" w:cs="Segoe UI" w:ascii="Segoe UI" w:hAnsi="Segoe UI"/>
          <w:color w:val="101820"/>
          <w:sz w:val="21"/>
        </w:rPr>
        <w:t>Compliance &gt; Insurance Commission &gt; IC Production Report shows the premiums placed by insurer and line of business in the layout of the Insurance Commission.</w:t>
      </w:r>
    </w:p>
    <w:p>
      <w:pPr>
        <w:pStyle w:val="Normal"/>
        <w:jc w:val="center"/>
        <w:rPr/>
      </w:pPr>
      <w:r>
        <w:rPr/>
        <w:drawing>
          <wp:inline distT="0" distB="0" distL="0" distR="0">
            <wp:extent cx="5760085" cy="4469130"/>
            <wp:effectExtent l="0" t="0" r="0" b="0"/>
            <wp:docPr id="194" name="Picture 21212883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2121288374" descr=""/>
                    <pic:cNvPicPr>
                      <a:picLocks noChangeAspect="1" noChangeArrowheads="1"/>
                    </pic:cNvPicPr>
                  </pic:nvPicPr>
                  <pic:blipFill>
                    <a:blip r:embed="rId1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Insurance Commission &gt; IC Production Report</w:t>
      </w:r>
    </w:p>
    <w:p>
      <w:pPr>
        <w:pStyle w:val="Normal"/>
        <w:numPr>
          <w:ilvl w:val="0"/>
          <w:numId w:val="605"/>
        </w:numPr>
        <w:spacing w:before="0" w:after="60"/>
        <w:rPr/>
      </w:pPr>
      <w:r>
        <w:rPr>
          <w:rFonts w:eastAsia="Segoe UI" w:cs="Segoe UI" w:ascii="Segoe UI" w:hAnsi="Segoe UI"/>
          <w:color w:val="101820"/>
          <w:sz w:val="21"/>
        </w:rPr>
        <w:t>Choose the period (</w:t>
      </w:r>
      <w:r>
        <w:rPr>
          <w:rFonts w:eastAsia="Segoe UI" w:cs="Segoe UI" w:ascii="Segoe UI" w:hAnsi="Segoe UI"/>
          <w:b/>
          <w:color w:val="101820"/>
          <w:sz w:val="21"/>
        </w:rPr>
        <w:t>From</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and </w:t>
      </w:r>
      <w:r>
        <w:rPr>
          <w:rFonts w:eastAsia="Segoe UI" w:cs="Segoe UI" w:ascii="Segoe UI" w:hAnsi="Segoe UI"/>
          <w:b/>
          <w:color w:val="101820"/>
          <w:sz w:val="21"/>
        </w:rPr>
        <w:t>Month</w:t>
      </w:r>
      <w:r>
        <w:rPr>
          <w:rFonts w:eastAsia="Segoe UI" w:cs="Segoe UI" w:ascii="Segoe UI" w:hAnsi="Segoe UI"/>
          <w:color w:val="101820"/>
          <w:sz w:val="21"/>
        </w:rPr>
        <w:t xml:space="preserve">, </w:t>
      </w:r>
      <w:r>
        <w:rPr>
          <w:rFonts w:eastAsia="Segoe UI" w:cs="Segoe UI" w:ascii="Segoe UI" w:hAnsi="Segoe UI"/>
          <w:b/>
          <w:color w:val="101820"/>
          <w:sz w:val="21"/>
        </w:rPr>
        <w:t>Quarter</w:t>
      </w:r>
      <w:r>
        <w:rPr>
          <w:rFonts w:eastAsia="Segoe UI" w:cs="Segoe UI" w:ascii="Segoe UI" w:hAnsi="Segoe UI"/>
          <w:color w:val="101820"/>
          <w:sz w:val="21"/>
        </w:rPr>
        <w:t xml:space="preserve"> or </w:t>
      </w:r>
      <w:r>
        <w:rPr>
          <w:rFonts w:eastAsia="Segoe UI" w:cs="Segoe UI" w:ascii="Segoe UI" w:hAnsi="Segoe UI"/>
          <w:b/>
          <w:color w:val="101820"/>
          <w:sz w:val="21"/>
        </w:rPr>
        <w:t>Year</w:t>
      </w:r>
      <w:r>
        <w:rPr>
          <w:rFonts w:eastAsia="Segoe UI" w:cs="Segoe UI" w:ascii="Segoe UI" w:hAnsi="Segoe UI"/>
          <w:color w:val="101820"/>
          <w:sz w:val="21"/>
        </w:rPr>
        <w:t>.</w:t>
      </w:r>
    </w:p>
    <w:p>
      <w:pPr>
        <w:pStyle w:val="Normal"/>
        <w:numPr>
          <w:ilvl w:val="0"/>
          <w:numId w:val="606"/>
        </w:numPr>
        <w:spacing w:before="0" w:after="60"/>
        <w:rPr/>
      </w:pPr>
      <w:r>
        <w:rPr>
          <w:rFonts w:eastAsia="Segoe UI" w:cs="Segoe UI" w:ascii="Segoe UI" w:hAnsi="Segoe UI"/>
          <w:color w:val="101820"/>
          <w:sz w:val="21"/>
        </w:rPr>
        <w:t>The first table shows each insurer with the premiums of each IC line, the total premiums, the commission earned and the number of policies, and the total; the second the same by period.</w:t>
      </w:r>
    </w:p>
    <w:p>
      <w:pPr>
        <w:pStyle w:val="Normal"/>
        <w:numPr>
          <w:ilvl w:val="0"/>
          <w:numId w:val="6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Excel</w:t>
      </w:r>
      <w:r>
        <w:rPr>
          <w:rFonts w:eastAsia="Segoe UI" w:cs="Segoe UI" w:ascii="Segoe UI" w:hAnsi="Segoe UI"/>
          <w:color w:val="101820"/>
          <w:sz w:val="21"/>
        </w:rPr>
        <w:t xml:space="preserve"> for the workbook: </w:t>
      </w:r>
      <w:r>
        <w:rPr>
          <w:rFonts w:eastAsia="Segoe UI" w:cs="Segoe UI" w:ascii="Segoe UI" w:hAnsi="Segoe UI"/>
          <w:b/>
          <w:color w:val="101820"/>
          <w:sz w:val="21"/>
        </w:rPr>
        <w:t>Report</w:t>
      </w:r>
      <w:r>
        <w:rPr>
          <w:rFonts w:eastAsia="Segoe UI" w:cs="Segoe UI" w:ascii="Segoe UI" w:hAnsi="Segoe UI"/>
          <w:color w:val="101820"/>
          <w:sz w:val="21"/>
        </w:rPr>
        <w:t xml:space="preserve"> (broker, TIN, period, basis), </w:t>
      </w:r>
      <w:r>
        <w:rPr>
          <w:rFonts w:eastAsia="Segoe UI" w:cs="Segoe UI" w:ascii="Segoe UI" w:hAnsi="Segoe UI"/>
          <w:b/>
          <w:color w:val="101820"/>
          <w:sz w:val="21"/>
        </w:rPr>
        <w:t>Premiums by insurer</w:t>
      </w:r>
      <w:r>
        <w:rPr>
          <w:rFonts w:eastAsia="Segoe UI" w:cs="Segoe UI" w:ascii="Segoe UI" w:hAnsi="Segoe UI"/>
          <w:color w:val="101820"/>
          <w:sz w:val="21"/>
        </w:rPr>
        <w:t xml:space="preserve">, </w:t>
      </w:r>
      <w:r>
        <w:rPr>
          <w:rFonts w:eastAsia="Segoe UI" w:cs="Segoe UI" w:ascii="Segoe UI" w:hAnsi="Segoe UI"/>
          <w:b/>
          <w:color w:val="101820"/>
          <w:sz w:val="21"/>
        </w:rPr>
        <w:t>Premiums by period</w:t>
      </w:r>
      <w:r>
        <w:rPr>
          <w:rFonts w:eastAsia="Segoe UI" w:cs="Segoe UI" w:ascii="Segoe UI" w:hAnsi="Segoe UI"/>
          <w:color w:val="101820"/>
          <w:sz w:val="21"/>
        </w:rPr>
        <w:t xml:space="preserve"> and </w:t>
      </w:r>
      <w:r>
        <w:rPr>
          <w:rFonts w:eastAsia="Segoe UI" w:cs="Segoe UI" w:ascii="Segoe UI" w:hAnsi="Segoe UI"/>
          <w:b/>
          <w:color w:val="101820"/>
          <w:sz w:val="21"/>
        </w:rPr>
        <w:t>Detail</w:t>
      </w:r>
      <w:r>
        <w:rPr>
          <w:rFonts w:eastAsia="Segoe UI" w:cs="Segoe UI" w:ascii="Segoe UI" w:hAnsi="Segoe UI"/>
          <w:color w:val="101820"/>
          <w:sz w:val="21"/>
        </w:rPr>
        <w:t xml:space="preserve"> (each policy and endorsement with its insurer, share, line, premium and commission).</w:t>
      </w:r>
    </w:p>
    <w:p>
      <w:pPr>
        <w:pStyle w:val="Normal"/>
        <w:spacing w:lineRule="auto" w:line="276" w:before="0" w:after="120"/>
        <w:rPr/>
      </w:pPr>
      <w:r>
        <w:rPr>
          <w:rFonts w:eastAsia="Segoe UI" w:cs="Segoe UI" w:ascii="Segoe UI" w:hAnsi="Segoe UI"/>
          <w:color w:val="101820"/>
          <w:sz w:val="21"/>
        </w:rPr>
        <w:t xml:space="preserve">Policies count on their issue date (the inception date when not issued), endorsements on their effective date; a co-insured policy is split by the share of each insurer. The IC lines are </w:t>
      </w:r>
      <w:r>
        <w:rPr>
          <w:rFonts w:eastAsia="Consolas" w:cs="Consolas" w:ascii="Consolas" w:hAnsi="Consolas"/>
          <w:color w:val="101820"/>
          <w:sz w:val="19"/>
        </w:rPr>
        <w:t>compliance.ic_lines_of_business</w:t>
      </w:r>
      <w:r>
        <w:rPr>
          <w:rFonts w:eastAsia="Segoe UI" w:cs="Segoe UI" w:ascii="Segoe UI" w:hAnsi="Segoe UI"/>
          <w:color w:val="101820"/>
          <w:sz w:val="21"/>
        </w:rPr>
        <w:t xml:space="preserve"> and the line of each product line is </w:t>
      </w:r>
      <w:r>
        <w:rPr>
          <w:rFonts w:eastAsia="Consolas" w:cs="Consolas" w:ascii="Consolas" w:hAnsi="Consolas"/>
          <w:color w:val="101820"/>
          <w:sz w:val="19"/>
        </w:rPr>
        <w:t>compliance.ic_line_map</w:t>
      </w:r>
      <w:r>
        <w:rPr>
          <w:rFonts w:eastAsia="Segoe UI" w:cs="Segoe UI" w:ascii="Segoe UI" w:hAnsi="Segoe UI"/>
          <w:color w:val="101820"/>
          <w:sz w:val="21"/>
        </w:rPr>
        <w:t xml:space="preserve"> (a line not mapped goes to </w:t>
      </w:r>
      <w:r>
        <w:rPr>
          <w:rFonts w:eastAsia="Segoe UI" w:cs="Segoe UI" w:ascii="Segoe UI" w:hAnsi="Segoe UI"/>
          <w:b/>
          <w:color w:val="101820"/>
          <w:sz w:val="21"/>
        </w:rPr>
        <w:t>Others</w:t>
      </w:r>
      <w:r>
        <w:rPr>
          <w:rFonts w:eastAsia="Segoe UI" w:cs="Segoe UI" w:ascii="Segoe UI" w:hAnsi="Segoe UI"/>
          <w:color w:val="101820"/>
          <w:sz w:val="21"/>
        </w:rPr>
        <w:t>).</w:t>
      </w:r>
    </w:p>
    <w:p>
      <w:pPr>
        <w:pStyle w:val="Heading2"/>
        <w:rPr/>
      </w:pPr>
      <w:bookmarkStart w:id="189" w:name="__RefHeading___Toc24646_3350804041"/>
      <w:bookmarkEnd w:id="189"/>
      <w:r>
        <w:rPr>
          <w:rFonts w:eastAsia="Segoe UI" w:cs="Segoe UI"/>
          <w:b/>
          <w:color w:val="0F4761"/>
          <w:sz w:val="26"/>
        </w:rPr>
        <w:t>16.7  Personal data breach register</w:t>
      </w:r>
    </w:p>
    <w:p>
      <w:pPr>
        <w:pStyle w:val="Normal"/>
        <w:jc w:val="center"/>
        <w:rPr/>
      </w:pPr>
      <w:r>
        <w:rPr/>
        <w:drawing>
          <wp:inline distT="0" distB="0" distL="0" distR="0">
            <wp:extent cx="5760085" cy="4469130"/>
            <wp:effectExtent l="0" t="0" r="0" b="0"/>
            <wp:docPr id="195" name="Picture 21212883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121288375" descr=""/>
                    <pic:cNvPicPr>
                      <a:picLocks noChangeAspect="1" noChangeArrowheads="1"/>
                    </pic:cNvPicPr>
                  </pic:nvPicPr>
                  <pic:blipFill>
                    <a:blip r:embed="rId1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Compliance &gt; Data Privacy (NPC) &gt; Breach Register</w:t>
      </w:r>
    </w:p>
    <w:p>
      <w:pPr>
        <w:pStyle w:val="Normal"/>
        <w:spacing w:lineRule="auto" w:line="276" w:before="0" w:after="120"/>
        <w:rPr/>
      </w:pPr>
      <w:r>
        <w:rPr>
          <w:rFonts w:eastAsia="Segoe UI" w:cs="Segoe UI" w:ascii="Segoe UI" w:hAnsi="Segoe UI"/>
          <w:color w:val="101820"/>
          <w:sz w:val="21"/>
        </w:rPr>
        <w:t>Compliance &gt; Data Privacy (NPC) &gt; Breach Register is the log of security incidents and personal data breaches (Data Privacy Act; NPC Circular 16-03 on personal data breach management and the NPC rules that followed it).</w:t>
      </w:r>
    </w:p>
    <w:p>
      <w:pPr>
        <w:pStyle w:val="Normal"/>
        <w:numPr>
          <w:ilvl w:val="0"/>
          <w:numId w:val="60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incident</w:t>
      </w:r>
      <w:r>
        <w:rPr>
          <w:rFonts w:eastAsia="Segoe UI" w:cs="Segoe UI" w:ascii="Segoe UI" w:hAnsi="Segoe UI"/>
          <w:color w:val="101820"/>
          <w:sz w:val="21"/>
        </w:rPr>
        <w:t xml:space="preserve"> as soon as an incident is discovered. Choose </w:t>
      </w:r>
      <w:r>
        <w:rPr>
          <w:rFonts w:eastAsia="Segoe UI" w:cs="Segoe UI" w:ascii="Segoe UI" w:hAnsi="Segoe UI"/>
          <w:b/>
          <w:color w:val="101820"/>
          <w:sz w:val="21"/>
        </w:rPr>
        <w:t>Personal data breach</w:t>
      </w:r>
      <w:r>
        <w:rPr>
          <w:rFonts w:eastAsia="Segoe UI" w:cs="Segoe UI" w:ascii="Segoe UI" w:hAnsi="Segoe UI"/>
          <w:color w:val="101820"/>
          <w:sz w:val="21"/>
        </w:rPr>
        <w:t xml:space="preserve"> or </w:t>
      </w:r>
      <w:r>
        <w:rPr>
          <w:rFonts w:eastAsia="Segoe UI" w:cs="Segoe UI" w:ascii="Segoe UI" w:hAnsi="Segoe UI"/>
          <w:b/>
          <w:color w:val="101820"/>
          <w:sz w:val="21"/>
        </w:rPr>
        <w:t>Security incident</w:t>
      </w:r>
      <w:r>
        <w:rPr>
          <w:rFonts w:eastAsia="Segoe UI" w:cs="Segoe UI" w:ascii="Segoe UI" w:hAnsi="Segoe UI"/>
          <w:color w:val="101820"/>
          <w:sz w:val="21"/>
        </w:rPr>
        <w:t>, enter the time discovered (the 72-hour clock runs from it), the title, what happened, the nature (confidentiality, integrity, availability), the personal data involved (</w:t>
      </w:r>
      <w:r>
        <w:rPr>
          <w:rFonts w:eastAsia="Consolas" w:cs="Consolas" w:ascii="Consolas" w:hAnsi="Consolas"/>
          <w:color w:val="101820"/>
          <w:sz w:val="19"/>
        </w:rPr>
        <w:t>privacy.breach_data_categories</w:t>
      </w:r>
      <w:r>
        <w:rPr>
          <w:rFonts w:eastAsia="Segoe UI" w:cs="Segoe UI" w:ascii="Segoe UI" w:hAnsi="Segoe UI"/>
          <w:color w:val="101820"/>
          <w:sz w:val="21"/>
        </w:rPr>
        <w:t>), the number of data subjects and records affected, the systems, the DPO, and attach the evidence. The incident takes a number from the PDB series and the data privacy team is notified.</w:t>
      </w:r>
    </w:p>
    <w:p>
      <w:pPr>
        <w:pStyle w:val="Normal"/>
        <w:numPr>
          <w:ilvl w:val="0"/>
          <w:numId w:val="60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Assess</w:t>
      </w:r>
      <w:r>
        <w:rPr>
          <w:rFonts w:eastAsia="Segoe UI" w:cs="Segoe UI" w:ascii="Segoe UI" w:hAnsi="Segoe UI"/>
          <w:color w:val="101820"/>
          <w:sz w:val="21"/>
        </w:rPr>
        <w:t xml:space="preserve"> and answer the criteria: sensitive personal information involved, information that may enable identity fraud, reasonably believed acquired by an unauthorised person, likely to give rise to a real risk of serious harm. The breach is notifiable when the criteria are met; a different decision needs a reason.</w:t>
      </w:r>
    </w:p>
    <w:p>
      <w:pPr>
        <w:pStyle w:val="Normal"/>
        <w:numPr>
          <w:ilvl w:val="0"/>
          <w:numId w:val="610"/>
        </w:numPr>
        <w:spacing w:before="0" w:after="60"/>
        <w:rPr/>
      </w:pPr>
      <w:r>
        <w:rPr>
          <w:rFonts w:eastAsia="Segoe UI" w:cs="Segoe UI" w:ascii="Segoe UI" w:hAnsi="Segoe UI"/>
          <w:color w:val="101820"/>
          <w:sz w:val="21"/>
        </w:rPr>
        <w:t xml:space="preserve">Notify the National Privacy Commission, then select </w:t>
      </w:r>
      <w:r>
        <w:rPr>
          <w:rFonts w:eastAsia="Segoe UI" w:cs="Segoe UI" w:ascii="Segoe UI" w:hAnsi="Segoe UI"/>
          <w:b/>
          <w:color w:val="101820"/>
          <w:sz w:val="21"/>
        </w:rPr>
        <w:t>Notify NPC</w:t>
      </w:r>
      <w:r>
        <w:rPr>
          <w:rFonts w:eastAsia="Segoe UI" w:cs="Segoe UI" w:ascii="Segoe UI" w:hAnsi="Segoe UI"/>
          <w:color w:val="101820"/>
          <w:sz w:val="21"/>
        </w:rPr>
        <w:t xml:space="preserve"> and record the time, the NPC reference and the method. A notification after the deadline needs the reason for the delay.</w:t>
      </w:r>
    </w:p>
    <w:p>
      <w:pPr>
        <w:pStyle w:val="Normal"/>
        <w:numPr>
          <w:ilvl w:val="0"/>
          <w:numId w:val="6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Data subjects</w:t>
      </w:r>
      <w:r>
        <w:rPr>
          <w:rFonts w:eastAsia="Segoe UI" w:cs="Segoe UI" w:ascii="Segoe UI" w:hAnsi="Segoe UI"/>
          <w:color w:val="101820"/>
          <w:sz w:val="21"/>
        </w:rPr>
        <w:t xml:space="preserve"> to record the notification of the data subjects (time, number, method), or the reason they are not notified.</w:t>
      </w:r>
    </w:p>
    <w:p>
      <w:pPr>
        <w:pStyle w:val="Normal"/>
        <w:numPr>
          <w:ilvl w:val="0"/>
          <w:numId w:val="612"/>
        </w:numPr>
        <w:spacing w:before="0" w:after="60"/>
        <w:rPr/>
      </w:pPr>
      <w:r>
        <w:rPr>
          <w:rFonts w:eastAsia="Segoe UI" w:cs="Segoe UI" w:ascii="Segoe UI" w:hAnsi="Segoe UI"/>
          <w:color w:val="101820"/>
          <w:sz w:val="21"/>
        </w:rPr>
        <w:t xml:space="preserve">Record the cause, containment and remediation with </w:t>
      </w:r>
      <w:r>
        <w:rPr>
          <w:rFonts w:eastAsia="Segoe UI" w:cs="Segoe UI" w:ascii="Segoe UI" w:hAnsi="Segoe UI"/>
          <w:b/>
          <w:color w:val="101820"/>
          <w:sz w:val="21"/>
        </w:rPr>
        <w:t>Edit</w:t>
      </w:r>
      <w:r>
        <w:rPr>
          <w:rFonts w:eastAsia="Segoe UI" w:cs="Segoe UI" w:ascii="Segoe UI" w:hAnsi="Segoe UI"/>
          <w:color w:val="101820"/>
          <w:sz w:val="21"/>
        </w:rPr>
        <w:t xml:space="preserve">, then </w:t>
      </w:r>
      <w:r>
        <w:rPr>
          <w:rFonts w:eastAsia="Segoe UI" w:cs="Segoe UI" w:ascii="Segoe UI" w:hAnsi="Segoe UI"/>
          <w:b/>
          <w:color w:val="101820"/>
          <w:sz w:val="21"/>
        </w:rPr>
        <w:t>Close</w:t>
      </w:r>
      <w:r>
        <w:rPr>
          <w:rFonts w:eastAsia="Segoe UI" w:cs="Segoe UI" w:ascii="Segoe UI" w:hAnsi="Segoe UI"/>
          <w:color w:val="101820"/>
          <w:sz w:val="21"/>
        </w:rPr>
        <w:t xml:space="preserve"> with the outcome and the measures taken. A notifiable breach is closed only after its notification to the NPC is recorded.</w:t>
      </w:r>
    </w:p>
    <w:p>
      <w:pPr>
        <w:pStyle w:val="Normal"/>
        <w:spacing w:lineRule="auto" w:line="276" w:before="0" w:after="120"/>
        <w:rPr/>
      </w:pPr>
      <w:r>
        <w:rPr>
          <w:rFonts w:eastAsia="Segoe UI" w:cs="Segoe UI" w:ascii="Segoe UI" w:hAnsi="Segoe UI"/>
          <w:color w:val="101820"/>
          <w:sz w:val="21"/>
        </w:rPr>
        <w:t xml:space="preserve">The column </w:t>
      </w:r>
      <w:r>
        <w:rPr>
          <w:rFonts w:eastAsia="Segoe UI" w:cs="Segoe UI" w:ascii="Segoe UI" w:hAnsi="Segoe UI"/>
          <w:b/>
          <w:color w:val="101820"/>
          <w:sz w:val="21"/>
        </w:rPr>
        <w:t>Clock</w:t>
      </w:r>
      <w:r>
        <w:rPr>
          <w:rFonts w:eastAsia="Segoe UI" w:cs="Segoe UI" w:ascii="Segoe UI" w:hAnsi="Segoe UI"/>
          <w:color w:val="101820"/>
          <w:sz w:val="21"/>
        </w:rPr>
        <w:t xml:space="preserve"> shows the hours left before the NPC deadline (</w:t>
      </w:r>
      <w:r>
        <w:rPr>
          <w:rFonts w:eastAsia="Consolas" w:cs="Consolas" w:ascii="Consolas" w:hAnsi="Consolas"/>
          <w:color w:val="101820"/>
          <w:sz w:val="19"/>
        </w:rPr>
        <w:t>privacy.breach_notify_hours</w:t>
      </w:r>
      <w:r>
        <w:rPr>
          <w:rFonts w:eastAsia="Segoe UI" w:cs="Segoe UI" w:ascii="Segoe UI" w:hAnsi="Segoe UI"/>
          <w:color w:val="101820"/>
          <w:sz w:val="21"/>
        </w:rPr>
        <w:t xml:space="preserve">, 72) of a breach not yet notified, in red within a day or once passed. The hourly job </w:t>
      </w:r>
      <w:r>
        <w:rPr>
          <w:rFonts w:eastAsia="Consolas" w:cs="Consolas" w:ascii="Consolas" w:hAnsi="Consolas"/>
          <w:color w:val="101820"/>
          <w:sz w:val="19"/>
        </w:rPr>
        <w:t>privacy-breach-deadlines</w:t>
      </w:r>
      <w:r>
        <w:rPr>
          <w:rFonts w:eastAsia="Segoe UI" w:cs="Segoe UI" w:ascii="Segoe UI" w:hAnsi="Segoe UI"/>
          <w:color w:val="101820"/>
          <w:sz w:val="21"/>
        </w:rPr>
        <w:t xml:space="preserve"> reminds the data privacy team at each mark of </w:t>
      </w:r>
      <w:r>
        <w:rPr>
          <w:rFonts w:eastAsia="Consolas" w:cs="Consolas" w:ascii="Consolas" w:hAnsi="Consolas"/>
          <w:color w:val="101820"/>
          <w:sz w:val="19"/>
        </w:rPr>
        <w:t>privacy.breach_reminder_hours</w:t>
      </w:r>
      <w:r>
        <w:rPr>
          <w:rFonts w:eastAsia="Segoe UI" w:cs="Segoe UI" w:ascii="Segoe UI" w:hAnsi="Segoe UI"/>
          <w:color w:val="101820"/>
          <w:sz w:val="21"/>
        </w:rPr>
        <w:t xml:space="preserve"> (48, 24 and 6 hours before the deadline) and when the deadline has passed.</w:t>
      </w:r>
    </w:p>
    <w:p>
      <w:pPr>
        <w:pStyle w:val="Normal"/>
        <w:spacing w:lineRule="auto" w:line="276" w:before="0" w:after="120"/>
        <w:rPr/>
      </w:pPr>
      <w:r>
        <w:rPr>
          <w:rFonts w:eastAsia="Segoe UI" w:cs="Segoe UI" w:ascii="Segoe UI" w:hAnsi="Segoe UI"/>
          <w:b/>
          <w:color w:val="101820"/>
          <w:sz w:val="21"/>
        </w:rPr>
        <w:t>Annual report.</w:t>
      </w:r>
      <w:r>
        <w:rPr>
          <w:rFonts w:eastAsia="Segoe UI" w:cs="Segoe UI" w:ascii="Segoe UI" w:hAnsi="Segoe UI"/>
          <w:color w:val="101820"/>
          <w:sz w:val="21"/>
        </w:rPr>
        <w:t xml:space="preserve"> Choose the year and select </w:t>
      </w:r>
      <w:r>
        <w:rPr>
          <w:rFonts w:eastAsia="Segoe UI" w:cs="Segoe UI" w:ascii="Segoe UI" w:hAnsi="Segoe UI"/>
          <w:b/>
          <w:color w:val="101820"/>
          <w:sz w:val="21"/>
        </w:rPr>
        <w:t>Annual report</w:t>
      </w:r>
      <w:r>
        <w:rPr>
          <w:rFonts w:eastAsia="Segoe UI" w:cs="Segoe UI" w:ascii="Segoe UI" w:hAnsi="Segoe UI"/>
          <w:color w:val="101820"/>
          <w:sz w:val="21"/>
        </w:rPr>
        <w:t>: an Excel workbook with the summary of the year (incidents, breaches, notifiable breaches, notified to the NPC, notified late, data subjects affected and notified), the counts by nature and by data category, and the list of incidents, for the annual security incident report to the NPC.</w:t>
      </w:r>
      <w:r>
        <w:br w:type="page"/>
      </w:r>
    </w:p>
    <w:p>
      <w:pPr>
        <w:pStyle w:val="Heading1"/>
        <w:rPr/>
      </w:pPr>
      <w:bookmarkStart w:id="190" w:name="__RefHeading___Toc24648_3350804041"/>
      <w:bookmarkEnd w:id="190"/>
      <w:r>
        <w:rPr>
          <w:rFonts w:eastAsia="Segoe UI" w:cs="Segoe UI" w:ascii="Segoe UI" w:hAnsi="Segoe UI"/>
          <w:b/>
          <w:color w:val="0F4761"/>
          <w:sz w:val="32"/>
        </w:rPr>
        <w:t>17.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91" w:name="__RefHeading___Toc24650_3350804041"/>
      <w:bookmarkEnd w:id="191"/>
      <w:r>
        <w:rPr>
          <w:rFonts w:eastAsia="Segoe UI" w:cs="Segoe UI"/>
          <w:b/>
          <w:color w:val="0F4761"/>
          <w:sz w:val="26"/>
        </w:rPr>
        <w:t>17.1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96" name="Picture 21212883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21288376" descr=""/>
                    <pic:cNvPicPr>
                      <a:picLocks noChangeAspect="1" noChangeArrowheads="1"/>
                    </pic:cNvPicPr>
                  </pic:nvPicPr>
                  <pic:blipFill>
                    <a:blip r:embed="rId1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92" w:name="__RefHeading___Toc24652_3350804041"/>
      <w:bookmarkEnd w:id="192"/>
      <w:r>
        <w:rPr>
          <w:rFonts w:eastAsia="Segoe UI" w:cs="Segoe UI"/>
          <w:b/>
          <w:color w:val="0F4761"/>
          <w:sz w:val="26"/>
        </w:rPr>
        <w:t>17.2  Operations</w:t>
      </w:r>
    </w:p>
    <w:p>
      <w:pPr>
        <w:pStyle w:val="Heading3"/>
        <w:rPr/>
      </w:pPr>
      <w:r>
        <w:rPr>
          <w:rFonts w:eastAsia="Segoe UI" w:cs="Segoe UI"/>
          <w:b/>
          <w:color w:val="0F4761"/>
          <w:sz w:val="23"/>
        </w:rPr>
        <w:t>17.2.1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17.2.2  Sales &amp;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62"/>
        <w:gridCol w:w="2545"/>
        <w:gridCol w:w="2544"/>
        <w:gridCol w:w="1962"/>
      </w:tblGrid>
      <w:tr>
        <w:trPr>
          <w:tblHeader w:val="true"/>
        </w:trPr>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5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each prospect an account executive.</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Tabs Team View, Queue, Assignment Rules; methods round robin, fewest open prospects, fixed;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programmes with dealers and financing banks.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who pays (free first year, subsidy), what the upload creates; Dealer Sales upload (DSB-); bank endorsement letters.</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branded comparison of insurers' offers given to the client (CMP-).</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From a request for quotation or several quotations; recommended option and reasons; never shows commission; </w:t>
            </w:r>
            <w:r>
              <w:rPr>
                <w:rFonts w:eastAsia="Segoe UI" w:cs="Segoe UI" w:ascii="Segoe UI" w:hAnsi="Segoe UI"/>
                <w:b/>
                <w:color w:val="101820"/>
                <w:kern w:val="0"/>
                <w:sz w:val="18"/>
                <w:szCs w:val="24"/>
                <w:lang w:val="en-US" w:eastAsia="ja-JP" w:bidi="ar-SA"/>
              </w:rPr>
              <w:t>Client report (PDF)</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Client chose</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campaigns to clients and prospects with marketing consent.</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Segments, templates with {{optOutLink}},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Schedule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job), results and opt-outs; </w:t>
            </w:r>
            <w:r>
              <w:rPr>
                <w:rFonts w:eastAsia="Consolas" w:cs="Consolas" w:ascii="Consolas" w:hAnsi="Consolas"/>
                <w:color w:val="101820"/>
                <w:kern w:val="0"/>
                <w:sz w:val="16"/>
                <w:szCs w:val="24"/>
                <w:lang w:val="en-US" w:eastAsia="ja-JP" w:bidi="ar-SA"/>
              </w:rPr>
              <w:t>campaigns.max_recipients</w:t>
            </w:r>
            <w:r>
              <w:rPr>
                <w:rFonts w:eastAsia="Segoe UI" w:cs="Segoe UI" w:ascii="Segoe UI" w:hAnsi="Segoe UI"/>
                <w:color w:val="101820"/>
                <w:kern w:val="0"/>
                <w:sz w:val="18"/>
                <w:szCs w:val="24"/>
                <w:lang w:val="en-US" w:eastAsia="ja-JP" w:bidi="ar-SA"/>
              </w:rPr>
              <w:t>.</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Activities</w:t>
            </w:r>
          </w:p>
        </w:tc>
        <w:tc>
          <w:tcPr>
            <w:tcW w:w="25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Calls, meetings, e-mails and visits logged on prospects, clients and quotations.</w:t>
            </w:r>
          </w:p>
        </w:tc>
        <w:tc>
          <w:tcPr>
            <w:tcW w:w="2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account executive, type and outcome filters; </w:t>
            </w:r>
            <w:r>
              <w:rPr>
                <w:rFonts w:eastAsia="Segoe UI" w:cs="Segoe UI" w:ascii="Segoe UI" w:hAnsi="Segoe UI"/>
                <w:b/>
                <w:color w:val="101820"/>
                <w:kern w:val="0"/>
                <w:sz w:val="18"/>
                <w:szCs w:val="24"/>
                <w:lang w:val="en-US" w:eastAsia="ja-JP" w:bidi="ar-SA"/>
              </w:rPr>
              <w:t>Activity Report</w:t>
            </w:r>
            <w:r>
              <w:rPr>
                <w:rFonts w:eastAsia="Segoe UI" w:cs="Segoe UI" w:ascii="Segoe UI" w:hAnsi="Segoe UI"/>
                <w:color w:val="101820"/>
                <w:kern w:val="0"/>
                <w:sz w:val="18"/>
                <w:szCs w:val="24"/>
                <w:lang w:val="en-US" w:eastAsia="ja-JP" w:bidi="ar-SA"/>
              </w:rPr>
              <w:t xml:space="preserve"> per account executive; next steps become My Work tasks; types and outcomes in Master &gt; Organization.</w:t>
            </w:r>
          </w:p>
        </w:tc>
        <w:tc>
          <w:tcPr>
            <w:tcW w:w="1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bl>
    <w:p>
      <w:pPr>
        <w:pStyle w:val="Normal"/>
        <w:spacing w:before="0" w:after="80"/>
        <w:rPr/>
      </w:pPr>
      <w:r>
        <w:rPr/>
      </w:r>
    </w:p>
    <w:p>
      <w:pPr>
        <w:pStyle w:val="Heading3"/>
        <w:rPr/>
      </w:pPr>
      <w:r>
        <w:rPr>
          <w:rFonts w:eastAsia="Segoe UI" w:cs="Segoe UI"/>
          <w:b/>
          <w:color w:val="0F4761"/>
          <w:sz w:val="23"/>
        </w:rPr>
        <w:t>17.2.3  Clients, Policy and Claims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6"/>
        <w:gridCol w:w="2847"/>
        <w:gridCol w:w="2847"/>
        <w:gridCol w:w="2194"/>
      </w:tblGrid>
      <w:tr>
        <w:trPr>
          <w:tblHeader w:val="true"/>
        </w:trPr>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21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motor policy covering many vehicles (FLT-).</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Vehicles priced one by one (own damage, acts of nature, excess liability, CTPL by class, taxes);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add or delete a vehicle by endorsement pro-rata; </w:t>
            </w:r>
            <w:r>
              <w:rPr>
                <w:rFonts w:eastAsia="Consolas" w:cs="Consolas" w:ascii="Consolas" w:hAnsi="Consolas"/>
                <w:color w:val="101820"/>
                <w:kern w:val="0"/>
                <w:sz w:val="16"/>
                <w:szCs w:val="24"/>
                <w:lang w:val="en-US" w:eastAsia="ja-JP" w:bidi="ar-SA"/>
              </w:rPr>
              <w:t>fleet.minimum_vehicles</w:t>
            </w:r>
            <w:r>
              <w:rPr>
                <w:rFonts w:eastAsia="Segoe UI" w:cs="Segoe UI" w:ascii="Segoe UI" w:hAnsi="Segoe UI"/>
                <w:color w:val="101820"/>
                <w:kern w:val="0"/>
                <w:sz w:val="18"/>
                <w:szCs w:val="24"/>
                <w:lang w:val="en-US" w:eastAsia="ja-JP" w:bidi="ar-SA"/>
              </w:rPr>
              <w:t>.</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Open Covers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client's cargo shipments for a period (MOC-, MIC-, MDC-).</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and limit per conveyance, mark-up on invoice, minimum premium per certificate; certificates and declared shipments; monthly or quarterly declarations billed on the open policy.</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programmes and products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checklist of documents of each claim.</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and optional documents by line and claim type;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Waive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Add document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Remind the claimant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to insurer</w:t>
            </w:r>
            <w:r>
              <w:rPr>
                <w:rFonts w:eastAsia="Segoe UI" w:cs="Segoe UI" w:ascii="Segoe UI" w:hAnsi="Segoe UI"/>
                <w:color w:val="101820"/>
                <w:kern w:val="0"/>
                <w:sz w:val="18"/>
                <w:szCs w:val="24"/>
                <w:lang w:val="en-US" w:eastAsia="ja-JP" w:bidi="ar-SA"/>
              </w:rPr>
              <w:t xml:space="preserve"> (refused while a required document is missing).</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adjuster decisions, letters of authority (LOA-) and vehicle release.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Accredited repair shops; participation and parts depreciation from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supplementary estimates and letters.</w:t>
            </w:r>
          </w:p>
        </w:tc>
        <w:tc>
          <w:tcPr>
            <w:tcW w:w="21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17.2.4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17.2.5  My Work, Payments, CTPL Authentication, Cover Notes and Policy Cancellation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109"/>
        <w:gridCol w:w="3144"/>
        <w:gridCol w:w="1242"/>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1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daily worklist of the user and the team.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Tabs My Items, My Team, My Tasks, Calendar; counts Overdue, Due today, Next 7 days (</w:t>
            </w:r>
            <w:r>
              <w:rPr>
                <w:rFonts w:eastAsia="Consolas" w:cs="Consolas" w:ascii="Consolas" w:hAnsi="Consolas"/>
                <w:color w:val="101820"/>
                <w:kern w:val="0"/>
                <w:sz w:val="16"/>
                <w:szCs w:val="24"/>
                <w:lang w:val="en-US" w:eastAsia="ja-JP" w:bidi="ar-SA"/>
              </w:rPr>
              <w:t>myWork.due_soon_days</w:t>
            </w:r>
            <w:r>
              <w:rPr>
                <w:rFonts w:eastAsia="Segoe UI" w:cs="Segoe UI" w:ascii="Segoe UI" w:hAnsi="Segoe UI"/>
                <w:color w:val="101820"/>
                <w:kern w:val="0"/>
                <w:sz w:val="18"/>
                <w:szCs w:val="24"/>
                <w:lang w:val="en-US" w:eastAsia="ja-JP" w:bidi="ar-SA"/>
              </w:rPr>
              <w:t xml:space="preserve">), Open items, Open tasks; </w:t>
            </w:r>
            <w:r>
              <w:rPr>
                <w:rFonts w:eastAsia="Segoe UI" w:cs="Segoe UI" w:ascii="Segoe UI" w:hAnsi="Segoe UI"/>
                <w:b/>
                <w:color w:val="101820"/>
                <w:kern w:val="0"/>
                <w:sz w:val="18"/>
                <w:szCs w:val="24"/>
                <w:lang w:val="en-US" w:eastAsia="ja-JP" w:bidi="ar-SA"/>
              </w:rPr>
              <w:t>New task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Reassign</w:t>
            </w:r>
            <w:r>
              <w:rPr>
                <w:rFonts w:eastAsia="Segoe UI" w:cs="Segoe UI" w:ascii="Segoe UI" w:hAnsi="Segoe UI"/>
                <w:color w:val="101820"/>
                <w:kern w:val="0"/>
                <w:sz w:val="18"/>
                <w:szCs w:val="24"/>
                <w:lang w:val="en-US" w:eastAsia="ja-JP" w:bidi="ar-SA"/>
              </w:rPr>
              <w:t>; automatic follow-up tasks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The old Open Items addresses open My Work.</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of the user's policies.</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 collected premium, receivables and earned commission; tabs Paid, Pending, Reviewing; type Policy, Renewal Policy or Endorsement.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of CTPL certificates of cover with the IC-accredited provider.</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 series per insurer and branch; automatic request at issue (</w:t>
            </w:r>
            <w:r>
              <w:rPr>
                <w:rFonts w:eastAsia="Consolas" w:cs="Consolas" w:ascii="Consolas" w:hAnsi="Consolas"/>
                <w:color w:val="101820"/>
                <w:kern w:val="0"/>
                <w:sz w:val="16"/>
                <w:szCs w:val="24"/>
                <w:lang w:val="en-US" w:eastAsia="ja-JP" w:bidi="ar-SA"/>
              </w:rPr>
              <w:t>ctpl.authenticate_on_issue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Authenticate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details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Enter code from the provider portal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Register a policy</w:t>
            </w:r>
            <w:r>
              <w:rPr>
                <w:rFonts w:eastAsia="Segoe UI" w:cs="Segoe UI" w:ascii="Segoe UI" w:hAnsi="Segoe UI"/>
                <w:color w:val="101820"/>
                <w:kern w:val="0"/>
                <w:sz w:val="18"/>
                <w:szCs w:val="24"/>
                <w:lang w:val="en-US" w:eastAsia="ja-JP" w:bidi="ar-SA"/>
              </w:rPr>
              <w:t>; LTO feed.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(CVN-) from an accepted quotation or a placement slip.</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Cover period </w:t>
            </w:r>
            <w:r>
              <w:rPr>
                <w:rFonts w:eastAsia="Consolas" w:cs="Consolas" w:ascii="Consolas" w:hAnsi="Consolas"/>
                <w:color w:val="101820"/>
                <w:kern w:val="0"/>
                <w:sz w:val="16"/>
                <w:szCs w:val="24"/>
                <w:lang w:val="en-US" w:eastAsia="ja-JP" w:bidi="ar-SA"/>
              </w:rPr>
              <w:t>cover_note.validity_days</w:t>
            </w:r>
            <w:r>
              <w:rPr>
                <w:rFonts w:eastAsia="Segoe UI" w:cs="Segoe UI" w:ascii="Segoe UI" w:hAnsi="Segoe UI"/>
                <w:color w:val="101820"/>
                <w:kern w:val="0"/>
                <w:sz w:val="18"/>
                <w:szCs w:val="24"/>
                <w:lang w:val="en-US" w:eastAsia="ja-JP" w:bidi="ar-SA"/>
              </w:rPr>
              <w:t xml:space="preserve"> (30) up to </w:t>
            </w:r>
            <w:r>
              <w:rPr>
                <w:rFonts w:eastAsia="Consolas" w:cs="Consolas" w:ascii="Consolas" w:hAnsi="Consolas"/>
                <w:color w:val="101820"/>
                <w:kern w:val="0"/>
                <w:sz w:val="16"/>
                <w:szCs w:val="24"/>
                <w:lang w:val="en-US" w:eastAsia="ja-JP" w:bidi="ar-SA"/>
              </w:rPr>
              <w:t>cover_note.max_validity_days</w:t>
            </w:r>
            <w:r>
              <w:rPr>
                <w:rFonts w:eastAsia="Segoe UI" w:cs="Segoe UI" w:ascii="Segoe UI" w:hAnsi="Segoe UI"/>
                <w:color w:val="101820"/>
                <w:kern w:val="0"/>
                <w:sz w:val="18"/>
                <w:szCs w:val="24"/>
                <w:lang w:val="en-US" w:eastAsia="ja-JP" w:bidi="ar-SA"/>
              </w:rPr>
              <w:t xml:space="preserve">; statuses Active, Superseded, Expired, Cancelled;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E-mail to the client</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Cancellation</w:t>
            </w:r>
          </w:p>
        </w:tc>
        <w:tc>
          <w:tcPr>
            <w:tcW w:w="31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 with a computed return premium.</w:t>
            </w:r>
          </w:p>
        </w:tc>
        <w:tc>
          <w:tcPr>
            <w:tcW w:w="31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Methods pro-rata, short-period (Short-Period Rates), flat; reasons from Cancellation Reasons; returned taxes </w:t>
            </w:r>
            <w:r>
              <w:rPr>
                <w:rFonts w:eastAsia="Consolas" w:cs="Consolas" w:ascii="Consolas" w:hAnsi="Consolas"/>
                <w:color w:val="101820"/>
                <w:kern w:val="0"/>
                <w:sz w:val="16"/>
                <w:szCs w:val="24"/>
                <w:lang w:val="en-US" w:eastAsia="ja-JP" w:bidi="ar-SA"/>
              </w:rPr>
              <w:t>endorsements.cancellation_returned_taxes</w:t>
            </w:r>
            <w:r>
              <w:rPr>
                <w:rFonts w:eastAsia="Segoe UI" w:cs="Segoe UI" w:ascii="Segoe UI" w:hAnsi="Segoe UI"/>
                <w:color w:val="101820"/>
                <w:kern w:val="0"/>
                <w:sz w:val="18"/>
                <w:szCs w:val="24"/>
                <w:lang w:val="en-US" w:eastAsia="ja-JP" w:bidi="ar-SA"/>
              </w:rPr>
              <w:t>; posting rules policy.cancel and endorsement.return_premium.</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bl>
    <w:p>
      <w:pPr>
        <w:pStyle w:val="Normal"/>
        <w:spacing w:before="0" w:after="80"/>
        <w:rPr/>
      </w:pPr>
      <w:r>
        <w:rPr/>
      </w:r>
    </w:p>
    <w:p>
      <w:pPr>
        <w:pStyle w:val="Heading2"/>
        <w:rPr/>
      </w:pPr>
      <w:bookmarkStart w:id="193" w:name="__RefHeading___Toc24654_3350804041"/>
      <w:bookmarkEnd w:id="193"/>
      <w:r>
        <w:rPr>
          <w:rFonts w:eastAsia="Segoe UI" w:cs="Segoe UI"/>
          <w:b/>
          <w:color w:val="0F4761"/>
          <w:sz w:val="26"/>
        </w:rPr>
        <w:t>17.3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cheques received before their date (PDC-).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Register cheque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Deposit</w:t>
            </w:r>
            <w:r>
              <w:rPr>
                <w:rFonts w:eastAsia="Segoe UI" w:cs="Segoe UI" w:ascii="Segoe UI" w:hAnsi="Segoe UI"/>
                <w:color w:val="101820"/>
                <w:kern w:val="0"/>
                <w:sz w:val="18"/>
                <w:szCs w:val="24"/>
                <w:lang w:val="en-US" w:eastAsia="ja-JP" w:bidi="ar-SA"/>
              </w:rPr>
              <w:t xml:space="preserve"> (posts the official receipt), </w:t>
            </w:r>
            <w:r>
              <w:rPr>
                <w:rFonts w:eastAsia="Segoe UI" w:cs="Segoe UI" w:ascii="Segoe UI" w:hAnsi="Segoe UI"/>
                <w:b/>
                <w:color w:val="101820"/>
                <w:kern w:val="0"/>
                <w:sz w:val="18"/>
                <w:szCs w:val="24"/>
                <w:lang w:val="en-US" w:eastAsia="ja-JP" w:bidi="ar-SA"/>
              </w:rPr>
              <w:t>Cleared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Bounced</w:t>
            </w:r>
            <w:r>
              <w:rPr>
                <w:rFonts w:eastAsia="Segoe UI" w:cs="Segoe UI" w:ascii="Segoe UI" w:hAnsi="Segoe UI"/>
                <w:color w:val="101820"/>
                <w:kern w:val="0"/>
                <w:sz w:val="18"/>
                <w:szCs w:val="24"/>
                <w:lang w:val="en-US" w:eastAsia="ja-JP" w:bidi="ar-SA"/>
              </w:rPr>
              <w:t xml:space="preserve"> (receipt cancelled, client e-mailed), </w:t>
            </w:r>
            <w:r>
              <w:rPr>
                <w:rFonts w:eastAsia="Segoe UI" w:cs="Segoe UI" w:ascii="Segoe UI" w:hAnsi="Segoe UI"/>
                <w:b/>
                <w:color w:val="101820"/>
                <w:kern w:val="0"/>
                <w:sz w:val="18"/>
                <w:szCs w:val="24"/>
                <w:lang w:val="en-US" w:eastAsia="ja-JP" w:bidi="ar-SA"/>
              </w:rPr>
              <w:t>Replace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Return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Cancel</w:t>
            </w:r>
            <w:r>
              <w:rPr>
                <w:rFonts w:eastAsia="Segoe UI" w:cs="Segoe UI" w:ascii="Segoe UI" w:hAnsi="Segoe UI"/>
                <w:color w:val="101820"/>
                <w:kern w:val="0"/>
                <w:sz w:val="18"/>
                <w:szCs w:val="24"/>
                <w:lang w:val="en-US" w:eastAsia="ja-JP" w:bidi="ar-SA"/>
              </w:rPr>
              <w:t>; tab Deposit due (</w:t>
            </w:r>
            <w:r>
              <w:rPr>
                <w:rFonts w:eastAsia="Consolas" w:cs="Consolas" w:ascii="Consolas" w:hAnsi="Consolas"/>
                <w:color w:val="101820"/>
                <w:kern w:val="0"/>
                <w:sz w:val="16"/>
                <w:szCs w:val="24"/>
                <w:lang w:val="en-US" w:eastAsia="ja-JP" w:bidi="ar-SA"/>
              </w:rPr>
              <w:t>pdc.due_window_days</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Settlements paid through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Funds received</w:t>
            </w:r>
            <w:r>
              <w:rPr>
                <w:rFonts w:eastAsia="Segoe UI" w:cs="Segoe UI" w:ascii="Segoe UI" w:hAnsi="Segoe UI"/>
                <w:color w:val="101820"/>
                <w:kern w:val="0"/>
                <w:sz w:val="18"/>
                <w:szCs w:val="24"/>
                <w:lang w:val="en-US" w:eastAsia="ja-JP" w:bidi="ar-SA"/>
              </w:rPr>
              <w:t xml:space="preserve"> (posting rule claim.funds_received), </w:t>
            </w:r>
            <w:r>
              <w:rPr>
                <w:rFonts w:eastAsia="Segoe UI" w:cs="Segoe UI" w:ascii="Segoe UI" w:hAnsi="Segoe UI"/>
                <w:b/>
                <w:color w:val="101820"/>
                <w:kern w:val="0"/>
                <w:sz w:val="18"/>
                <w:szCs w:val="24"/>
                <w:lang w:val="en-US" w:eastAsia="ja-JP" w:bidi="ar-SA"/>
              </w:rPr>
              <w:t>Pay claimant</w:t>
            </w:r>
            <w:r>
              <w:rPr>
                <w:rFonts w:eastAsia="Segoe UI" w:cs="Segoe UI" w:ascii="Segoe UI" w:hAnsi="Segoe UI"/>
                <w:color w:val="101820"/>
                <w:kern w:val="0"/>
                <w:sz w:val="18"/>
                <w:szCs w:val="24"/>
                <w:lang w:val="en-US" w:eastAsia="ja-JP" w:bidi="ar-SA"/>
              </w:rPr>
              <w:t xml:space="preserve"> (claim.paid_to_claimant, voucher CPV-), </w:t>
            </w:r>
            <w:r>
              <w:rPr>
                <w:rFonts w:eastAsia="Segoe UI" w:cs="Segoe UI" w:ascii="Segoe UI" w:hAnsi="Segoe UI"/>
                <w:b/>
                <w:color w:val="101820"/>
                <w:kern w:val="0"/>
                <w:sz w:val="18"/>
                <w:szCs w:val="24"/>
                <w:lang w:val="en-US" w:eastAsia="ja-JP" w:bidi="ar-SA"/>
              </w:rPr>
              <w:t>Release form</w:t>
            </w:r>
            <w:r>
              <w:rPr>
                <w:rFonts w:eastAsia="Segoe UI" w:cs="Segoe UI" w:ascii="Segoe UI" w:hAnsi="Segoe UI"/>
                <w:color w:val="101820"/>
                <w:kern w:val="0"/>
                <w:sz w:val="18"/>
                <w:szCs w:val="24"/>
                <w:lang w:val="en-US" w:eastAsia="ja-JP" w:bidi="ar-SA"/>
              </w:rPr>
              <w:t>; receipts and disbursements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(Supplier Invoices, Supplier Payments, AP Ageing, Suppliers, Supplier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sub-ledger (APV-, SPV-) and the suppliers' BIR Form 2307.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and EWT computed from the supplier's tax codes; approval by the Accounting Manager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posting rules ap.invoice and ap.payment; an asset line goes to the fixed asset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(Asset Register, Depreciation Run, Disposals)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(FA-), straight-line depreciation and disposals (FAD-).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 with useful life and accounts; one journal per class and period (fa.depreciation); sale with output VAT and sales invoice, or write-off (fa.disposal); gain or loss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approved vouchers by bank upload file (BPB-).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 per bank (Master &gt; Finance &gt; Bank File Layouts), channel bulk credit, InstaPay (</w:t>
            </w:r>
            <w:r>
              <w:rPr>
                <w:rFonts w:eastAsia="Consolas" w:cs="Consolas" w:ascii="Consolas" w:hAnsi="Consolas"/>
                <w:color w:val="101820"/>
                <w:kern w:val="0"/>
                <w:sz w:val="16"/>
                <w:szCs w:val="24"/>
                <w:lang w:val="en-US" w:eastAsia="ja-JP" w:bidi="ar-SA"/>
              </w:rPr>
              <w:t>bank_payments.instapay_limit</w:t>
            </w:r>
            <w:r>
              <w:rPr>
                <w:rFonts w:eastAsia="Segoe UI" w:cs="Segoe UI" w:ascii="Segoe UI" w:hAnsi="Segoe UI"/>
                <w:color w:val="101820"/>
                <w:kern w:val="0"/>
                <w:sz w:val="18"/>
                <w:szCs w:val="24"/>
                <w:lang w:val="en-US" w:eastAsia="ja-JP" w:bidi="ar-SA"/>
              </w:rPr>
              <w:t xml:space="preserve">) or PESONet, value date; approval within the Authority Matrix; </w:t>
            </w:r>
            <w:r>
              <w:rPr>
                <w:rFonts w:eastAsia="Segoe UI" w:cs="Segoe UI" w:ascii="Segoe UI" w:hAnsi="Segoe UI"/>
                <w:b/>
                <w:color w:val="101820"/>
                <w:kern w:val="0"/>
                <w:sz w:val="18"/>
                <w:szCs w:val="24"/>
                <w:lang w:val="en-US" w:eastAsia="ja-JP" w:bidi="ar-SA"/>
              </w:rPr>
              <w:t>Write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Mark uploaded to the bank</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 status 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result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Withholding Returns, Annual Alphalist 1604-E, Percentage Tax 2551Q</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BIR forms 0619-E, 1601-EQ, 1604-E and 2551Q laid out as the forms, with their filing records.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Reconciled with the QAP and the ledger;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filing</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Amended return</w:t>
            </w:r>
            <w:r>
              <w:rPr>
                <w:rFonts w:eastAsia="Segoe UI" w:cs="Segoe UI" w:ascii="Segoe UI" w:hAnsi="Segoe UI"/>
                <w:color w:val="101820"/>
                <w:kern w:val="0"/>
                <w:sz w:val="18"/>
                <w:szCs w:val="24"/>
                <w:lang w:val="en-US" w:eastAsia="ja-JP" w:bidi="ar-SA"/>
              </w:rPr>
              <w:t xml:space="preserve">; due dates from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percentage tax rate </w:t>
            </w:r>
            <w:r>
              <w:rPr>
                <w:rFonts w:eastAsia="Consolas" w:cs="Consolas" w:ascii="Consolas" w:hAnsi="Consolas"/>
                <w:color w:val="101820"/>
                <w:kern w:val="0"/>
                <w:sz w:val="16"/>
                <w:szCs w:val="24"/>
                <w:lang w:val="en-US" w:eastAsia="ja-JP" w:bidi="ar-SA"/>
              </w:rPr>
              <w:t>bir.percentage_tax_rate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BIR DAT Files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validation data files of the QAP, SAWT, SLSP and 1604-E alphalist.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Alphalist Data Entry and Validation Module 7.x and RELIEF layouts; warnings for payees without TIN; validate with the BIR module before submitting.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Sales Invoices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sales invoices under the EOPT Act (SI-) and payment acknowledgements (PAR-).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For debit notes, overriding commission, policy commission or manual fees; serial range </w:t>
            </w:r>
            <w:r>
              <w:rPr>
                <w:rFonts w:eastAsia="Consolas" w:cs="Consolas" w:ascii="Consolas" w:hAnsi="Consolas"/>
                <w:color w:val="101820"/>
                <w:kern w:val="0"/>
                <w:sz w:val="16"/>
                <w:szCs w:val="24"/>
                <w:lang w:val="en-US" w:eastAsia="ja-JP" w:bidi="ar-SA"/>
              </w:rPr>
              <w:t>invoice.serial_from</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invoice.serial_to</w:t>
            </w:r>
            <w:r>
              <w:rPr>
                <w:rFonts w:eastAsia="Segoe UI" w:cs="Segoe UI" w:ascii="Segoe UI" w:hAnsi="Segoe UI"/>
                <w:color w:val="101820"/>
                <w:kern w:val="0"/>
                <w:sz w:val="18"/>
                <w:szCs w:val="24"/>
                <w:lang w:val="en-US" w:eastAsia="ja-JP" w:bidi="ar-SA"/>
              </w:rPr>
              <w:t xml:space="preserve">; posting rules sales_invoice.issue and sales_invoice.payment; </w:t>
            </w:r>
            <w:r>
              <w:rPr>
                <w:rFonts w:eastAsia="Segoe UI" w:cs="Segoe UI" w:ascii="Segoe UI" w:hAnsi="Segoe UI"/>
                <w:b/>
                <w:color w:val="101820"/>
                <w:kern w:val="0"/>
                <w:sz w:val="18"/>
                <w:szCs w:val="24"/>
                <w:lang w:val="en-US" w:eastAsia="ja-JP" w:bidi="ar-SA"/>
              </w:rPr>
              <w:t>Cancel invoice</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E-Invoicing (EIS)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 of e-invoices for the BIR Electronic Invoicing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or live), credentials by environment variable names;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Queue earlier invoices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payloads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Uploaded manually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&gt; CAS Books and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Loose-leaf books of accounts and the CAS registration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checks; books printed month by month with running page numbers (</w:t>
            </w:r>
            <w:r>
              <w:rPr>
                <w:rFonts w:eastAsia="Consolas" w:cs="Consolas" w:ascii="Consolas" w:hAnsi="Consolas"/>
                <w:color w:val="101820"/>
                <w:kern w:val="0"/>
                <w:sz w:val="16"/>
                <w:szCs w:val="24"/>
                <w:lang w:val="en-US" w:eastAsia="ja-JP" w:bidi="ar-SA"/>
              </w:rPr>
              <w:t>cas.enforce_print_order</w:t>
            </w:r>
            <w:r>
              <w:rPr>
                <w:rFonts w:eastAsia="Segoe UI" w:cs="Segoe UI" w:ascii="Segoe UI" w:hAnsi="Segoe UI"/>
                <w:color w:val="101820"/>
                <w:kern w:val="0"/>
                <w:sz w:val="18"/>
                <w:szCs w:val="24"/>
                <w:lang w:val="en-US" w:eastAsia="ja-JP" w:bidi="ar-SA"/>
              </w:rPr>
              <w:t xml:space="preserve">); print register, </w:t>
            </w:r>
            <w:r>
              <w:rPr>
                <w:rFonts w:eastAsia="Segoe UI" w:cs="Segoe UI" w:ascii="Segoe UI" w:hAnsi="Segoe UI"/>
                <w:b/>
                <w:color w:val="101820"/>
                <w:kern w:val="0"/>
                <w:sz w:val="18"/>
                <w:szCs w:val="24"/>
                <w:lang w:val="en-US" w:eastAsia="ja-JP" w:bidi="ar-SA"/>
              </w:rPr>
              <w:t>Reprint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Void print</w:t>
            </w:r>
            <w:r>
              <w:rPr>
                <w:rFonts w:eastAsia="Segoe UI" w:cs="Segoe UI" w:ascii="Segoe UI" w:hAnsi="Segoe UI"/>
                <w:color w:val="101820"/>
                <w:kern w:val="0"/>
                <w:sz w:val="18"/>
                <w:szCs w:val="24"/>
                <w:lang w:val="en-US" w:eastAsia="ja-JP" w:bidi="ar-SA"/>
              </w:rPr>
              <w:t>; system description, backup procedure and audit trail extract.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17.3.1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97" name="Picture 21212883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121288377" descr=""/>
                    <pic:cNvPicPr>
                      <a:picLocks noChangeAspect="1" noChangeArrowheads="1"/>
                    </pic:cNvPicPr>
                  </pic:nvPicPr>
                  <pic:blipFill>
                    <a:blip r:embed="rId1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94" w:name="__RefHeading___Toc24656_3350804041"/>
      <w:bookmarkEnd w:id="194"/>
      <w:r>
        <w:rPr>
          <w:rFonts w:eastAsia="Segoe UI" w:cs="Segoe UI"/>
          <w:b/>
          <w:color w:val="0F4761"/>
          <w:sz w:val="26"/>
        </w:rPr>
        <w:t>17.4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 An agent or sub-agent without a licence in force on the Licence Register cannot be approved or paid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Overrides (Agreements, Computations)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Overriding, profit and contingent commission agreements with insurers (basis production, loss ratio or growth; slab or banded tiers) and their computations per period (OVC-): </w:t>
            </w:r>
            <w:r>
              <w:rPr>
                <w:rFonts w:eastAsia="Segoe UI" w:cs="Segoe UI" w:ascii="Segoe UI" w:hAnsi="Segoe UI"/>
                <w:b/>
                <w:color w:val="101820"/>
                <w:kern w:val="0"/>
                <w:sz w:val="18"/>
                <w:szCs w:val="24"/>
                <w:lang w:val="en-US" w:eastAsia="ja-JP" w:bidi="ar-SA"/>
              </w:rPr>
              <w:t>Compute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(posting rule override_commission.accrual), </w:t>
            </w:r>
            <w:r>
              <w:rPr>
                <w:rFonts w:eastAsia="Segoe UI" w:cs="Segoe UI" w:ascii="Segoe UI" w:hAnsi="Segoe UI"/>
                <w:b/>
                <w:color w:val="101820"/>
                <w:kern w:val="0"/>
                <w:sz w:val="18"/>
                <w:szCs w:val="24"/>
                <w:lang w:val="en-US" w:eastAsia="ja-JP" w:bidi="ar-SA"/>
              </w:rPr>
              <w:t>Issue invoice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Settle</w:t>
            </w:r>
            <w:r>
              <w:rPr>
                <w:rFonts w:eastAsia="Segoe UI" w:cs="Segoe UI" w:ascii="Segoe UI" w:hAnsi="Segoe UI"/>
                <w:color w:val="101820"/>
                <w:kern w:val="0"/>
                <w:sz w:val="18"/>
                <w:szCs w:val="24"/>
                <w:lang w:val="en-US" w:eastAsia="ja-JP" w:bidi="ar-SA"/>
              </w:rPr>
              <w:t xml:space="preserve"> (override_commission.settlement).</w:t>
            </w:r>
          </w:p>
        </w:tc>
      </w:tr>
    </w:tbl>
    <w:p>
      <w:pPr>
        <w:pStyle w:val="Normal"/>
        <w:spacing w:before="0" w:after="80"/>
        <w:rPr/>
      </w:pPr>
      <w:r>
        <w:rPr/>
      </w:r>
    </w:p>
    <w:p>
      <w:pPr>
        <w:pStyle w:val="Heading2"/>
        <w:rPr/>
      </w:pPr>
      <w:bookmarkStart w:id="195" w:name="__RefHeading___Toc24658_3350804041"/>
      <w:bookmarkEnd w:id="195"/>
      <w:r>
        <w:rPr>
          <w:rFonts w:eastAsia="Segoe UI" w:cs="Segoe UI"/>
          <w:b/>
          <w:color w:val="0F4761"/>
          <w:sz w:val="26"/>
        </w:rPr>
        <w:t>17.5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Placements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Facultative slips (FAC-) as reinsurance broker: cedant, risk, share offered, reinsurers' lines; </w:t>
            </w:r>
            <w:r>
              <w:rPr>
                <w:rFonts w:eastAsia="Segoe UI" w:cs="Segoe UI" w:ascii="Segoe UI" w:hAnsi="Segoe UI"/>
                <w:b/>
                <w:color w:val="101820"/>
                <w:kern w:val="0"/>
                <w:sz w:val="18"/>
                <w:szCs w:val="24"/>
                <w:lang w:val="en-US" w:eastAsia="ja-JP" w:bidi="ar-SA"/>
              </w:rPr>
              <w:t>Send to market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Bind</w:t>
            </w:r>
            <w:r>
              <w:rPr>
                <w:rFonts w:eastAsia="Segoe UI" w:cs="Segoe UI" w:ascii="Segoe UI" w:hAnsi="Segoe UI"/>
                <w:color w:val="101820"/>
                <w:kern w:val="0"/>
                <w:sz w:val="18"/>
                <w:szCs w:val="24"/>
                <w:lang w:val="en-US" w:eastAsia="ja-JP" w:bidi="ar-SA"/>
              </w:rPr>
              <w:t xml:space="preserve"> (posting rule ri.facultative.bind), cover note, debit and credit notes, premium received and paid, bordereau.</w:t>
            </w:r>
          </w:p>
        </w:tc>
      </w:tr>
    </w:tbl>
    <w:p>
      <w:pPr>
        <w:pStyle w:val="Normal"/>
        <w:spacing w:before="0" w:after="80"/>
        <w:rPr/>
      </w:pPr>
      <w:r>
        <w:rPr/>
      </w:r>
    </w:p>
    <w:p>
      <w:pPr>
        <w:pStyle w:val="Normal"/>
        <w:jc w:val="center"/>
        <w:rPr/>
      </w:pPr>
      <w:r>
        <w:rPr/>
        <w:drawing>
          <wp:inline distT="0" distB="0" distL="0" distR="0">
            <wp:extent cx="5760085" cy="4354830"/>
            <wp:effectExtent l="0" t="0" r="0" b="0"/>
            <wp:docPr id="198" name="Picture 21212883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121288378" descr=""/>
                    <pic:cNvPicPr>
                      <a:picLocks noChangeAspect="1" noChangeArrowheads="1"/>
                    </pic:cNvPicPr>
                  </pic:nvPicPr>
                  <pic:blipFill>
                    <a:blip r:embed="rId194"/>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96" w:name="__RefHeading___Toc24660_3350804041"/>
      <w:bookmarkEnd w:id="196"/>
      <w:r>
        <w:rPr>
          <w:rFonts w:eastAsia="Segoe UI" w:cs="Segoe UI"/>
          <w:b/>
          <w:color w:val="0F4761"/>
          <w:sz w:val="26"/>
        </w:rPr>
        <w:t>17.6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Dashboard, Client Due Diligence, EDD Reviews, KYC Refresh, Screening Hits, Screening Lists, Transaction Alerts, AML Cases, AMLC Reports, AML 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AML/CFT programme (EDD-, AMA-, AMC-, AMR-): risk rating and KYC status per client, EDD reviews, screening against the uploaded lists and the provider, the monitoring rules and alerts, cases and the AMLC report files; decisions reserved to approve:aml (Compliance Officer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Licence Register, Fit and Proper, Insurer Authority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Licences of the firm, officers, individuals and referrers with expiry calendar and renewals; declarations and reviews of directors and officers; the insurers' certificates of authority with their state; reminders by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Complaints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Complaints register (CPT-) under RA 11765 with acknowledgement and resolution deadlines, letters, escalation, referral to the IC and the regulator report; job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Commission &gt; IC Annual Statement, IC Production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yearly statement workbook from the ledger (schedules 1 to 4, account mapping, accountant confirmation) and the premiums by insurer and IC line for a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(NPC) &gt; Breach Register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Security incidents and personal data breaches (PDB-): 72-hour clock, assessment, NPC and data subject notifications, closure, annual report; 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97" w:name="__RefHeading___Toc24662_3350804041"/>
      <w:bookmarkEnd w:id="197"/>
      <w:r>
        <w:rPr>
          <w:rFonts w:eastAsia="Segoe UI" w:cs="Segoe UI"/>
          <w:b/>
          <w:color w:val="0F4761"/>
          <w:sz w:val="26"/>
        </w:rPr>
        <w:t>17.7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 Dealer Production.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the datasets Policies, Clients, Bills, Claims and Commissions: columns, grouping, filters, sort, Excel export, saved reports shared by role; BI extract runs for the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98" w:name="__RefHeading___Toc24664_3350804041"/>
      <w:bookmarkEnd w:id="198"/>
      <w:r>
        <w:rPr>
          <w:rFonts w:eastAsia="Segoe UI" w:cs="Segoe UI"/>
          <w:b/>
          <w:color w:val="0F4761"/>
          <w:sz w:val="26"/>
        </w:rPr>
        <w:t>17.8  Master</w:t>
      </w:r>
    </w:p>
    <w:p>
      <w:pPr>
        <w:pStyle w:val="Heading3"/>
        <w:rPr/>
      </w:pPr>
      <w:r>
        <w:rPr>
          <w:rFonts w:eastAsia="Segoe UI" w:cs="Segoe UI"/>
          <w:b/>
          <w:color w:val="0F4761"/>
          <w:sz w:val="23"/>
        </w:rPr>
        <w:t>17.8.1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 link to Theme and Branding.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&gt; Theme and Branding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presets, layout, font and colours with the WCAG AA contrast check; sign-in page picture and texts; document, report and Excel branding; e-mail layout; application name and images; document signature mapping; brand pack export and import (System Administrator chapter).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Connectors (SMS, Viber, CTPL authentication, LTO feed, insurer API, bank files) with mode, credentials by environment variable name, retries and </w:t>
            </w:r>
            <w:r>
              <w:rPr>
                <w:rFonts w:eastAsia="Segoe UI" w:cs="Segoe UI" w:ascii="Segoe UI" w:hAnsi="Segoe UI"/>
                <w:b/>
                <w:color w:val="101820"/>
                <w:kern w:val="0"/>
                <w:sz w:val="18"/>
                <w:szCs w:val="24"/>
                <w:lang w:val="en-US" w:eastAsia="ja-JP" w:bidi="ar-SA"/>
              </w:rPr>
              <w:t>Test connection</w:t>
            </w:r>
            <w:r>
              <w:rPr>
                <w:rFonts w:eastAsia="Segoe UI" w:cs="Segoe UI" w:ascii="Segoe UI" w:hAnsi="Segoe UI"/>
                <w:color w:val="101820"/>
                <w:kern w:val="0"/>
                <w:sz w:val="18"/>
                <w:szCs w:val="24"/>
                <w:lang w:val="en-US" w:eastAsia="ja-JP" w:bidi="ar-SA"/>
              </w:rPr>
              <w:t xml:space="preserve">; the outbox and inbox of every message; job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 Templates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SMS and Viber texts with placeholders, consent needed and connector; </w:t>
            </w:r>
            <w:r>
              <w:rPr>
                <w:rFonts w:eastAsia="Segoe UI" w:cs="Segoe UI" w:ascii="Segoe UI" w:hAnsi="Segoe UI"/>
                <w:b/>
                <w:color w:val="101820"/>
                <w:kern w:val="0"/>
                <w:sz w:val="18"/>
                <w:szCs w:val="24"/>
                <w:lang w:val="en-US" w:eastAsia="ja-JP" w:bidi="ar-SA"/>
              </w:rPr>
              <w:t>Send a test</w:t>
            </w:r>
            <w:r>
              <w:rPr>
                <w:rFonts w:eastAsia="Segoe UI" w:cs="Segoe UI" w:ascii="Segoe UI" w:hAnsi="Segoe UI"/>
                <w:color w:val="101820"/>
                <w:kern w:val="0"/>
                <w:sz w:val="18"/>
                <w:szCs w:val="24"/>
                <w:lang w:val="en-US" w:eastAsia="ja-JP" w:bidi="ar-SA"/>
              </w:rPr>
              <w:t>; the messages 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Integration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(broker code, product codes, request and answer maps, claim statuses); requests for policy issuance, premium data and claim status; claim status file import.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17.8.2  Organization, Insurance, Location, Employees, Users and Access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Sales Activity Types, Sales Activity Outcomes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activity types (channel, default days to the next step) and the outcomes (positive, neutral or negative) of the sales activity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IC Certificate of Authority No. and its validity;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Short-Period Rates, Cancellation Reasons, Claim Document Checklist, Repair Shops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operational masters: the percentage the insurer keeps per period in force; who initiates each cancellation reason and its method; the documents each claim needs by line and type; the accredited repair shops.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&gt; Distribution Channels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groups and branches, financing banks and branches, affinity partners, with referrer and comsub, mortgagee clause and letter addressee; prospects, policies and premium per channel.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Province, City / Municipality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PSGC address lists (regions, provinces, cities and municipalities with ZIP codes; barangays on the address forms);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Employees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17.8.3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Asset Classes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Classes of the fixed asset register with useful life and the asset, accumulated depreciation and depreciation expense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File Layouts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each bank's payment upload file is written (delimited or fixed width, header, payment and trailer records, file name) and its status file read; the payee bank accounts; starter layouts in test mode until validated with the bank.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99" name="Picture 21212883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121288379" descr=""/>
                    <pic:cNvPicPr>
                      <a:picLocks noChangeAspect="1" noChangeArrowheads="1"/>
                    </pic:cNvPicPr>
                  </pic:nvPicPr>
                  <pic:blipFill>
                    <a:blip r:embed="rId1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17.8.4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99" w:name="__RefHeading___Toc24666_3350804041"/>
      <w:bookmarkEnd w:id="199"/>
      <w:r>
        <w:rPr>
          <w:rFonts w:eastAsia="Segoe UI" w:cs="Segoe UI"/>
          <w:b/>
          <w:color w:val="0F4761"/>
          <w:sz w:val="26"/>
        </w:rPr>
        <w:t>17.9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200" name="Picture 21212883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121288380" descr=""/>
                    <pic:cNvPicPr>
                      <a:picLocks noChangeAspect="1" noChangeArrowheads="1"/>
                    </pic:cNvPicPr>
                  </pic:nvPicPr>
                  <pic:blipFill>
                    <a:blip r:embed="rId1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200" w:name="__RefHeading___Toc24668_3350804041"/>
      <w:bookmarkEnd w:id="200"/>
      <w:r>
        <w:rPr>
          <w:rFonts w:eastAsia="Segoe UI" w:cs="Segoe UI"/>
          <w:b/>
          <w:color w:val="0F4761"/>
          <w:sz w:val="26"/>
        </w:rPr>
        <w:t>17.10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 PDB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 personal data breach or security incident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 FAC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 facultative slip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CVN, LOA, CPV</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letter of authority, claim payment voucher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 BPB</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bank payment batch</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APV, SPV, FA, FAD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Supplier invoice voucher, supplier payment, fixed asset, asset disposal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OVC, SI, PAR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commission computation, sales invoice, payment acknowledgement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AMA, AMC, AMR</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 review, AML alert, AML case, AMLC report file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CPT, CMP</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Complaint, comparison report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DSB, FLT, MOC, MIC, MDC</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batch, fleet schedule, marine open cover, marine certificate, marine declaration</w:t>
            </w:r>
          </w:p>
        </w:tc>
      </w:tr>
    </w:tbl>
    <w:p>
      <w:pPr>
        <w:pStyle w:val="Heading1"/>
        <w:rPr/>
      </w:pPr>
      <w:r>
        <w:br w:type="page"/>
      </w:r>
      <w:bookmarkStart w:id="201" w:name="__RefHeading___Toc24670_3350804041"/>
      <w:bookmarkEnd w:id="201"/>
      <w:r>
        <w:rPr>
          <w:rFonts w:eastAsia="Segoe UI" w:cs="Segoe UI" w:ascii="Segoe UI" w:hAnsi="Segoe UI"/>
          <w:b/>
          <w:color w:val="0F4761"/>
          <w:sz w:val="32"/>
        </w:rPr>
        <w:t>18.  Reports, dashboards, schedules and notifications</w:t>
      </w:r>
    </w:p>
    <w:p>
      <w:pPr>
        <w:pStyle w:val="Heading2"/>
        <w:rPr/>
      </w:pPr>
      <w:bookmarkStart w:id="202" w:name="__RefHeading___Toc24672_3350804041"/>
      <w:bookmarkEnd w:id="202"/>
      <w:r>
        <w:rPr>
          <w:rFonts w:eastAsia="Segoe UI" w:cs="Segoe UI"/>
          <w:b/>
          <w:color w:val="0F4761"/>
          <w:sz w:val="26"/>
        </w:rPr>
        <w:t>18.1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201" name="Picture 21212883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121288381" descr=""/>
                    <pic:cNvPicPr>
                      <a:picLocks noChangeAspect="1" noChangeArrowheads="1"/>
                    </pic:cNvPicPr>
                  </pic:nvPicPr>
                  <pic:blipFill>
                    <a:blip r:embed="rId1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613"/>
        </w:numPr>
        <w:spacing w:before="0" w:after="60"/>
        <w:rPr/>
      </w:pPr>
      <w:r>
        <w:rPr>
          <w:rFonts w:eastAsia="Segoe UI" w:cs="Segoe UI" w:ascii="Segoe UI" w:hAnsi="Segoe UI"/>
          <w:color w:val="101820"/>
          <w:sz w:val="21"/>
        </w:rPr>
        <w:t>Open the report.</w:t>
      </w:r>
    </w:p>
    <w:p>
      <w:pPr>
        <w:pStyle w:val="Normal"/>
        <w:numPr>
          <w:ilvl w:val="0"/>
          <w:numId w:val="614"/>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61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616"/>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6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618"/>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686050"/>
            <wp:effectExtent l="0" t="0" r="0" b="0"/>
            <wp:docPr id="202" name="Picture 21212883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121288382" descr=""/>
                    <pic:cNvPicPr>
                      <a:picLocks noChangeAspect="1" noChangeArrowheads="1"/>
                    </pic:cNvPicPr>
                  </pic:nvPicPr>
                  <pic:blipFill>
                    <a:blip r:embed="rId198"/>
                    <a:stretch>
                      <a:fillRect/>
                    </a:stretch>
                  </pic:blipFill>
                  <pic:spPr bwMode="auto">
                    <a:xfrm>
                      <a:off x="0" y="0"/>
                      <a:ext cx="5760085" cy="268605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203" w:name="__RefHeading___Toc24674_3350804041"/>
      <w:bookmarkEnd w:id="203"/>
      <w:r>
        <w:rPr>
          <w:rFonts w:eastAsia="Segoe UI" w:cs="Segoe UI"/>
          <w:b/>
          <w:color w:val="0F4761"/>
          <w:sz w:val="26"/>
        </w:rPr>
        <w:t>18.2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204" w:name="__RefHeading___Toc24676_3350804041"/>
      <w:bookmarkEnd w:id="204"/>
      <w:r>
        <w:rPr>
          <w:rFonts w:eastAsia="Segoe UI" w:cs="Segoe UI"/>
          <w:b/>
          <w:color w:val="0F4761"/>
          <w:sz w:val="26"/>
        </w:rPr>
        <w:t>18.3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cover note expiry (06:20), post-dated cheques due (06:25), AML transaction monitoring (06:30), missing claim document reminders (06:35), compliance reminders (06:45), receivable ageing (07:00), KYC refreshes due (Mondays 07:00), collection reminders and complaints deadlines (08:00), the breach register deadlines (every hour), My Work reminders (every 15 minutes), the e-mail outbox (every 5 minutes), the integration outbox (every 2 minutes) and the renewal notice queue (every minute). Jobs delivered switched off, to be switched on by the process owner: accrual auto-reversal, recurring journals, period auto soft-close, bank reconciliation auto-match, the month-end close reminder, remittance schedules, overdue data subject requests, SMS renewal notices and payment reminders, campaign dispatch, lead assignment SLA, the EIS outbox, the screening provider retry and the BI extract. The System Administrator sees and runs the jobs on Master &gt; Schedules. The BrokerVerse Schedules and Batch Jobs document describes each job, what it reads and writes, and what to do when it fails.</w:t>
      </w:r>
    </w:p>
    <w:p>
      <w:pPr>
        <w:pStyle w:val="Heading2"/>
        <w:rPr/>
      </w:pPr>
      <w:bookmarkStart w:id="205" w:name="__RefHeading___Toc24678_3350804041"/>
      <w:bookmarkEnd w:id="205"/>
      <w:r>
        <w:rPr>
          <w:rFonts w:eastAsia="Segoe UI" w:cs="Segoe UI"/>
          <w:b/>
          <w:color w:val="0F4761"/>
          <w:sz w:val="26"/>
        </w:rPr>
        <w:t>18.4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 supplier invoices to approve; post-dated cheques due; bounced cheques.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hits and EDD reviews to decide; alerts and cases due; licences, fit and proper reviews and insurer certificates expiring; complaint deadlines; breach notification deadlines; data subject requests overdue.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Task reminders at the time chosen; one alert for an overdue task.</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in the branded layout of Theme and Branding.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and the missing document reminders of claims, the commission debit note and the remittance statements to insurers, the cover note, the comparison report and the bank endorsement letter, campaign e-mails, scheduled reports to staff and the password reset code. Official receipts, premium invoices, cover notes, debit notes, comparison reports and bank letters travel as PDF attachments (up to </w:t>
      </w:r>
      <w:r>
        <w:rPr>
          <w:rFonts w:eastAsia="Consolas" w:cs="Consolas" w:ascii="Consolas" w:hAnsi="Consolas"/>
          <w:color w:val="101820"/>
          <w:sz w:val="19"/>
        </w:rPr>
        <w:t>email.max_attachment_mb</w:t>
      </w:r>
      <w:r>
        <w:rPr>
          <w:rFonts w:eastAsia="Segoe UI" w:cs="Segoe UI" w:ascii="Segoe UI" w:hAnsi="Segoe UI"/>
          <w:color w:val="101820"/>
          <w:sz w:val="21"/>
        </w:rPr>
        <w:t xml:space="preserve">); other documents as download links. </w:t>
      </w:r>
      <w:r>
        <w:rPr>
          <w:rFonts w:eastAsia="Segoe UI" w:cs="Segoe UI" w:ascii="Segoe UI" w:hAnsi="Segoe UI"/>
          <w:b/>
          <w:color w:val="101820"/>
          <w:sz w:val="21"/>
        </w:rPr>
        <w:t>SMS and Viber</w:t>
      </w:r>
      <w:r>
        <w:rPr>
          <w:rFonts w:eastAsia="Segoe UI" w:cs="Segoe UI" w:ascii="Segoe UI" w:hAnsi="Segoe UI"/>
          <w:color w:val="101820"/>
          <w:sz w:val="21"/>
        </w:rPr>
        <w:t xml:space="preserve"> messages (renewal notices, payment reminders, claim updates, CTPL authentication) are sent through the connectors of Master &gt; System &gt; Integrations with the texts of Message Templates, once a connector is live and the jobs are switched on; until then, and for WhatsApp, phone and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203" name="Picture 21212883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121288383" descr=""/>
                    <pic:cNvPicPr>
                      <a:picLocks noChangeAspect="1" noChangeArrowheads="1"/>
                    </pic:cNvPicPr>
                  </pic:nvPicPr>
                  <pic:blipFill>
                    <a:blip r:embed="rId19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206" w:name="__RefHeading___Toc24680_3350804041"/>
      <w:bookmarkEnd w:id="206"/>
      <w:r>
        <w:rPr>
          <w:rFonts w:eastAsia="Segoe UI" w:cs="Segoe UI" w:ascii="Segoe UI" w:hAnsi="Segoe UI"/>
          <w:b/>
          <w:color w:val="0F4761"/>
          <w:sz w:val="32"/>
        </w:rPr>
        <w:t>19.  Troubleshooting, FAQ and glossary</w:t>
      </w:r>
    </w:p>
    <w:p>
      <w:pPr>
        <w:pStyle w:val="Heading2"/>
        <w:rPr/>
      </w:pPr>
      <w:bookmarkStart w:id="207" w:name="__RefHeading___Toc24682_3350804041"/>
      <w:bookmarkEnd w:id="207"/>
      <w:r>
        <w:rPr>
          <w:rFonts w:eastAsia="Segoe UI" w:cs="Segoe UI"/>
          <w:b/>
          <w:color w:val="0F4761"/>
          <w:sz w:val="26"/>
        </w:rPr>
        <w:t>19.1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has no licence on the licence register. Record the licence in Compliance &gt; Licence Register before approving or paying commission.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sub-agent has no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xml:space="preserve"> = block). Record the licence, or ask the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certificate of authority is expired or missing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compliance.insurer_authority_check</w:t>
            </w:r>
            <w:r>
              <w:rPr>
                <w:rFonts w:eastAsia="Segoe UI" w:cs="Segoe UI" w:ascii="Segoe UI" w:hAnsi="Segoe UI"/>
                <w:color w:val="101820"/>
                <w:kern w:val="0"/>
                <w:sz w:val="18"/>
                <w:szCs w:val="24"/>
                <w:lang w:val="en-US" w:eastAsia="ja-JP" w:bidi="ar-SA"/>
              </w:rPr>
              <w:t>: with warn the step goes ahead with a warning; with block it is refused until the certificate is entered on Master &gt; Insurance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refund or claim payment refused: screening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screening hit of the client or payee is open, escalated or confirmed (</w:t>
            </w:r>
            <w:r>
              <w:rPr>
                <w:rFonts w:eastAsia="Consolas" w:cs="Consolas" w:ascii="Consolas" w:hAnsi="Consolas"/>
                <w:color w:val="101820"/>
                <w:kern w:val="0"/>
                <w:sz w:val="16"/>
                <w:szCs w:val="24"/>
                <w:lang w:val="en-US" w:eastAsia="ja-JP" w:bidi="ar-SA"/>
              </w:rPr>
              <w:t>aml.screening_block_events</w:t>
            </w:r>
            <w:r>
              <w:rPr>
                <w:rFonts w:eastAsia="Segoe UI" w:cs="Segoe UI" w:ascii="Segoe UI" w:hAnsi="Segoe UI"/>
                <w:color w:val="101820"/>
                <w:kern w:val="0"/>
                <w:sz w:val="18"/>
                <w:szCs w:val="24"/>
                <w:lang w:val="en-US" w:eastAsia="ja-JP" w:bidi="ar-SA"/>
              </w:rPr>
              <w:t>). The Compliance Officer decides the hit on Compliance &gt; Screening Hits.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policy is issued: EDD required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is rated High and has no approved EDD review (</w:t>
            </w:r>
            <w:r>
              <w:rPr>
                <w:rFonts w:eastAsia="Consolas" w:cs="Consolas" w:ascii="Consolas" w:hAnsi="Consolas"/>
                <w:color w:val="101820"/>
                <w:kern w:val="0"/>
                <w:sz w:val="16"/>
                <w:szCs w:val="24"/>
                <w:lang w:val="en-US" w:eastAsia="ja-JP" w:bidi="ar-SA"/>
              </w:rPr>
              <w:t>aml.block_issue_pending_edd</w:t>
            </w:r>
            <w:r>
              <w:rPr>
                <w:rFonts w:eastAsia="Segoe UI" w:cs="Segoe UI" w:ascii="Segoe UI" w:hAnsi="Segoe UI"/>
                <w:color w:val="101820"/>
                <w:kern w:val="0"/>
                <w:sz w:val="18"/>
                <w:szCs w:val="24"/>
                <w:lang w:val="en-US" w:eastAsia="ja-JP" w:bidi="ar-SA"/>
              </w:rPr>
              <w:t>). Prepare the review on Compliance &gt; EDD Reviews; the Compliance Officer approves 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Cannot save: ... contrast ... is below WCAG AA 4.5:1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refuses a theme whose button, header or table header text does not reach 4.5:1. Change the text or background colour until the badge is green.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 to insurer is disabled on a claim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document of the checklist is still missing (</w:t>
            </w:r>
            <w:r>
              <w:rPr>
                <w:rFonts w:eastAsia="Consolas" w:cs="Consolas" w:ascii="Consolas" w:hAnsi="Consolas"/>
                <w:color w:val="101820"/>
                <w:kern w:val="0"/>
                <w:sz w:val="16"/>
                <w:szCs w:val="24"/>
                <w:lang w:val="en-US" w:eastAsia="ja-JP" w:bidi="ar-SA"/>
              </w:rPr>
              <w:t>claims.require_documents_before_submission</w:t>
            </w:r>
            <w:r>
              <w:rPr>
                <w:rFonts w:eastAsia="Segoe UI" w:cs="Segoe UI" w:ascii="Segoe UI" w:hAnsi="Segoe UI"/>
                <w:color w:val="101820"/>
                <w:kern w:val="0"/>
                <w:sz w:val="18"/>
                <w:szCs w:val="24"/>
                <w:lang w:val="en-US" w:eastAsia="ja-JP" w:bidi="ar-SA"/>
              </w:rPr>
              <w:t>). Mark it received, upload it or waive it with a reason.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disposal is refused: a month before it is not depreciated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Depreciation Run up to the month before the disposal first (</w:t>
            </w:r>
            <w:r>
              <w:rPr>
                <w:rFonts w:eastAsia="Consolas" w:cs="Consolas" w:ascii="Consolas" w:hAnsi="Consolas"/>
                <w:color w:val="101820"/>
                <w:kern w:val="0"/>
                <w:sz w:val="16"/>
                <w:szCs w:val="24"/>
                <w:lang w:val="en-US" w:eastAsia="ja-JP" w:bidi="ar-SA"/>
              </w:rPr>
              <w:t>fixed_assets.disposal_requires_depreciation_to_date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208" w:name="__RefHeading___Toc24684_3350804041"/>
      <w:bookmarkEnd w:id="208"/>
      <w:r>
        <w:rPr>
          <w:rFonts w:eastAsia="Segoe UI" w:cs="Segoe UI"/>
          <w:b/>
          <w:color w:val="0F4761"/>
          <w:sz w:val="26"/>
        </w:rPr>
        <w:t>19.2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209" w:name="__RefHeading___Toc24686_3350804041"/>
      <w:bookmarkEnd w:id="209"/>
      <w:r>
        <w:rPr>
          <w:rFonts w:eastAsia="Segoe UI" w:cs="Segoe UI"/>
          <w:b/>
          <w:color w:val="0F4761"/>
          <w:sz w:val="26"/>
        </w:rPr>
        <w:t>19.3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 pack</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branding of one environment in one file (theme, application name, logo, favicon, sign-in picture, print logo), exported and imported on Theme and Branding.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cover: the CTPL certificate authenticated with the IC-accredited provider before it is released.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evidence of cover given by the broker while the insurer issues the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Enhanced due diligence: the review of a High-risk client (source of wealth and funds, purpose of the relationship) approved by the Compliance Officer.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authority: the broker's letter to the repair shop with the approved repair cost, the insurer's share and the insured's participation.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a client's cheque received before its date, deposited and receipted on that date.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Politically exposed person: a client, owner or signatory who holds a prominent public position, always rated High.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 CTR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Suspicious transaction report and covered transaction report filed with the AMLC.</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0" w:name="__RefHeading___Toc24688_3350804041"/>
      <w:bookmarkStart w:id="211" w:name="_Toc233203395"/>
      <w:bookmarkEnd w:id="210"/>
      <w:r>
        <w:rPr>
          <w:rStyle w:val="BookTitle"/>
          <w:bCs w:val="false"/>
          <w:i w:val="false"/>
          <w:iCs w:val="false"/>
          <w:spacing w:val="0"/>
        </w:rPr>
        <w:t>20.  Document Sign-Off</w:t>
      </w:r>
      <w:bookmarkEnd w:id="21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77">
            <wp:simplePos x="0" y="0"/>
            <wp:positionH relativeFrom="margin">
              <wp:align>center</wp:align>
            </wp:positionH>
            <wp:positionV relativeFrom="margin">
              <wp:align>center</wp:align>
            </wp:positionV>
            <wp:extent cx="7548245" cy="10677525"/>
            <wp:effectExtent l="0" t="0" r="0" b="0"/>
            <wp:wrapNone/>
            <wp:docPr id="20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1" descr=""/>
                    <pic:cNvPicPr>
                      <a:picLocks noChangeAspect="1" noChangeArrowheads="1"/>
                    </pic:cNvPicPr>
                  </pic:nvPicPr>
                  <pic:blipFill>
                    <a:blip r:embed="rId200"/>
                    <a:stretch>
                      <a:fillRect/>
                    </a:stretch>
                  </pic:blipFill>
                  <pic:spPr bwMode="auto">
                    <a:xfrm>
                      <a:off x="0" y="0"/>
                      <a:ext cx="7548245" cy="10677525"/>
                    </a:xfrm>
                    <a:prstGeom prst="rect">
                      <a:avLst/>
                    </a:prstGeom>
                  </pic:spPr>
                </pic:pic>
              </a:graphicData>
            </a:graphic>
          </wp:anchor>
        </w:drawing>
      </w:r>
    </w:p>
    <w:sectPr>
      <w:footerReference w:type="default" r:id="rId201"/>
      <w:footerReference w:type="first" r:id="rId20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6">
          <wp:simplePos x="0" y="0"/>
          <wp:positionH relativeFrom="page">
            <wp:align>left</wp:align>
          </wp:positionH>
          <wp:positionV relativeFrom="paragraph">
            <wp:posOffset>-708025</wp:posOffset>
          </wp:positionV>
          <wp:extent cx="8778240" cy="885190"/>
          <wp:effectExtent l="0" t="0" r="0" b="0"/>
          <wp:wrapNone/>
          <wp:docPr id="20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76">
          <wp:simplePos x="0" y="0"/>
          <wp:positionH relativeFrom="page">
            <wp:align>left</wp:align>
          </wp:positionH>
          <wp:positionV relativeFrom="paragraph">
            <wp:posOffset>-708025</wp:posOffset>
          </wp:positionV>
          <wp:extent cx="8778240" cy="885190"/>
          <wp:effectExtent l="0" t="0" r="0" b="0"/>
          <wp:wrapNone/>
          <wp:docPr id="20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2"/>
    <w:lvlOverride w:ilvl="0">
      <w:startOverride w:val="1"/>
    </w:lvlOverride>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num>
  <w:num w:numId="125">
    <w:abstractNumId w:val="2"/>
    <w:lvlOverride w:ilvl="0">
      <w:startOverride w:val="1"/>
    </w:lvlOverride>
  </w:num>
  <w:num w:numId="126">
    <w:abstractNumId w:val="2"/>
  </w:num>
  <w:num w:numId="127">
    <w:abstractNumId w:val="2"/>
  </w:num>
  <w:num w:numId="128">
    <w:abstractNumId w:val="2"/>
    <w:lvlOverride w:ilvl="0">
      <w:startOverride w:val="1"/>
    </w:lvlOverride>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lvlOverride w:ilvl="0">
      <w:startOverride w:val="1"/>
    </w:lvlOverride>
  </w:num>
  <w:num w:numId="158">
    <w:abstractNumId w:val="2"/>
  </w:num>
  <w:num w:numId="159">
    <w:abstractNumId w:val="2"/>
  </w:num>
  <w:num w:numId="160">
    <w:abstractNumId w:val="2"/>
  </w:num>
  <w:num w:numId="161">
    <w:abstractNumId w:val="2"/>
  </w:num>
  <w:num w:numId="162">
    <w:abstractNumId w:val="2"/>
  </w:num>
  <w:num w:numId="163">
    <w:abstractNumId w:val="2"/>
    <w:lvlOverride w:ilvl="0">
      <w:startOverride w:val="1"/>
    </w:lvlOverride>
  </w:num>
  <w:num w:numId="164">
    <w:abstractNumId w:val="2"/>
  </w:num>
  <w:num w:numId="165">
    <w:abstractNumId w:val="2"/>
  </w:num>
  <w:num w:numId="166">
    <w:abstractNumId w:val="2"/>
    <w:lvlOverride w:ilvl="0">
      <w:startOverride w:val="1"/>
    </w:lvlOverride>
  </w:num>
  <w:num w:numId="167">
    <w:abstractNumId w:val="2"/>
  </w:num>
  <w:num w:numId="168">
    <w:abstractNumId w:val="2"/>
  </w:num>
  <w:num w:numId="169">
    <w:abstractNumId w:val="2"/>
  </w:num>
  <w:num w:numId="170">
    <w:abstractNumId w:val="2"/>
    <w:lvlOverride w:ilvl="0">
      <w:startOverride w:val="1"/>
    </w:lvlOverride>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num>
  <w:num w:numId="178">
    <w:abstractNumId w:val="2"/>
    <w:lvlOverride w:ilvl="0">
      <w:startOverride w:val="1"/>
    </w:lvlOverride>
  </w:num>
  <w:num w:numId="179">
    <w:abstractNumId w:val="2"/>
  </w:num>
  <w:num w:numId="180">
    <w:abstractNumId w:val="2"/>
  </w:num>
  <w:num w:numId="181">
    <w:abstractNumId w:val="2"/>
  </w:num>
  <w:num w:numId="182">
    <w:abstractNumId w:val="2"/>
    <w:lvlOverride w:ilvl="0">
      <w:startOverride w:val="1"/>
    </w:lvlOverride>
  </w:num>
  <w:num w:numId="183">
    <w:abstractNumId w:val="2"/>
  </w:num>
  <w:num w:numId="184">
    <w:abstractNumId w:val="2"/>
  </w:num>
  <w:num w:numId="185">
    <w:abstractNumId w:val="2"/>
    <w:lvlOverride w:ilvl="0">
      <w:startOverride w:val="1"/>
    </w:lvlOverride>
  </w:num>
  <w:num w:numId="186">
    <w:abstractNumId w:val="2"/>
  </w:num>
  <w:num w:numId="187">
    <w:abstractNumId w:val="2"/>
  </w:num>
  <w:num w:numId="188">
    <w:abstractNumId w:val="2"/>
  </w:num>
  <w:num w:numId="189">
    <w:abstractNumId w:val="2"/>
    <w:lvlOverride w:ilvl="0">
      <w:startOverride w:val="1"/>
    </w:lvlOverride>
  </w:num>
  <w:num w:numId="190">
    <w:abstractNumId w:val="2"/>
  </w:num>
  <w:num w:numId="191">
    <w:abstractNumId w:val="2"/>
  </w:num>
  <w:num w:numId="192">
    <w:abstractNumId w:val="2"/>
  </w:num>
  <w:num w:numId="193">
    <w:abstractNumId w:val="2"/>
  </w:num>
  <w:num w:numId="194">
    <w:abstractNumId w:val="2"/>
    <w:lvlOverride w:ilvl="0">
      <w:startOverride w:val="1"/>
    </w:lvlOverride>
  </w:num>
  <w:num w:numId="195">
    <w:abstractNumId w:val="2"/>
  </w:num>
  <w:num w:numId="196">
    <w:abstractNumId w:val="2"/>
  </w:num>
  <w:num w:numId="197">
    <w:abstractNumId w:val="2"/>
  </w:num>
  <w:num w:numId="198">
    <w:abstractNumId w:val="2"/>
    <w:lvlOverride w:ilvl="0">
      <w:startOverride w:val="1"/>
    </w:lvlOverride>
  </w:num>
  <w:num w:numId="199">
    <w:abstractNumId w:val="2"/>
  </w:num>
  <w:num w:numId="200">
    <w:abstractNumId w:val="2"/>
  </w:num>
  <w:num w:numId="201">
    <w:abstractNumId w:val="2"/>
    <w:lvlOverride w:ilvl="0">
      <w:startOverride w:val="1"/>
    </w:lvlOverride>
  </w:num>
  <w:num w:numId="202">
    <w:abstractNumId w:val="2"/>
  </w:num>
  <w:num w:numId="203">
    <w:abstractNumId w:val="2"/>
  </w:num>
  <w:num w:numId="204">
    <w:abstractNumId w:val="2"/>
  </w:num>
  <w:num w:numId="205">
    <w:abstractNumId w:val="2"/>
  </w:num>
  <w:num w:numId="206">
    <w:abstractNumId w:val="2"/>
    <w:lvlOverride w:ilvl="0">
      <w:startOverride w:val="1"/>
    </w:lvlOverride>
  </w:num>
  <w:num w:numId="207">
    <w:abstractNumId w:val="2"/>
  </w:num>
  <w:num w:numId="208">
    <w:abstractNumId w:val="2"/>
  </w:num>
  <w:num w:numId="209">
    <w:abstractNumId w:val="2"/>
  </w:num>
  <w:num w:numId="210">
    <w:abstractNumId w:val="2"/>
    <w:lvlOverride w:ilvl="0">
      <w:startOverride w:val="1"/>
    </w:lvlOverride>
  </w:num>
  <w:num w:numId="211">
    <w:abstractNumId w:val="2"/>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lvlOverride w:ilvl="0">
      <w:startOverride w:val="1"/>
    </w:lvlOverride>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lvlOverride w:ilvl="0">
      <w:startOverride w:val="1"/>
    </w:lvlOverride>
  </w:num>
  <w:num w:numId="230">
    <w:abstractNumId w:val="2"/>
  </w:num>
  <w:num w:numId="231">
    <w:abstractNumId w:val="2"/>
  </w:num>
  <w:num w:numId="232">
    <w:abstractNumId w:val="2"/>
    <w:lvlOverride w:ilvl="0">
      <w:startOverride w:val="1"/>
    </w:lvlOverride>
  </w:num>
  <w:num w:numId="233">
    <w:abstractNumId w:val="2"/>
  </w:num>
  <w:num w:numId="234">
    <w:abstractNumId w:val="2"/>
  </w:num>
  <w:num w:numId="235">
    <w:abstractNumId w:val="2"/>
    <w:lvlOverride w:ilvl="0">
      <w:startOverride w:val="1"/>
    </w:lvlOverride>
  </w:num>
  <w:num w:numId="236">
    <w:abstractNumId w:val="2"/>
  </w:num>
  <w:num w:numId="237">
    <w:abstractNumId w:val="2"/>
  </w:num>
  <w:num w:numId="238">
    <w:abstractNumId w:val="2"/>
    <w:lvlOverride w:ilvl="0">
      <w:startOverride w:val="1"/>
    </w:lvlOverride>
  </w:num>
  <w:num w:numId="239">
    <w:abstractNumId w:val="2"/>
  </w:num>
  <w:num w:numId="240">
    <w:abstractNumId w:val="2"/>
  </w:num>
  <w:num w:numId="241">
    <w:abstractNumId w:val="2"/>
    <w:lvlOverride w:ilvl="0">
      <w:startOverride w:val="1"/>
    </w:lvlOverride>
  </w:num>
  <w:num w:numId="242">
    <w:abstractNumId w:val="2"/>
  </w:num>
  <w:num w:numId="243">
    <w:abstractNumId w:val="2"/>
  </w:num>
  <w:num w:numId="244">
    <w:abstractNumId w:val="2"/>
  </w:num>
  <w:num w:numId="245">
    <w:abstractNumId w:val="2"/>
    <w:lvlOverride w:ilvl="0">
      <w:startOverride w:val="1"/>
    </w:lvlOverride>
  </w:num>
  <w:num w:numId="246">
    <w:abstractNumId w:val="2"/>
  </w:num>
  <w:num w:numId="247">
    <w:abstractNumId w:val="2"/>
  </w:num>
  <w:num w:numId="248">
    <w:abstractNumId w:val="2"/>
    <w:lvlOverride w:ilvl="0">
      <w:startOverride w:val="1"/>
    </w:lvlOverride>
  </w:num>
  <w:num w:numId="249">
    <w:abstractNumId w:val="2"/>
  </w:num>
  <w:num w:numId="250">
    <w:abstractNumId w:val="2"/>
  </w:num>
  <w:num w:numId="251">
    <w:abstractNumId w:val="2"/>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lvlOverride w:ilvl="0">
      <w:startOverride w:val="1"/>
    </w:lvlOverride>
  </w:num>
  <w:num w:numId="263">
    <w:abstractNumId w:val="2"/>
  </w:num>
  <w:num w:numId="264">
    <w:abstractNumId w:val="2"/>
  </w:num>
  <w:num w:numId="265">
    <w:abstractNumId w:val="2"/>
  </w:num>
  <w:num w:numId="266">
    <w:abstractNumId w:val="2"/>
  </w:num>
  <w:num w:numId="267">
    <w:abstractNumId w:val="2"/>
    <w:lvlOverride w:ilvl="0">
      <w:startOverride w:val="1"/>
    </w:lvlOverride>
  </w:num>
  <w:num w:numId="268">
    <w:abstractNumId w:val="2"/>
  </w:num>
  <w:num w:numId="269">
    <w:abstractNumId w:val="2"/>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lvlOverride w:ilvl="0">
      <w:startOverride w:val="1"/>
    </w:lvlOverride>
  </w:num>
  <w:num w:numId="281">
    <w:abstractNumId w:val="2"/>
  </w:num>
  <w:num w:numId="282">
    <w:abstractNumId w:val="2"/>
  </w:num>
  <w:num w:numId="283">
    <w:abstractNumId w:val="2"/>
  </w:num>
  <w:num w:numId="284">
    <w:abstractNumId w:val="2"/>
  </w:num>
  <w:num w:numId="285">
    <w:abstractNumId w:val="2"/>
    <w:lvlOverride w:ilvl="0">
      <w:startOverride w:val="1"/>
    </w:lvlOverride>
  </w:num>
  <w:num w:numId="286">
    <w:abstractNumId w:val="2"/>
  </w:num>
  <w:num w:numId="287">
    <w:abstractNumId w:val="2"/>
  </w:num>
  <w:num w:numId="288">
    <w:abstractNumId w:val="2"/>
  </w:num>
  <w:num w:numId="289">
    <w:abstractNumId w:val="2"/>
    <w:lvlOverride w:ilvl="0">
      <w:startOverride w:val="1"/>
    </w:lvlOverride>
  </w:num>
  <w:num w:numId="290">
    <w:abstractNumId w:val="2"/>
  </w:num>
  <w:num w:numId="291">
    <w:abstractNumId w:val="2"/>
  </w:num>
  <w:num w:numId="292">
    <w:abstractNumId w:val="2"/>
  </w:num>
  <w:num w:numId="293">
    <w:abstractNumId w:val="2"/>
  </w:num>
  <w:num w:numId="294">
    <w:abstractNumId w:val="2"/>
    <w:lvlOverride w:ilvl="0">
      <w:startOverride w:val="1"/>
    </w:lvlOverride>
  </w:num>
  <w:num w:numId="295">
    <w:abstractNumId w:val="2"/>
  </w:num>
  <w:num w:numId="296">
    <w:abstractNumId w:val="2"/>
  </w:num>
  <w:num w:numId="297">
    <w:abstractNumId w:val="2"/>
  </w:num>
  <w:num w:numId="298">
    <w:abstractNumId w:val="2"/>
    <w:lvlOverride w:ilvl="0">
      <w:startOverride w:val="1"/>
    </w:lvlOverride>
  </w:num>
  <w:num w:numId="299">
    <w:abstractNumId w:val="2"/>
  </w:num>
  <w:num w:numId="300">
    <w:abstractNumId w:val="2"/>
  </w:num>
  <w:num w:numId="301">
    <w:abstractNumId w:val="2"/>
  </w:num>
  <w:num w:numId="302">
    <w:abstractNumId w:val="2"/>
  </w:num>
  <w:num w:numId="303">
    <w:abstractNumId w:val="2"/>
    <w:lvlOverride w:ilvl="0">
      <w:startOverride w:val="1"/>
    </w:lvlOverride>
  </w:num>
  <w:num w:numId="304">
    <w:abstractNumId w:val="2"/>
  </w:num>
  <w:num w:numId="305">
    <w:abstractNumId w:val="2"/>
  </w:num>
  <w:num w:numId="306">
    <w:abstractNumId w:val="2"/>
    <w:lvlOverride w:ilvl="0">
      <w:startOverride w:val="1"/>
    </w:lvlOverride>
  </w:num>
  <w:num w:numId="307">
    <w:abstractNumId w:val="2"/>
  </w:num>
  <w:num w:numId="308">
    <w:abstractNumId w:val="2"/>
  </w:num>
  <w:num w:numId="309">
    <w:abstractNumId w:val="2"/>
    <w:lvlOverride w:ilvl="0">
      <w:startOverride w:val="1"/>
    </w:lvlOverride>
  </w:num>
  <w:num w:numId="310">
    <w:abstractNumId w:val="2"/>
  </w:num>
  <w:num w:numId="311">
    <w:abstractNumId w:val="2"/>
  </w:num>
  <w:num w:numId="312">
    <w:abstractNumId w:val="2"/>
  </w:num>
  <w:num w:numId="313">
    <w:abstractNumId w:val="2"/>
    <w:lvlOverride w:ilvl="0">
      <w:startOverride w:val="1"/>
    </w:lvlOverride>
  </w:num>
  <w:num w:numId="314">
    <w:abstractNumId w:val="2"/>
  </w:num>
  <w:num w:numId="315">
    <w:abstractNumId w:val="2"/>
  </w:num>
  <w:num w:numId="316">
    <w:abstractNumId w:val="2"/>
    <w:lvlOverride w:ilvl="0">
      <w:startOverride w:val="1"/>
    </w:lvlOverride>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lvlOverride w:ilvl="0">
      <w:startOverride w:val="1"/>
    </w:lvlOverride>
  </w:num>
  <w:num w:numId="325">
    <w:abstractNumId w:val="2"/>
  </w:num>
  <w:num w:numId="326">
    <w:abstractNumId w:val="2"/>
  </w:num>
  <w:num w:numId="327">
    <w:abstractNumId w:val="2"/>
  </w:num>
  <w:num w:numId="328">
    <w:abstractNumId w:val="2"/>
  </w:num>
  <w:num w:numId="329">
    <w:abstractNumId w:val="2"/>
    <w:lvlOverride w:ilvl="0">
      <w:startOverride w:val="1"/>
    </w:lvlOverride>
  </w:num>
  <w:num w:numId="330">
    <w:abstractNumId w:val="2"/>
  </w:num>
  <w:num w:numId="331">
    <w:abstractNumId w:val="2"/>
  </w:num>
  <w:num w:numId="332">
    <w:abstractNumId w:val="2"/>
  </w:num>
  <w:num w:numId="333">
    <w:abstractNumId w:val="2"/>
    <w:lvlOverride w:ilvl="0">
      <w:startOverride w:val="1"/>
    </w:lvlOverride>
  </w:num>
  <w:num w:numId="334">
    <w:abstractNumId w:val="2"/>
  </w:num>
  <w:num w:numId="335">
    <w:abstractNumId w:val="2"/>
  </w:num>
  <w:num w:numId="336">
    <w:abstractNumId w:val="2"/>
  </w:num>
  <w:num w:numId="337">
    <w:abstractNumId w:val="2"/>
  </w:num>
  <w:num w:numId="338">
    <w:abstractNumId w:val="2"/>
    <w:lvlOverride w:ilvl="0">
      <w:startOverride w:val="1"/>
    </w:lvlOverride>
  </w:num>
  <w:num w:numId="339">
    <w:abstractNumId w:val="2"/>
  </w:num>
  <w:num w:numId="340">
    <w:abstractNumId w:val="2"/>
  </w:num>
  <w:num w:numId="341">
    <w:abstractNumId w:val="2"/>
    <w:lvlOverride w:ilvl="0">
      <w:startOverride w:val="1"/>
    </w:lvlOverride>
  </w:num>
  <w:num w:numId="342">
    <w:abstractNumId w:val="2"/>
  </w:num>
  <w:num w:numId="343">
    <w:abstractNumId w:val="2"/>
  </w:num>
  <w:num w:numId="344">
    <w:abstractNumId w:val="2"/>
  </w:num>
  <w:num w:numId="345">
    <w:abstractNumId w:val="2"/>
  </w:num>
  <w:num w:numId="346">
    <w:abstractNumId w:val="2"/>
    <w:lvlOverride w:ilvl="0">
      <w:startOverride w:val="1"/>
    </w:lvlOverride>
  </w:num>
  <w:num w:numId="347">
    <w:abstractNumId w:val="2"/>
  </w:num>
  <w:num w:numId="348">
    <w:abstractNumId w:val="2"/>
  </w:num>
  <w:num w:numId="349">
    <w:abstractNumId w:val="2"/>
  </w:num>
  <w:num w:numId="350">
    <w:abstractNumId w:val="2"/>
  </w:num>
  <w:num w:numId="351">
    <w:abstractNumId w:val="2"/>
    <w:lvlOverride w:ilvl="0">
      <w:startOverride w:val="1"/>
    </w:lvlOverride>
  </w:num>
  <w:num w:numId="352">
    <w:abstractNumId w:val="2"/>
  </w:num>
  <w:num w:numId="353">
    <w:abstractNumId w:val="2"/>
  </w:num>
  <w:num w:numId="354">
    <w:abstractNumId w:val="2"/>
  </w:num>
  <w:num w:numId="355">
    <w:abstractNumId w:val="2"/>
  </w:num>
  <w:num w:numId="356">
    <w:abstractNumId w:val="2"/>
    <w:lvlOverride w:ilvl="0">
      <w:startOverride w:val="1"/>
    </w:lvlOverride>
  </w:num>
  <w:num w:numId="357">
    <w:abstractNumId w:val="2"/>
  </w:num>
  <w:num w:numId="358">
    <w:abstractNumId w:val="2"/>
  </w:num>
  <w:num w:numId="359">
    <w:abstractNumId w:val="2"/>
  </w:num>
  <w:num w:numId="360">
    <w:abstractNumId w:val="2"/>
    <w:lvlOverride w:ilvl="0">
      <w:startOverride w:val="1"/>
    </w:lvlOverride>
  </w:num>
  <w:num w:numId="361">
    <w:abstractNumId w:val="2"/>
  </w:num>
  <w:num w:numId="362">
    <w:abstractNumId w:val="2"/>
  </w:num>
  <w:num w:numId="363">
    <w:abstractNumId w:val="2"/>
    <w:lvlOverride w:ilvl="0">
      <w:startOverride w:val="1"/>
    </w:lvlOverride>
  </w:num>
  <w:num w:numId="364">
    <w:abstractNumId w:val="2"/>
  </w:num>
  <w:num w:numId="365">
    <w:abstractNumId w:val="2"/>
  </w:num>
  <w:num w:numId="366">
    <w:abstractNumId w:val="2"/>
  </w:num>
  <w:num w:numId="367">
    <w:abstractNumId w:val="2"/>
    <w:lvlOverride w:ilvl="0">
      <w:startOverride w:val="1"/>
    </w:lvlOverride>
  </w:num>
  <w:num w:numId="368">
    <w:abstractNumId w:val="2"/>
  </w:num>
  <w:num w:numId="369">
    <w:abstractNumId w:val="2"/>
  </w:num>
  <w:num w:numId="370">
    <w:abstractNumId w:val="2"/>
  </w:num>
  <w:num w:numId="371">
    <w:abstractNumId w:val="2"/>
    <w:lvlOverride w:ilvl="0">
      <w:startOverride w:val="1"/>
    </w:lvlOverride>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lvlOverride w:ilvl="0">
      <w:startOverride w:val="1"/>
    </w:lvlOverride>
  </w:num>
  <w:num w:numId="380">
    <w:abstractNumId w:val="2"/>
  </w:num>
  <w:num w:numId="381">
    <w:abstractNumId w:val="2"/>
  </w:num>
  <w:num w:numId="382">
    <w:abstractNumId w:val="2"/>
  </w:num>
  <w:num w:numId="383">
    <w:abstractNumId w:val="2"/>
  </w:num>
  <w:num w:numId="384">
    <w:abstractNumId w:val="2"/>
    <w:lvlOverride w:ilvl="0">
      <w:startOverride w:val="1"/>
    </w:lvlOverride>
  </w:num>
  <w:num w:numId="385">
    <w:abstractNumId w:val="2"/>
  </w:num>
  <w:num w:numId="386">
    <w:abstractNumId w:val="2"/>
  </w:num>
  <w:num w:numId="387">
    <w:abstractNumId w:val="2"/>
  </w:num>
  <w:num w:numId="388">
    <w:abstractNumId w:val="2"/>
    <w:lvlOverride w:ilvl="0">
      <w:startOverride w:val="1"/>
    </w:lvlOverride>
  </w:num>
  <w:num w:numId="389">
    <w:abstractNumId w:val="2"/>
  </w:num>
  <w:num w:numId="390">
    <w:abstractNumId w:val="2"/>
  </w:num>
  <w:num w:numId="391">
    <w:abstractNumId w:val="2"/>
  </w:num>
  <w:num w:numId="392">
    <w:abstractNumId w:val="2"/>
  </w:num>
  <w:num w:numId="393">
    <w:abstractNumId w:val="2"/>
  </w:num>
  <w:num w:numId="394">
    <w:abstractNumId w:val="2"/>
    <w:lvlOverride w:ilvl="0">
      <w:startOverride w:val="1"/>
    </w:lvlOverride>
  </w:num>
  <w:num w:numId="395">
    <w:abstractNumId w:val="2"/>
  </w:num>
  <w:num w:numId="396">
    <w:abstractNumId w:val="2"/>
  </w:num>
  <w:num w:numId="397">
    <w:abstractNumId w:val="2"/>
  </w:num>
  <w:num w:numId="398">
    <w:abstractNumId w:val="2"/>
    <w:lvlOverride w:ilvl="0">
      <w:startOverride w:val="1"/>
    </w:lvlOverride>
  </w:num>
  <w:num w:numId="399">
    <w:abstractNumId w:val="2"/>
  </w:num>
  <w:num w:numId="400">
    <w:abstractNumId w:val="2"/>
  </w:num>
  <w:num w:numId="401">
    <w:abstractNumId w:val="2"/>
  </w:num>
  <w:num w:numId="402">
    <w:abstractNumId w:val="2"/>
  </w:num>
  <w:num w:numId="403">
    <w:abstractNumId w:val="2"/>
  </w:num>
  <w:num w:numId="404">
    <w:abstractNumId w:val="2"/>
    <w:lvlOverride w:ilvl="0">
      <w:startOverride w:val="1"/>
    </w:lvlOverride>
  </w:num>
  <w:num w:numId="405">
    <w:abstractNumId w:val="2"/>
  </w:num>
  <w:num w:numId="406">
    <w:abstractNumId w:val="2"/>
  </w:num>
  <w:num w:numId="407">
    <w:abstractNumId w:val="2"/>
  </w:num>
  <w:num w:numId="408">
    <w:abstractNumId w:val="2"/>
  </w:num>
  <w:num w:numId="409">
    <w:abstractNumId w:val="2"/>
    <w:lvlOverride w:ilvl="0">
      <w:startOverride w:val="1"/>
    </w:lvlOverride>
  </w:num>
  <w:num w:numId="410">
    <w:abstractNumId w:val="2"/>
  </w:num>
  <w:num w:numId="411">
    <w:abstractNumId w:val="2"/>
  </w:num>
  <w:num w:numId="412">
    <w:abstractNumId w:val="2"/>
  </w:num>
  <w:num w:numId="413">
    <w:abstractNumId w:val="2"/>
  </w:num>
  <w:num w:numId="414">
    <w:abstractNumId w:val="2"/>
  </w:num>
  <w:num w:numId="415">
    <w:abstractNumId w:val="2"/>
    <w:lvlOverride w:ilvl="0">
      <w:startOverride w:val="1"/>
    </w:lvlOverride>
  </w:num>
  <w:num w:numId="416">
    <w:abstractNumId w:val="2"/>
  </w:num>
  <w:num w:numId="417">
    <w:abstractNumId w:val="2"/>
  </w:num>
  <w:num w:numId="418">
    <w:abstractNumId w:val="2"/>
  </w:num>
  <w:num w:numId="419">
    <w:abstractNumId w:val="2"/>
  </w:num>
  <w:num w:numId="420">
    <w:abstractNumId w:val="2"/>
  </w:num>
  <w:num w:numId="421">
    <w:abstractNumId w:val="2"/>
    <w:lvlOverride w:ilvl="0">
      <w:startOverride w:val="1"/>
    </w:lvlOverride>
  </w:num>
  <w:num w:numId="422">
    <w:abstractNumId w:val="2"/>
  </w:num>
  <w:num w:numId="423">
    <w:abstractNumId w:val="2"/>
  </w:num>
  <w:num w:numId="424">
    <w:abstractNumId w:val="2"/>
  </w:num>
  <w:num w:numId="425">
    <w:abstractNumId w:val="2"/>
  </w:num>
  <w:num w:numId="426">
    <w:abstractNumId w:val="2"/>
  </w:num>
  <w:num w:numId="427">
    <w:abstractNumId w:val="2"/>
    <w:lvlOverride w:ilvl="0">
      <w:startOverride w:val="1"/>
    </w:lvlOverride>
  </w:num>
  <w:num w:numId="428">
    <w:abstractNumId w:val="2"/>
  </w:num>
  <w:num w:numId="429">
    <w:abstractNumId w:val="2"/>
  </w:num>
  <w:num w:numId="430">
    <w:abstractNumId w:val="2"/>
  </w:num>
  <w:num w:numId="431">
    <w:abstractNumId w:val="2"/>
  </w:num>
  <w:num w:numId="432">
    <w:abstractNumId w:val="2"/>
    <w:lvlOverride w:ilvl="0">
      <w:startOverride w:val="1"/>
    </w:lvlOverride>
  </w:num>
  <w:num w:numId="433">
    <w:abstractNumId w:val="2"/>
  </w:num>
  <w:num w:numId="434">
    <w:abstractNumId w:val="2"/>
  </w:num>
  <w:num w:numId="435">
    <w:abstractNumId w:val="2"/>
  </w:num>
  <w:num w:numId="436">
    <w:abstractNumId w:val="2"/>
  </w:num>
  <w:num w:numId="437">
    <w:abstractNumId w:val="2"/>
    <w:lvlOverride w:ilvl="0">
      <w:startOverride w:val="1"/>
    </w:lvlOverride>
  </w:num>
  <w:num w:numId="438">
    <w:abstractNumId w:val="2"/>
  </w:num>
  <w:num w:numId="439">
    <w:abstractNumId w:val="2"/>
  </w:num>
  <w:num w:numId="440">
    <w:abstractNumId w:val="2"/>
  </w:num>
  <w:num w:numId="441">
    <w:abstractNumId w:val="2"/>
  </w:num>
  <w:num w:numId="442">
    <w:abstractNumId w:val="2"/>
    <w:lvlOverride w:ilvl="0">
      <w:startOverride w:val="1"/>
    </w:lvlOverride>
  </w:num>
  <w:num w:numId="443">
    <w:abstractNumId w:val="2"/>
  </w:num>
  <w:num w:numId="444">
    <w:abstractNumId w:val="2"/>
  </w:num>
  <w:num w:numId="445">
    <w:abstractNumId w:val="2"/>
    <w:lvlOverride w:ilvl="0">
      <w:startOverride w:val="1"/>
    </w:lvlOverride>
  </w:num>
  <w:num w:numId="446">
    <w:abstractNumId w:val="2"/>
  </w:num>
  <w:num w:numId="447">
    <w:abstractNumId w:val="2"/>
  </w:num>
  <w:num w:numId="448">
    <w:abstractNumId w:val="2"/>
  </w:num>
  <w:num w:numId="449">
    <w:abstractNumId w:val="2"/>
    <w:lvlOverride w:ilvl="0">
      <w:startOverride w:val="1"/>
    </w:lvlOverride>
  </w:num>
  <w:num w:numId="450">
    <w:abstractNumId w:val="2"/>
  </w:num>
  <w:num w:numId="451">
    <w:abstractNumId w:val="2"/>
  </w:num>
  <w:num w:numId="452">
    <w:abstractNumId w:val="2"/>
  </w:num>
  <w:num w:numId="453">
    <w:abstractNumId w:val="2"/>
  </w:num>
  <w:num w:numId="454">
    <w:abstractNumId w:val="2"/>
    <w:lvlOverride w:ilvl="0">
      <w:startOverride w:val="1"/>
    </w:lvlOverride>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lvlOverride w:ilvl="0">
      <w:startOverride w:val="1"/>
    </w:lvlOverride>
  </w:num>
  <w:num w:numId="462">
    <w:abstractNumId w:val="2"/>
  </w:num>
  <w:num w:numId="463">
    <w:abstractNumId w:val="2"/>
  </w:num>
  <w:num w:numId="464">
    <w:abstractNumId w:val="2"/>
  </w:num>
  <w:num w:numId="465">
    <w:abstractNumId w:val="2"/>
    <w:lvlOverride w:ilvl="0">
      <w:startOverride w:val="1"/>
    </w:lvlOverride>
  </w:num>
  <w:num w:numId="466">
    <w:abstractNumId w:val="2"/>
  </w:num>
  <w:num w:numId="467">
    <w:abstractNumId w:val="2"/>
  </w:num>
  <w:num w:numId="468">
    <w:abstractNumId w:val="2"/>
  </w:num>
  <w:num w:numId="469">
    <w:abstractNumId w:val="2"/>
  </w:num>
  <w:num w:numId="470">
    <w:abstractNumId w:val="2"/>
    <w:lvlOverride w:ilvl="0">
      <w:startOverride w:val="1"/>
    </w:lvlOverride>
  </w:num>
  <w:num w:numId="471">
    <w:abstractNumId w:val="2"/>
  </w:num>
  <w:num w:numId="472">
    <w:abstractNumId w:val="2"/>
  </w:num>
  <w:num w:numId="473">
    <w:abstractNumId w:val="2"/>
  </w:num>
  <w:num w:numId="474">
    <w:abstractNumId w:val="2"/>
  </w:num>
  <w:num w:numId="475">
    <w:abstractNumId w:val="2"/>
    <w:lvlOverride w:ilvl="0">
      <w:startOverride w:val="1"/>
    </w:lvlOverride>
  </w:num>
  <w:num w:numId="476">
    <w:abstractNumId w:val="2"/>
  </w:num>
  <w:num w:numId="477">
    <w:abstractNumId w:val="2"/>
  </w:num>
  <w:num w:numId="478">
    <w:abstractNumId w:val="2"/>
  </w:num>
  <w:num w:numId="479">
    <w:abstractNumId w:val="2"/>
  </w:num>
  <w:num w:numId="480">
    <w:abstractNumId w:val="2"/>
    <w:lvlOverride w:ilvl="0">
      <w:startOverride w:val="1"/>
    </w:lvlOverride>
  </w:num>
  <w:num w:numId="481">
    <w:abstractNumId w:val="2"/>
  </w:num>
  <w:num w:numId="482">
    <w:abstractNumId w:val="2"/>
  </w:num>
  <w:num w:numId="483">
    <w:abstractNumId w:val="2"/>
    <w:lvlOverride w:ilvl="0">
      <w:startOverride w:val="1"/>
    </w:lvlOverride>
  </w:num>
  <w:num w:numId="484">
    <w:abstractNumId w:val="2"/>
  </w:num>
  <w:num w:numId="485">
    <w:abstractNumId w:val="2"/>
  </w:num>
  <w:num w:numId="486">
    <w:abstractNumId w:val="2"/>
  </w:num>
  <w:num w:numId="487">
    <w:abstractNumId w:val="2"/>
  </w:num>
  <w:num w:numId="488">
    <w:abstractNumId w:val="2"/>
    <w:lvlOverride w:ilvl="0">
      <w:startOverride w:val="1"/>
    </w:lvlOverride>
  </w:num>
  <w:num w:numId="489">
    <w:abstractNumId w:val="2"/>
  </w:num>
  <w:num w:numId="490">
    <w:abstractNumId w:val="2"/>
  </w:num>
  <w:num w:numId="491">
    <w:abstractNumId w:val="2"/>
    <w:lvlOverride w:ilvl="0">
      <w:startOverride w:val="1"/>
    </w:lvlOverride>
  </w:num>
  <w:num w:numId="492">
    <w:abstractNumId w:val="2"/>
  </w:num>
  <w:num w:numId="493">
    <w:abstractNumId w:val="2"/>
  </w:num>
  <w:num w:numId="494">
    <w:abstractNumId w:val="2"/>
    <w:lvlOverride w:ilvl="0">
      <w:startOverride w:val="1"/>
    </w:lvlOverride>
  </w:num>
  <w:num w:numId="495">
    <w:abstractNumId w:val="2"/>
  </w:num>
  <w:num w:numId="496">
    <w:abstractNumId w:val="2"/>
  </w:num>
  <w:num w:numId="497">
    <w:abstractNumId w:val="2"/>
    <w:lvlOverride w:ilvl="0">
      <w:startOverride w:val="1"/>
    </w:lvlOverride>
  </w:num>
  <w:num w:numId="498">
    <w:abstractNumId w:val="2"/>
  </w:num>
  <w:num w:numId="499">
    <w:abstractNumId w:val="2"/>
  </w:num>
  <w:num w:numId="500">
    <w:abstractNumId w:val="2"/>
  </w:num>
  <w:num w:numId="501">
    <w:abstractNumId w:val="2"/>
  </w:num>
  <w:num w:numId="502">
    <w:abstractNumId w:val="2"/>
    <w:lvlOverride w:ilvl="0">
      <w:startOverride w:val="1"/>
    </w:lvlOverride>
  </w:num>
  <w:num w:numId="503">
    <w:abstractNumId w:val="2"/>
  </w:num>
  <w:num w:numId="504">
    <w:abstractNumId w:val="2"/>
  </w:num>
  <w:num w:numId="505">
    <w:abstractNumId w:val="2"/>
    <w:lvlOverride w:ilvl="0">
      <w:startOverride w:val="1"/>
    </w:lvlOverride>
  </w:num>
  <w:num w:numId="506">
    <w:abstractNumId w:val="2"/>
  </w:num>
  <w:num w:numId="507">
    <w:abstractNumId w:val="2"/>
  </w:num>
  <w:num w:numId="508">
    <w:abstractNumId w:val="2"/>
    <w:lvlOverride w:ilvl="0">
      <w:startOverride w:val="1"/>
    </w:lvlOverride>
  </w:num>
  <w:num w:numId="509">
    <w:abstractNumId w:val="2"/>
  </w:num>
  <w:num w:numId="510">
    <w:abstractNumId w:val="2"/>
  </w:num>
  <w:num w:numId="511">
    <w:abstractNumId w:val="2"/>
  </w:num>
  <w:num w:numId="512">
    <w:abstractNumId w:val="2"/>
    <w:lvlOverride w:ilvl="0">
      <w:startOverride w:val="1"/>
    </w:lvlOverride>
  </w:num>
  <w:num w:numId="513">
    <w:abstractNumId w:val="2"/>
  </w:num>
  <w:num w:numId="514">
    <w:abstractNumId w:val="2"/>
  </w:num>
  <w:num w:numId="515">
    <w:abstractNumId w:val="2"/>
    <w:lvlOverride w:ilvl="0">
      <w:startOverride w:val="1"/>
    </w:lvlOverride>
  </w:num>
  <w:num w:numId="516">
    <w:abstractNumId w:val="2"/>
  </w:num>
  <w:num w:numId="517">
    <w:abstractNumId w:val="2"/>
  </w:num>
  <w:num w:numId="518">
    <w:abstractNumId w:val="2"/>
  </w:num>
  <w:num w:numId="519">
    <w:abstractNumId w:val="2"/>
    <w:lvlOverride w:ilvl="0">
      <w:startOverride w:val="1"/>
    </w:lvlOverride>
  </w:num>
  <w:num w:numId="520">
    <w:abstractNumId w:val="2"/>
  </w:num>
  <w:num w:numId="521">
    <w:abstractNumId w:val="2"/>
  </w:num>
  <w:num w:numId="522">
    <w:abstractNumId w:val="2"/>
    <w:lvlOverride w:ilvl="0">
      <w:startOverride w:val="1"/>
    </w:lvlOverride>
  </w:num>
  <w:num w:numId="523">
    <w:abstractNumId w:val="2"/>
  </w:num>
  <w:num w:numId="524">
    <w:abstractNumId w:val="2"/>
  </w:num>
  <w:num w:numId="525">
    <w:abstractNumId w:val="2"/>
  </w:num>
  <w:num w:numId="526">
    <w:abstractNumId w:val="2"/>
  </w:num>
  <w:num w:numId="527">
    <w:abstractNumId w:val="2"/>
  </w:num>
  <w:num w:numId="528">
    <w:abstractNumId w:val="2"/>
    <w:lvlOverride w:ilvl="0">
      <w:startOverride w:val="1"/>
    </w:lvlOverride>
  </w:num>
  <w:num w:numId="529">
    <w:abstractNumId w:val="2"/>
  </w:num>
  <w:num w:numId="530">
    <w:abstractNumId w:val="2"/>
  </w:num>
  <w:num w:numId="531">
    <w:abstractNumId w:val="2"/>
    <w:lvlOverride w:ilvl="0">
      <w:startOverride w:val="1"/>
    </w:lvlOverride>
  </w:num>
  <w:num w:numId="532">
    <w:abstractNumId w:val="2"/>
  </w:num>
  <w:num w:numId="533">
    <w:abstractNumId w:val="2"/>
  </w:num>
  <w:num w:numId="534">
    <w:abstractNumId w:val="2"/>
  </w:num>
  <w:num w:numId="535">
    <w:abstractNumId w:val="2"/>
  </w:num>
  <w:num w:numId="536">
    <w:abstractNumId w:val="2"/>
  </w:num>
  <w:num w:numId="537">
    <w:abstractNumId w:val="2"/>
    <w:lvlOverride w:ilvl="0">
      <w:startOverride w:val="1"/>
    </w:lvlOverride>
  </w:num>
  <w:num w:numId="538">
    <w:abstractNumId w:val="2"/>
  </w:num>
  <w:num w:numId="539">
    <w:abstractNumId w:val="2"/>
  </w:num>
  <w:num w:numId="540">
    <w:abstractNumId w:val="2"/>
  </w:num>
  <w:num w:numId="541">
    <w:abstractNumId w:val="2"/>
  </w:num>
  <w:num w:numId="542">
    <w:abstractNumId w:val="2"/>
  </w:num>
  <w:num w:numId="543">
    <w:abstractNumId w:val="2"/>
    <w:lvlOverride w:ilvl="0">
      <w:startOverride w:val="1"/>
    </w:lvlOverride>
  </w:num>
  <w:num w:numId="544">
    <w:abstractNumId w:val="2"/>
  </w:num>
  <w:num w:numId="545">
    <w:abstractNumId w:val="2"/>
  </w:num>
  <w:num w:numId="546">
    <w:abstractNumId w:val="2"/>
    <w:lvlOverride w:ilvl="0">
      <w:startOverride w:val="1"/>
    </w:lvlOverride>
  </w:num>
  <w:num w:numId="547">
    <w:abstractNumId w:val="2"/>
  </w:num>
  <w:num w:numId="548">
    <w:abstractNumId w:val="2"/>
  </w:num>
  <w:num w:numId="549">
    <w:abstractNumId w:val="2"/>
  </w:num>
  <w:num w:numId="550">
    <w:abstractNumId w:val="2"/>
    <w:lvlOverride w:ilvl="0">
      <w:startOverride w:val="1"/>
    </w:lvlOverride>
  </w:num>
  <w:num w:numId="551">
    <w:abstractNumId w:val="2"/>
  </w:num>
  <w:num w:numId="552">
    <w:abstractNumId w:val="2"/>
  </w:num>
  <w:num w:numId="553">
    <w:abstractNumId w:val="2"/>
  </w:num>
  <w:num w:numId="554">
    <w:abstractNumId w:val="2"/>
    <w:lvlOverride w:ilvl="0">
      <w:startOverride w:val="1"/>
    </w:lvlOverride>
  </w:num>
  <w:num w:numId="555">
    <w:abstractNumId w:val="2"/>
  </w:num>
  <w:num w:numId="556">
    <w:abstractNumId w:val="2"/>
  </w:num>
  <w:num w:numId="557">
    <w:abstractNumId w:val="2"/>
    <w:lvlOverride w:ilvl="0">
      <w:startOverride w:val="1"/>
    </w:lvlOverride>
  </w:num>
  <w:num w:numId="558">
    <w:abstractNumId w:val="2"/>
  </w:num>
  <w:num w:numId="559">
    <w:abstractNumId w:val="2"/>
    <w:lvlOverride w:ilvl="0">
      <w:startOverride w:val="1"/>
    </w:lvlOverride>
  </w:num>
  <w:num w:numId="560">
    <w:abstractNumId w:val="2"/>
  </w:num>
  <w:num w:numId="561">
    <w:abstractNumId w:val="2"/>
  </w:num>
  <w:num w:numId="562">
    <w:abstractNumId w:val="2"/>
  </w:num>
  <w:num w:numId="563">
    <w:abstractNumId w:val="2"/>
  </w:num>
  <w:num w:numId="564">
    <w:abstractNumId w:val="2"/>
  </w:num>
  <w:num w:numId="565">
    <w:abstractNumId w:val="2"/>
    <w:lvlOverride w:ilvl="0">
      <w:startOverride w:val="1"/>
    </w:lvlOverride>
  </w:num>
  <w:num w:numId="566">
    <w:abstractNumId w:val="2"/>
  </w:num>
  <w:num w:numId="567">
    <w:abstractNumId w:val="2"/>
  </w:num>
  <w:num w:numId="568">
    <w:abstractNumId w:val="2"/>
  </w:num>
  <w:num w:numId="569">
    <w:abstractNumId w:val="2"/>
  </w:num>
  <w:num w:numId="570">
    <w:abstractNumId w:val="2"/>
    <w:lvlOverride w:ilvl="0">
      <w:startOverride w:val="1"/>
    </w:lvlOverride>
  </w:num>
  <w:num w:numId="571">
    <w:abstractNumId w:val="2"/>
  </w:num>
  <w:num w:numId="572">
    <w:abstractNumId w:val="2"/>
  </w:num>
  <w:num w:numId="573">
    <w:abstractNumId w:val="2"/>
  </w:num>
  <w:num w:numId="574">
    <w:abstractNumId w:val="2"/>
    <w:lvlOverride w:ilvl="0">
      <w:startOverride w:val="1"/>
    </w:lvlOverride>
  </w:num>
  <w:num w:numId="575">
    <w:abstractNumId w:val="2"/>
  </w:num>
  <w:num w:numId="576">
    <w:abstractNumId w:val="2"/>
  </w:num>
  <w:num w:numId="577">
    <w:abstractNumId w:val="2"/>
    <w:lvlOverride w:ilvl="0">
      <w:startOverride w:val="1"/>
    </w:lvlOverride>
  </w:num>
  <w:num w:numId="578">
    <w:abstractNumId w:val="2"/>
  </w:num>
  <w:num w:numId="579">
    <w:abstractNumId w:val="2"/>
  </w:num>
  <w:num w:numId="580">
    <w:abstractNumId w:val="2"/>
    <w:lvlOverride w:ilvl="0">
      <w:startOverride w:val="1"/>
    </w:lvlOverride>
  </w:num>
  <w:num w:numId="581">
    <w:abstractNumId w:val="2"/>
  </w:num>
  <w:num w:numId="582">
    <w:abstractNumId w:val="2"/>
  </w:num>
  <w:num w:numId="583">
    <w:abstractNumId w:val="2"/>
  </w:num>
  <w:num w:numId="584">
    <w:abstractNumId w:val="2"/>
  </w:num>
  <w:num w:numId="585">
    <w:abstractNumId w:val="2"/>
  </w:num>
  <w:num w:numId="586">
    <w:abstractNumId w:val="2"/>
    <w:lvlOverride w:ilvl="0">
      <w:startOverride w:val="1"/>
    </w:lvlOverride>
  </w:num>
  <w:num w:numId="587">
    <w:abstractNumId w:val="2"/>
  </w:num>
  <w:num w:numId="588">
    <w:abstractNumId w:val="2"/>
  </w:num>
  <w:num w:numId="589">
    <w:abstractNumId w:val="2"/>
  </w:num>
  <w:num w:numId="590">
    <w:abstractNumId w:val="2"/>
  </w:num>
  <w:num w:numId="591">
    <w:abstractNumId w:val="2"/>
    <w:lvlOverride w:ilvl="0">
      <w:startOverride w:val="1"/>
    </w:lvlOverride>
  </w:num>
  <w:num w:numId="592">
    <w:abstractNumId w:val="2"/>
  </w:num>
  <w:num w:numId="593">
    <w:abstractNumId w:val="2"/>
  </w:num>
  <w:num w:numId="594">
    <w:abstractNumId w:val="2"/>
  </w:num>
  <w:num w:numId="595">
    <w:abstractNumId w:val="2"/>
    <w:lvlOverride w:ilvl="0">
      <w:startOverride w:val="1"/>
    </w:lvlOverride>
  </w:num>
  <w:num w:numId="596">
    <w:abstractNumId w:val="2"/>
  </w:num>
  <w:num w:numId="597">
    <w:abstractNumId w:val="2"/>
  </w:num>
  <w:num w:numId="598">
    <w:abstractNumId w:val="2"/>
  </w:num>
  <w:num w:numId="599">
    <w:abstractNumId w:val="2"/>
  </w:num>
  <w:num w:numId="600">
    <w:abstractNumId w:val="2"/>
  </w:num>
  <w:num w:numId="601">
    <w:abstractNumId w:val="2"/>
    <w:lvlOverride w:ilvl="0">
      <w:startOverride w:val="1"/>
    </w:lvlOverride>
  </w:num>
  <w:num w:numId="602">
    <w:abstractNumId w:val="2"/>
  </w:num>
  <w:num w:numId="603">
    <w:abstractNumId w:val="2"/>
  </w:num>
  <w:num w:numId="604">
    <w:abstractNumId w:val="2"/>
  </w:num>
  <w:num w:numId="605">
    <w:abstractNumId w:val="2"/>
    <w:lvlOverride w:ilvl="0">
      <w:startOverride w:val="1"/>
    </w:lvlOverride>
  </w:num>
  <w:num w:numId="606">
    <w:abstractNumId w:val="2"/>
  </w:num>
  <w:num w:numId="607">
    <w:abstractNumId w:val="2"/>
  </w:num>
  <w:num w:numId="608">
    <w:abstractNumId w:val="2"/>
    <w:lvlOverride w:ilvl="0">
      <w:startOverride w:val="1"/>
    </w:lvlOverride>
  </w:num>
  <w:num w:numId="609">
    <w:abstractNumId w:val="2"/>
  </w:num>
  <w:num w:numId="610">
    <w:abstractNumId w:val="2"/>
  </w:num>
  <w:num w:numId="611">
    <w:abstractNumId w:val="2"/>
  </w:num>
  <w:num w:numId="612">
    <w:abstractNumId w:val="2"/>
  </w:num>
  <w:num w:numId="613">
    <w:abstractNumId w:val="2"/>
    <w:lvlOverride w:ilvl="0">
      <w:startOverride w:val="1"/>
    </w:lvlOverride>
  </w:num>
  <w:num w:numId="614">
    <w:abstractNumId w:val="2"/>
  </w:num>
  <w:num w:numId="615">
    <w:abstractNumId w:val="2"/>
  </w:num>
  <w:num w:numId="616">
    <w:abstractNumId w:val="2"/>
  </w:num>
  <w:num w:numId="617">
    <w:abstractNumId w:val="2"/>
  </w:num>
  <w:num w:numId="61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45.png"/><Relationship Id="rId147" Type="http://schemas.openxmlformats.org/officeDocument/2006/relationships/image" Target="media/image146.png"/><Relationship Id="rId148" Type="http://schemas.openxmlformats.org/officeDocument/2006/relationships/image" Target="media/image147.png"/><Relationship Id="rId149" Type="http://schemas.openxmlformats.org/officeDocument/2006/relationships/image" Target="media/image148.png"/><Relationship Id="rId150" Type="http://schemas.openxmlformats.org/officeDocument/2006/relationships/image" Target="media/image149.png"/><Relationship Id="rId151" Type="http://schemas.openxmlformats.org/officeDocument/2006/relationships/image" Target="media/image150.png"/><Relationship Id="rId152" Type="http://schemas.openxmlformats.org/officeDocument/2006/relationships/image" Target="media/image151.png"/><Relationship Id="rId153" Type="http://schemas.openxmlformats.org/officeDocument/2006/relationships/image" Target="media/image152.png"/><Relationship Id="rId154" Type="http://schemas.openxmlformats.org/officeDocument/2006/relationships/image" Target="media/image153.png"/><Relationship Id="rId155" Type="http://schemas.openxmlformats.org/officeDocument/2006/relationships/image" Target="media/image154.png"/><Relationship Id="rId156" Type="http://schemas.openxmlformats.org/officeDocument/2006/relationships/image" Target="media/image155.png"/><Relationship Id="rId157" Type="http://schemas.openxmlformats.org/officeDocument/2006/relationships/image" Target="media/image156.png"/><Relationship Id="rId158" Type="http://schemas.openxmlformats.org/officeDocument/2006/relationships/image" Target="media/image157.png"/><Relationship Id="rId159" Type="http://schemas.openxmlformats.org/officeDocument/2006/relationships/image" Target="media/image158.png"/><Relationship Id="rId160" Type="http://schemas.openxmlformats.org/officeDocument/2006/relationships/image" Target="media/image159.png"/><Relationship Id="rId161" Type="http://schemas.openxmlformats.org/officeDocument/2006/relationships/image" Target="media/image160.png"/><Relationship Id="rId162" Type="http://schemas.openxmlformats.org/officeDocument/2006/relationships/image" Target="media/image161.png"/><Relationship Id="rId163" Type="http://schemas.openxmlformats.org/officeDocument/2006/relationships/image" Target="media/image162.png"/><Relationship Id="rId164" Type="http://schemas.openxmlformats.org/officeDocument/2006/relationships/image" Target="media/image163.png"/><Relationship Id="rId165" Type="http://schemas.openxmlformats.org/officeDocument/2006/relationships/image" Target="media/image164.png"/><Relationship Id="rId166" Type="http://schemas.openxmlformats.org/officeDocument/2006/relationships/image" Target="media/image165.png"/><Relationship Id="rId167" Type="http://schemas.openxmlformats.org/officeDocument/2006/relationships/image" Target="media/image166.png"/><Relationship Id="rId168" Type="http://schemas.openxmlformats.org/officeDocument/2006/relationships/image" Target="media/image167.png"/><Relationship Id="rId169" Type="http://schemas.openxmlformats.org/officeDocument/2006/relationships/image" Target="media/image168.png"/><Relationship Id="rId170" Type="http://schemas.openxmlformats.org/officeDocument/2006/relationships/image" Target="media/image169.png"/><Relationship Id="rId171" Type="http://schemas.openxmlformats.org/officeDocument/2006/relationships/image" Target="media/image170.png"/><Relationship Id="rId172" Type="http://schemas.openxmlformats.org/officeDocument/2006/relationships/image" Target="media/image171.png"/><Relationship Id="rId173" Type="http://schemas.openxmlformats.org/officeDocument/2006/relationships/image" Target="media/image172.png"/><Relationship Id="rId174" Type="http://schemas.openxmlformats.org/officeDocument/2006/relationships/image" Target="media/image173.png"/><Relationship Id="rId175" Type="http://schemas.openxmlformats.org/officeDocument/2006/relationships/image" Target="media/image174.png"/><Relationship Id="rId176" Type="http://schemas.openxmlformats.org/officeDocument/2006/relationships/image" Target="media/image175.png"/><Relationship Id="rId177" Type="http://schemas.openxmlformats.org/officeDocument/2006/relationships/image" Target="media/image176.png"/><Relationship Id="rId178" Type="http://schemas.openxmlformats.org/officeDocument/2006/relationships/image" Target="media/image177.png"/><Relationship Id="rId179" Type="http://schemas.openxmlformats.org/officeDocument/2006/relationships/image" Target="media/image178.png"/><Relationship Id="rId180" Type="http://schemas.openxmlformats.org/officeDocument/2006/relationships/image" Target="media/image179.png"/><Relationship Id="rId181" Type="http://schemas.openxmlformats.org/officeDocument/2006/relationships/image" Target="media/image180.png"/><Relationship Id="rId182" Type="http://schemas.openxmlformats.org/officeDocument/2006/relationships/image" Target="media/image181.png"/><Relationship Id="rId183" Type="http://schemas.openxmlformats.org/officeDocument/2006/relationships/image" Target="media/image182.png"/><Relationship Id="rId184" Type="http://schemas.openxmlformats.org/officeDocument/2006/relationships/image" Target="media/image183.png"/><Relationship Id="rId185" Type="http://schemas.openxmlformats.org/officeDocument/2006/relationships/image" Target="media/image184.png"/><Relationship Id="rId186" Type="http://schemas.openxmlformats.org/officeDocument/2006/relationships/image" Target="media/image185.png"/><Relationship Id="rId187" Type="http://schemas.openxmlformats.org/officeDocument/2006/relationships/image" Target="media/image186.png"/><Relationship Id="rId188" Type="http://schemas.openxmlformats.org/officeDocument/2006/relationships/image" Target="media/image187.png"/><Relationship Id="rId189" Type="http://schemas.openxmlformats.org/officeDocument/2006/relationships/image" Target="media/image188.png"/><Relationship Id="rId190" Type="http://schemas.openxmlformats.org/officeDocument/2006/relationships/image" Target="media/image189.png"/><Relationship Id="rId191" Type="http://schemas.openxmlformats.org/officeDocument/2006/relationships/image" Target="media/image190.png"/><Relationship Id="rId192" Type="http://schemas.openxmlformats.org/officeDocument/2006/relationships/image" Target="media/image191.png"/><Relationship Id="rId193" Type="http://schemas.openxmlformats.org/officeDocument/2006/relationships/image" Target="media/image192.png"/><Relationship Id="rId194" Type="http://schemas.openxmlformats.org/officeDocument/2006/relationships/image" Target="media/image193.png"/><Relationship Id="rId195" Type="http://schemas.openxmlformats.org/officeDocument/2006/relationships/image" Target="media/image194.png"/><Relationship Id="rId196" Type="http://schemas.openxmlformats.org/officeDocument/2006/relationships/image" Target="media/image195.png"/><Relationship Id="rId197" Type="http://schemas.openxmlformats.org/officeDocument/2006/relationships/image" Target="media/image196.png"/><Relationship Id="rId198" Type="http://schemas.openxmlformats.org/officeDocument/2006/relationships/image" Target="media/image197.png"/><Relationship Id="rId199" Type="http://schemas.openxmlformats.org/officeDocument/2006/relationships/image" Target="media/image13.png"/><Relationship Id="rId200" Type="http://schemas.openxmlformats.org/officeDocument/2006/relationships/image" Target="media/image198.jpeg"/><Relationship Id="rId201" Type="http://schemas.openxmlformats.org/officeDocument/2006/relationships/footer" Target="footer1.xml"/><Relationship Id="rId202" Type="http://schemas.openxmlformats.org/officeDocument/2006/relationships/footer" Target="footer2.xml"/><Relationship Id="rId203" Type="http://schemas.openxmlformats.org/officeDocument/2006/relationships/numbering" Target="numbering.xml"/><Relationship Id="rId204" Type="http://schemas.openxmlformats.org/officeDocument/2006/relationships/fontTable" Target="fontTable.xml"/><Relationship Id="rId205" Type="http://schemas.openxmlformats.org/officeDocument/2006/relationships/settings" Target="settings.xml"/><Relationship Id="rId206" Type="http://schemas.openxmlformats.org/officeDocument/2006/relationships/theme" Target="theme/theme1.xml"/><Relationship Id="rId207" Type="http://schemas.openxmlformats.org/officeDocument/2006/relationships/customXml" Target="../customXml/item1.xml"/><Relationship Id="rId208" Type="http://schemas.openxmlformats.org/officeDocument/2006/relationships/customXml" Target="../customXml/item2.xml"/><Relationship Id="rId209" Type="http://schemas.openxmlformats.org/officeDocument/2006/relationships/customXml" Target="../customXml/item3.xml"/><Relationship Id="rId21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99.png"/>
</Relationships>
</file>

<file path=word/_rels/footer2.xml.rels><?xml version="1.0" encoding="UTF-8"?>
<Relationships xmlns="http://schemas.openxmlformats.org/package/2006/relationships"><Relationship Id="rId1" Type="http://schemas.openxmlformats.org/officeDocument/2006/relationships/image" Target="media/image19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274</Pages>
  <Words>53877</Words>
  <Characters>294584</Characters>
  <CharactersWithSpaces>344406</CharactersWithSpaces>
  <Paragraphs>3972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2026-10-04T11:24:29Z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