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691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693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695_4195859891">
            <w:r>
              <w:rPr>
                <w:webHidden/>
                <w:rStyle w:val="IndexLink"/>
              </w:rPr>
              <w:t>3. Introduction</w:t>
              <w:tab/>
              <w:t>5</w:t>
            </w:r>
          </w:hyperlink>
        </w:p>
        <w:p>
          <w:pPr>
            <w:pStyle w:val="TOC2"/>
            <w:tabs>
              <w:tab w:val="clear" w:pos="900"/>
              <w:tab w:val="clear" w:pos="9350"/>
              <w:tab w:val="right" w:pos="9025" w:leader="dot"/>
            </w:tabs>
            <w:rPr/>
          </w:pPr>
          <w:hyperlink w:anchor="__RefHeading___Toc7697_4195859891">
            <w:r>
              <w:rPr>
                <w:webHidden/>
                <w:rStyle w:val="IndexLink"/>
              </w:rPr>
              <w:t>3.1 Purpose</w:t>
              <w:tab/>
              <w:t>5</w:t>
            </w:r>
          </w:hyperlink>
        </w:p>
        <w:p>
          <w:pPr>
            <w:pStyle w:val="TOC2"/>
            <w:tabs>
              <w:tab w:val="clear" w:pos="900"/>
              <w:tab w:val="clear" w:pos="9350"/>
              <w:tab w:val="right" w:pos="9025" w:leader="dot"/>
            </w:tabs>
            <w:rPr/>
          </w:pPr>
          <w:hyperlink w:anchor="__RefHeading___Toc7699_4195859891">
            <w:r>
              <w:rPr>
                <w:webHidden/>
                <w:rStyle w:val="IndexLink"/>
              </w:rPr>
              <w:t>3.2 Sources and conventions</w:t>
              <w:tab/>
              <w:t>5</w:t>
            </w:r>
          </w:hyperlink>
        </w:p>
        <w:p>
          <w:pPr>
            <w:pStyle w:val="TOC2"/>
            <w:tabs>
              <w:tab w:val="clear" w:pos="900"/>
              <w:tab w:val="clear" w:pos="9350"/>
              <w:tab w:val="right" w:pos="9025" w:leader="dot"/>
            </w:tabs>
            <w:rPr/>
          </w:pPr>
          <w:hyperlink w:anchor="__RefHeading___Toc7701_4195859891">
            <w:r>
              <w:rPr>
                <w:webHidden/>
                <w:rStyle w:val="IndexLink"/>
              </w:rPr>
              <w:t>3.3 Related documents</w:t>
              <w:tab/>
              <w:t>6</w:t>
            </w:r>
          </w:hyperlink>
        </w:p>
        <w:p>
          <w:pPr>
            <w:pStyle w:val="TOC1"/>
            <w:tabs>
              <w:tab w:val="clear" w:pos="900"/>
              <w:tab w:val="clear" w:pos="9350"/>
              <w:tab w:val="right" w:pos="9025" w:leader="dot"/>
            </w:tabs>
            <w:rPr/>
          </w:pPr>
          <w:hyperlink w:anchor="__RefHeading___Toc7703_4195859891">
            <w:r>
              <w:rPr>
                <w:webHidden/>
                <w:rStyle w:val="IndexLink"/>
              </w:rPr>
              <w:t>4. Solution overview and logical architecture</w:t>
              <w:tab/>
              <w:t>7</w:t>
            </w:r>
          </w:hyperlink>
        </w:p>
        <w:p>
          <w:pPr>
            <w:pStyle w:val="TOC2"/>
            <w:tabs>
              <w:tab w:val="clear" w:pos="900"/>
              <w:tab w:val="clear" w:pos="9350"/>
              <w:tab w:val="right" w:pos="9025" w:leader="dot"/>
            </w:tabs>
            <w:rPr/>
          </w:pPr>
          <w:hyperlink w:anchor="__RefHeading___Toc7705_4195859891">
            <w:r>
              <w:rPr>
                <w:webHidden/>
                <w:rStyle w:val="IndexLink"/>
              </w:rPr>
              <w:t>4.1 What BrokerVerse does</w:t>
              <w:tab/>
              <w:t>7</w:t>
            </w:r>
          </w:hyperlink>
        </w:p>
        <w:p>
          <w:pPr>
            <w:pStyle w:val="TOC2"/>
            <w:tabs>
              <w:tab w:val="clear" w:pos="900"/>
              <w:tab w:val="clear" w:pos="9350"/>
              <w:tab w:val="right" w:pos="9025" w:leader="dot"/>
            </w:tabs>
            <w:rPr/>
          </w:pPr>
          <w:hyperlink w:anchor="__RefHeading___Toc7707_4195859891">
            <w:r>
              <w:rPr>
                <w:webHidden/>
                <w:rStyle w:val="IndexLink"/>
              </w:rPr>
              <w:t>4.2 Architecture at a glance</w:t>
              <w:tab/>
              <w:t>7</w:t>
            </w:r>
          </w:hyperlink>
        </w:p>
        <w:p>
          <w:pPr>
            <w:pStyle w:val="TOC2"/>
            <w:tabs>
              <w:tab w:val="clear" w:pos="900"/>
              <w:tab w:val="clear" w:pos="9350"/>
              <w:tab w:val="right" w:pos="9025" w:leader="dot"/>
            </w:tabs>
            <w:rPr/>
          </w:pPr>
          <w:hyperlink w:anchor="__RefHeading___Toc7709_4195859891">
            <w:r>
              <w:rPr>
                <w:webHidden/>
                <w:rStyle w:val="IndexLink"/>
              </w:rPr>
              <w:t>4.3 Logical components</w:t>
              <w:tab/>
              <w:t>8</w:t>
            </w:r>
          </w:hyperlink>
        </w:p>
        <w:p>
          <w:pPr>
            <w:pStyle w:val="TOC2"/>
            <w:tabs>
              <w:tab w:val="clear" w:pos="900"/>
              <w:tab w:val="clear" w:pos="9350"/>
              <w:tab w:val="right" w:pos="9025" w:leader="dot"/>
            </w:tabs>
            <w:rPr/>
          </w:pPr>
          <w:hyperlink w:anchor="__RefHeading___Toc7711_4195859891">
            <w:r>
              <w:rPr>
                <w:webHidden/>
                <w:rStyle w:val="IndexLink"/>
              </w:rPr>
              <w:t>4.4 Business modules</w:t>
              <w:tab/>
              <w:t>8</w:t>
            </w:r>
          </w:hyperlink>
        </w:p>
        <w:p>
          <w:pPr>
            <w:pStyle w:val="TOC2"/>
            <w:tabs>
              <w:tab w:val="clear" w:pos="900"/>
              <w:tab w:val="clear" w:pos="9350"/>
              <w:tab w:val="right" w:pos="9025" w:leader="dot"/>
            </w:tabs>
            <w:rPr/>
          </w:pPr>
          <w:hyperlink w:anchor="__RefHeading___Toc7713_4195859891">
            <w:r>
              <w:rPr>
                <w:webHidden/>
                <w:rStyle w:val="IndexLink"/>
              </w:rPr>
              <w:t>4.5 Integrations</w:t>
              <w:tab/>
              <w:t>9</w:t>
            </w:r>
          </w:hyperlink>
        </w:p>
        <w:p>
          <w:pPr>
            <w:pStyle w:val="TOC1"/>
            <w:tabs>
              <w:tab w:val="clear" w:pos="900"/>
              <w:tab w:val="clear" w:pos="9350"/>
              <w:tab w:val="right" w:pos="9025" w:leader="dot"/>
            </w:tabs>
            <w:rPr/>
          </w:pPr>
          <w:hyperlink w:anchor="__RefHeading___Toc7715_4195859891">
            <w:r>
              <w:rPr>
                <w:webHidden/>
                <w:rStyle w:val="IndexLink"/>
              </w:rPr>
              <w:t>5. Technology stack and versions</w:t>
              <w:tab/>
              <w:t>10</w:t>
            </w:r>
          </w:hyperlink>
        </w:p>
        <w:p>
          <w:pPr>
            <w:pStyle w:val="TOC2"/>
            <w:tabs>
              <w:tab w:val="clear" w:pos="900"/>
              <w:tab w:val="clear" w:pos="9350"/>
              <w:tab w:val="right" w:pos="9025" w:leader="dot"/>
            </w:tabs>
            <w:rPr/>
          </w:pPr>
          <w:hyperlink w:anchor="__RefHeading___Toc7717_4195859891">
            <w:r>
              <w:rPr>
                <w:webHidden/>
                <w:rStyle w:val="IndexLink"/>
              </w:rPr>
              <w:t>5.1 Runtime and platform</w:t>
              <w:tab/>
              <w:t>10</w:t>
            </w:r>
          </w:hyperlink>
        </w:p>
        <w:p>
          <w:pPr>
            <w:pStyle w:val="TOC2"/>
            <w:tabs>
              <w:tab w:val="clear" w:pos="900"/>
              <w:tab w:val="clear" w:pos="9350"/>
              <w:tab w:val="right" w:pos="9025" w:leader="dot"/>
            </w:tabs>
            <w:rPr/>
          </w:pPr>
          <w:hyperlink w:anchor="__RefHeading___Toc7719_4195859891">
            <w:r>
              <w:rPr>
                <w:webHidden/>
                <w:rStyle w:val="IndexLink"/>
              </w:rPr>
              <w:t>5.2 Backend dependencies</w:t>
              <w:tab/>
              <w:t>10</w:t>
            </w:r>
          </w:hyperlink>
        </w:p>
        <w:p>
          <w:pPr>
            <w:pStyle w:val="TOC2"/>
            <w:tabs>
              <w:tab w:val="clear" w:pos="900"/>
              <w:tab w:val="clear" w:pos="9350"/>
              <w:tab w:val="right" w:pos="9025" w:leader="dot"/>
            </w:tabs>
            <w:rPr/>
          </w:pPr>
          <w:hyperlink w:anchor="__RefHeading___Toc7721_4195859891">
            <w:r>
              <w:rPr>
                <w:webHidden/>
                <w:rStyle w:val="IndexLink"/>
              </w:rPr>
              <w:t>5.3 Front-end dependencies</w:t>
              <w:tab/>
              <w:t>10</w:t>
            </w:r>
          </w:hyperlink>
        </w:p>
        <w:p>
          <w:pPr>
            <w:pStyle w:val="TOC1"/>
            <w:tabs>
              <w:tab w:val="clear" w:pos="900"/>
              <w:tab w:val="clear" w:pos="9350"/>
              <w:tab w:val="right" w:pos="9025" w:leader="dot"/>
            </w:tabs>
            <w:rPr/>
          </w:pPr>
          <w:hyperlink w:anchor="__RefHeading___Toc7723_4195859891">
            <w:r>
              <w:rPr>
                <w:webHidden/>
                <w:rStyle w:val="IndexLink"/>
              </w:rPr>
              <w:t>6. Deployment architecture options</w:t>
              <w:tab/>
              <w:t>12</w:t>
            </w:r>
          </w:hyperlink>
        </w:p>
        <w:p>
          <w:pPr>
            <w:pStyle w:val="TOC2"/>
            <w:tabs>
              <w:tab w:val="clear" w:pos="900"/>
              <w:tab w:val="clear" w:pos="9350"/>
              <w:tab w:val="right" w:pos="9025" w:leader="dot"/>
            </w:tabs>
            <w:rPr/>
          </w:pPr>
          <w:hyperlink w:anchor="__RefHeading___Toc7725_4195859891">
            <w:r>
              <w:rPr>
                <w:webHidden/>
                <w:rStyle w:val="IndexLink"/>
              </w:rPr>
              <w:t>6.1 Common building blocks</w:t>
              <w:tab/>
              <w:t>12</w:t>
            </w:r>
          </w:hyperlink>
        </w:p>
        <w:p>
          <w:pPr>
            <w:pStyle w:val="TOC2"/>
            <w:tabs>
              <w:tab w:val="clear" w:pos="900"/>
              <w:tab w:val="clear" w:pos="9350"/>
              <w:tab w:val="right" w:pos="9025" w:leader="dot"/>
            </w:tabs>
            <w:rPr/>
          </w:pPr>
          <w:hyperlink w:anchor="__RefHeading___Toc7727_4195859891">
            <w:r>
              <w:rPr>
                <w:webHidden/>
                <w:rStyle w:val="IndexLink"/>
              </w:rPr>
              <w:t>6.2 Environment layout</w:t>
              <w:tab/>
              <w:t>12</w:t>
            </w:r>
          </w:hyperlink>
        </w:p>
        <w:p>
          <w:pPr>
            <w:pStyle w:val="TOC2"/>
            <w:tabs>
              <w:tab w:val="clear" w:pos="900"/>
              <w:tab w:val="clear" w:pos="9350"/>
              <w:tab w:val="right" w:pos="9025" w:leader="dot"/>
            </w:tabs>
            <w:rPr/>
          </w:pPr>
          <w:hyperlink w:anchor="__RefHeading___Toc7729_4195859891">
            <w:r>
              <w:rPr>
                <w:webHidden/>
                <w:rStyle w:val="IndexLink"/>
              </w:rPr>
              <w:t>6.3 Network zones</w:t>
              <w:tab/>
              <w:t>12</w:t>
            </w:r>
          </w:hyperlink>
        </w:p>
        <w:p>
          <w:pPr>
            <w:pStyle w:val="TOC2"/>
            <w:tabs>
              <w:tab w:val="clear" w:pos="900"/>
              <w:tab w:val="clear" w:pos="9350"/>
              <w:tab w:val="right" w:pos="9025" w:leader="dot"/>
            </w:tabs>
            <w:rPr/>
          </w:pPr>
          <w:hyperlink w:anchor="__RefHeading___Toc7731_4195859891">
            <w:r>
              <w:rPr>
                <w:webHidden/>
                <w:rStyle w:val="IndexLink"/>
              </w:rPr>
              <w:t>6.4 Option A: customer cloud on AWS (Singapore)</w:t>
              <w:tab/>
              <w:t>13</w:t>
            </w:r>
          </w:hyperlink>
        </w:p>
        <w:p>
          <w:pPr>
            <w:pStyle w:val="TOC2"/>
            <w:tabs>
              <w:tab w:val="clear" w:pos="900"/>
              <w:tab w:val="clear" w:pos="9350"/>
              <w:tab w:val="right" w:pos="9025" w:leader="dot"/>
            </w:tabs>
            <w:rPr/>
          </w:pPr>
          <w:hyperlink w:anchor="__RefHeading___Toc7733_4195859891">
            <w:r>
              <w:rPr>
                <w:webHidden/>
                <w:rStyle w:val="IndexLink"/>
              </w:rPr>
              <w:t>6.5 Option B: Microsoft Azure (Southeast Asia)</w:t>
              <w:tab/>
              <w:t>14</w:t>
            </w:r>
          </w:hyperlink>
        </w:p>
        <w:p>
          <w:pPr>
            <w:pStyle w:val="TOC2"/>
            <w:tabs>
              <w:tab w:val="clear" w:pos="900"/>
              <w:tab w:val="clear" w:pos="9350"/>
              <w:tab w:val="right" w:pos="9025" w:leader="dot"/>
            </w:tabs>
            <w:rPr/>
          </w:pPr>
          <w:hyperlink w:anchor="__RefHeading___Toc7735_4195859891">
            <w:r>
              <w:rPr>
                <w:webHidden/>
                <w:rStyle w:val="IndexLink"/>
              </w:rPr>
              <w:t>6.6 Option C: local partner or on-premise data centre in the Philippines</w:t>
              <w:tab/>
              <w:t>14</w:t>
            </w:r>
          </w:hyperlink>
        </w:p>
        <w:p>
          <w:pPr>
            <w:pStyle w:val="TOC2"/>
            <w:tabs>
              <w:tab w:val="clear" w:pos="900"/>
              <w:tab w:val="clear" w:pos="9350"/>
              <w:tab w:val="right" w:pos="9025" w:leader="dot"/>
            </w:tabs>
            <w:rPr/>
          </w:pPr>
          <w:hyperlink w:anchor="__RefHeading___Toc7737_4195859891">
            <w:r>
              <w:rPr>
                <w:webHidden/>
                <w:rStyle w:val="IndexLink"/>
              </w:rPr>
              <w:t>6.7 Sizing by broker size</w:t>
              <w:tab/>
              <w:t>15</w:t>
            </w:r>
          </w:hyperlink>
        </w:p>
        <w:p>
          <w:pPr>
            <w:pStyle w:val="TOC2"/>
            <w:tabs>
              <w:tab w:val="clear" w:pos="900"/>
              <w:tab w:val="clear" w:pos="9350"/>
              <w:tab w:val="right" w:pos="9025" w:leader="dot"/>
            </w:tabs>
            <w:rPr/>
          </w:pPr>
          <w:hyperlink w:anchor="__RefHeading___Toc7739_4195859891">
            <w:r>
              <w:rPr>
                <w:webHidden/>
                <w:rStyle w:val="IndexLink"/>
              </w:rPr>
              <w:t>6.8 Indicative monthly cost</w:t>
              <w:tab/>
              <w:t>15</w:t>
            </w:r>
          </w:hyperlink>
        </w:p>
        <w:p>
          <w:pPr>
            <w:pStyle w:val="TOC1"/>
            <w:tabs>
              <w:tab w:val="clear" w:pos="900"/>
              <w:tab w:val="clear" w:pos="9350"/>
              <w:tab w:val="right" w:pos="9025" w:leader="dot"/>
            </w:tabs>
            <w:rPr/>
          </w:pPr>
          <w:hyperlink w:anchor="__RefHeading___Toc7741_4195859891">
            <w:r>
              <w:rPr>
                <w:webHidden/>
                <w:rStyle w:val="IndexLink"/>
              </w:rPr>
              <w:t>7. CI/CD and release management</w:t>
              <w:tab/>
              <w:t>17</w:t>
            </w:r>
          </w:hyperlink>
        </w:p>
        <w:p>
          <w:pPr>
            <w:pStyle w:val="TOC2"/>
            <w:tabs>
              <w:tab w:val="clear" w:pos="900"/>
              <w:tab w:val="clear" w:pos="9350"/>
              <w:tab w:val="right" w:pos="9025" w:leader="dot"/>
            </w:tabs>
            <w:rPr/>
          </w:pPr>
          <w:hyperlink w:anchor="__RefHeading___Toc7743_4195859891">
            <w:r>
              <w:rPr>
                <w:webHidden/>
                <w:rStyle w:val="IndexLink"/>
              </w:rPr>
              <w:t>7.1 Workflows in the repository</w:t>
              <w:tab/>
              <w:t>17</w:t>
            </w:r>
          </w:hyperlink>
        </w:p>
        <w:p>
          <w:pPr>
            <w:pStyle w:val="TOC2"/>
            <w:tabs>
              <w:tab w:val="clear" w:pos="900"/>
              <w:tab w:val="clear" w:pos="9350"/>
              <w:tab w:val="right" w:pos="9025" w:leader="dot"/>
            </w:tabs>
            <w:rPr/>
          </w:pPr>
          <w:hyperlink w:anchor="__RefHeading___Toc7745_4195859891">
            <w:r>
              <w:rPr>
                <w:webHidden/>
                <w:rStyle w:val="IndexLink"/>
              </w:rPr>
              <w:t>7.2 Release process</w:t>
              <w:tab/>
              <w:t>17</w:t>
            </w:r>
          </w:hyperlink>
        </w:p>
        <w:p>
          <w:pPr>
            <w:pStyle w:val="TOC2"/>
            <w:tabs>
              <w:tab w:val="clear" w:pos="900"/>
              <w:tab w:val="clear" w:pos="9350"/>
              <w:tab w:val="right" w:pos="9025" w:leader="dot"/>
            </w:tabs>
            <w:rPr/>
          </w:pPr>
          <w:hyperlink w:anchor="__RefHeading___Toc7747_4195859891">
            <w:r>
              <w:rPr>
                <w:webHidden/>
                <w:rStyle w:val="IndexLink"/>
              </w:rPr>
              <w:t>7.3 Environment configuration and secrets</w:t>
              <w:tab/>
              <w:t>18</w:t>
            </w:r>
          </w:hyperlink>
        </w:p>
        <w:p>
          <w:pPr>
            <w:pStyle w:val="TOC2"/>
            <w:tabs>
              <w:tab w:val="clear" w:pos="900"/>
              <w:tab w:val="clear" w:pos="9350"/>
              <w:tab w:val="right" w:pos="9025" w:leader="dot"/>
            </w:tabs>
            <w:rPr/>
          </w:pPr>
          <w:hyperlink w:anchor="__RefHeading___Toc7749_4195859891">
            <w:r>
              <w:rPr>
                <w:webHidden/>
                <w:rStyle w:val="IndexLink"/>
              </w:rPr>
              <w:t>7.4 Database migrations on start</w:t>
              <w:tab/>
              <w:t>18</w:t>
            </w:r>
          </w:hyperlink>
        </w:p>
        <w:p>
          <w:pPr>
            <w:pStyle w:val="TOC1"/>
            <w:tabs>
              <w:tab w:val="clear" w:pos="900"/>
              <w:tab w:val="clear" w:pos="9350"/>
              <w:tab w:val="right" w:pos="9025" w:leader="dot"/>
            </w:tabs>
            <w:rPr/>
          </w:pPr>
          <w:hyperlink w:anchor="__RefHeading___Toc7751_4195859891">
            <w:r>
              <w:rPr>
                <w:webHidden/>
                <w:rStyle w:val="IndexLink"/>
              </w:rPr>
              <w:t>8. High availability, backup and recovery</w:t>
              <w:tab/>
              <w:t>20</w:t>
            </w:r>
          </w:hyperlink>
        </w:p>
        <w:p>
          <w:pPr>
            <w:pStyle w:val="TOC2"/>
            <w:tabs>
              <w:tab w:val="clear" w:pos="900"/>
              <w:tab w:val="clear" w:pos="9350"/>
              <w:tab w:val="right" w:pos="9025" w:leader="dot"/>
            </w:tabs>
            <w:rPr/>
          </w:pPr>
          <w:hyperlink w:anchor="__RefHeading___Toc7753_4195859891">
            <w:r>
              <w:rPr>
                <w:webHidden/>
                <w:rStyle w:val="IndexLink"/>
              </w:rPr>
              <w:t>8.1 Resilience properties of the application</w:t>
              <w:tab/>
              <w:t>20</w:t>
            </w:r>
          </w:hyperlink>
        </w:p>
        <w:p>
          <w:pPr>
            <w:pStyle w:val="TOC2"/>
            <w:tabs>
              <w:tab w:val="clear" w:pos="900"/>
              <w:tab w:val="clear" w:pos="9350"/>
              <w:tab w:val="right" w:pos="9025" w:leader="dot"/>
            </w:tabs>
            <w:rPr/>
          </w:pPr>
          <w:hyperlink w:anchor="__RefHeading___Toc7755_4195859891">
            <w:r>
              <w:rPr>
                <w:webHidden/>
                <w:rStyle w:val="IndexLink"/>
              </w:rPr>
              <w:t>8.2 Recovery objectives</w:t>
              <w:tab/>
              <w:t>21</w:t>
            </w:r>
          </w:hyperlink>
        </w:p>
        <w:p>
          <w:pPr>
            <w:pStyle w:val="TOC2"/>
            <w:tabs>
              <w:tab w:val="clear" w:pos="900"/>
              <w:tab w:val="clear" w:pos="9350"/>
              <w:tab w:val="right" w:pos="9025" w:leader="dot"/>
            </w:tabs>
            <w:rPr/>
          </w:pPr>
          <w:hyperlink w:anchor="__RefHeading___Toc7757_4195859891">
            <w:r>
              <w:rPr>
                <w:webHidden/>
                <w:rStyle w:val="IndexLink"/>
              </w:rPr>
              <w:t>8.3 Backup</w:t>
              <w:tab/>
              <w:t>21</w:t>
            </w:r>
          </w:hyperlink>
        </w:p>
        <w:p>
          <w:pPr>
            <w:pStyle w:val="TOC2"/>
            <w:tabs>
              <w:tab w:val="clear" w:pos="900"/>
              <w:tab w:val="clear" w:pos="9350"/>
              <w:tab w:val="right" w:pos="9025" w:leader="dot"/>
            </w:tabs>
            <w:rPr/>
          </w:pPr>
          <w:hyperlink w:anchor="__RefHeading___Toc7759_4195859891">
            <w:r>
              <w:rPr>
                <w:webHidden/>
                <w:rStyle w:val="IndexLink"/>
              </w:rPr>
              <w:t>8.4 Archival and housekeeping</w:t>
              <w:tab/>
              <w:t>22</w:t>
            </w:r>
          </w:hyperlink>
        </w:p>
        <w:p>
          <w:pPr>
            <w:pStyle w:val="TOC2"/>
            <w:tabs>
              <w:tab w:val="clear" w:pos="900"/>
              <w:tab w:val="clear" w:pos="9350"/>
              <w:tab w:val="right" w:pos="9025" w:leader="dot"/>
            </w:tabs>
            <w:rPr/>
          </w:pPr>
          <w:hyperlink w:anchor="__RefHeading___Toc7761_4195859891">
            <w:r>
              <w:rPr>
                <w:webHidden/>
                <w:rStyle w:val="IndexLink"/>
              </w:rPr>
              <w:t>8.5 Monitoring and alerting</w:t>
              <w:tab/>
              <w:t>23</w:t>
            </w:r>
          </w:hyperlink>
        </w:p>
        <w:p>
          <w:pPr>
            <w:pStyle w:val="TOC1"/>
            <w:tabs>
              <w:tab w:val="clear" w:pos="900"/>
              <w:tab w:val="clear" w:pos="9350"/>
              <w:tab w:val="right" w:pos="9025" w:leader="dot"/>
            </w:tabs>
            <w:rPr/>
          </w:pPr>
          <w:hyperlink w:anchor="__RefHeading___Toc7763_4195859891">
            <w:r>
              <w:rPr>
                <w:webHidden/>
                <w:rStyle w:val="IndexLink"/>
              </w:rPr>
              <w:t>9. Security architecture</w:t>
              <w:tab/>
              <w:t>25</w:t>
            </w:r>
          </w:hyperlink>
        </w:p>
        <w:p>
          <w:pPr>
            <w:pStyle w:val="TOC2"/>
            <w:tabs>
              <w:tab w:val="clear" w:pos="900"/>
              <w:tab w:val="clear" w:pos="9350"/>
              <w:tab w:val="right" w:pos="9025" w:leader="dot"/>
            </w:tabs>
            <w:rPr/>
          </w:pPr>
          <w:hyperlink w:anchor="__RefHeading___Toc7765_4195859891">
            <w:r>
              <w:rPr>
                <w:webHidden/>
                <w:rStyle w:val="IndexLink"/>
              </w:rPr>
              <w:t>9.1 Identity and authentication</w:t>
              <w:tab/>
              <w:t>25</w:t>
            </w:r>
          </w:hyperlink>
        </w:p>
        <w:p>
          <w:pPr>
            <w:pStyle w:val="TOC2"/>
            <w:tabs>
              <w:tab w:val="clear" w:pos="900"/>
              <w:tab w:val="clear" w:pos="9350"/>
              <w:tab w:val="right" w:pos="9025" w:leader="dot"/>
            </w:tabs>
            <w:rPr/>
          </w:pPr>
          <w:hyperlink w:anchor="__RefHeading___Toc7767_4195859891">
            <w:r>
              <w:rPr>
                <w:webHidden/>
                <w:rStyle w:val="IndexLink"/>
              </w:rPr>
              <w:t>9.2 Authorisation, maker-checker and segregation of duties</w:t>
              <w:tab/>
              <w:t>25</w:t>
            </w:r>
          </w:hyperlink>
        </w:p>
        <w:p>
          <w:pPr>
            <w:pStyle w:val="TOC2"/>
            <w:tabs>
              <w:tab w:val="clear" w:pos="900"/>
              <w:tab w:val="clear" w:pos="9350"/>
              <w:tab w:val="right" w:pos="9025" w:leader="dot"/>
            </w:tabs>
            <w:rPr/>
          </w:pPr>
          <w:hyperlink w:anchor="__RefHeading___Toc7769_4195859891">
            <w:r>
              <w:rPr>
                <w:webHidden/>
                <w:rStyle w:val="IndexLink"/>
              </w:rPr>
              <w:t>9.3 Application security controls (OWASP Top 10, 2021)</w:t>
              <w:tab/>
              <w:t>26</w:t>
            </w:r>
          </w:hyperlink>
        </w:p>
        <w:p>
          <w:pPr>
            <w:pStyle w:val="TOC2"/>
            <w:tabs>
              <w:tab w:val="clear" w:pos="900"/>
              <w:tab w:val="clear" w:pos="9350"/>
              <w:tab w:val="right" w:pos="9025" w:leader="dot"/>
            </w:tabs>
            <w:rPr/>
          </w:pPr>
          <w:hyperlink w:anchor="__RefHeading___Toc7771_4195859891">
            <w:r>
              <w:rPr>
                <w:webHidden/>
                <w:rStyle w:val="IndexLink"/>
              </w:rPr>
              <w:t>9.4 Encryption</w:t>
              <w:tab/>
              <w:t>27</w:t>
            </w:r>
          </w:hyperlink>
        </w:p>
        <w:p>
          <w:pPr>
            <w:pStyle w:val="TOC2"/>
            <w:tabs>
              <w:tab w:val="clear" w:pos="900"/>
              <w:tab w:val="clear" w:pos="9350"/>
              <w:tab w:val="right" w:pos="9025" w:leader="dot"/>
            </w:tabs>
            <w:rPr/>
          </w:pPr>
          <w:hyperlink w:anchor="__RefHeading___Toc7773_4195859891">
            <w:r>
              <w:rPr>
                <w:webHidden/>
                <w:rStyle w:val="IndexLink"/>
              </w:rPr>
              <w:t>9.5 Audit trail and logging</w:t>
              <w:tab/>
              <w:t>27</w:t>
            </w:r>
          </w:hyperlink>
        </w:p>
        <w:p>
          <w:pPr>
            <w:pStyle w:val="TOC2"/>
            <w:tabs>
              <w:tab w:val="clear" w:pos="900"/>
              <w:tab w:val="clear" w:pos="9350"/>
              <w:tab w:val="right" w:pos="9025" w:leader="dot"/>
            </w:tabs>
            <w:rPr/>
          </w:pPr>
          <w:hyperlink w:anchor="__RefHeading___Toc7775_4195859891">
            <w:r>
              <w:rPr>
                <w:webHidden/>
                <w:rStyle w:val="IndexLink"/>
              </w:rPr>
              <w:t>9.6 Vulnerability management</w:t>
              <w:tab/>
              <w:t>28</w:t>
            </w:r>
          </w:hyperlink>
        </w:p>
        <w:p>
          <w:pPr>
            <w:pStyle w:val="TOC2"/>
            <w:tabs>
              <w:tab w:val="clear" w:pos="900"/>
              <w:tab w:val="clear" w:pos="9350"/>
              <w:tab w:val="right" w:pos="9025" w:leader="dot"/>
            </w:tabs>
            <w:rPr/>
          </w:pPr>
          <w:hyperlink w:anchor="__RefHeading___Toc7777_4195859891">
            <w:r>
              <w:rPr>
                <w:webHidden/>
                <w:rStyle w:val="IndexLink"/>
              </w:rPr>
              <w:t>9.7 Penetration testing approach</w:t>
              <w:tab/>
              <w:t>28</w:t>
            </w:r>
          </w:hyperlink>
        </w:p>
        <w:p>
          <w:pPr>
            <w:pStyle w:val="TOC2"/>
            <w:tabs>
              <w:tab w:val="clear" w:pos="900"/>
              <w:tab w:val="clear" w:pos="9350"/>
              <w:tab w:val="right" w:pos="9025" w:leader="dot"/>
            </w:tabs>
            <w:rPr/>
          </w:pPr>
          <w:hyperlink w:anchor="__RefHeading___Toc7779_4195859891">
            <w:r>
              <w:rPr>
                <w:webHidden/>
                <w:rStyle w:val="IndexLink"/>
              </w:rPr>
              <w:t>9.8 Secure development lifecycle</w:t>
              <w:tab/>
              <w:t>28</w:t>
            </w:r>
          </w:hyperlink>
        </w:p>
        <w:p>
          <w:pPr>
            <w:pStyle w:val="TOC1"/>
            <w:tabs>
              <w:tab w:val="clear" w:pos="900"/>
              <w:tab w:val="clear" w:pos="9350"/>
              <w:tab w:val="right" w:pos="9025" w:leader="dot"/>
            </w:tabs>
            <w:rPr/>
          </w:pPr>
          <w:hyperlink w:anchor="__RefHeading___Toc7781_4195859891">
            <w:r>
              <w:rPr>
                <w:webHidden/>
                <w:rStyle w:val="IndexLink"/>
              </w:rPr>
              <w:t>10. Data privacy</w:t>
              <w:tab/>
              <w:t>30</w:t>
            </w:r>
          </w:hyperlink>
        </w:p>
        <w:p>
          <w:pPr>
            <w:pStyle w:val="TOC2"/>
            <w:tabs>
              <w:tab w:val="clear" w:pos="900"/>
              <w:tab w:val="clear" w:pos="9350"/>
              <w:tab w:val="right" w:pos="9025" w:leader="dot"/>
            </w:tabs>
            <w:rPr/>
          </w:pPr>
          <w:hyperlink w:anchor="__RefHeading___Toc7783_4195859891">
            <w:r>
              <w:rPr>
                <w:webHidden/>
                <w:rStyle w:val="IndexLink"/>
              </w:rPr>
              <w:t>10.1 Legal framework</w:t>
              <w:tab/>
              <w:t>30</w:t>
            </w:r>
          </w:hyperlink>
        </w:p>
        <w:p>
          <w:pPr>
            <w:pStyle w:val="TOC2"/>
            <w:tabs>
              <w:tab w:val="clear" w:pos="900"/>
              <w:tab w:val="clear" w:pos="9350"/>
              <w:tab w:val="right" w:pos="9025" w:leader="dot"/>
            </w:tabs>
            <w:rPr/>
          </w:pPr>
          <w:hyperlink w:anchor="__RefHeading___Toc7785_4195859891">
            <w:r>
              <w:rPr>
                <w:webHidden/>
                <w:rStyle w:val="IndexLink"/>
              </w:rPr>
              <w:t>10.2 Roles under the DPA</w:t>
              <w:tab/>
              <w:t>30</w:t>
            </w:r>
          </w:hyperlink>
        </w:p>
        <w:p>
          <w:pPr>
            <w:pStyle w:val="TOC2"/>
            <w:tabs>
              <w:tab w:val="clear" w:pos="900"/>
              <w:tab w:val="clear" w:pos="9350"/>
              <w:tab w:val="right" w:pos="9025" w:leader="dot"/>
            </w:tabs>
            <w:rPr/>
          </w:pPr>
          <w:hyperlink w:anchor="__RefHeading___Toc7787_4195859891">
            <w:r>
              <w:rPr>
                <w:webHidden/>
                <w:rStyle w:val="IndexLink"/>
              </w:rPr>
              <w:t>10.3 Personal data held in BrokerVerse</w:t>
              <w:tab/>
              <w:t>30</w:t>
            </w:r>
          </w:hyperlink>
        </w:p>
        <w:p>
          <w:pPr>
            <w:pStyle w:val="TOC2"/>
            <w:tabs>
              <w:tab w:val="clear" w:pos="900"/>
              <w:tab w:val="clear" w:pos="9350"/>
              <w:tab w:val="right" w:pos="9025" w:leader="dot"/>
            </w:tabs>
            <w:rPr/>
          </w:pPr>
          <w:hyperlink w:anchor="__RefHeading___Toc7789_4195859891">
            <w:r>
              <w:rPr>
                <w:webHidden/>
                <w:rStyle w:val="IndexLink"/>
              </w:rPr>
              <w:t>10.4 Lawful basis and consent</w:t>
              <w:tab/>
              <w:t>31</w:t>
            </w:r>
          </w:hyperlink>
        </w:p>
        <w:p>
          <w:pPr>
            <w:pStyle w:val="TOC2"/>
            <w:tabs>
              <w:tab w:val="clear" w:pos="900"/>
              <w:tab w:val="clear" w:pos="9350"/>
              <w:tab w:val="right" w:pos="9025" w:leader="dot"/>
            </w:tabs>
            <w:rPr/>
          </w:pPr>
          <w:hyperlink w:anchor="__RefHeading___Toc7791_4195859891">
            <w:r>
              <w:rPr>
                <w:webHidden/>
                <w:rStyle w:val="IndexLink"/>
              </w:rPr>
              <w:t>10.5 Data subject rights</w:t>
              <w:tab/>
              <w:t>31</w:t>
            </w:r>
          </w:hyperlink>
        </w:p>
        <w:p>
          <w:pPr>
            <w:pStyle w:val="TOC2"/>
            <w:tabs>
              <w:tab w:val="clear" w:pos="900"/>
              <w:tab w:val="clear" w:pos="9350"/>
              <w:tab w:val="right" w:pos="9025" w:leader="dot"/>
            </w:tabs>
            <w:rPr/>
          </w:pPr>
          <w:hyperlink w:anchor="__RefHeading___Toc7793_4195859891">
            <w:r>
              <w:rPr>
                <w:webHidden/>
                <w:rStyle w:val="IndexLink"/>
              </w:rPr>
              <w:t>10.6 Retention and disposal</w:t>
              <w:tab/>
              <w:t>32</w:t>
            </w:r>
          </w:hyperlink>
        </w:p>
        <w:p>
          <w:pPr>
            <w:pStyle w:val="TOC2"/>
            <w:tabs>
              <w:tab w:val="clear" w:pos="900"/>
              <w:tab w:val="clear" w:pos="9350"/>
              <w:tab w:val="right" w:pos="9025" w:leader="dot"/>
            </w:tabs>
            <w:rPr/>
          </w:pPr>
          <w:hyperlink w:anchor="__RefHeading___Toc7795_4195859891">
            <w:r>
              <w:rPr>
                <w:webHidden/>
                <w:rStyle w:val="IndexLink"/>
              </w:rPr>
              <w:t>10.7 Security of personal data</w:t>
              <w:tab/>
              <w:t>32</w:t>
            </w:r>
          </w:hyperlink>
        </w:p>
        <w:p>
          <w:pPr>
            <w:pStyle w:val="TOC2"/>
            <w:tabs>
              <w:tab w:val="clear" w:pos="900"/>
              <w:tab w:val="clear" w:pos="9350"/>
              <w:tab w:val="right" w:pos="9025" w:leader="dot"/>
            </w:tabs>
            <w:rPr/>
          </w:pPr>
          <w:hyperlink w:anchor="__RefHeading___Toc7797_4195859891">
            <w:r>
              <w:rPr>
                <w:webHidden/>
                <w:rStyle w:val="IndexLink"/>
              </w:rPr>
              <w:t>10.8 Cross-border transfer</w:t>
              <w:tab/>
              <w:t>32</w:t>
            </w:r>
          </w:hyperlink>
        </w:p>
        <w:p>
          <w:pPr>
            <w:pStyle w:val="TOC2"/>
            <w:tabs>
              <w:tab w:val="clear" w:pos="900"/>
              <w:tab w:val="clear" w:pos="9350"/>
              <w:tab w:val="right" w:pos="9025" w:leader="dot"/>
            </w:tabs>
            <w:rPr/>
          </w:pPr>
          <w:hyperlink w:anchor="__RefHeading___Toc7799_4195859891">
            <w:r>
              <w:rPr>
                <w:webHidden/>
                <w:rStyle w:val="IndexLink"/>
              </w:rPr>
              <w:t>10.9 Breach management</w:t>
              <w:tab/>
              <w:t>33</w:t>
            </w:r>
          </w:hyperlink>
        </w:p>
        <w:p>
          <w:pPr>
            <w:pStyle w:val="TOC1"/>
            <w:tabs>
              <w:tab w:val="clear" w:pos="900"/>
              <w:tab w:val="clear" w:pos="9350"/>
              <w:tab w:val="right" w:pos="9025" w:leader="dot"/>
            </w:tabs>
            <w:rPr/>
          </w:pPr>
          <w:hyperlink w:anchor="__RefHeading___Toc7801_4195859891">
            <w:r>
              <w:rPr>
                <w:webHidden/>
                <w:rStyle w:val="IndexLink"/>
              </w:rPr>
              <w:t>11. Insurance Commission and records</w:t>
              <w:tab/>
              <w:t>34</w:t>
            </w:r>
          </w:hyperlink>
        </w:p>
        <w:p>
          <w:pPr>
            <w:pStyle w:val="TOC1"/>
            <w:tabs>
              <w:tab w:val="clear" w:pos="900"/>
              <w:tab w:val="clear" w:pos="9350"/>
              <w:tab w:val="right" w:pos="9025" w:leader="dot"/>
            </w:tabs>
            <w:rPr/>
          </w:pPr>
          <w:hyperlink w:anchor="__RefHeading___Toc7803_4195859891">
            <w:r>
              <w:rPr>
                <w:webHidden/>
                <w:rStyle w:val="IndexLink"/>
              </w:rPr>
              <w:t>12. Compliance checklist</w:t>
              <w:tab/>
              <w:t>35</w:t>
            </w:r>
          </w:hyperlink>
        </w:p>
        <w:p>
          <w:pPr>
            <w:pStyle w:val="TOC1"/>
            <w:tabs>
              <w:tab w:val="clear" w:pos="900"/>
              <w:tab w:val="clear" w:pos="9350"/>
              <w:tab w:val="right" w:pos="9025" w:leader="dot"/>
            </w:tabs>
            <w:rPr/>
          </w:pPr>
          <w:hyperlink w:anchor="__RefHeading___Toc7805_4195859891">
            <w:r>
              <w:rPr>
                <w:webHidden/>
                <w:rStyle w:val="IndexLink"/>
                <w:i w:val="false"/>
                <w:iCs w:val="false"/>
              </w:rPr>
              <w:t>13.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69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69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695_4195859891"/>
      <w:bookmarkEnd w:id="6"/>
      <w:r>
        <w:rPr>
          <w:rFonts w:eastAsia="Segoe UI" w:cs="Segoe UI" w:ascii="Segoe UI" w:hAnsi="Segoe UI"/>
          <w:b/>
          <w:color w:val="0F4761"/>
          <w:sz w:val="32"/>
        </w:rPr>
        <w:t>3.  Introduction</w:t>
      </w:r>
    </w:p>
    <w:p>
      <w:pPr>
        <w:pStyle w:val="Heading2"/>
        <w:rPr/>
      </w:pPr>
      <w:bookmarkStart w:id="7" w:name="__RefHeading___Toc7697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7699_4195859891"/>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1.1, 29 September 2026).</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7701_4195859891"/>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UAT scripts, support and escalation</w:t>
            </w:r>
          </w:p>
        </w:tc>
      </w:tr>
    </w:tbl>
    <w:p>
      <w:pPr>
        <w:pStyle w:val="Normal"/>
        <w:spacing w:before="0" w:after="80"/>
        <w:rPr/>
      </w:pPr>
      <w:r>
        <w:rPr/>
      </w:r>
      <w:r>
        <w:br w:type="page"/>
      </w:r>
    </w:p>
    <w:p>
      <w:pPr>
        <w:pStyle w:val="Heading1"/>
        <w:rPr/>
      </w:pPr>
      <w:bookmarkStart w:id="10" w:name="__RefHeading___Toc7703_4195859891"/>
      <w:bookmarkEnd w:id="10"/>
      <w:r>
        <w:rPr>
          <w:rFonts w:eastAsia="Segoe UI" w:cs="Segoe UI" w:ascii="Segoe UI" w:hAnsi="Segoe UI"/>
          <w:b/>
          <w:color w:val="0F4761"/>
          <w:sz w:val="32"/>
        </w:rPr>
        <w:t>4.  Solution overview and logical architecture</w:t>
      </w:r>
    </w:p>
    <w:p>
      <w:pPr>
        <w:pStyle w:val="Heading2"/>
        <w:rPr/>
      </w:pPr>
      <w:bookmarkStart w:id="11" w:name="__RefHeading___Toc7705_4195859891"/>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rPr/>
      </w:pPr>
      <w:bookmarkStart w:id="12" w:name="__RefHeading___Toc7707_4195859891"/>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45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868 registered routes, two health endpoints, a built-in scheduler of 18 jobs in Asia/Manila time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80 migration files applied on start under an advisory lock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rPr/>
      </w:pPr>
      <w:bookmarkStart w:id="13" w:name="__RefHeading___Toc7709_4195859891"/>
      <w:bookmarkEnd w:id="13"/>
      <w:r>
        <w:rPr>
          <w:rFonts w:eastAsia="Segoe UI" w:cs="Segoe UI"/>
          <w:b/>
          <w:color w:val="0F4761"/>
          <w:sz w:val="26"/>
        </w:rPr>
        <w:t>4.3  Logical components</w:t>
      </w:r>
    </w:p>
    <w:p>
      <w:pPr>
        <w:pStyle w:val="Normal"/>
        <w:jc w:val="center"/>
        <w:rPr/>
      </w:pPr>
      <w:r>
        <w:rPr/>
        <w:drawing>
          <wp:inline distT="0" distB="0" distL="0" distR="0">
            <wp:extent cx="5760085" cy="466979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669790"/>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Operations, Accounts, Master, Product Configurator, Reinsurance, Reports, Dashboards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PDF engine, letterhead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7711_4195859891"/>
      <w:bookmarkEnd w:id="14"/>
      <w:r>
        <w:rPr>
          <w:rFonts w:eastAsia="Segoe UI" w:cs="Segoe UI"/>
          <w:b/>
          <w:color w:val="0F4761"/>
          <w:sz w:val="26"/>
        </w:rPr>
        <w:t>4.4  Business modules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5"/>
        <w:gridCol w:w="5768"/>
      </w:tblGrid>
      <w:tr>
        <w:trPr>
          <w:tblHeader w:val="true"/>
        </w:trPr>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policies, endorsements, documents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renewals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payments, payment-gateway</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incentive, reinsurance</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period-end, bank-reconciliation</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document-numbering, settings, system-settings, schedules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notifications, uploads, search, dashboard, reports, system</w:t>
            </w:r>
          </w:p>
        </w:tc>
      </w:tr>
    </w:tbl>
    <w:p>
      <w:pPr>
        <w:pStyle w:val="Normal"/>
        <w:spacing w:before="0" w:after="80"/>
        <w:rPr/>
      </w:pPr>
      <w:r>
        <w:rPr/>
      </w:r>
    </w:p>
    <w:p>
      <w:pPr>
        <w:pStyle w:val="Heading2"/>
        <w:rPr/>
      </w:pPr>
      <w:bookmarkStart w:id="15" w:name="__RefHeading___Toc7713_4195859891"/>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4"/>
        <w:gridCol w:w="2253"/>
        <w:gridCol w:w="4328"/>
      </w:tblGrid>
      <w:tr>
        <w:trPr>
          <w:tblHeader w:val="true"/>
        </w:trPr>
        <w:tc>
          <w:tcPr>
            <w:tcW w:w="2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4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No insurer API.</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are approved in the system and the bank result is recorded (Completed or Failed). No bank payment file or bank API is generated.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docs/templates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7715_4195859891"/>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7717_4195859891"/>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7719_4195859891"/>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7721_4195859891"/>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7723_4195859891"/>
      <w:bookmarkEnd w:id="20"/>
      <w:r>
        <w:rPr>
          <w:rFonts w:eastAsia="Segoe UI" w:cs="Segoe UI" w:ascii="Segoe UI" w:hAnsi="Segoe UI"/>
          <w:b/>
          <w:color w:val="0F4761"/>
          <w:sz w:val="32"/>
        </w:rPr>
        <w:t>6.  Deployment architecture options</w:t>
      </w:r>
    </w:p>
    <w:p>
      <w:pPr>
        <w:pStyle w:val="Heading2"/>
        <w:rPr/>
      </w:pPr>
      <w:bookmarkStart w:id="21" w:name="__RefHeading___Toc7725_4195859891"/>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over HTTPS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p>
        </w:tc>
      </w:tr>
    </w:tbl>
    <w:p>
      <w:pPr>
        <w:pStyle w:val="Normal"/>
        <w:spacing w:before="0" w:after="80"/>
        <w:rPr/>
      </w:pPr>
      <w:r>
        <w:rPr/>
      </w:r>
    </w:p>
    <w:p>
      <w:pPr>
        <w:pStyle w:val="Heading2"/>
        <w:rPr/>
      </w:pPr>
      <w:bookmarkStart w:id="22" w:name="__RefHeading___Toc7727_4195859891"/>
      <w:bookmarkEnd w:id="22"/>
      <w:r>
        <w:rPr>
          <w:rFonts w:eastAsia="Segoe UI" w:cs="Segoe UI"/>
          <w:b/>
          <w:color w:val="0F4761"/>
          <w:sz w:val="26"/>
        </w:rPr>
        <w:t>6.2  Environment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29"/>
        <w:gridCol w:w="2576"/>
        <w:gridCol w:w="252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server or Docker Compose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performance test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UAT data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or masked copies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 at smaller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(two API instances, managed PostgreSQL with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or UAT without masking.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must differ between environments.</w:t>
      </w:r>
    </w:p>
    <w:p>
      <w:pPr>
        <w:pStyle w:val="Heading2"/>
        <w:rPr/>
      </w:pPr>
      <w:bookmarkStart w:id="23" w:name="__RefHeading___Toc7729_4195859891"/>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and the payment gateways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7731_4195859891"/>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 xml:space="preserve">The repository also deploys a demo system: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publishes the front end to S3 and CloudFront and reloads the API on one EC2 host with PM2 (</w:t>
      </w:r>
      <w:r>
        <w:rPr>
          <w:rFonts w:eastAsia="Consolas" w:cs="Consolas" w:ascii="Consolas" w:hAnsi="Consolas"/>
          <w:color w:val="101820"/>
          <w:sz w:val="19"/>
        </w:rPr>
        <w:t>deploy/ec2/deploy.sh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UAT, not as the production form of option A.</w:t>
      </w:r>
    </w:p>
    <w:p>
      <w:pPr>
        <w:pStyle w:val="Heading2"/>
        <w:rPr/>
      </w:pPr>
      <w:bookmarkStart w:id="25" w:name="__RefHeading___Toc7733_4195859891"/>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7735_4195859891"/>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7737_4195859891"/>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7739_4195859891"/>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Estimates of on-demand list prices for the PROD environment only, converted at an assumed PHP 58.00 to USD 1.00, before tax, support plans and data transfer above normal use. Reserved capacity or savings plans reduce them by roughly 25% to 40%. Obtain a quotation from the provider or partner before ordering.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1879"/>
        <w:gridCol w:w="1877"/>
        <w:gridCol w:w="1972"/>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1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9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100,000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 Southeast Asia</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27,000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55,000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105,000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Philippine partner (managed VMs)</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25,000 to 45,000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45,000 to 80,000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 to 160,000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Additional environment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(single API instance, database without standby)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40%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(single small server or Compose)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15%</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w:t>
      </w:r>
      <w:r>
        <w:br w:type="page"/>
      </w:r>
    </w:p>
    <w:p>
      <w:pPr>
        <w:pStyle w:val="Heading1"/>
        <w:rPr/>
      </w:pPr>
      <w:bookmarkStart w:id="29" w:name="__RefHeading___Toc7741_4195859891"/>
      <w:bookmarkEnd w:id="29"/>
      <w:r>
        <w:rPr>
          <w:rFonts w:eastAsia="Segoe UI" w:cs="Segoe UI" w:ascii="Segoe UI" w:hAnsi="Segoe UI"/>
          <w:b/>
          <w:color w:val="0F4761"/>
          <w:sz w:val="32"/>
        </w:rPr>
        <w:t>7.  CI/CD and release management</w:t>
      </w:r>
    </w:p>
    <w:p>
      <w:pPr>
        <w:pStyle w:val="Heading2"/>
        <w:rPr/>
      </w:pPr>
      <w:bookmarkStart w:id="30" w:name="__RefHeading___Toc7743_4195859891"/>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pull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.github/workflows/deploy-frontend.yml</w:t>
            </w:r>
            <w:r>
              <w:rPr>
                <w:rFonts w:eastAsia="Segoe UI" w:cs="Segoe UI" w:ascii="Segoe UI" w:hAnsi="Segoe UI"/>
                <w:color w:val="101820"/>
                <w:kern w:val="0"/>
                <w:sz w:val="18"/>
                <w:szCs w:val="24"/>
                <w:lang w:val="en-US" w:eastAsia="ja-JP" w:bidi="ar-SA"/>
              </w:rPr>
              <w:t xml:space="preserve"> (CI/CD Pipeline)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to </w:t>
            </w:r>
            <w:r>
              <w:rPr>
                <w:rFonts w:eastAsia="Consolas" w:cs="Consolas" w:ascii="Consolas" w:hAnsi="Consolas"/>
                <w:color w:val="101820"/>
                <w:kern w:val="0"/>
                <w:sz w:val="16"/>
                <w:szCs w:val="24"/>
                <w:lang w:val="en-US" w:eastAsia="ja-JP" w:bidi="ar-SA"/>
              </w:rPr>
              <w:t>brokerverse-platform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Builds the front end with Node 22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from the repository variable), publishes it to S3 (hashed files cached one year,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not cached), invalidates CloudFront, then reloads the API on the EC2 host over SSH (</w:t>
            </w:r>
            <w:r>
              <w:rPr>
                <w:rFonts w:eastAsia="Consolas" w:cs="Consolas" w:ascii="Consolas" w:hAnsi="Consolas"/>
                <w:color w:val="101820"/>
                <w:kern w:val="0"/>
                <w:sz w:val="16"/>
                <w:szCs w:val="24"/>
                <w:lang w:val="en-US" w:eastAsia="ja-JP" w:bidi="ar-SA"/>
              </w:rPr>
              <w:t>deploy/ec2/deploy.sh</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or pull request to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when the front end is its own repository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tests, check that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set, build, check that </w:t>
            </w:r>
            <w:r>
              <w:rPr>
                <w:rFonts w:eastAsia="Consolas" w:cs="Consolas" w:ascii="Consolas" w:hAnsi="Consolas"/>
                <w:color w:val="101820"/>
                <w:kern w:val="0"/>
                <w:sz w:val="16"/>
                <w:szCs w:val="24"/>
                <w:lang w:val="en-US" w:eastAsia="ja-JP" w:bidi="ar-SA"/>
              </w:rPr>
              <w:t>build/index.html</w:t>
            </w:r>
            <w:r>
              <w:rPr>
                <w:rFonts w:eastAsia="Segoe UI" w:cs="Segoe UI" w:ascii="Segoe UI" w:hAnsi="Segoe UI"/>
                <w:color w:val="101820"/>
                <w:kern w:val="0"/>
                <w:sz w:val="18"/>
                <w:szCs w:val="24"/>
                <w:lang w:val="en-US" w:eastAsia="ja-JP" w:bidi="ar-SA"/>
              </w:rPr>
              <w:t xml:space="preserve"> is a production build;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EC2 deployment script checks out the pushed branch, installs production dependencies with </w:t>
      </w:r>
      <w:r>
        <w:rPr>
          <w:rFonts w:eastAsia="Consolas" w:cs="Consolas" w:ascii="Consolas" w:hAnsi="Consolas"/>
          <w:color w:val="101820"/>
          <w:sz w:val="19"/>
        </w:rPr>
        <w:t>npm ci --omit=dev</w:t>
      </w:r>
      <w:r>
        <w:rPr>
          <w:rFonts w:eastAsia="Segoe UI" w:cs="Segoe UI" w:ascii="Segoe UI" w:hAnsi="Segoe UI"/>
          <w:color w:val="101820"/>
          <w:sz w:val="21"/>
        </w:rPr>
        <w:t>, creates the database if missing (</w:t>
      </w:r>
      <w:r>
        <w:rPr>
          <w:rFonts w:eastAsia="Consolas" w:cs="Consolas" w:ascii="Consolas" w:hAnsi="Consolas"/>
          <w:color w:val="101820"/>
          <w:sz w:val="19"/>
        </w:rPr>
        <w:t>scripts/create-database.js</w:t>
      </w:r>
      <w:r>
        <w:rPr>
          <w:rFonts w:eastAsia="Segoe UI" w:cs="Segoe UI" w:ascii="Segoe UI" w:hAnsi="Segoe UI"/>
          <w:color w:val="101820"/>
          <w:sz w:val="21"/>
        </w:rPr>
        <w:t xml:space="preserve">),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up to two minutes for </w:t>
      </w:r>
      <w:r>
        <w:rPr>
          <w:rFonts w:eastAsia="Consolas" w:cs="Consolas" w:ascii="Consolas" w:hAnsi="Consolas"/>
          <w:color w:val="101820"/>
          <w:sz w:val="19"/>
        </w:rPr>
        <w:t>/api/health</w:t>
      </w:r>
      <w:r>
        <w:rPr>
          <w:rFonts w:eastAsia="Segoe UI" w:cs="Segoe UI" w:ascii="Segoe UI" w:hAnsi="Segoe UI"/>
          <w:color w:val="101820"/>
          <w:sz w:val="21"/>
        </w:rPr>
        <w:t xml:space="preserve"> to return 200; otherwise it prints the last 80 log lines and fails the job.</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In </w:t>
      </w:r>
      <w:r>
        <w:rPr>
          <w:rFonts w:eastAsia="Consolas" w:cs="Consolas" w:ascii="Consolas" w:hAnsi="Consolas"/>
          <w:color w:val="101820"/>
          <w:sz w:val="18"/>
        </w:rPr>
        <w:t>deploy-frontend.yml</w:t>
      </w:r>
      <w:r>
        <w:rPr>
          <w:rFonts w:eastAsia="Segoe UI" w:cs="Segoe UI" w:ascii="Segoe UI" w:hAnsi="Segoe UI"/>
          <w:color w:val="101820"/>
          <w:sz w:val="20"/>
        </w:rPr>
        <w:t xml:space="preserve"> the lint and test jobs are commented out, so a push to </w:t>
      </w:r>
      <w:r>
        <w:rPr>
          <w:rFonts w:eastAsia="Consolas" w:cs="Consolas" w:ascii="Consolas" w:hAnsi="Consolas"/>
          <w:color w:val="101820"/>
          <w:sz w:val="18"/>
        </w:rPr>
        <w:t>brokerverse-platform</w:t>
      </w:r>
      <w:r>
        <w:rPr>
          <w:rFonts w:eastAsia="Segoe UI" w:cs="Segoe UI" w:ascii="Segoe UI" w:hAnsi="Segoe UI"/>
          <w:color w:val="101820"/>
          <w:sz w:val="20"/>
        </w:rPr>
        <w:t xml:space="preserve"> deploys without running tests. Tests run only on pull requests (</w:t>
      </w:r>
      <w:r>
        <w:rPr>
          <w:rFonts w:eastAsia="Consolas" w:cs="Consolas" w:ascii="Consolas" w:hAnsi="Consolas"/>
          <w:color w:val="101820"/>
          <w:sz w:val="18"/>
        </w:rPr>
        <w:t>ci.yml</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protect the branch so that changes arrive only through pull requests with a green CI run, and restore the test jobs as a dependency of both deploy jobs.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pipelines use long-lived AWS access keys and an SSH private key stored as GitHub secrets, and the backend image is not pushed to a registry. </w:t>
      </w:r>
      <w:r>
        <w:rPr>
          <w:rFonts w:eastAsia="Segoe UI" w:cs="Segoe UI" w:ascii="Segoe UI" w:hAnsi="Segoe UI"/>
          <w:b/>
          <w:color w:val="101820"/>
          <w:sz w:val="20"/>
        </w:rPr>
        <w:t>Recommended:</w:t>
      </w:r>
      <w:r>
        <w:rPr>
          <w:rFonts w:eastAsia="Segoe UI" w:cs="Segoe UI" w:ascii="Segoe UI" w:hAnsi="Segoe UI"/>
          <w:color w:val="101820"/>
          <w:sz w:val="20"/>
        </w:rPr>
        <w:t xml:space="preserve"> GitHub OIDC with an IAM role limited to the bucket and the distribution; build, scan and push a versioned backend image (for example to ECR) and deploy that image, so a release can be rolled back by tag.</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7745_4195859891"/>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release steps for UAT and PROD:</w:t>
      </w:r>
    </w:p>
    <w:p>
      <w:pPr>
        <w:pStyle w:val="Normal"/>
        <w:numPr>
          <w:ilvl w:val="0"/>
          <w:numId w:val="5"/>
        </w:numPr>
        <w:spacing w:before="0" w:after="60"/>
        <w:rPr/>
      </w:pPr>
      <w:r>
        <w:rPr>
          <w:rFonts w:eastAsia="Segoe UI" w:cs="Segoe UI" w:ascii="Segoe UI" w:hAnsi="Segoe UI"/>
          <w:color w:val="101820"/>
          <w:sz w:val="21"/>
        </w:rPr>
        <w:t>Merge to the release branch through a reviewed pull request with a green CI run.</w:t>
      </w:r>
    </w:p>
    <w:p>
      <w:pPr>
        <w:pStyle w:val="Normal"/>
        <w:numPr>
          <w:ilvl w:val="0"/>
          <w:numId w:val="2"/>
        </w:numPr>
        <w:spacing w:before="0" w:after="60"/>
        <w:rPr/>
      </w:pPr>
      <w:r>
        <w:rPr>
          <w:rFonts w:eastAsia="Segoe UI" w:cs="Segoe UI" w:ascii="Segoe UI" w:hAnsi="Segoe UI"/>
          <w:color w:val="101820"/>
          <w:sz w:val="21"/>
        </w:rPr>
        <w:t xml:space="preserve">Tag the release (for example </w:t>
      </w:r>
      <w:r>
        <w:rPr>
          <w:rFonts w:eastAsia="Consolas" w:cs="Consolas" w:ascii="Consolas" w:hAnsi="Consolas"/>
          <w:color w:val="101820"/>
          <w:sz w:val="19"/>
        </w:rPr>
        <w:t>v1.0.0</w:t>
      </w:r>
      <w:r>
        <w:rPr>
          <w:rFonts w:eastAsia="Segoe UI" w:cs="Segoe UI" w:ascii="Segoe UI" w:hAnsi="Segoe UI"/>
          <w:color w:val="101820"/>
          <w:sz w:val="21"/>
        </w:rPr>
        <w:t xml:space="preserve">, as named in </w:t>
      </w:r>
      <w:r>
        <w:rPr>
          <w:rFonts w:eastAsia="Consolas" w:cs="Consolas" w:ascii="Consolas" w:hAnsi="Consolas"/>
          <w:color w:val="101820"/>
          <w:sz w:val="19"/>
        </w:rPr>
        <w:t>deploy/README.md</w:t>
      </w:r>
      <w:r>
        <w:rPr>
          <w:rFonts w:eastAsia="Segoe UI" w:cs="Segoe UI" w:ascii="Segoe UI" w:hAnsi="Segoe UI"/>
          <w:color w:val="101820"/>
          <w:sz w:val="21"/>
        </w:rPr>
        <w:t xml:space="preserve">) and record </w:t>
      </w:r>
      <w:r>
        <w:rPr>
          <w:rFonts w:eastAsia="Consolas" w:cs="Consolas" w:ascii="Consolas" w:hAnsi="Consolas"/>
          <w:color w:val="101820"/>
          <w:sz w:val="19"/>
        </w:rPr>
        <w:t>GIT_COMMIT</w:t>
      </w:r>
      <w:r>
        <w:rPr>
          <w:rFonts w:eastAsia="Segoe UI" w:cs="Segoe UI" w:ascii="Segoe UI" w:hAnsi="Segoe UI"/>
          <w:color w:val="101820"/>
          <w:sz w:val="21"/>
        </w:rPr>
        <w:t xml:space="preserve"> in the build so </w:t>
      </w:r>
      <w:r>
        <w:rPr>
          <w:rFonts w:eastAsia="Consolas" w:cs="Consolas" w:ascii="Consolas" w:hAnsi="Consolas"/>
          <w:color w:val="101820"/>
          <w:sz w:val="19"/>
        </w:rPr>
        <w:t>GET /api/version</w:t>
      </w:r>
      <w:r>
        <w:rPr>
          <w:rFonts w:eastAsia="Segoe UI" w:cs="Segoe UI" w:ascii="Segoe UI" w:hAnsi="Segoe UI"/>
          <w:color w:val="101820"/>
          <w:sz w:val="21"/>
        </w:rPr>
        <w:t xml:space="preserve"> shows it.</w:t>
      </w:r>
    </w:p>
    <w:p>
      <w:pPr>
        <w:pStyle w:val="Normal"/>
        <w:numPr>
          <w:ilvl w:val="0"/>
          <w:numId w:val="2"/>
        </w:numPr>
        <w:spacing w:before="0" w:after="60"/>
        <w:rPr/>
      </w:pPr>
      <w:r>
        <w:rPr>
          <w:rFonts w:eastAsia="Segoe UI" w:cs="Segoe UI" w:ascii="Segoe UI" w:hAnsi="Segoe UI"/>
          <w:color w:val="101820"/>
          <w:sz w:val="21"/>
        </w:rPr>
        <w:t xml:space="preserve">Deploy to UAT, run the UAT scripts in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for the changed areas and obtain business sign-off.</w:t>
      </w:r>
    </w:p>
    <w:p>
      <w:pPr>
        <w:pStyle w:val="Normal"/>
        <w:numPr>
          <w:ilvl w:val="0"/>
          <w:numId w:val="2"/>
        </w:numPr>
        <w:spacing w:before="0" w:after="60"/>
        <w:rPr/>
      </w:pPr>
      <w:r>
        <w:rPr>
          <w:rFonts w:eastAsia="Segoe UI" w:cs="Segoe UI" w:ascii="Segoe UI" w:hAnsi="Segoe UI"/>
          <w:color w:val="101820"/>
          <w:sz w:val="21"/>
        </w:rPr>
        <w:t>Before PROD: take a manual database snapshot when the release contains migrations.</w:t>
      </w:r>
    </w:p>
    <w:p>
      <w:pPr>
        <w:pStyle w:val="Normal"/>
        <w:numPr>
          <w:ilvl w:val="0"/>
          <w:numId w:val="2"/>
        </w:numPr>
        <w:spacing w:before="0" w:after="60"/>
        <w:rPr/>
      </w:pPr>
      <w:r>
        <w:rPr>
          <w:rFonts w:eastAsia="Segoe UI" w:cs="Segoe UI" w:ascii="Segoe UI" w:hAnsi="Segoe UI"/>
          <w:color w:val="101820"/>
          <w:sz w:val="21"/>
        </w:rPr>
        <w:t xml:space="preserve">Deploy one API instance first; when </w:t>
      </w:r>
      <w:r>
        <w:rPr>
          <w:rFonts w:eastAsia="Consolas" w:cs="Consolas" w:ascii="Consolas" w:hAnsi="Consolas"/>
          <w:color w:val="101820"/>
          <w:sz w:val="19"/>
        </w:rPr>
        <w:t>/api/health</w:t>
      </w:r>
      <w:r>
        <w:rPr>
          <w:rFonts w:eastAsia="Segoe UI" w:cs="Segoe UI" w:ascii="Segoe UI" w:hAnsi="Segoe UI"/>
          <w:color w:val="101820"/>
          <w:sz w:val="21"/>
        </w:rPr>
        <w:t xml:space="preserve"> is ready, roll the others.</w:t>
      </w:r>
    </w:p>
    <w:p>
      <w:pPr>
        <w:pStyle w:val="Normal"/>
        <w:numPr>
          <w:ilvl w:val="0"/>
          <w:numId w:val="2"/>
        </w:numPr>
        <w:spacing w:before="0" w:after="60"/>
        <w:rPr/>
      </w:pPr>
      <w:r>
        <w:rPr>
          <w:rFonts w:eastAsia="Segoe UI" w:cs="Segoe UI" w:ascii="Segoe UI" w:hAnsi="Segoe UI"/>
          <w:color w:val="101820"/>
          <w:sz w:val="21"/>
        </w:rPr>
        <w:t xml:space="preserve">Smoke test as in </w:t>
      </w:r>
      <w:r>
        <w:rPr>
          <w:rFonts w:eastAsia="Consolas" w:cs="Consolas" w:ascii="Consolas" w:hAnsi="Consolas"/>
          <w:color w:val="101820"/>
          <w:sz w:val="19"/>
        </w:rPr>
        <w:t>deploy/README.md</w:t>
      </w:r>
      <w:r>
        <w:rPr>
          <w:rFonts w:eastAsia="Segoe UI" w:cs="Segoe UI" w:ascii="Segoe UI" w:hAnsi="Segoe UI"/>
          <w:color w:val="101820"/>
          <w:sz w:val="21"/>
        </w:rPr>
        <w:t xml:space="preserve"> section 4; keep the previous image and front-end build for rollback.</w:t>
      </w:r>
    </w:p>
    <w:p>
      <w:pPr>
        <w:pStyle w:val="Heading2"/>
        <w:rPr/>
      </w:pPr>
      <w:bookmarkStart w:id="32" w:name="__RefHeading___Toc7747_4195859891"/>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7749_4195859891"/>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on a UAT copy and keep a pre-release snapshot.</w:t>
      </w:r>
      <w:r>
        <w:br w:type="page"/>
      </w:r>
    </w:p>
    <w:p>
      <w:pPr>
        <w:pStyle w:val="Heading1"/>
        <w:rPr/>
      </w:pPr>
      <w:bookmarkStart w:id="34" w:name="__RefHeading___Toc7751_4195859891"/>
      <w:bookmarkEnd w:id="34"/>
      <w:r>
        <w:rPr>
          <w:rFonts w:eastAsia="Segoe UI" w:cs="Segoe UI" w:ascii="Segoe UI" w:hAnsi="Segoe UI"/>
          <w:b/>
          <w:color w:val="0F4761"/>
          <w:sz w:val="32"/>
        </w:rPr>
        <w:t>8.  High availability, backup and recovery</w:t>
      </w:r>
    </w:p>
    <w:p>
      <w:pPr>
        <w:pStyle w:val="Heading2"/>
        <w:rPr/>
      </w:pPr>
      <w:bookmarkStart w:id="35" w:name="__RefHeading___Toc7753_4195859891"/>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7755_4195859891"/>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7757_4195859891"/>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and one restore test before go-live. The code contains no backup automation.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7759_4195859891"/>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7761_4195859891"/>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31292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7"/>
        <w:gridCol w:w="4094"/>
        <w:gridCol w:w="1124"/>
      </w:tblGrid>
      <w:tr>
        <w:trPr>
          <w:tblHeader w:val="true"/>
        </w:trPr>
        <w:tc>
          <w:tcPr>
            <w:tcW w:w="3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7763_4195859891"/>
      <w:bookmarkEnd w:id="40"/>
      <w:r>
        <w:rPr>
          <w:rFonts w:eastAsia="Segoe UI" w:cs="Segoe UI" w:ascii="Segoe UI" w:hAnsi="Segoe UI"/>
          <w:b/>
          <w:color w:val="0F4761"/>
          <w:sz w:val="32"/>
        </w:rPr>
        <w:t>9.  Security architecture</w:t>
      </w:r>
    </w:p>
    <w:p>
      <w:pPr>
        <w:pStyle w:val="Heading2"/>
        <w:rPr/>
      </w:pPr>
      <w:bookmarkStart w:id="41" w:name="__RefHeading___Toc7765_4195859891"/>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Generals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Generals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7767_4195859891"/>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posting rule changes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Generals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Generals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7769_4195859891"/>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provider addresses (SMTP, PayMongo, Dragonpay); no user-supplied URL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7771_4195859891"/>
      <w:bookmarkEnd w:id="44"/>
      <w:r>
        <w:rPr>
          <w:rFonts w:eastAsia="Segoe UI" w:cs="Segoe UI"/>
          <w:b/>
          <w:color w:val="0F4761"/>
          <w:sz w:val="26"/>
        </w:rPr>
        <w:t>9.4  Encryption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4"/>
        <w:gridCol w:w="3204"/>
        <w:gridCol w:w="3576"/>
      </w:tblGrid>
      <w:tr>
        <w:trPr>
          <w:tblHeader w:val="true"/>
        </w:trPr>
        <w:tc>
          <w:tcPr>
            <w:tcW w:w="2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7773_4195859891"/>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and time, written by every mutating handler; kept by default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Audit Trail filters by entity, record, user and date.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7775_4195859891"/>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Run </w:t>
      </w:r>
      <w:r>
        <w:rPr>
          <w:rFonts w:eastAsia="Consolas" w:cs="Consolas" w:ascii="Consolas" w:hAnsi="Consolas"/>
          <w:color w:val="101820"/>
          <w:sz w:val="18"/>
        </w:rPr>
        <w:t>npm audit</w:t>
      </w:r>
      <w:r>
        <w:rPr>
          <w:rFonts w:eastAsia="Segoe UI" w:cs="Segoe UI" w:ascii="Segoe UI" w:hAnsi="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rPr/>
      </w:pPr>
      <w:bookmarkStart w:id="47" w:name="__RefHeading___Toc7777_4195859891"/>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7779_4195859891"/>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and 65 backend test files against PostgreSQL 16; front-end tests)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Branch protection with required reviews and CI; tests restored in the deployment pipeline; dependency and image scanning; a short threat review for changes to authentication, payments and personal data.</w:t>
      </w:r>
      <w:r>
        <w:br w:type="page"/>
      </w:r>
    </w:p>
    <w:p>
      <w:pPr>
        <w:pStyle w:val="Heading1"/>
        <w:rPr/>
      </w:pPr>
      <w:bookmarkStart w:id="49" w:name="__RefHeading___Toc7781_4195859891"/>
      <w:bookmarkEnd w:id="49"/>
      <w:r>
        <w:rPr>
          <w:rFonts w:eastAsia="Segoe UI" w:cs="Segoe UI" w:ascii="Segoe UI" w:hAnsi="Segoe UI"/>
          <w:b/>
          <w:color w:val="0F4761"/>
          <w:sz w:val="32"/>
        </w:rPr>
        <w:t>10.  Data privacy</w:t>
      </w:r>
    </w:p>
    <w:p>
      <w:pPr>
        <w:pStyle w:val="Heading2"/>
        <w:rPr/>
      </w:pPr>
      <w:bookmarkStart w:id="50" w:name="__RefHeading___Toc7783_4195859891"/>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7785_4195859891"/>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7787_4195859891"/>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3546"/>
        <w:gridCol w:w="2587"/>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7789_4195859891"/>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7791_4195859891"/>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7793_4195859891"/>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7795_4195859891"/>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7797_4195859891"/>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7799_4195859891"/>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w:t>
            </w:r>
          </w:p>
        </w:tc>
      </w:tr>
    </w:tbl>
    <w:p>
      <w:pPr>
        <w:pStyle w:val="Normal"/>
        <w:spacing w:before="0" w:after="80"/>
        <w:rPr/>
      </w:pPr>
      <w:r>
        <w:rPr/>
      </w:r>
      <w:r>
        <w:br w:type="page"/>
      </w:r>
    </w:p>
    <w:p>
      <w:pPr>
        <w:pStyle w:val="Heading1"/>
        <w:rPr/>
      </w:pPr>
      <w:bookmarkStart w:id="59" w:name="__RefHeading___Toc7801_4195859891"/>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Normal"/>
        <w:spacing w:before="0" w:after="80"/>
        <w:rPr/>
      </w:pPr>
      <w:r>
        <w:rPr/>
      </w:r>
      <w:r>
        <w:br w:type="page"/>
      </w:r>
    </w:p>
    <w:p>
      <w:pPr>
        <w:pStyle w:val="Heading1"/>
        <w:rPr/>
      </w:pPr>
      <w:bookmarkStart w:id="60" w:name="__RefHeading___Toc7803_4195859891"/>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with read and write permissions; deny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 roles by job; keep few System Administrators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migrations on start under a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protection; UAT sign-off; pre-release snapshot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1" w:name="__RefHeading___Toc7805_4195859891"/>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5">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2026-10-03T20:23:14Z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