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2">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3">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3"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5"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7"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9"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OOTB Commercial Proposal Note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OOTB Commercial Proposal Note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1"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Pricing rationale, market positioning and commercial terms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Pricing rationale, market positioning and commercial terms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189_419585989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4191_419585989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4193_4195859891">
            <w:r>
              <w:rPr>
                <w:webHidden/>
                <w:rStyle w:val="IndexLink"/>
              </w:rPr>
              <w:t>3. Purpose and scope</w:t>
              <w:tab/>
              <w:t>4</w:t>
            </w:r>
          </w:hyperlink>
        </w:p>
        <w:p>
          <w:pPr>
            <w:pStyle w:val="TOC1"/>
            <w:tabs>
              <w:tab w:val="clear" w:pos="900"/>
              <w:tab w:val="clear" w:pos="9350"/>
              <w:tab w:val="right" w:pos="9025" w:leader="dot"/>
            </w:tabs>
            <w:rPr/>
          </w:pPr>
          <w:hyperlink w:anchor="__RefHeading___Toc14195_4195859891">
            <w:r>
              <w:rPr>
                <w:webHidden/>
                <w:rStyle w:val="IndexLink"/>
              </w:rPr>
              <w:t>4. Market context</w:t>
              <w:tab/>
              <w:t>5</w:t>
            </w:r>
          </w:hyperlink>
        </w:p>
        <w:p>
          <w:pPr>
            <w:pStyle w:val="TOC2"/>
            <w:tabs>
              <w:tab w:val="clear" w:pos="900"/>
              <w:tab w:val="clear" w:pos="9350"/>
              <w:tab w:val="right" w:pos="9025" w:leader="dot"/>
            </w:tabs>
            <w:rPr/>
          </w:pPr>
          <w:hyperlink w:anchor="__RefHeading___Toc14197_4195859891">
            <w:r>
              <w:rPr>
                <w:webHidden/>
                <w:rStyle w:val="IndexLink"/>
              </w:rPr>
              <w:t>4.1 The Philippine broker market</w:t>
              <w:tab/>
              <w:t>5</w:t>
            </w:r>
          </w:hyperlink>
        </w:p>
        <w:p>
          <w:pPr>
            <w:pStyle w:val="TOC2"/>
            <w:tabs>
              <w:tab w:val="clear" w:pos="900"/>
              <w:tab w:val="clear" w:pos="9350"/>
              <w:tab w:val="right" w:pos="9025" w:leader="dot"/>
            </w:tabs>
            <w:rPr/>
          </w:pPr>
          <w:hyperlink w:anchor="__RefHeading___Toc14199_4195859891">
            <w:r>
              <w:rPr>
                <w:webHidden/>
                <w:rStyle w:val="IndexLink"/>
              </w:rPr>
              <w:t>4.2 What the insurer ranking suggests</w:t>
              <w:tab/>
              <w:t>5</w:t>
            </w:r>
          </w:hyperlink>
        </w:p>
        <w:p>
          <w:pPr>
            <w:pStyle w:val="TOC2"/>
            <w:tabs>
              <w:tab w:val="clear" w:pos="900"/>
              <w:tab w:val="clear" w:pos="9350"/>
              <w:tab w:val="right" w:pos="9025" w:leader="dot"/>
            </w:tabs>
            <w:rPr/>
          </w:pPr>
          <w:hyperlink w:anchor="__RefHeading___Toc14201_4195859891">
            <w:r>
              <w:rPr>
                <w:webHidden/>
                <w:rStyle w:val="IndexLink"/>
              </w:rPr>
              <w:t>4.3 Affordability</w:t>
              <w:tab/>
              <w:t>5</w:t>
            </w:r>
          </w:hyperlink>
        </w:p>
        <w:p>
          <w:pPr>
            <w:pStyle w:val="TOC1"/>
            <w:tabs>
              <w:tab w:val="clear" w:pos="900"/>
              <w:tab w:val="clear" w:pos="9350"/>
              <w:tab w:val="right" w:pos="9025" w:leader="dot"/>
            </w:tabs>
            <w:rPr/>
          </w:pPr>
          <w:hyperlink w:anchor="__RefHeading___Toc14203_4195859891">
            <w:r>
              <w:rPr>
                <w:webHidden/>
                <w:rStyle w:val="IndexLink"/>
              </w:rPr>
              <w:t>5. Size tiers and user slabs</w:t>
              <w:tab/>
              <w:t>6</w:t>
            </w:r>
          </w:hyperlink>
        </w:p>
        <w:p>
          <w:pPr>
            <w:pStyle w:val="TOC1"/>
            <w:tabs>
              <w:tab w:val="clear" w:pos="900"/>
              <w:tab w:val="clear" w:pos="9350"/>
              <w:tab w:val="right" w:pos="9025" w:leader="dot"/>
            </w:tabs>
            <w:rPr/>
          </w:pPr>
          <w:hyperlink w:anchor="__RefHeading___Toc14205_4195859891">
            <w:r>
              <w:rPr>
                <w:webHidden/>
                <w:rStyle w:val="IndexLink"/>
              </w:rPr>
              <w:t>6. Model A: perpetual licence with AMC</w:t>
              <w:tab/>
              <w:t>7</w:t>
            </w:r>
          </w:hyperlink>
        </w:p>
        <w:p>
          <w:pPr>
            <w:pStyle w:val="TOC2"/>
            <w:tabs>
              <w:tab w:val="clear" w:pos="900"/>
              <w:tab w:val="clear" w:pos="9350"/>
              <w:tab w:val="right" w:pos="9025" w:leader="dot"/>
            </w:tabs>
            <w:rPr/>
          </w:pPr>
          <w:hyperlink w:anchor="__RefHeading___Toc14207_4195859891">
            <w:r>
              <w:rPr>
                <w:webHidden/>
                <w:rStyle w:val="IndexLink"/>
              </w:rPr>
              <w:t>6.1 Price points</w:t>
              <w:tab/>
              <w:t>7</w:t>
            </w:r>
          </w:hyperlink>
        </w:p>
        <w:p>
          <w:pPr>
            <w:pStyle w:val="TOC2"/>
            <w:tabs>
              <w:tab w:val="clear" w:pos="900"/>
              <w:tab w:val="clear" w:pos="9350"/>
              <w:tab w:val="right" w:pos="9025" w:leader="dot"/>
            </w:tabs>
            <w:rPr/>
          </w:pPr>
          <w:hyperlink w:anchor="__RefHeading___Toc14209_4195859891">
            <w:r>
              <w:rPr>
                <w:webHidden/>
                <w:rStyle w:val="IndexLink"/>
              </w:rPr>
              <w:t>6.2 Implementation fee</w:t>
              <w:tab/>
              <w:t>7</w:t>
            </w:r>
          </w:hyperlink>
        </w:p>
        <w:p>
          <w:pPr>
            <w:pStyle w:val="TOC1"/>
            <w:tabs>
              <w:tab w:val="clear" w:pos="900"/>
              <w:tab w:val="clear" w:pos="9350"/>
              <w:tab w:val="right" w:pos="9025" w:leader="dot"/>
            </w:tabs>
            <w:rPr/>
          </w:pPr>
          <w:hyperlink w:anchor="__RefHeading___Toc14211_4195859891">
            <w:r>
              <w:rPr>
                <w:webHidden/>
                <w:rStyle w:val="IndexLink"/>
              </w:rPr>
              <w:t>7. Model B: subscription</w:t>
              <w:tab/>
              <w:t>8</w:t>
            </w:r>
          </w:hyperlink>
        </w:p>
        <w:p>
          <w:pPr>
            <w:pStyle w:val="TOC2"/>
            <w:tabs>
              <w:tab w:val="clear" w:pos="900"/>
              <w:tab w:val="clear" w:pos="9350"/>
              <w:tab w:val="right" w:pos="9025" w:leader="dot"/>
            </w:tabs>
            <w:rPr/>
          </w:pPr>
          <w:hyperlink w:anchor="__RefHeading___Toc14213_4195859891">
            <w:r>
              <w:rPr>
                <w:webHidden/>
                <w:rStyle w:val="IndexLink"/>
              </w:rPr>
              <w:t>7.1 Price points</w:t>
              <w:tab/>
              <w:t>8</w:t>
            </w:r>
          </w:hyperlink>
        </w:p>
        <w:p>
          <w:pPr>
            <w:pStyle w:val="TOC2"/>
            <w:tabs>
              <w:tab w:val="clear" w:pos="900"/>
              <w:tab w:val="clear" w:pos="9350"/>
              <w:tab w:val="right" w:pos="9025" w:leader="dot"/>
            </w:tabs>
            <w:rPr/>
          </w:pPr>
          <w:hyperlink w:anchor="__RefHeading___Toc14215_4195859891">
            <w:r>
              <w:rPr>
                <w:webHidden/>
                <w:rStyle w:val="IndexLink"/>
              </w:rPr>
              <w:t>7.2 Break-even against the perpetual model</w:t>
              <w:tab/>
              <w:t>8</w:t>
            </w:r>
          </w:hyperlink>
        </w:p>
        <w:p>
          <w:pPr>
            <w:pStyle w:val="TOC1"/>
            <w:tabs>
              <w:tab w:val="clear" w:pos="900"/>
              <w:tab w:val="clear" w:pos="9350"/>
              <w:tab w:val="right" w:pos="9025" w:leader="dot"/>
            </w:tabs>
            <w:rPr/>
          </w:pPr>
          <w:hyperlink w:anchor="__RefHeading___Toc14217_4195859891">
            <w:r>
              <w:rPr>
                <w:webHidden/>
                <w:rStyle w:val="IndexLink"/>
              </w:rPr>
              <w:t>8. Positioning against the market</w:t>
              <w:tab/>
              <w:t>9</w:t>
            </w:r>
          </w:hyperlink>
        </w:p>
        <w:p>
          <w:pPr>
            <w:pStyle w:val="TOC1"/>
            <w:tabs>
              <w:tab w:val="clear" w:pos="900"/>
              <w:tab w:val="clear" w:pos="9350"/>
              <w:tab w:val="right" w:pos="9025" w:leader="dot"/>
            </w:tabs>
            <w:rPr/>
          </w:pPr>
          <w:hyperlink w:anchor="__RefHeading___Toc14219_4195859891">
            <w:r>
              <w:rPr>
                <w:webHidden/>
                <w:rStyle w:val="IndexLink"/>
              </w:rPr>
              <w:t>9. Infrastructure</w:t>
              <w:tab/>
              <w:t>10</w:t>
            </w:r>
          </w:hyperlink>
        </w:p>
        <w:p>
          <w:pPr>
            <w:pStyle w:val="TOC1"/>
            <w:tabs>
              <w:tab w:val="clear" w:pos="900"/>
              <w:tab w:val="clear" w:pos="9350"/>
              <w:tab w:val="right" w:pos="9025" w:leader="dot"/>
            </w:tabs>
            <w:rPr/>
          </w:pPr>
          <w:hyperlink w:anchor="__RefHeading___Toc14221_4195859891">
            <w:r>
              <w:rPr>
                <w:webHidden/>
                <w:rStyle w:val="IndexLink"/>
              </w:rPr>
              <w:t>10. Change requests</w:t>
              <w:tab/>
              <w:t>11</w:t>
            </w:r>
          </w:hyperlink>
        </w:p>
        <w:p>
          <w:pPr>
            <w:pStyle w:val="TOC2"/>
            <w:tabs>
              <w:tab w:val="clear" w:pos="900"/>
              <w:tab w:val="clear" w:pos="9350"/>
              <w:tab w:val="right" w:pos="9025" w:leader="dot"/>
            </w:tabs>
            <w:rPr/>
          </w:pPr>
          <w:hyperlink w:anchor="__RefHeading___Toc14223_4195859891">
            <w:r>
              <w:rPr>
                <w:webHidden/>
                <w:rStyle w:val="IndexLink"/>
              </w:rPr>
              <w:t>10.1 Day rates</w:t>
              <w:tab/>
              <w:t>11</w:t>
            </w:r>
          </w:hyperlink>
        </w:p>
        <w:p>
          <w:pPr>
            <w:pStyle w:val="TOC2"/>
            <w:tabs>
              <w:tab w:val="clear" w:pos="900"/>
              <w:tab w:val="clear" w:pos="9350"/>
              <w:tab w:val="right" w:pos="9025" w:leader="dot"/>
            </w:tabs>
            <w:rPr/>
          </w:pPr>
          <w:hyperlink w:anchor="__RefHeading___Toc14225_4195859891">
            <w:r>
              <w:rPr>
                <w:webHidden/>
                <w:rStyle w:val="IndexLink"/>
              </w:rPr>
              <w:t>10.2 Estimation method</w:t>
              <w:tab/>
              <w:t>11</w:t>
            </w:r>
          </w:hyperlink>
        </w:p>
        <w:p>
          <w:pPr>
            <w:pStyle w:val="TOC1"/>
            <w:tabs>
              <w:tab w:val="clear" w:pos="900"/>
              <w:tab w:val="clear" w:pos="9350"/>
              <w:tab w:val="right" w:pos="9025" w:leader="dot"/>
            </w:tabs>
            <w:rPr/>
          </w:pPr>
          <w:hyperlink w:anchor="__RefHeading___Toc14227_4195859891">
            <w:r>
              <w:rPr>
                <w:webHidden/>
                <w:rStyle w:val="IndexLink"/>
              </w:rPr>
              <w:t>11. Optional services</w:t>
              <w:tab/>
              <w:t>12</w:t>
            </w:r>
          </w:hyperlink>
        </w:p>
        <w:p>
          <w:pPr>
            <w:pStyle w:val="TOC1"/>
            <w:tabs>
              <w:tab w:val="clear" w:pos="900"/>
              <w:tab w:val="clear" w:pos="9350"/>
              <w:tab w:val="right" w:pos="9025" w:leader="dot"/>
            </w:tabs>
            <w:rPr/>
          </w:pPr>
          <w:hyperlink w:anchor="__RefHeading___Toc14229_4195859891">
            <w:r>
              <w:rPr>
                <w:webHidden/>
                <w:rStyle w:val="IndexLink"/>
              </w:rPr>
              <w:t>12. Sample quotes</w:t>
              <w:tab/>
              <w:t>13</w:t>
            </w:r>
          </w:hyperlink>
        </w:p>
        <w:p>
          <w:pPr>
            <w:pStyle w:val="TOC1"/>
            <w:tabs>
              <w:tab w:val="clear" w:pos="900"/>
              <w:tab w:val="clear" w:pos="9350"/>
              <w:tab w:val="right" w:pos="9025" w:leader="dot"/>
            </w:tabs>
            <w:rPr/>
          </w:pPr>
          <w:hyperlink w:anchor="__RefHeading___Toc14231_4195859891">
            <w:r>
              <w:rPr>
                <w:webHidden/>
                <w:rStyle w:val="IndexLink"/>
              </w:rPr>
              <w:t>13. Payment terms</w:t>
              <w:tab/>
              <w:t>14</w:t>
            </w:r>
          </w:hyperlink>
        </w:p>
        <w:p>
          <w:pPr>
            <w:pStyle w:val="TOC1"/>
            <w:tabs>
              <w:tab w:val="clear" w:pos="900"/>
              <w:tab w:val="clear" w:pos="9350"/>
              <w:tab w:val="right" w:pos="9025" w:leader="dot"/>
            </w:tabs>
            <w:rPr/>
          </w:pPr>
          <w:hyperlink w:anchor="__RefHeading___Toc14233_4195859891">
            <w:r>
              <w:rPr>
                <w:webHidden/>
                <w:rStyle w:val="IndexLink"/>
              </w:rPr>
              <w:t>14. Taxes</w:t>
              <w:tab/>
              <w:t>15</w:t>
            </w:r>
          </w:hyperlink>
        </w:p>
        <w:p>
          <w:pPr>
            <w:pStyle w:val="TOC1"/>
            <w:tabs>
              <w:tab w:val="clear" w:pos="900"/>
              <w:tab w:val="clear" w:pos="9350"/>
              <w:tab w:val="right" w:pos="9025" w:leader="dot"/>
            </w:tabs>
            <w:rPr/>
          </w:pPr>
          <w:hyperlink w:anchor="__RefHeading___Toc14235_4195859891">
            <w:r>
              <w:rPr>
                <w:webHidden/>
                <w:rStyle w:val="IndexLink"/>
              </w:rPr>
              <w:t>15. Validity and assumptions</w:t>
              <w:tab/>
              <w:t>16</w:t>
            </w:r>
          </w:hyperlink>
        </w:p>
        <w:p>
          <w:pPr>
            <w:pStyle w:val="TOC1"/>
            <w:tabs>
              <w:tab w:val="clear" w:pos="900"/>
              <w:tab w:val="clear" w:pos="9350"/>
              <w:tab w:val="right" w:pos="9025" w:leader="dot"/>
            </w:tabs>
            <w:rPr/>
          </w:pPr>
          <w:hyperlink w:anchor="__RefHeading___Toc14237_4195859891">
            <w:r>
              <w:rPr>
                <w:webHidden/>
                <w:rStyle w:val="IndexLink"/>
              </w:rPr>
              <w:t>16. Recommendation</w:t>
              <w:tab/>
              <w:t>17</w:t>
            </w:r>
          </w:hyperlink>
        </w:p>
        <w:p>
          <w:pPr>
            <w:pStyle w:val="TOC1"/>
            <w:tabs>
              <w:tab w:val="clear" w:pos="900"/>
              <w:tab w:val="clear" w:pos="9350"/>
              <w:tab w:val="right" w:pos="9025" w:leader="dot"/>
            </w:tabs>
            <w:rPr/>
          </w:pPr>
          <w:hyperlink w:anchor="__RefHeading___Toc14239_4195859891">
            <w:r>
              <w:rPr>
                <w:webHidden/>
                <w:rStyle w:val="IndexLink"/>
                <w:i w:val="false"/>
                <w:iCs w:val="false"/>
              </w:rPr>
              <w:t>17. Document Sign-Off</w:t>
            </w:r>
            <w:r>
              <w:rPr>
                <w:rStyle w:val="IndexLink"/>
              </w:rPr>
              <w:tab/>
              <w:t>18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4189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4191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Bangko Sentral ng Pilipinas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TCO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Total cost of ownership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4193_4195859891"/>
      <w:bookmarkEnd w:id="6"/>
      <w:r>
        <w:rPr>
          <w:rFonts w:eastAsia="Segoe UI" w:cs="Segoe UI" w:ascii="Segoe UI" w:hAnsi="Segoe UI"/>
          <w:b/>
          <w:color w:val="0F4761"/>
          <w:sz w:val="32"/>
        </w:rPr>
        <w:t>3.  Purpose and scope</w:t>
      </w:r>
    </w:p>
    <w:p>
      <w:pPr>
        <w:pStyle w:val="Normal"/>
        <w:spacing w:lineRule="auto" w:line="276" w:before="0" w:after="120"/>
        <w:rPr/>
      </w:pPr>
      <w:r>
        <w:rPr>
          <w:rFonts w:eastAsia="Segoe UI" w:cs="Segoe UI" w:ascii="Segoe UI" w:hAnsi="Segoe UI"/>
          <w:color w:val="101820"/>
          <w:sz w:val="21"/>
        </w:rPr>
        <w:t>This note explains how iorta TechNXT prices BrokerVerse OOTB, the as-is version of the BrokerVerse insurance broking platform, for Philippine non-life insurance brokers. It covers the two commercial models, the optional services, the payment terms and the assumptions behind the price points.</w:t>
      </w:r>
    </w:p>
    <w:p>
      <w:pPr>
        <w:pStyle w:val="Normal"/>
        <w:spacing w:lineRule="auto" w:line="276" w:before="0" w:after="120"/>
        <w:rPr/>
      </w:pPr>
      <w:r>
        <w:rPr>
          <w:rFonts w:eastAsia="Segoe UI" w:cs="Segoe UI" w:ascii="Segoe UI" w:hAnsi="Segoe UI"/>
          <w:color w:val="101820"/>
          <w:sz w:val="21"/>
        </w:rPr>
        <w:t xml:space="preserve">The figures come from the companion workbook </w:t>
      </w:r>
      <w:r>
        <w:rPr>
          <w:rFonts w:eastAsia="Consolas" w:cs="Consolas" w:ascii="Consolas" w:hAnsi="Consolas"/>
          <w:color w:val="101820"/>
          <w:sz w:val="19"/>
        </w:rPr>
        <w:t>BrokerVerse_Commercials_and_Pricing.xlsx</w:t>
      </w:r>
      <w:r>
        <w:rPr>
          <w:rFonts w:eastAsia="Segoe UI" w:cs="Segoe UI" w:ascii="Segoe UI" w:hAnsi="Segoe UI"/>
          <w:color w:val="101820"/>
          <w:sz w:val="21"/>
        </w:rPr>
        <w:t>. The workbook is formula driven: change a driver on its Inputs sheet and every model, calculator and sample quote updates. Where this note and the workbook differ, the workbook governs.</w:t>
      </w:r>
    </w:p>
    <w:p>
      <w:pPr>
        <w:pStyle w:val="Normal"/>
        <w:shd w:val="clear" w:color="auto" w:fill="EAF2FB"/>
        <w:spacing w:before="0" w:after="160"/>
        <w:ind w:left="170"/>
        <w:rPr/>
      </w:pPr>
      <w:r>
        <w:rPr>
          <w:rFonts w:eastAsia="Segoe UI" w:cs="Segoe UI" w:ascii="Segoe UI" w:hAnsi="Segoe UI"/>
          <w:color w:val="101820"/>
          <w:sz w:val="20"/>
        </w:rPr>
        <w:t>All prices are in PHP and exclude 12% VAT. USD figures are for reference only, at PHP 62.75 per USD (BSP reference rate, 25 September 2026). Figures marked as estimates or assumptions must be confirmed before a binding quotation.</w:t>
      </w:r>
    </w:p>
    <w:p>
      <w:pPr>
        <w:pStyle w:val="Normal"/>
        <w:spacing w:lineRule="auto" w:line="276" w:before="0" w:after="120"/>
        <w:rPr/>
      </w:pPr>
      <w:r>
        <w:rPr>
          <w:rFonts w:eastAsia="Segoe UI" w:cs="Segoe UI" w:ascii="Segoe UI" w:hAnsi="Segoe UI"/>
          <w:color w:val="101820"/>
          <w:sz w:val="21"/>
        </w:rPr>
        <w:t>BrokerVerse OOTB covers sales and quotation, placement with insurers, policy issuance and servicing, endorsements, claims, renewals, billing, official receipts, remittance to insurers, commission, general ledger, bank and insurer reconciliation, BIR tax reports, reinsurance and incentives. The price list prices the product as delivered. Changes to it are change requests, priced at the day rates in this note.</w:t>
      </w:r>
      <w:r>
        <w:br w:type="page"/>
      </w:r>
    </w:p>
    <w:p>
      <w:pPr>
        <w:pStyle w:val="Heading1"/>
        <w:rPr/>
      </w:pPr>
      <w:bookmarkStart w:id="7" w:name="__RefHeading___Toc14195_4195859891"/>
      <w:bookmarkEnd w:id="7"/>
      <w:r>
        <w:rPr>
          <w:rFonts w:eastAsia="Segoe UI" w:cs="Segoe UI" w:ascii="Segoe UI" w:hAnsi="Segoe UI"/>
          <w:b/>
          <w:color w:val="0F4761"/>
          <w:sz w:val="32"/>
        </w:rPr>
        <w:t>4.  Market context</w:t>
      </w:r>
    </w:p>
    <w:p>
      <w:pPr>
        <w:pStyle w:val="Heading2"/>
        <w:rPr/>
      </w:pPr>
      <w:bookmarkStart w:id="8" w:name="__RefHeading___Toc14197_4195859891"/>
      <w:bookmarkEnd w:id="8"/>
      <w:r>
        <w:rPr>
          <w:rFonts w:eastAsia="Segoe UI" w:cs="Segoe UI"/>
          <w:b/>
          <w:color w:val="0F4761"/>
          <w:sz w:val="26"/>
        </w:rPr>
        <w:t>4.1  The Philippine broker market</w:t>
      </w:r>
    </w:p>
    <w:p>
      <w:pPr>
        <w:pStyle w:val="Normal"/>
        <w:spacing w:lineRule="auto" w:line="276" w:before="0" w:after="120"/>
        <w:rPr/>
      </w:pPr>
      <w:r>
        <w:rPr>
          <w:rFonts w:eastAsia="Segoe UI" w:cs="Segoe UI" w:ascii="Segoe UI" w:hAnsi="Segoe UI"/>
          <w:color w:val="101820"/>
          <w:sz w:val="21"/>
        </w:rPr>
        <w:t>The market is small and concentrated. The IC key data for 2024 (preliminary) shows about 67 licensed insurance brokers. A broker needs a minimum paid-up capital of PHP 20,000,000.00, or PHP 50,000,000.00 for an insurance and reinsurance broker.</w:t>
      </w:r>
    </w:p>
    <w:p>
      <w:pPr>
        <w:pStyle w:val="Normal"/>
        <w:spacing w:lineRule="auto" w:line="276" w:before="0" w:after="120"/>
        <w:rPr/>
      </w:pPr>
      <w:r>
        <w:rPr>
          <w:rFonts w:eastAsia="Segoe UI" w:cs="Segoe UI" w:ascii="Segoe UI" w:hAnsi="Segoe UI"/>
          <w:color w:val="101820"/>
          <w:sz w:val="21"/>
        </w:rPr>
        <w:t>The IC ranking of brokers by commission earned for 2024 shows the spread of size: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5392"/>
        <w:gridCol w:w="2500"/>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Position</w:t>
            </w:r>
          </w:p>
        </w:tc>
        <w:tc>
          <w:tcPr>
            <w:tcW w:w="53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w:t>
            </w:r>
          </w:p>
        </w:tc>
        <w:tc>
          <w:tcPr>
            <w:tcW w:w="25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Commission earned 2024</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BDO Insurance and Reinsurance Brokers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2,434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Marsh Philippines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2,075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Aon Insurance and Reinsurance Brokers Philippines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2,047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Lockton Philippines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712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PhilPacific Insurance Brokers and Managers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598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East West Insurance Brokerage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98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Moneyhero Insurance Brokerage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55 million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Three brokers earn more than PHP 2 billion each, a handful earn between PHP 250 million and PHP 800 million, and most earn under PHP 100 million. The price list therefore has to work for a 15-user owner-managed broker as well as for a 400-user bank-affiliated broker.</w:t>
      </w:r>
    </w:p>
    <w:p>
      <w:pPr>
        <w:pStyle w:val="Heading2"/>
        <w:rPr/>
      </w:pPr>
      <w:bookmarkStart w:id="9" w:name="__RefHeading___Toc14199_4195859891"/>
      <w:bookmarkEnd w:id="9"/>
      <w:r>
        <w:rPr>
          <w:rFonts w:eastAsia="Segoe UI" w:cs="Segoe UI"/>
          <w:b/>
          <w:color w:val="0F4761"/>
          <w:sz w:val="26"/>
        </w:rPr>
        <w:t>4.2  What the insurer ranking suggests</w:t>
      </w:r>
    </w:p>
    <w:p>
      <w:pPr>
        <w:pStyle w:val="Normal"/>
        <w:spacing w:lineRule="auto" w:line="276" w:before="0" w:after="120"/>
        <w:rPr/>
      </w:pPr>
      <w:r>
        <w:rPr>
          <w:rFonts w:eastAsia="Segoe UI" w:cs="Segoe UI" w:ascii="Segoe UI" w:hAnsi="Segoe UI"/>
          <w:color w:val="101820"/>
          <w:sz w:val="21"/>
        </w:rPr>
        <w:t>Non-life gross premiums written reached PHP 149.11 billion in 2025 (excluding reinsurers). Pioneer Insurance led with PHP 20.70 billion (14%), followed by Prudential Guarantee (PHP 13.86 billion, 9%) and Malayan (PHP 13.35 billion, 9%). Pioneer was also first by net premiums written at PHP 6.90 billion.</w:t>
      </w:r>
    </w:p>
    <w:p>
      <w:pPr>
        <w:pStyle w:val="Normal"/>
        <w:spacing w:lineRule="auto" w:line="276" w:before="0" w:after="120"/>
        <w:rPr/>
      </w:pPr>
      <w:r>
        <w:rPr>
          <w:rFonts w:eastAsia="Segoe UI" w:cs="Segoe UI" w:ascii="Segoe UI" w:hAnsi="Segoe UI"/>
          <w:color w:val="101820"/>
          <w:sz w:val="21"/>
        </w:rPr>
        <w:t>The top three insurers hold about a third of the market and the rest is spread across many mid-size insurers. A Philippine broker therefore places with many insurers, and insurer set-up, remittance and reconciliation by insurer are core needs at every size. This supports pricing BrokerVerse as a full broking and accounting platform rather than as a sales tool.</w:t>
      </w:r>
    </w:p>
    <w:p>
      <w:pPr>
        <w:pStyle w:val="Heading2"/>
        <w:rPr/>
      </w:pPr>
      <w:bookmarkStart w:id="10" w:name="__RefHeading___Toc14201_4195859891"/>
      <w:bookmarkEnd w:id="10"/>
      <w:r>
        <w:rPr>
          <w:rFonts w:eastAsia="Segoe UI" w:cs="Segoe UI"/>
          <w:b/>
          <w:color w:val="0F4761"/>
          <w:sz w:val="26"/>
        </w:rPr>
        <w:t>4.3  Affordability</w:t>
      </w:r>
    </w:p>
    <w:p>
      <w:pPr>
        <w:pStyle w:val="Normal"/>
        <w:spacing w:lineRule="auto" w:line="276" w:before="0" w:after="120"/>
        <w:rPr/>
      </w:pPr>
      <w:r>
        <w:rPr>
          <w:rFonts w:eastAsia="Segoe UI" w:cs="Segoe UI" w:ascii="Segoe UI" w:hAnsi="Segoe UI"/>
          <w:color w:val="101820"/>
          <w:sz w:val="21"/>
        </w:rPr>
        <w:t>Published benchmarks put insurance IT spending at about 3% of revenue (Gartner, 2010) and 4% to 7% in later third-party benchmarks. The workbook uses 3% to 7% of commission income as the affordability band. With the recommended prices, the Year 1 subscription for the reference user counts is about 2.3% of estimated commission income for a Small broker, 1.8% for Medium, 1.2% for Large and 0.8% for Enterprise. The income figures per tier are estimates mapped to the IC ranking.</w:t>
      </w:r>
      <w:r>
        <w:br w:type="page"/>
      </w:r>
    </w:p>
    <w:p>
      <w:pPr>
        <w:pStyle w:val="Heading1"/>
        <w:rPr/>
      </w:pPr>
      <w:bookmarkStart w:id="11" w:name="__RefHeading___Toc14203_4195859891"/>
      <w:bookmarkEnd w:id="11"/>
      <w:r>
        <w:rPr>
          <w:rFonts w:eastAsia="Segoe UI" w:cs="Segoe UI" w:ascii="Segoe UI" w:hAnsi="Segoe UI"/>
          <w:b/>
          <w:color w:val="0F4761"/>
          <w:sz w:val="32"/>
        </w:rPr>
        <w:t>5.  Size tiers and user slabs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113"/>
        <w:gridCol w:w="4879"/>
        <w:gridCol w:w="1888"/>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1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w:t>
            </w:r>
          </w:p>
        </w:tc>
        <w:tc>
          <w:tcPr>
            <w:tcW w:w="48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profile (estimate)</w:t>
            </w:r>
          </w:p>
        </w:tc>
        <w:tc>
          <w:tcPr>
            <w:tcW w:w="18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IC 2024 position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to 40 staff, one office or a few branches</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 30 and below</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to 150 staff, several branches</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 10 to 30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to 400 staff, national or multinational</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 4 to 10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400 staff, bank-affiliated or global</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Top 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User prices are graduated. The first 25 users are charged at the Small rate, users 26 to 100 at the Medium rate, users 101 to 300 at the Large rate and the rest at the Enterprise rate. A broker that grows past a boundary never pays less in total than before, and the effective price per user falls as it grows.</w:t>
      </w:r>
    </w:p>
    <w:p>
      <w:pPr>
        <w:pStyle w:val="Normal"/>
        <w:spacing w:lineRule="auto" w:line="276" w:before="0" w:after="120"/>
        <w:rPr/>
      </w:pPr>
      <w:r>
        <w:rPr>
          <w:rFonts w:eastAsia="Segoe UI" w:cs="Segoe UI" w:ascii="Segoe UI" w:hAnsi="Segoe UI"/>
          <w:color w:val="101820"/>
          <w:sz w:val="21"/>
        </w:rPr>
        <w:t>A user is a named person with a BrokerVerse sign-in. The tier, set by the total user count, decides the implementation effort, the minimum billable users for subscription, the training days included and the infrastructure size.</w:t>
      </w:r>
      <w:r>
        <w:br w:type="page"/>
      </w:r>
    </w:p>
    <w:p>
      <w:pPr>
        <w:pStyle w:val="Heading1"/>
        <w:rPr/>
      </w:pPr>
      <w:bookmarkStart w:id="12" w:name="__RefHeading___Toc14205_4195859891"/>
      <w:bookmarkEnd w:id="12"/>
      <w:r>
        <w:rPr>
          <w:rFonts w:eastAsia="Segoe UI" w:cs="Segoe UI" w:ascii="Segoe UI" w:hAnsi="Segoe UI"/>
          <w:b/>
          <w:color w:val="0F4761"/>
          <w:sz w:val="32"/>
        </w:rPr>
        <w:t>6.  Model A: perpetual licence with AMC</w:t>
      </w:r>
    </w:p>
    <w:p>
      <w:pPr>
        <w:pStyle w:val="Heading2"/>
        <w:rPr/>
      </w:pPr>
      <w:bookmarkStart w:id="13" w:name="__RefHeading___Toc14207_4195859891"/>
      <w:bookmarkEnd w:id="13"/>
      <w:r>
        <w:rPr>
          <w:rFonts w:eastAsia="Segoe UI" w:cs="Segoe UI"/>
          <w:b/>
          <w:color w:val="0F4761"/>
          <w:sz w:val="26"/>
        </w:rPr>
        <w:t>6.1  Price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412"/>
        <w:gridCol w:w="1375"/>
        <w:gridCol w:w="4093"/>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24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Licence per user (slab)</w:t>
            </w:r>
          </w:p>
        </w:tc>
        <w:tc>
          <w:tcPr>
            <w:tcW w:w="13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4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 reference scope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90,000.00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1,434</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1,130,000.00 (5 lines of business)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78,000.00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1,243</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2,090,000.00 (8 lines of business)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66,000.00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1,052</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3,700,000.00 (12 lines of business)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54,000.00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861</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5,800,000.00 (16 lines of business)</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perpetual licence is a one-time fee for the named users, payable on go-live.</w:t>
      </w:r>
    </w:p>
    <w:p>
      <w:pPr>
        <w:pStyle w:val="Normal"/>
        <w:numPr>
          <w:ilvl w:val="0"/>
          <w:numId w:val="1"/>
        </w:numPr>
        <w:spacing w:before="0" w:after="60"/>
        <w:rPr/>
      </w:pPr>
      <w:r>
        <w:rPr>
          <w:rFonts w:eastAsia="Segoe UI" w:cs="Segoe UI" w:ascii="Segoe UI" w:hAnsi="Segoe UI"/>
          <w:color w:val="101820"/>
          <w:sz w:val="21"/>
        </w:rPr>
        <w:t>AMC is 22% of the licence fee a year and increases 5% each year. It starts in Year 2, after a 12-month warranty from go-live. The start year is an input and can be set to Year 1.</w:t>
      </w:r>
    </w:p>
    <w:p>
      <w:pPr>
        <w:pStyle w:val="Normal"/>
        <w:numPr>
          <w:ilvl w:val="0"/>
          <w:numId w:val="1"/>
        </w:numPr>
        <w:spacing w:before="0" w:after="60"/>
        <w:rPr/>
      </w:pPr>
      <w:r>
        <w:rPr>
          <w:rFonts w:eastAsia="Segoe UI" w:cs="Segoe UI" w:ascii="Segoe UI" w:hAnsi="Segoe UI"/>
          <w:color w:val="101820"/>
          <w:sz w:val="21"/>
        </w:rPr>
        <w:t>AMC covers corrections, updates of the OOTB version, regulatory form updates released for all customers and standard support in business hours.</w:t>
      </w:r>
    </w:p>
    <w:p>
      <w:pPr>
        <w:pStyle w:val="Heading2"/>
        <w:rPr/>
      </w:pPr>
      <w:bookmarkStart w:id="14" w:name="__RefHeading___Toc14209_4195859891"/>
      <w:bookmarkEnd w:id="14"/>
      <w:r>
        <w:rPr>
          <w:rFonts w:eastAsia="Segoe UI" w:cs="Segoe UI"/>
          <w:b/>
          <w:color w:val="0F4761"/>
          <w:sz w:val="26"/>
        </w:rPr>
        <w:t>6.2  Implementation fee</w:t>
      </w:r>
    </w:p>
    <w:p>
      <w:pPr>
        <w:pStyle w:val="Normal"/>
        <w:spacing w:lineRule="auto" w:line="276" w:before="0" w:after="120"/>
        <w:rPr/>
      </w:pPr>
      <w:r>
        <w:rPr>
          <w:rFonts w:eastAsia="Segoe UI" w:cs="Segoe UI" w:ascii="Segoe UI" w:hAnsi="Segoe UI"/>
          <w:color w:val="101820"/>
          <w:sz w:val="21"/>
        </w:rPr>
        <w:t>The implementation fee is calculated, not quoted as a flat figure:</w:t>
      </w:r>
    </w:p>
    <w:p>
      <w:pPr>
        <w:pStyle w:val="Normal"/>
        <w:numPr>
          <w:ilvl w:val="0"/>
          <w:numId w:val="1"/>
        </w:numPr>
        <w:spacing w:before="0" w:after="60"/>
        <w:rPr/>
      </w:pPr>
      <w:r>
        <w:rPr>
          <w:rFonts w:eastAsia="Segoe UI" w:cs="Segoe UI" w:ascii="Segoe UI" w:hAnsi="Segoe UI"/>
          <w:color w:val="101820"/>
          <w:sz w:val="21"/>
        </w:rPr>
        <w:t>base man-days for the tier: Small 70, Medium 130, Large 230, Enterprise 360;</w:t>
      </w:r>
    </w:p>
    <w:p>
      <w:pPr>
        <w:pStyle w:val="Normal"/>
        <w:numPr>
          <w:ilvl w:val="0"/>
          <w:numId w:val="1"/>
        </w:numPr>
        <w:spacing w:before="0" w:after="60"/>
        <w:rPr/>
      </w:pPr>
      <w:r>
        <w:rPr>
          <w:rFonts w:eastAsia="Segoe UI" w:cs="Segoe UI" w:ascii="Segoe UI" w:hAnsi="Segoe UI"/>
          <w:color w:val="101820"/>
          <w:sz w:val="21"/>
        </w:rPr>
        <w:t>plus 6 man-days for each line of business above the number included for the tier (5, 8, 12 and 16);</w:t>
      </w:r>
    </w:p>
    <w:p>
      <w:pPr>
        <w:pStyle w:val="Normal"/>
        <w:numPr>
          <w:ilvl w:val="0"/>
          <w:numId w:val="1"/>
        </w:numPr>
        <w:spacing w:before="0" w:after="60"/>
        <w:rPr/>
      </w:pPr>
      <w:r>
        <w:rPr>
          <w:rFonts w:eastAsia="Segoe UI" w:cs="Segoe UI" w:ascii="Segoe UI" w:hAnsi="Segoe UI"/>
          <w:color w:val="101820"/>
          <w:sz w:val="21"/>
        </w:rPr>
        <w:t>times the blended day rate of PHP 16,100.00, rounded to PHP 10,000.00.</w:t>
      </w:r>
    </w:p>
    <w:p>
      <w:pPr>
        <w:pStyle w:val="Normal"/>
        <w:spacing w:lineRule="auto" w:line="276" w:before="0" w:after="120"/>
        <w:rPr/>
      </w:pPr>
      <w:r>
        <w:rPr>
          <w:rFonts w:eastAsia="Segoe UI" w:cs="Segoe UI" w:ascii="Segoe UI" w:hAnsi="Segoe UI"/>
          <w:color w:val="101820"/>
          <w:sz w:val="21"/>
        </w:rPr>
        <w:t>Lines of business drive effort because each one needs products and covers in the product configurator, rating and tax lines (documentary stamp tax, VAT or premium tax, local government tax and fire service tax where they apply), policy and endorsement document templates, insurer commission rates and its own UAT test cases. A motor-only broker and a broker writing motor, fire, marine, casualty, engineering and bonds do not need the same effort.</w:t>
      </w:r>
    </w:p>
    <w:p>
      <w:pPr>
        <w:pStyle w:val="Normal"/>
        <w:spacing w:lineRule="auto" w:line="276" w:before="0" w:after="120"/>
        <w:rPr/>
      </w:pPr>
      <w:r>
        <w:rPr>
          <w:rFonts w:eastAsia="Segoe UI" w:cs="Segoe UI" w:ascii="Segoe UI" w:hAnsi="Segoe UI"/>
          <w:color w:val="101820"/>
          <w:sz w:val="21"/>
        </w:rPr>
        <w:t>The implementation includes configuration, data load by the broker with the standard upload templates (about 40 templates are delivered with the product), the training days included for the tier, UAT support, go-live support and hypercare of 2 weeks (Small), 3 weeks (Medium) or 4 to 6 weeks (Large and Enterprise), extended to cover the first month-end close. The man-day counts are estimates for the OOTB version.</w:t>
      </w:r>
      <w:r>
        <w:br w:type="page"/>
      </w:r>
    </w:p>
    <w:p>
      <w:pPr>
        <w:pStyle w:val="Heading1"/>
        <w:rPr/>
      </w:pPr>
      <w:bookmarkStart w:id="15" w:name="__RefHeading___Toc14211_4195859891"/>
      <w:bookmarkEnd w:id="15"/>
      <w:r>
        <w:rPr>
          <w:rFonts w:eastAsia="Segoe UI" w:cs="Segoe UI" w:ascii="Segoe UI" w:hAnsi="Segoe UI"/>
          <w:b/>
          <w:color w:val="0F4761"/>
          <w:sz w:val="32"/>
        </w:rPr>
        <w:t>7.  Model B: subscription</w:t>
      </w:r>
    </w:p>
    <w:p>
      <w:pPr>
        <w:pStyle w:val="Heading2"/>
        <w:rPr/>
      </w:pPr>
      <w:bookmarkStart w:id="16" w:name="__RefHeading___Toc14213_4195859891"/>
      <w:bookmarkEnd w:id="16"/>
      <w:r>
        <w:rPr>
          <w:rFonts w:eastAsia="Segoe UI" w:cs="Segoe UI"/>
          <w:b/>
          <w:color w:val="0F4761"/>
          <w:sz w:val="26"/>
        </w:rPr>
        <w:t>7.1  Price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86"/>
        <w:gridCol w:w="3677"/>
        <w:gridCol w:w="1542"/>
        <w:gridCol w:w="2608"/>
      </w:tblGrid>
      <w:tr>
        <w:trPr>
          <w:tblHeader w:val="true"/>
        </w:trPr>
        <w:tc>
          <w:tcPr>
            <w:tcW w:w="11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36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(slab)</w:t>
            </w:r>
          </w:p>
        </w:tc>
        <w:tc>
          <w:tcPr>
            <w:tcW w:w="15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26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3,200.00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51</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2,800.00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45</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38</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32</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301</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Billed month on month, in advance. Prices increase 5% at each contract anniversary.</w:t>
      </w:r>
    </w:p>
    <w:p>
      <w:pPr>
        <w:pStyle w:val="Normal"/>
        <w:numPr>
          <w:ilvl w:val="0"/>
          <w:numId w:val="1"/>
        </w:numPr>
        <w:spacing w:before="0" w:after="60"/>
        <w:rPr/>
      </w:pPr>
      <w:r>
        <w:rPr>
          <w:rFonts w:eastAsia="Segoe UI" w:cs="Segoe UI" w:ascii="Segoe UI" w:hAnsi="Segoe UI"/>
          <w:color w:val="101820"/>
          <w:sz w:val="21"/>
        </w:rPr>
        <w:t>The subscription includes the right to use the as-is version for the term, updates and standard support. Hosting is not included.</w:t>
      </w:r>
    </w:p>
    <w:p>
      <w:pPr>
        <w:pStyle w:val="Normal"/>
        <w:numPr>
          <w:ilvl w:val="0"/>
          <w:numId w:val="1"/>
        </w:numPr>
        <w:spacing w:before="0" w:after="60"/>
        <w:rPr/>
      </w:pPr>
      <w:r>
        <w:rPr>
          <w:rFonts w:eastAsia="Segoe UI" w:cs="Segoe UI" w:ascii="Segoe UI" w:hAnsi="Segoe UI"/>
          <w:color w:val="101820"/>
          <w:sz w:val="21"/>
        </w:rPr>
        <w:t>An onboarding fee equal to the implementation fee applies, because the set-up work is the same in both models. The percentage is an input and can be reduced as a commercial concession.</w:t>
      </w:r>
    </w:p>
    <w:p>
      <w:pPr>
        <w:pStyle w:val="Normal"/>
        <w:numPr>
          <w:ilvl w:val="0"/>
          <w:numId w:val="1"/>
        </w:numPr>
        <w:spacing w:before="0" w:after="60"/>
        <w:rPr/>
      </w:pPr>
      <w:r>
        <w:rPr>
          <w:rFonts w:eastAsia="Segoe UI" w:cs="Segoe UI" w:ascii="Segoe UI" w:hAnsi="Segoe UI"/>
          <w:color w:val="101820"/>
          <w:sz w:val="21"/>
        </w:rPr>
        <w:t>A 40-user broker pays 25 users at PHP 3,200.00 and 15 at PHP 2,800.00: PHP 122,000.00 a month, an effective PHP 3,050.00 per user.</w:t>
      </w:r>
    </w:p>
    <w:p>
      <w:pPr>
        <w:pStyle w:val="Heading2"/>
        <w:rPr/>
      </w:pPr>
      <w:bookmarkStart w:id="17" w:name="__RefHeading___Toc14215_4195859891"/>
      <w:bookmarkEnd w:id="17"/>
      <w:r>
        <w:rPr>
          <w:rFonts w:eastAsia="Segoe UI" w:cs="Segoe UI"/>
          <w:b/>
          <w:color w:val="0F4761"/>
          <w:sz w:val="26"/>
        </w:rPr>
        <w:t>7.2  Break-even against the perpetual model</w:t>
      </w:r>
    </w:p>
    <w:p>
      <w:pPr>
        <w:pStyle w:val="Normal"/>
        <w:spacing w:lineRule="auto" w:line="276" w:before="0" w:after="120"/>
        <w:rPr/>
      </w:pPr>
      <w:r>
        <w:rPr>
          <w:rFonts w:eastAsia="Segoe UI" w:cs="Segoe UI" w:ascii="Segoe UI" w:hAnsi="Segoe UI"/>
          <w:color w:val="101820"/>
          <w:sz w:val="21"/>
        </w:rPr>
        <w:t>For the reference user counts, the cumulative cost of subscription passes the cumulative cost of perpetual in Year 4 in every tier. Subscription costs less in cash for the first three years; perpetual costs less over five years.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3"/>
        <w:gridCol w:w="2261"/>
        <w:gridCol w:w="2639"/>
        <w:gridCol w:w="1361"/>
      </w:tblGrid>
      <w:tr>
        <w:trPr>
          <w:tblHeader w:val="true"/>
        </w:trPr>
        <w:tc>
          <w:tcPr>
            <w:tcW w:w="27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 (reference users)</w:t>
            </w:r>
          </w:p>
        </w:tc>
        <w:tc>
          <w:tcPr>
            <w:tcW w:w="22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Perpetual, 5 years</w:t>
            </w:r>
          </w:p>
        </w:tc>
        <w:tc>
          <w:tcPr>
            <w:tcW w:w="26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Subscription, 5 years</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Break-even</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(15)</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3,760,107.00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4,312,764.00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(60)</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11,792,173.00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13,892,748.00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(180)</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29,767,284.00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35,660,251.00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 (400)</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57,817,674.00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70,118,348.00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Totals include implementation or onboarding and exclude VAT and optional items. This gives the broker a clear choice: subscription for lower Year 1 cash and flexibility, perpetual for lower cost over a planning horizon of four years or more.</w:t>
      </w:r>
      <w:r>
        <w:br w:type="page"/>
      </w:r>
    </w:p>
    <w:p>
      <w:pPr>
        <w:pStyle w:val="Heading1"/>
        <w:rPr/>
      </w:pPr>
      <w:bookmarkStart w:id="18" w:name="__RefHeading___Toc14217_4195859891"/>
      <w:bookmarkEnd w:id="18"/>
      <w:r>
        <w:rPr>
          <w:rFonts w:eastAsia="Segoe UI" w:cs="Segoe UI" w:ascii="Segoe UI" w:hAnsi="Segoe UI"/>
          <w:b/>
          <w:color w:val="0F4761"/>
          <w:sz w:val="32"/>
        </w:rPr>
        <w:t>8.  Positioning against the market</w:t>
      </w:r>
    </w:p>
    <w:p>
      <w:pPr>
        <w:pStyle w:val="Normal"/>
        <w:spacing w:lineRule="auto" w:line="276" w:before="0" w:after="120"/>
        <w:rPr/>
      </w:pPr>
      <w:r>
        <w:rPr>
          <w:rFonts w:eastAsia="Segoe UI" w:cs="Segoe UI" w:ascii="Segoe UI" w:hAnsi="Segoe UI"/>
          <w:color w:val="101820"/>
          <w:sz w:val="21"/>
        </w:rPr>
        <w:t>Few vendors publish prices for broker management systems. The workbook lists what could be found, and labels third-party estimates as such.</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1"/>
        <w:gridCol w:w="3672"/>
        <w:gridCol w:w="1670"/>
      </w:tblGrid>
      <w:tr>
        <w:trPr>
          <w:tblHeader w:val="true"/>
        </w:trPr>
        <w:tc>
          <w:tcPr>
            <w:tcW w:w="36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Product</w:t>
            </w:r>
          </w:p>
        </w:tc>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found (USD per user per month)</w:t>
            </w:r>
          </w:p>
        </w:tc>
        <w:tc>
          <w:tcPr>
            <w:tcW w:w="16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 of evidence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Epic</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125 to 250, plus set-up USD 10,000 to 25,000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estimate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Vertafore AMS360</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to 300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estimate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Insly</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89 to 199</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listing</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GI</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70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listing</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Acturis</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2,000 to 25,000 per firm per month</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estimate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Salesforce Financial Services Cloud</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325 to 350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Published price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Zoho CRM (Professional to Enterprise)</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 to 50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Published price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Agiliux, Mzapp, Sibro, BrokerEdge, Xceedance</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public price</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 only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BrokerVerse OOTB at USD 32 to 51 per user per month sits:</w:t>
      </w:r>
    </w:p>
    <w:p>
      <w:pPr>
        <w:pStyle w:val="Normal"/>
        <w:numPr>
          <w:ilvl w:val="0"/>
          <w:numId w:val="1"/>
        </w:numPr>
        <w:spacing w:before="0" w:after="60"/>
        <w:rPr/>
      </w:pPr>
      <w:r>
        <w:rPr>
          <w:rFonts w:eastAsia="Segoe UI" w:cs="Segoe UI" w:ascii="Segoe UI" w:hAnsi="Segoe UI"/>
          <w:color w:val="101820"/>
          <w:sz w:val="21"/>
        </w:rPr>
        <w:t>at about 29% of the median of the global broker systems listed (USD 175), which are not localised for Philippine taxes, BIR reports or IC reporting;</w:t>
      </w:r>
    </w:p>
    <w:p>
      <w:pPr>
        <w:pStyle w:val="Normal"/>
        <w:numPr>
          <w:ilvl w:val="0"/>
          <w:numId w:val="1"/>
        </w:numPr>
        <w:spacing w:before="0" w:after="60"/>
        <w:rPr/>
      </w:pPr>
      <w:r>
        <w:rPr>
          <w:rFonts w:eastAsia="Segoe UI" w:cs="Segoe UI" w:ascii="Segoe UI" w:hAnsi="Segoe UI"/>
          <w:color w:val="101820"/>
          <w:sz w:val="21"/>
        </w:rPr>
        <w:t>at about the per-user price of a generic CRM at its top edition (Zoho CRM Enterprise, USD 50 billed monthly), while including placement, remittance, accounting, reconciliation and BIR reports that a CRM does not have;</w:t>
      </w:r>
    </w:p>
    <w:p>
      <w:pPr>
        <w:pStyle w:val="Normal"/>
        <w:numPr>
          <w:ilvl w:val="0"/>
          <w:numId w:val="1"/>
        </w:numPr>
        <w:spacing w:before="0" w:after="60"/>
        <w:rPr/>
      </w:pPr>
      <w:r>
        <w:rPr>
          <w:rFonts w:eastAsia="Segoe UI" w:cs="Segoe UI" w:ascii="Segoe UI" w:hAnsi="Segoe UI"/>
          <w:color w:val="101820"/>
          <w:sz w:val="21"/>
        </w:rPr>
        <w:t>in line with regional vendors that sell on quotation, where the evidence suggests modular or per-transaction pricing rather than a lower per-user list price.</w:t>
      </w:r>
    </w:p>
    <w:p>
      <w:pPr>
        <w:pStyle w:val="Normal"/>
        <w:spacing w:lineRule="auto" w:line="276" w:before="0" w:after="120"/>
        <w:rPr/>
      </w:pPr>
      <w:r>
        <w:rPr>
          <w:rFonts w:eastAsia="Segoe UI" w:cs="Segoe UI" w:ascii="Segoe UI" w:hAnsi="Segoe UI"/>
          <w:color w:val="101820"/>
          <w:sz w:val="21"/>
        </w:rPr>
        <w:t>The position is deliberate: a localised full broking platform priced for a market where most brokers earn under PHP 100 million in commission.</w:t>
      </w:r>
      <w:r>
        <w:br w:type="page"/>
      </w:r>
    </w:p>
    <w:p>
      <w:pPr>
        <w:pStyle w:val="Heading1"/>
        <w:rPr/>
      </w:pPr>
      <w:bookmarkStart w:id="19" w:name="__RefHeading___Toc14219_4195859891"/>
      <w:bookmarkEnd w:id="19"/>
      <w:r>
        <w:rPr>
          <w:rFonts w:eastAsia="Segoe UI" w:cs="Segoe UI" w:ascii="Segoe UI" w:hAnsi="Segoe UI"/>
          <w:b/>
          <w:color w:val="0F4761"/>
          <w:sz w:val="32"/>
        </w:rPr>
        <w:t>9.  Infrastructure</w:t>
      </w:r>
    </w:p>
    <w:p>
      <w:pPr>
        <w:pStyle w:val="Normal"/>
        <w:spacing w:lineRule="auto" w:line="276" w:before="0" w:after="120"/>
        <w:rPr/>
      </w:pPr>
      <w:r>
        <w:rPr>
          <w:rFonts w:eastAsia="Segoe UI" w:cs="Segoe UI" w:ascii="Segoe UI" w:hAnsi="Segoe UI"/>
          <w:color w:val="101820"/>
          <w:sz w:val="21"/>
        </w:rPr>
        <w:t>Infrastructure is optional and quoted separately. The broker may host BrokerVerse itself at no fee; iorta TechNXT then supplies the deployment guide and charges set-up support at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7"/>
        <w:gridCol w:w="1973"/>
        <w:gridCol w:w="2253"/>
        <w:gridCol w:w="3380"/>
      </w:tblGrid>
      <w:tr>
        <w:trPr>
          <w:tblHeader w:val="true"/>
        </w:trPr>
        <w:tc>
          <w:tcPr>
            <w:tcW w:w="1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19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AWS, per month</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Azure, per month</w:t>
            </w:r>
          </w:p>
        </w:tc>
        <w:tc>
          <w:tcPr>
            <w:tcW w:w="33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Local partner, per month</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30,000.00</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31,000.00</w:t>
            </w:r>
          </w:p>
        </w:tc>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28,000.00</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62,000.00</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65,000.00</w:t>
            </w:r>
          </w:p>
        </w:tc>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59,000.00</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112,000.00</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118,000.00</w:t>
            </w:r>
          </w:p>
        </w:tc>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107,000.00</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244,000.00</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256,000.00</w:t>
            </w:r>
          </w:p>
        </w:tc>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232,000.00</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prices cover a production and one UAT environment, daily backups, monitoring, patching and certificates, and include a 20% margin over estimated cloud cost for FX movement and operations effort.</w:t>
      </w:r>
    </w:p>
    <w:p>
      <w:pPr>
        <w:pStyle w:val="Normal"/>
        <w:numPr>
          <w:ilvl w:val="0"/>
          <w:numId w:val="1"/>
        </w:numPr>
        <w:spacing w:before="0" w:after="60"/>
        <w:rPr/>
      </w:pPr>
      <w:r>
        <w:rPr>
          <w:rFonts w:eastAsia="Segoe UI" w:cs="Segoe UI" w:ascii="Segoe UI" w:hAnsi="Segoe UI"/>
          <w:color w:val="101820"/>
          <w:sz w:val="21"/>
        </w:rPr>
        <w:t>AWS and Azure are priced on their Singapore regions. AWS also has a Local Zone in Manila. The local partner option keeps data in the Philippines.</w:t>
      </w:r>
    </w:p>
    <w:p>
      <w:pPr>
        <w:pStyle w:val="Normal"/>
        <w:numPr>
          <w:ilvl w:val="0"/>
          <w:numId w:val="1"/>
        </w:numPr>
        <w:spacing w:before="0" w:after="60"/>
        <w:rPr/>
      </w:pPr>
      <w:r>
        <w:rPr>
          <w:rFonts w:eastAsia="Segoe UI" w:cs="Segoe UI" w:ascii="Segoe UI" w:hAnsi="Segoe UI"/>
          <w:color w:val="101820"/>
          <w:sz w:val="21"/>
        </w:rPr>
        <w:t>The cloud costs are estimates from public on-demand list prices. The Large tier is close to the sizing in the BrokerVerse capacity document (200 named users, 80 concurrent, two API containers and a Multi-AZ PostgreSQL 16 database). Confirm with the provider before quoting.</w:t>
      </w:r>
      <w:r>
        <w:br w:type="page"/>
      </w:r>
    </w:p>
    <w:p>
      <w:pPr>
        <w:pStyle w:val="Heading1"/>
        <w:rPr/>
      </w:pPr>
      <w:bookmarkStart w:id="20" w:name="__RefHeading___Toc14221_4195859891"/>
      <w:bookmarkEnd w:id="20"/>
      <w:r>
        <w:rPr>
          <w:rFonts w:eastAsia="Segoe UI" w:cs="Segoe UI" w:ascii="Segoe UI" w:hAnsi="Segoe UI"/>
          <w:b/>
          <w:color w:val="0F4761"/>
          <w:sz w:val="32"/>
        </w:rPr>
        <w:t>10.  Change requests</w:t>
      </w:r>
    </w:p>
    <w:p>
      <w:pPr>
        <w:pStyle w:val="Heading2"/>
        <w:rPr/>
      </w:pPr>
      <w:bookmarkStart w:id="21" w:name="__RefHeading___Toc14223_4195859891"/>
      <w:bookmarkEnd w:id="21"/>
      <w:r>
        <w:rPr>
          <w:rFonts w:eastAsia="Segoe UI" w:cs="Segoe UI"/>
          <w:b/>
          <w:color w:val="0F4761"/>
          <w:sz w:val="26"/>
        </w:rPr>
        <w:t>10.1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3"/>
        <w:gridCol w:w="2171"/>
        <w:gridCol w:w="2170"/>
      </w:tblGrid>
      <w:tr>
        <w:trPr>
          <w:tblHeader w:val="true"/>
        </w:trPr>
        <w:tc>
          <w:tcPr>
            <w:tcW w:w="46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1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w:t>
            </w:r>
          </w:p>
        </w:tc>
        <w:tc>
          <w:tcPr>
            <w:tcW w:w="2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18,000.00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287</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16,000.00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255</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12,000.00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191</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22,000.00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351</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(25%, 40%, 25%, 10%)</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16,100.00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257</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The rates sit within the Philippine market for outsourced development (USD 30 to 50 an hour mid-level, USD 50 to 75 senior) and above employee salary cost (for example a senior business analyst at about PHP 70,500.00 a month), to cover benefits, overhead, bench time and margin.</w:t>
      </w:r>
    </w:p>
    <w:p>
      <w:pPr>
        <w:pStyle w:val="Heading2"/>
        <w:rPr/>
      </w:pPr>
      <w:bookmarkStart w:id="22" w:name="__RefHeading___Toc14225_4195859891"/>
      <w:bookmarkEnd w:id="22"/>
      <w:r>
        <w:rPr>
          <w:rFonts w:eastAsia="Segoe UI" w:cs="Segoe UI"/>
          <w:b/>
          <w:color w:val="0F4761"/>
          <w:sz w:val="26"/>
        </w:rPr>
        <w:t>10.2  Estimation method</w:t>
      </w:r>
    </w:p>
    <w:p>
      <w:pPr>
        <w:pStyle w:val="Normal"/>
        <w:numPr>
          <w:ilvl w:val="0"/>
          <w:numId w:val="4"/>
        </w:numPr>
        <w:spacing w:before="0" w:after="60"/>
        <w:rPr/>
      </w:pPr>
      <w:r>
        <w:rPr>
          <w:rFonts w:eastAsia="Segoe UI" w:cs="Segoe UI" w:ascii="Segoe UI" w:hAnsi="Segoe UI"/>
          <w:color w:val="101820"/>
          <w:sz w:val="21"/>
        </w:rPr>
        <w:t>The broker raises the change with the business need and examples.</w:t>
      </w:r>
    </w:p>
    <w:p>
      <w:pPr>
        <w:pStyle w:val="Normal"/>
        <w:numPr>
          <w:ilvl w:val="0"/>
          <w:numId w:val="2"/>
        </w:numPr>
        <w:spacing w:before="0" w:after="60"/>
        <w:rPr/>
      </w:pPr>
      <w:r>
        <w:rPr>
          <w:rFonts w:eastAsia="Segoe UI" w:cs="Segoe UI" w:ascii="Segoe UI" w:hAnsi="Segoe UI"/>
          <w:color w:val="101820"/>
          <w:sz w:val="21"/>
        </w:rPr>
        <w:t>iorta TechNXT estimates developer man-days from the screens, APIs, reports, database changes and jobs affected.</w:t>
      </w:r>
    </w:p>
    <w:p>
      <w:pPr>
        <w:pStyle w:val="Normal"/>
        <w:numPr>
          <w:ilvl w:val="0"/>
          <w:numId w:val="2"/>
        </w:numPr>
        <w:spacing w:before="0" w:after="60"/>
        <w:rPr/>
      </w:pPr>
      <w:r>
        <w:rPr>
          <w:rFonts w:eastAsia="Segoe UI" w:cs="Segoe UI" w:ascii="Segoe UI" w:hAnsi="Segoe UI"/>
          <w:color w:val="101820"/>
          <w:sz w:val="21"/>
        </w:rPr>
        <w:t>Business analysis is 30% of development, testing 40% of development, project management 10% of the subtotal, and contingency 10% of the total. Days round up to the half day.</w:t>
      </w:r>
    </w:p>
    <w:p>
      <w:pPr>
        <w:pStyle w:val="Normal"/>
        <w:numPr>
          <w:ilvl w:val="0"/>
          <w:numId w:val="2"/>
        </w:numPr>
        <w:spacing w:before="0" w:after="60"/>
        <w:rPr/>
      </w:pPr>
      <w:r>
        <w:rPr>
          <w:rFonts w:eastAsia="Segoe UI" w:cs="Segoe UI" w:ascii="Segoe UI" w:hAnsi="Segoe UI"/>
          <w:color w:val="101820"/>
          <w:sz w:val="21"/>
        </w:rPr>
        <w:t>The price is days by role times the role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11"/>
        <w:gridCol w:w="4485"/>
        <w:gridCol w:w="181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18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Total man-days</w:t>
            </w:r>
          </w:p>
        </w:tc>
        <w:tc>
          <w:tcPr>
            <w:tcW w:w="44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Worked example</w:t>
            </w:r>
          </w:p>
        </w:tc>
        <w:tc>
          <w:tcPr>
            <w:tcW w:w="18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5</w:t>
            </w:r>
          </w:p>
        </w:tc>
        <w:tc>
          <w:tcPr>
            <w:tcW w:w="44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developer days, 5 days in total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 to 20</w:t>
            </w:r>
          </w:p>
        </w:tc>
        <w:tc>
          <w:tcPr>
            <w:tcW w:w="44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developer days, 16 days in total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20.5 to 60</w:t>
            </w:r>
          </w:p>
        </w:tc>
        <w:tc>
          <w:tcPr>
            <w:tcW w:w="44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 developer days, 42 days in total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665,400.00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Work above 60 man-days is a separate project with its own statement of work.</w:t>
      </w:r>
      <w:r>
        <w:br w:type="page"/>
      </w:r>
    </w:p>
    <w:p>
      <w:pPr>
        <w:pStyle w:val="Heading1"/>
        <w:rPr/>
      </w:pPr>
      <w:bookmarkStart w:id="23" w:name="__RefHeading___Toc14227_4195859891"/>
      <w:bookmarkEnd w:id="23"/>
      <w:r>
        <w:rPr>
          <w:rFonts w:eastAsia="Segoe UI" w:cs="Segoe UI" w:ascii="Segoe UI" w:hAnsi="Segoe UI"/>
          <w:b/>
          <w:color w:val="0F4761"/>
          <w:sz w:val="32"/>
        </w:rPr>
        <w:t>11.  Optional services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0"/>
        <w:gridCol w:w="4603"/>
      </w:tblGrid>
      <w:tr>
        <w:trPr>
          <w:tblHeader w:val="true"/>
        </w:trPr>
        <w:tc>
          <w:tcPr>
            <w:tcW w:w="44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set-up</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100,000.00 one-time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hosted by iorta TechNXT</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11,000.00 a month</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included days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30,000.00 per trainer day</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beyond the standard templates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240,000.00 per legacy source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standard or complex</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320,000.00 or PHP 720,000.00</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after go-live</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100,000.00 per line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On-site day in Metro Manila</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20,000.00 per consultant day</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per year</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PHP 240,000.00; Medium PHP 480,000.00; Large PHP 900,000.00; Enterprise PHP 1,500,000.00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Standard support is business hours, Monday to Friday, excluding Philippine holidays, under the severity levels in the support and escalation guide. The 24x7 option adds round-the-clock response for Severity 1 incidents. Recurring optional items increase 5% a year. Travel outside Metro Manila is billed at cost.</w:t>
      </w:r>
      <w:r>
        <w:br w:type="page"/>
      </w:r>
    </w:p>
    <w:p>
      <w:pPr>
        <w:pStyle w:val="Heading1"/>
        <w:rPr/>
      </w:pPr>
      <w:bookmarkStart w:id="24" w:name="__RefHeading___Toc14229_4195859891"/>
      <w:bookmarkEnd w:id="24"/>
      <w:r>
        <w:rPr>
          <w:rFonts w:eastAsia="Segoe UI" w:cs="Segoe UI" w:ascii="Segoe UI" w:hAnsi="Segoe UI"/>
          <w:b/>
          <w:color w:val="0F4761"/>
          <w:sz w:val="32"/>
        </w:rPr>
        <w:t>12.  Sample quotes</w:t>
      </w:r>
    </w:p>
    <w:p>
      <w:pPr>
        <w:pStyle w:val="Normal"/>
        <w:spacing w:lineRule="auto" w:line="276" w:before="0" w:after="120"/>
        <w:rPr/>
      </w:pPr>
      <w:r>
        <w:rPr>
          <w:rFonts w:eastAsia="Segoe UI" w:cs="Segoe UI" w:ascii="Segoe UI" w:hAnsi="Segoe UI"/>
          <w:color w:val="101820"/>
          <w:sz w:val="21"/>
        </w:rPr>
        <w:t>The workbook works out three brokers over five years, including the optional items chosen for each.</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6"/>
        <w:gridCol w:w="1423"/>
        <w:gridCol w:w="1718"/>
        <w:gridCol w:w="2596"/>
      </w:tblGrid>
      <w:tr>
        <w:trPr>
          <w:tblHeader w:val="true"/>
        </w:trPr>
        <w:tc>
          <w:tcPr>
            <w:tcW w:w="3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Perpetual, 5 years</w:t>
            </w:r>
          </w:p>
        </w:tc>
        <w:tc>
          <w:tcPr>
            <w:tcW w:w="17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Subscription, 5 years</w:t>
            </w:r>
          </w:p>
        </w:tc>
        <w:tc>
          <w:tcPr>
            <w:tcW w:w="25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Year 1 cash, perpetual / subscription</w:t>
            </w:r>
          </w:p>
        </w:tc>
      </w:tr>
      <w:tr>
        <w:trPr/>
        <w:tc>
          <w:tcPr>
            <w:tcW w:w="3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15 users, 5 lines, AWS hosting</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5,560,107.00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6,112,764.00</w:t>
            </w:r>
          </w:p>
        </w:tc>
        <w:tc>
          <w:tcPr>
            <w:tcW w:w="25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2,840,000.00 / PHP 2,066,000.00</w:t>
            </w:r>
          </w:p>
        </w:tc>
      </w:tr>
      <w:tr>
        <w:trPr/>
        <w:tc>
          <w:tcPr>
            <w:tcW w:w="3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60 users, 8 lines, Azure, 24x7 support, extras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18,964,476.00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21,065,051.00</w:t>
            </w:r>
          </w:p>
        </w:tc>
        <w:tc>
          <w:tcPr>
            <w:tcW w:w="25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8,950,000.00 / PHP 6,106,000.00</w:t>
            </w:r>
          </w:p>
        </w:tc>
      </w:tr>
      <w:tr>
        <w:trPr/>
        <w:tc>
          <w:tcPr>
            <w:tcW w:w="3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180 users, 12 lines, local partner, 24x7 support, extras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42,400,352.00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48,293,319.00</w:t>
            </w:r>
          </w:p>
        </w:tc>
        <w:tc>
          <w:tcPr>
            <w:tcW w:w="25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20,504,000.00 / PHP 12,908,000.00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Figures exclude VAT. The extras are training days, legacy data sources and integrations set in the workbook.</w:t>
      </w:r>
      <w:r>
        <w:br w:type="page"/>
      </w:r>
    </w:p>
    <w:p>
      <w:pPr>
        <w:pStyle w:val="Heading1"/>
        <w:rPr/>
      </w:pPr>
      <w:bookmarkStart w:id="25" w:name="__RefHeading___Toc14231_4195859891"/>
      <w:bookmarkEnd w:id="25"/>
      <w:r>
        <w:rPr>
          <w:rFonts w:eastAsia="Segoe UI" w:cs="Segoe UI" w:ascii="Segoe UI" w:hAnsi="Segoe UI"/>
          <w:b/>
          <w:color w:val="0F4761"/>
          <w:sz w:val="32"/>
        </w:rPr>
        <w:t>13.  Payment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or onboarding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on signing, 40% on UAT sign-off, 20%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from the AMC start year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Infrastructure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the date the environment is handed over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on delivery. Medium: 50% on approval, 50% on UAT sign-off. Large: 30% on approval, 50% on UAT sign-off, 20% on deployment</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days, or as quoted for fixed-price items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Invoices are payable within 30 days. Subscription and hosting may be suspended after 60 days of non-payment, with written notice. The recommended minimum subscription term is 12 months.</w:t>
      </w:r>
      <w:r>
        <w:br w:type="page"/>
      </w:r>
    </w:p>
    <w:p>
      <w:pPr>
        <w:pStyle w:val="Heading1"/>
        <w:rPr/>
      </w:pPr>
      <w:bookmarkStart w:id="26" w:name="__RefHeading___Toc14233_4195859891"/>
      <w:bookmarkEnd w:id="26"/>
      <w:r>
        <w:rPr>
          <w:rFonts w:eastAsia="Segoe UI" w:cs="Segoe UI" w:ascii="Segoe UI" w:hAnsi="Segoe UI"/>
          <w:b/>
          <w:color w:val="0F4761"/>
          <w:sz w:val="32"/>
        </w:rPr>
        <w:t>14.  Taxes</w:t>
      </w:r>
    </w:p>
    <w:p>
      <w:pPr>
        <w:pStyle w:val="Normal"/>
        <w:numPr>
          <w:ilvl w:val="0"/>
          <w:numId w:val="1"/>
        </w:numPr>
        <w:spacing w:before="0" w:after="60"/>
        <w:rPr/>
      </w:pPr>
      <w:r>
        <w:rPr>
          <w:rFonts w:eastAsia="Segoe UI" w:cs="Segoe UI" w:ascii="Segoe UI" w:hAnsi="Segoe UI"/>
          <w:color w:val="101820"/>
          <w:sz w:val="21"/>
        </w:rPr>
        <w:t>All prices exclude VAT. VAT at 12% is added on each invoice.</w:t>
      </w:r>
    </w:p>
    <w:p>
      <w:pPr>
        <w:pStyle w:val="Normal"/>
        <w:numPr>
          <w:ilvl w:val="0"/>
          <w:numId w:val="1"/>
        </w:numPr>
        <w:spacing w:before="0" w:after="60"/>
        <w:rPr/>
      </w:pPr>
      <w:r>
        <w:rPr>
          <w:rFonts w:eastAsia="Segoe UI" w:cs="Segoe UI" w:ascii="Segoe UI" w:hAnsi="Segoe UI"/>
          <w:color w:val="101820"/>
          <w:sz w:val="21"/>
        </w:rPr>
        <w:t>A broker that is a withholding agent deducts creditable withholding tax as its status and the payment type require, commonly 2% for services and 1% to 2% on software or subscription fees under RR 2-98 as amended, and issues BIR Form 2307. Withholding does not reduce the invoice price.</w:t>
      </w:r>
    </w:p>
    <w:p>
      <w:pPr>
        <w:pStyle w:val="Normal"/>
        <w:numPr>
          <w:ilvl w:val="0"/>
          <w:numId w:val="1"/>
        </w:numPr>
        <w:spacing w:before="0" w:after="60"/>
        <w:rPr/>
      </w:pPr>
      <w:r>
        <w:rPr>
          <w:rFonts w:eastAsia="Segoe UI" w:cs="Segoe UI" w:ascii="Segoe UI" w:hAnsi="Segoe UI"/>
          <w:color w:val="101820"/>
          <w:sz w:val="21"/>
        </w:rPr>
        <w:t>The withholding treatment of the perpetual licence (sale of software or royalty) must be confirmed by both parties' tax advisers before contract.</w:t>
      </w:r>
      <w:r>
        <w:br w:type="page"/>
      </w:r>
    </w:p>
    <w:p>
      <w:pPr>
        <w:pStyle w:val="Heading1"/>
        <w:rPr/>
      </w:pPr>
      <w:bookmarkStart w:id="27" w:name="__RefHeading___Toc14235_4195859891"/>
      <w:bookmarkEnd w:id="27"/>
      <w:r>
        <w:rPr>
          <w:rFonts w:eastAsia="Segoe UI" w:cs="Segoe UI" w:ascii="Segoe UI" w:hAnsi="Segoe UI"/>
          <w:b/>
          <w:color w:val="0F4761"/>
          <w:sz w:val="32"/>
        </w:rPr>
        <w:t>15.  Validity and assumptions</w:t>
      </w:r>
    </w:p>
    <w:p>
      <w:pPr>
        <w:pStyle w:val="Normal"/>
        <w:numPr>
          <w:ilvl w:val="0"/>
          <w:numId w:val="1"/>
        </w:numPr>
        <w:spacing w:before="0" w:after="60"/>
        <w:rPr/>
      </w:pPr>
      <w:r>
        <w:rPr>
          <w:rFonts w:eastAsia="Segoe UI" w:cs="Segoe UI" w:ascii="Segoe UI" w:hAnsi="Segoe UI"/>
          <w:color w:val="101820"/>
          <w:sz w:val="21"/>
        </w:rPr>
        <w:t>Prices are valid for 90 days from the quotation date. Day rates are fixed for 12 months from signing.</w:t>
      </w:r>
    </w:p>
    <w:p>
      <w:pPr>
        <w:pStyle w:val="Normal"/>
        <w:numPr>
          <w:ilvl w:val="0"/>
          <w:numId w:val="1"/>
        </w:numPr>
        <w:spacing w:before="0" w:after="60"/>
        <w:rPr/>
      </w:pPr>
      <w:r>
        <w:rPr>
          <w:rFonts w:eastAsia="Segoe UI" w:cs="Segoe UI" w:ascii="Segoe UI" w:hAnsi="Segoe UI"/>
          <w:color w:val="101820"/>
          <w:sz w:val="21"/>
        </w:rPr>
        <w:t>The contract currency is PHP. USD figures use PHP 62.75 per USD and are for reference only.</w:t>
      </w:r>
    </w:p>
    <w:p>
      <w:pPr>
        <w:pStyle w:val="Normal"/>
        <w:numPr>
          <w:ilvl w:val="0"/>
          <w:numId w:val="1"/>
        </w:numPr>
        <w:spacing w:before="0" w:after="60"/>
        <w:rPr/>
      </w:pPr>
      <w:r>
        <w:rPr>
          <w:rFonts w:eastAsia="Segoe UI" w:cs="Segoe UI" w:ascii="Segoe UI" w:hAnsi="Segoe UI"/>
          <w:color w:val="101820"/>
          <w:sz w:val="21"/>
        </w:rPr>
        <w:t>Implementation man-days, lines of business included, cloud costs, the relative cost of Azure and the local partner, and the income of each broker tier are estimates. They are marked in the workbook.</w:t>
      </w:r>
    </w:p>
    <w:p>
      <w:pPr>
        <w:pStyle w:val="Normal"/>
        <w:numPr>
          <w:ilvl w:val="0"/>
          <w:numId w:val="1"/>
        </w:numPr>
        <w:spacing w:before="0" w:after="60"/>
        <w:rPr/>
      </w:pPr>
      <w:r>
        <w:rPr>
          <w:rFonts w:eastAsia="Segoe UI" w:cs="Segoe UI" w:ascii="Segoe UI" w:hAnsi="Segoe UI"/>
          <w:color w:val="101820"/>
          <w:sz w:val="21"/>
        </w:rPr>
        <w:t>Competitor prices are mostly third-party estimates. Some IC and BusinessWorld figures were read from search extracts of the published documents and should be checked against the originals before external use.</w:t>
      </w:r>
    </w:p>
    <w:p>
      <w:pPr>
        <w:pStyle w:val="Normal"/>
        <w:numPr>
          <w:ilvl w:val="0"/>
          <w:numId w:val="1"/>
        </w:numPr>
        <w:spacing w:before="0" w:after="60"/>
        <w:rPr/>
      </w:pPr>
      <w:r>
        <w:rPr>
          <w:rFonts w:eastAsia="Segoe UI" w:cs="Segoe UI" w:ascii="Segoe UI" w:hAnsi="Segoe UI"/>
          <w:color w:val="101820"/>
          <w:sz w:val="21"/>
        </w:rPr>
        <w:t>The broker supplies clean data in the standard templates, a project owner, key users for UAT and timely sign-offs. Delay on the broker side may move milestones and payments.</w:t>
      </w:r>
    </w:p>
    <w:p>
      <w:pPr>
        <w:pStyle w:val="Normal"/>
        <w:numPr>
          <w:ilvl w:val="0"/>
          <w:numId w:val="1"/>
        </w:numPr>
        <w:spacing w:before="0" w:after="60"/>
        <w:rPr/>
      </w:pPr>
      <w:r>
        <w:rPr>
          <w:rFonts w:eastAsia="Segoe UI" w:cs="Segoe UI" w:ascii="Segoe UI" w:hAnsi="Segoe UI"/>
          <w:color w:val="101820"/>
          <w:sz w:val="21"/>
        </w:rPr>
        <w:t>The OOTB version is delivered as-is. Changes are change requests. Changes not merged into the product line are supported at day rates.</w:t>
      </w:r>
      <w:r>
        <w:br w:type="page"/>
      </w:r>
    </w:p>
    <w:p>
      <w:pPr>
        <w:pStyle w:val="Heading1"/>
        <w:rPr/>
      </w:pPr>
      <w:bookmarkStart w:id="28" w:name="__RefHeading___Toc14237_4195859891"/>
      <w:bookmarkEnd w:id="28"/>
      <w:r>
        <w:rPr>
          <w:rFonts w:eastAsia="Segoe UI" w:cs="Segoe UI" w:ascii="Segoe UI" w:hAnsi="Segoe UI"/>
          <w:b/>
          <w:color w:val="0F4761"/>
          <w:sz w:val="32"/>
        </w:rPr>
        <w:t>16.  Recommendation</w:t>
      </w:r>
    </w:p>
    <w:p>
      <w:pPr>
        <w:pStyle w:val="Normal"/>
        <w:numPr>
          <w:ilvl w:val="0"/>
          <w:numId w:val="1"/>
        </w:numPr>
        <w:spacing w:before="0" w:after="60"/>
        <w:rPr/>
      </w:pPr>
      <w:r>
        <w:rPr>
          <w:rFonts w:eastAsia="Segoe UI" w:cs="Segoe UI" w:ascii="Segoe UI" w:hAnsi="Segoe UI"/>
          <w:color w:val="101820"/>
          <w:sz w:val="21"/>
        </w:rPr>
        <w:t>Lead with subscription for Small and Medium brokers: lower Year 1 cash, no capital approval, and a price point near 2% of commission income.</w:t>
      </w:r>
    </w:p>
    <w:p>
      <w:pPr>
        <w:pStyle w:val="Normal"/>
        <w:numPr>
          <w:ilvl w:val="0"/>
          <w:numId w:val="1"/>
        </w:numPr>
        <w:spacing w:before="0" w:after="60"/>
        <w:rPr/>
      </w:pPr>
      <w:r>
        <w:rPr>
          <w:rFonts w:eastAsia="Segoe UI" w:cs="Segoe UI" w:ascii="Segoe UI" w:hAnsi="Segoe UI"/>
          <w:color w:val="101820"/>
          <w:sz w:val="21"/>
        </w:rPr>
        <w:t>Offer perpetual to Large and Enterprise brokers and to any broker with a horizon of four years or more: it costs 13% to 18% less over five years for the reference user counts.</w:t>
      </w:r>
    </w:p>
    <w:p>
      <w:pPr>
        <w:pStyle w:val="Normal"/>
        <w:numPr>
          <w:ilvl w:val="0"/>
          <w:numId w:val="1"/>
        </w:numPr>
        <w:spacing w:before="0" w:after="60"/>
        <w:rPr/>
      </w:pPr>
      <w:r>
        <w:rPr>
          <w:rFonts w:eastAsia="Segoe UI" w:cs="Segoe UI" w:ascii="Segoe UI" w:hAnsi="Segoe UI"/>
          <w:color w:val="101820"/>
          <w:sz w:val="21"/>
        </w:rPr>
        <w:t>Quote infrastructure separately, and always show the self-hosting option, so the software price stays comparable with competitors.</w:t>
      </w:r>
    </w:p>
    <w:p>
      <w:pPr>
        <w:pStyle w:val="Normal"/>
        <w:numPr>
          <w:ilvl w:val="0"/>
          <w:numId w:val="1"/>
        </w:numPr>
        <w:spacing w:before="0" w:after="60"/>
        <w:rPr/>
      </w:pPr>
      <w:r>
        <w:rPr>
          <w:rFonts w:eastAsia="Segoe UI" w:cs="Segoe UI" w:ascii="Segoe UI" w:hAnsi="Segoe UI"/>
          <w:color w:val="101820"/>
          <w:sz w:val="21"/>
        </w:rPr>
        <w:t>Review the Inputs once a year: exchange rate, cloud prices, day rates and the IC ranking.</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9" w:name="__RefHeading___Toc14239_4195859891"/>
      <w:bookmarkStart w:id="30" w:name="_Toc233203395"/>
      <w:bookmarkEnd w:id="29"/>
      <w:r>
        <w:rPr>
          <w:rStyle w:val="BookTitle"/>
          <w:bCs w:val="false"/>
          <w:i w:val="false"/>
          <w:iCs w:val="false"/>
          <w:spacing w:val="0"/>
        </w:rPr>
        <w:t>17.  Document Sign-Off</w:t>
      </w:r>
      <w:bookmarkEnd w:id="3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1">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2026-10-03T20:23:23Z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