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BrokerVerse Communication Templates and Touchpoints</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BrokerVerse Communication Templates and Touchpoints</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E-mails, notifications and printed documents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E-mails, notifications and printed documents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3417_4195859891">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23419_4195859891">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23421_4195859891">
            <w:r>
              <w:rPr>
                <w:webHidden/>
                <w:rStyle w:val="IndexLink"/>
              </w:rPr>
              <w:t>3. About this document</w:t>
              <w:tab/>
              <w:t>5</w:t>
            </w:r>
          </w:hyperlink>
        </w:p>
        <w:p>
          <w:pPr>
            <w:pStyle w:val="TOC1"/>
            <w:tabs>
              <w:tab w:val="clear" w:pos="900"/>
              <w:tab w:val="clear" w:pos="9350"/>
              <w:tab w:val="right" w:pos="9025" w:leader="dot"/>
            </w:tabs>
            <w:rPr/>
          </w:pPr>
          <w:hyperlink w:anchor="__RefHeading___Toc23423_4195859891">
            <w:r>
              <w:rPr>
                <w:webHidden/>
                <w:rStyle w:val="IndexLink"/>
              </w:rPr>
              <w:t>4. How messages are sent</w:t>
              <w:tab/>
              <w:t>6</w:t>
            </w:r>
          </w:hyperlink>
        </w:p>
        <w:p>
          <w:pPr>
            <w:pStyle w:val="TOC2"/>
            <w:tabs>
              <w:tab w:val="clear" w:pos="900"/>
              <w:tab w:val="clear" w:pos="9350"/>
              <w:tab w:val="right" w:pos="9025" w:leader="dot"/>
            </w:tabs>
            <w:rPr/>
          </w:pPr>
          <w:hyperlink w:anchor="__RefHeading___Toc23425_4195859891">
            <w:r>
              <w:rPr>
                <w:webHidden/>
                <w:rStyle w:val="IndexLink"/>
              </w:rPr>
              <w:t>4.1 E-mail</w:t>
              <w:tab/>
              <w:t>6</w:t>
            </w:r>
          </w:hyperlink>
        </w:p>
        <w:p>
          <w:pPr>
            <w:pStyle w:val="TOC2"/>
            <w:tabs>
              <w:tab w:val="clear" w:pos="900"/>
              <w:tab w:val="clear" w:pos="9350"/>
              <w:tab w:val="right" w:pos="9025" w:leader="dot"/>
            </w:tabs>
            <w:rPr/>
          </w:pPr>
          <w:hyperlink w:anchor="__RefHeading___Toc23427_4195859891">
            <w:r>
              <w:rPr>
                <w:webHidden/>
                <w:rStyle w:val="IndexLink"/>
              </w:rPr>
              <w:t>4.2 Templates and merge fields</w:t>
              <w:tab/>
              <w:t>6</w:t>
            </w:r>
          </w:hyperlink>
        </w:p>
        <w:p>
          <w:pPr>
            <w:pStyle w:val="TOC2"/>
            <w:tabs>
              <w:tab w:val="clear" w:pos="900"/>
              <w:tab w:val="clear" w:pos="9350"/>
              <w:tab w:val="right" w:pos="9025" w:leader="dot"/>
            </w:tabs>
            <w:rPr/>
          </w:pPr>
          <w:hyperlink w:anchor="__RefHeading___Toc23429_4195859891">
            <w:r>
              <w:rPr>
                <w:webHidden/>
                <w:rStyle w:val="IndexLink"/>
              </w:rPr>
              <w:t>4.3 In-app notifications</w:t>
              <w:tab/>
              <w:t>6</w:t>
            </w:r>
          </w:hyperlink>
        </w:p>
        <w:p>
          <w:pPr>
            <w:pStyle w:val="TOC2"/>
            <w:tabs>
              <w:tab w:val="clear" w:pos="900"/>
              <w:tab w:val="clear" w:pos="9350"/>
              <w:tab w:val="right" w:pos="9025" w:leader="dot"/>
            </w:tabs>
            <w:rPr/>
          </w:pPr>
          <w:hyperlink w:anchor="__RefHeading___Toc23431_4195859891">
            <w:r>
              <w:rPr>
                <w:webHidden/>
                <w:rStyle w:val="IndexLink"/>
              </w:rPr>
              <w:t>4.4 Other channels</w:t>
              <w:tab/>
              <w:t>7</w:t>
            </w:r>
          </w:hyperlink>
        </w:p>
        <w:p>
          <w:pPr>
            <w:pStyle w:val="TOC1"/>
            <w:tabs>
              <w:tab w:val="clear" w:pos="900"/>
              <w:tab w:val="clear" w:pos="9350"/>
              <w:tab w:val="right" w:pos="9025" w:leader="dot"/>
            </w:tabs>
            <w:rPr/>
          </w:pPr>
          <w:hyperlink w:anchor="__RefHeading___Toc23433_4195859891">
            <w:r>
              <w:rPr>
                <w:webHidden/>
                <w:rStyle w:val="IndexLink"/>
              </w:rPr>
              <w:t>5. Journey overview</w:t>
              <w:tab/>
              <w:t>8</w:t>
            </w:r>
          </w:hyperlink>
        </w:p>
        <w:p>
          <w:pPr>
            <w:pStyle w:val="TOC1"/>
            <w:tabs>
              <w:tab w:val="clear" w:pos="900"/>
              <w:tab w:val="clear" w:pos="9350"/>
              <w:tab w:val="right" w:pos="9025" w:leader="dot"/>
            </w:tabs>
            <w:rPr/>
          </w:pPr>
          <w:hyperlink w:anchor="__RefHeading___Toc23435_4195859891">
            <w:r>
              <w:rPr>
                <w:webHidden/>
                <w:rStyle w:val="IndexLink"/>
              </w:rPr>
              <w:t>6. E-mails to clients</w:t>
              <w:tab/>
              <w:t>9</w:t>
            </w:r>
          </w:hyperlink>
        </w:p>
        <w:p>
          <w:pPr>
            <w:pStyle w:val="TOC2"/>
            <w:tabs>
              <w:tab w:val="clear" w:pos="900"/>
              <w:tab w:val="clear" w:pos="9350"/>
              <w:tab w:val="right" w:pos="9025" w:leader="dot"/>
            </w:tabs>
            <w:rPr/>
          </w:pPr>
          <w:hyperlink w:anchor="__RefHeading___Toc23437_4195859891">
            <w:r>
              <w:rPr>
                <w:webHidden/>
                <w:rStyle w:val="IndexLink"/>
              </w:rPr>
              <w:t>6.1 E01 Quotation approval request</w:t>
              <w:tab/>
              <w:t>9</w:t>
            </w:r>
          </w:hyperlink>
        </w:p>
        <w:p>
          <w:pPr>
            <w:pStyle w:val="TOC2"/>
            <w:tabs>
              <w:tab w:val="clear" w:pos="900"/>
              <w:tab w:val="clear" w:pos="9350"/>
              <w:tab w:val="right" w:pos="9025" w:leader="dot"/>
            </w:tabs>
            <w:rPr/>
          </w:pPr>
          <w:hyperlink w:anchor="__RefHeading___Toc23439_4195859891">
            <w:r>
              <w:rPr>
                <w:webHidden/>
                <w:rStyle w:val="IndexLink"/>
              </w:rPr>
              <w:t>6.2 E02 Share quotation</w:t>
              <w:tab/>
              <w:t>10</w:t>
            </w:r>
          </w:hyperlink>
        </w:p>
        <w:p>
          <w:pPr>
            <w:pStyle w:val="TOC2"/>
            <w:tabs>
              <w:tab w:val="clear" w:pos="900"/>
              <w:tab w:val="clear" w:pos="9350"/>
              <w:tab w:val="right" w:pos="9025" w:leader="dot"/>
            </w:tabs>
            <w:rPr/>
          </w:pPr>
          <w:hyperlink w:anchor="__RefHeading___Toc23441_4195859891">
            <w:r>
              <w:rPr>
                <w:webHidden/>
                <w:rStyle w:val="IndexLink"/>
              </w:rPr>
              <w:t>6.3 E03 Custom e-mail from the Share dialog</w:t>
              <w:tab/>
              <w:t>10</w:t>
            </w:r>
          </w:hyperlink>
        </w:p>
        <w:p>
          <w:pPr>
            <w:pStyle w:val="TOC2"/>
            <w:tabs>
              <w:tab w:val="clear" w:pos="900"/>
              <w:tab w:val="clear" w:pos="9350"/>
              <w:tab w:val="right" w:pos="9025" w:leader="dot"/>
            </w:tabs>
            <w:rPr/>
          </w:pPr>
          <w:hyperlink w:anchor="__RefHeading___Toc23443_4195859891">
            <w:r>
              <w:rPr>
                <w:webHidden/>
                <w:rStyle w:val="IndexLink"/>
              </w:rPr>
              <w:t>6.4 E07 Policy issued</w:t>
              <w:tab/>
              <w:t>11</w:t>
            </w:r>
          </w:hyperlink>
        </w:p>
        <w:p>
          <w:pPr>
            <w:pStyle w:val="TOC2"/>
            <w:tabs>
              <w:tab w:val="clear" w:pos="900"/>
              <w:tab w:val="clear" w:pos="9350"/>
              <w:tab w:val="right" w:pos="9025" w:leader="dot"/>
            </w:tabs>
            <w:rPr/>
          </w:pPr>
          <w:hyperlink w:anchor="__RefHeading___Toc23445_4195859891">
            <w:r>
              <w:rPr>
                <w:webHidden/>
                <w:rStyle w:val="IndexLink"/>
              </w:rPr>
              <w:t>6.5 E08 Endorsement or cancellation to customer</w:t>
              <w:tab/>
              <w:t>11</w:t>
            </w:r>
          </w:hyperlink>
        </w:p>
        <w:p>
          <w:pPr>
            <w:pStyle w:val="TOC2"/>
            <w:tabs>
              <w:tab w:val="clear" w:pos="900"/>
              <w:tab w:val="clear" w:pos="9350"/>
              <w:tab w:val="right" w:pos="9025" w:leader="dot"/>
            </w:tabs>
            <w:rPr/>
          </w:pPr>
          <w:hyperlink w:anchor="__RefHeading___Toc23447_4195859891">
            <w:r>
              <w:rPr>
                <w:webHidden/>
                <w:rStyle w:val="IndexLink"/>
              </w:rPr>
              <w:t>6.6 E09 Renewal notice (First, Second, Final)</w:t>
              <w:tab/>
              <w:t>12</w:t>
            </w:r>
          </w:hyperlink>
        </w:p>
        <w:p>
          <w:pPr>
            <w:pStyle w:val="TOC2"/>
            <w:tabs>
              <w:tab w:val="clear" w:pos="900"/>
              <w:tab w:val="clear" w:pos="9350"/>
              <w:tab w:val="right" w:pos="9025" w:leader="dot"/>
            </w:tabs>
            <w:rPr/>
          </w:pPr>
          <w:hyperlink w:anchor="__RefHeading___Toc23449_4195859891">
            <w:r>
              <w:rPr>
                <w:webHidden/>
                <w:rStyle w:val="IndexLink"/>
              </w:rPr>
              <w:t>6.7 E10 Renewal reminder</w:t>
              <w:tab/>
              <w:t>12</w:t>
            </w:r>
          </w:hyperlink>
        </w:p>
        <w:p>
          <w:pPr>
            <w:pStyle w:val="TOC2"/>
            <w:tabs>
              <w:tab w:val="clear" w:pos="900"/>
              <w:tab w:val="clear" w:pos="9350"/>
              <w:tab w:val="right" w:pos="9025" w:leader="dot"/>
            </w:tabs>
            <w:rPr/>
          </w:pPr>
          <w:hyperlink w:anchor="__RefHeading___Toc23451_4195859891">
            <w:r>
              <w:rPr>
                <w:webHidden/>
                <w:rStyle w:val="IndexLink"/>
              </w:rPr>
              <w:t>6.8 E11 Premium payment reminder</w:t>
              <w:tab/>
              <w:t>13</w:t>
            </w:r>
          </w:hyperlink>
        </w:p>
        <w:p>
          <w:pPr>
            <w:pStyle w:val="TOC2"/>
            <w:tabs>
              <w:tab w:val="clear" w:pos="900"/>
              <w:tab w:val="clear" w:pos="9350"/>
              <w:tab w:val="right" w:pos="9025" w:leader="dot"/>
            </w:tabs>
            <w:rPr/>
          </w:pPr>
          <w:hyperlink w:anchor="__RefHeading___Toc23453_4195859891">
            <w:r>
              <w:rPr>
                <w:webHidden/>
                <w:rStyle w:val="IndexLink"/>
              </w:rPr>
              <w:t>6.9 E12 Collection follow-up e-mail</w:t>
              <w:tab/>
              <w:t>14</w:t>
            </w:r>
          </w:hyperlink>
        </w:p>
        <w:p>
          <w:pPr>
            <w:pStyle w:val="TOC2"/>
            <w:tabs>
              <w:tab w:val="clear" w:pos="900"/>
              <w:tab w:val="clear" w:pos="9350"/>
              <w:tab w:val="right" w:pos="9025" w:leader="dot"/>
            </w:tabs>
            <w:rPr/>
          </w:pPr>
          <w:hyperlink w:anchor="__RefHeading___Toc23455_4195859891">
            <w:r>
              <w:rPr>
                <w:webHidden/>
                <w:rStyle w:val="IndexLink"/>
              </w:rPr>
              <w:t>6.10 E20 Official receipt</w:t>
              <w:tab/>
              <w:t>14</w:t>
            </w:r>
          </w:hyperlink>
        </w:p>
        <w:p>
          <w:pPr>
            <w:pStyle w:val="TOC2"/>
            <w:tabs>
              <w:tab w:val="clear" w:pos="900"/>
              <w:tab w:val="clear" w:pos="9350"/>
              <w:tab w:val="right" w:pos="9025" w:leader="dot"/>
            </w:tabs>
            <w:rPr/>
          </w:pPr>
          <w:hyperlink w:anchor="__RefHeading___Toc23457_4195859891">
            <w:r>
              <w:rPr>
                <w:webHidden/>
                <w:rStyle w:val="IndexLink"/>
              </w:rPr>
              <w:t>6.11 E21 Premium invoice / statement of account</w:t>
              <w:tab/>
              <w:t>15</w:t>
            </w:r>
          </w:hyperlink>
        </w:p>
        <w:p>
          <w:pPr>
            <w:pStyle w:val="TOC1"/>
            <w:tabs>
              <w:tab w:val="clear" w:pos="900"/>
              <w:tab w:val="clear" w:pos="9350"/>
              <w:tab w:val="right" w:pos="9025" w:leader="dot"/>
            </w:tabs>
            <w:rPr/>
          </w:pPr>
          <w:hyperlink w:anchor="__RefHeading___Toc23459_4195859891">
            <w:r>
              <w:rPr>
                <w:webHidden/>
                <w:rStyle w:val="IndexLink"/>
              </w:rPr>
              <w:t>7. E-mails to insurers and agents</w:t>
              <w:tab/>
              <w:t>16</w:t>
            </w:r>
          </w:hyperlink>
        </w:p>
        <w:p>
          <w:pPr>
            <w:pStyle w:val="TOC2"/>
            <w:tabs>
              <w:tab w:val="clear" w:pos="900"/>
              <w:tab w:val="clear" w:pos="9350"/>
              <w:tab w:val="right" w:pos="9025" w:leader="dot"/>
            </w:tabs>
            <w:rPr/>
          </w:pPr>
          <w:hyperlink w:anchor="__RefHeading___Toc23461_4195859891">
            <w:r>
              <w:rPr>
                <w:webHidden/>
                <w:rStyle w:val="IndexLink"/>
              </w:rPr>
              <w:t>7.1 E04 Quotation submitted to insurer</w:t>
              <w:tab/>
              <w:t>16</w:t>
            </w:r>
          </w:hyperlink>
        </w:p>
        <w:p>
          <w:pPr>
            <w:pStyle w:val="TOC2"/>
            <w:tabs>
              <w:tab w:val="clear" w:pos="900"/>
              <w:tab w:val="clear" w:pos="9350"/>
              <w:tab w:val="right" w:pos="9025" w:leader="dot"/>
            </w:tabs>
            <w:rPr/>
          </w:pPr>
          <w:hyperlink w:anchor="__RefHeading___Toc23463_4195859891">
            <w:r>
              <w:rPr>
                <w:webHidden/>
                <w:rStyle w:val="IndexLink"/>
              </w:rPr>
              <w:t>7.2 E05 Request for quotation (broker slip)</w:t>
              <w:tab/>
              <w:t>17</w:t>
            </w:r>
          </w:hyperlink>
        </w:p>
        <w:p>
          <w:pPr>
            <w:pStyle w:val="TOC2"/>
            <w:tabs>
              <w:tab w:val="clear" w:pos="900"/>
              <w:tab w:val="clear" w:pos="9350"/>
              <w:tab w:val="right" w:pos="9025" w:leader="dot"/>
            </w:tabs>
            <w:rPr/>
          </w:pPr>
          <w:hyperlink w:anchor="__RefHeading___Toc23465_4195859891">
            <w:r>
              <w:rPr>
                <w:webHidden/>
                <w:rStyle w:val="IndexLink"/>
              </w:rPr>
              <w:t>7.3 E06 Placement slip (firm order)</w:t>
              <w:tab/>
              <w:t>17</w:t>
            </w:r>
          </w:hyperlink>
        </w:p>
        <w:p>
          <w:pPr>
            <w:pStyle w:val="TOC2"/>
            <w:tabs>
              <w:tab w:val="clear" w:pos="900"/>
              <w:tab w:val="clear" w:pos="9350"/>
              <w:tab w:val="right" w:pos="9025" w:leader="dot"/>
            </w:tabs>
            <w:rPr/>
          </w:pPr>
          <w:hyperlink w:anchor="__RefHeading___Toc23467_4195859891">
            <w:r>
              <w:rPr>
                <w:webHidden/>
                <w:rStyle w:val="IndexLink"/>
              </w:rPr>
              <w:t>7.4 E13 Preliminary Loss Advice</w:t>
              <w:tab/>
              <w:t>18</w:t>
            </w:r>
          </w:hyperlink>
        </w:p>
        <w:p>
          <w:pPr>
            <w:pStyle w:val="TOC2"/>
            <w:tabs>
              <w:tab w:val="clear" w:pos="900"/>
              <w:tab w:val="clear" w:pos="9350"/>
              <w:tab w:val="right" w:pos="9025" w:leader="dot"/>
            </w:tabs>
            <w:rPr/>
          </w:pPr>
          <w:hyperlink w:anchor="__RefHeading___Toc23469_4195859891">
            <w:r>
              <w:rPr>
                <w:webHidden/>
                <w:rStyle w:val="IndexLink"/>
              </w:rPr>
              <w:t>7.5 E14 Commission debit note</w:t>
              <w:tab/>
              <w:t>18</w:t>
            </w:r>
          </w:hyperlink>
        </w:p>
        <w:p>
          <w:pPr>
            <w:pStyle w:val="TOC2"/>
            <w:tabs>
              <w:tab w:val="clear" w:pos="900"/>
              <w:tab w:val="clear" w:pos="9350"/>
              <w:tab w:val="right" w:pos="9025" w:leader="dot"/>
            </w:tabs>
            <w:rPr/>
          </w:pPr>
          <w:hyperlink w:anchor="__RefHeading___Toc23471_4195859891">
            <w:r>
              <w:rPr>
                <w:webHidden/>
                <w:rStyle w:val="IndexLink"/>
              </w:rPr>
              <w:t>7.6 E15 Agency bill or insurer remittance statement</w:t>
              <w:tab/>
              <w:t>19</w:t>
            </w:r>
          </w:hyperlink>
        </w:p>
        <w:p>
          <w:pPr>
            <w:pStyle w:val="TOC2"/>
            <w:tabs>
              <w:tab w:val="clear" w:pos="900"/>
              <w:tab w:val="clear" w:pos="9350"/>
              <w:tab w:val="right" w:pos="9025" w:leader="dot"/>
            </w:tabs>
            <w:rPr/>
          </w:pPr>
          <w:hyperlink w:anchor="__RefHeading___Toc23473_4195859891">
            <w:r>
              <w:rPr>
                <w:webHidden/>
                <w:rStyle w:val="IndexLink"/>
              </w:rPr>
              <w:t>7.7 E16 Remittance statement (advice)</w:t>
              <w:tab/>
              <w:t>20</w:t>
            </w:r>
          </w:hyperlink>
        </w:p>
        <w:p>
          <w:pPr>
            <w:pStyle w:val="TOC2"/>
            <w:tabs>
              <w:tab w:val="clear" w:pos="900"/>
              <w:tab w:val="clear" w:pos="9350"/>
              <w:tab w:val="right" w:pos="9025" w:leader="dot"/>
            </w:tabs>
            <w:rPr/>
          </w:pPr>
          <w:hyperlink w:anchor="__RefHeading___Toc23475_4195859891">
            <w:r>
              <w:rPr>
                <w:webHidden/>
                <w:rStyle w:val="IndexLink"/>
              </w:rPr>
              <w:t>7.8 E17 Remittance notification (composed)</w:t>
              <w:tab/>
              <w:t>20</w:t>
            </w:r>
          </w:hyperlink>
        </w:p>
        <w:p>
          <w:pPr>
            <w:pStyle w:val="TOC1"/>
            <w:tabs>
              <w:tab w:val="clear" w:pos="900"/>
              <w:tab w:val="clear" w:pos="9350"/>
              <w:tab w:val="right" w:pos="9025" w:leader="dot"/>
            </w:tabs>
            <w:rPr/>
          </w:pPr>
          <w:hyperlink w:anchor="__RefHeading___Toc23477_4195859891">
            <w:r>
              <w:rPr>
                <w:webHidden/>
                <w:rStyle w:val="IndexLink"/>
              </w:rPr>
              <w:t>8. E-mails to staff</w:t>
              <w:tab/>
              <w:t>21</w:t>
            </w:r>
          </w:hyperlink>
        </w:p>
        <w:p>
          <w:pPr>
            <w:pStyle w:val="TOC2"/>
            <w:tabs>
              <w:tab w:val="clear" w:pos="900"/>
              <w:tab w:val="clear" w:pos="9350"/>
              <w:tab w:val="right" w:pos="9025" w:leader="dot"/>
            </w:tabs>
            <w:rPr/>
          </w:pPr>
          <w:hyperlink w:anchor="__RefHeading___Toc23479_4195859891">
            <w:r>
              <w:rPr>
                <w:webHidden/>
                <w:rStyle w:val="IndexLink"/>
              </w:rPr>
              <w:t>8.1 E18 Scheduled report</w:t>
              <w:tab/>
              <w:t>21</w:t>
            </w:r>
          </w:hyperlink>
        </w:p>
        <w:p>
          <w:pPr>
            <w:pStyle w:val="TOC2"/>
            <w:tabs>
              <w:tab w:val="clear" w:pos="900"/>
              <w:tab w:val="clear" w:pos="9350"/>
              <w:tab w:val="right" w:pos="9025" w:leader="dot"/>
            </w:tabs>
            <w:rPr/>
          </w:pPr>
          <w:hyperlink w:anchor="__RefHeading___Toc23481_4195859891">
            <w:r>
              <w:rPr>
                <w:webHidden/>
                <w:rStyle w:val="IndexLink"/>
              </w:rPr>
              <w:t>8.2 E19 Password reset code</w:t>
              <w:tab/>
              <w:t>21</w:t>
            </w:r>
          </w:hyperlink>
        </w:p>
        <w:p>
          <w:pPr>
            <w:pStyle w:val="TOC1"/>
            <w:tabs>
              <w:tab w:val="clear" w:pos="900"/>
              <w:tab w:val="clear" w:pos="9350"/>
              <w:tab w:val="right" w:pos="9025" w:leader="dot"/>
            </w:tabs>
            <w:rPr/>
          </w:pPr>
          <w:hyperlink w:anchor="__RefHeading___Toc23483_4195859891">
            <w:r>
              <w:rPr>
                <w:webHidden/>
                <w:rStyle w:val="IndexLink"/>
              </w:rPr>
              <w:t>9. In-app notifications</w:t>
              <w:tab/>
              <w:t>23</w:t>
            </w:r>
          </w:hyperlink>
        </w:p>
        <w:p>
          <w:pPr>
            <w:pStyle w:val="TOC2"/>
            <w:tabs>
              <w:tab w:val="clear" w:pos="900"/>
              <w:tab w:val="clear" w:pos="9350"/>
              <w:tab w:val="right" w:pos="9025" w:leader="dot"/>
            </w:tabs>
            <w:rPr/>
          </w:pPr>
          <w:hyperlink w:anchor="__RefHeading___Toc23485_4195859891">
            <w:r>
              <w:rPr>
                <w:webHidden/>
                <w:rStyle w:val="IndexLink"/>
              </w:rPr>
              <w:t>9.1 Quotation</w:t>
              <w:tab/>
              <w:t>23</w:t>
            </w:r>
          </w:hyperlink>
        </w:p>
        <w:p>
          <w:pPr>
            <w:pStyle w:val="TOC2"/>
            <w:tabs>
              <w:tab w:val="clear" w:pos="900"/>
              <w:tab w:val="clear" w:pos="9350"/>
              <w:tab w:val="right" w:pos="9025" w:leader="dot"/>
            </w:tabs>
            <w:rPr/>
          </w:pPr>
          <w:hyperlink w:anchor="__RefHeading___Toc23487_4195859891">
            <w:r>
              <w:rPr>
                <w:webHidden/>
                <w:rStyle w:val="IndexLink"/>
              </w:rPr>
              <w:t>9.2 Policy issue</w:t>
              <w:tab/>
              <w:t>23</w:t>
            </w:r>
          </w:hyperlink>
        </w:p>
        <w:p>
          <w:pPr>
            <w:pStyle w:val="TOC2"/>
            <w:tabs>
              <w:tab w:val="clear" w:pos="900"/>
              <w:tab w:val="clear" w:pos="9350"/>
              <w:tab w:val="right" w:pos="9025" w:leader="dot"/>
            </w:tabs>
            <w:rPr/>
          </w:pPr>
          <w:hyperlink w:anchor="__RefHeading___Toc23489_4195859891">
            <w:r>
              <w:rPr>
                <w:webHidden/>
                <w:rStyle w:val="IndexLink"/>
              </w:rPr>
              <w:t>9.3 Billing and collection</w:t>
              <w:tab/>
              <w:t>23</w:t>
            </w:r>
          </w:hyperlink>
        </w:p>
        <w:p>
          <w:pPr>
            <w:pStyle w:val="TOC2"/>
            <w:tabs>
              <w:tab w:val="clear" w:pos="900"/>
              <w:tab w:val="clear" w:pos="9350"/>
              <w:tab w:val="right" w:pos="9025" w:leader="dot"/>
            </w:tabs>
            <w:rPr/>
          </w:pPr>
          <w:hyperlink w:anchor="__RefHeading___Toc23491_4195859891">
            <w:r>
              <w:rPr>
                <w:webHidden/>
                <w:rStyle w:val="IndexLink"/>
              </w:rPr>
              <w:t>9.4 Policy servicing</w:t>
              <w:tab/>
              <w:t>24</w:t>
            </w:r>
          </w:hyperlink>
        </w:p>
        <w:p>
          <w:pPr>
            <w:pStyle w:val="TOC2"/>
            <w:tabs>
              <w:tab w:val="clear" w:pos="900"/>
              <w:tab w:val="clear" w:pos="9350"/>
              <w:tab w:val="right" w:pos="9025" w:leader="dot"/>
            </w:tabs>
            <w:rPr/>
          </w:pPr>
          <w:hyperlink w:anchor="__RefHeading___Toc23493_4195859891">
            <w:r>
              <w:rPr>
                <w:webHidden/>
                <w:rStyle w:val="IndexLink"/>
              </w:rPr>
              <w:t>9.5 Claims</w:t>
              <w:tab/>
              <w:t>24</w:t>
            </w:r>
          </w:hyperlink>
        </w:p>
        <w:p>
          <w:pPr>
            <w:pStyle w:val="TOC2"/>
            <w:tabs>
              <w:tab w:val="clear" w:pos="900"/>
              <w:tab w:val="clear" w:pos="9350"/>
              <w:tab w:val="right" w:pos="9025" w:leader="dot"/>
            </w:tabs>
            <w:rPr/>
          </w:pPr>
          <w:hyperlink w:anchor="__RefHeading___Toc23495_4195859891">
            <w:r>
              <w:rPr>
                <w:webHidden/>
                <w:rStyle w:val="IndexLink"/>
              </w:rPr>
              <w:t>9.6 Renewal</w:t>
              <w:tab/>
              <w:t>25</w:t>
            </w:r>
          </w:hyperlink>
        </w:p>
        <w:p>
          <w:pPr>
            <w:pStyle w:val="TOC2"/>
            <w:tabs>
              <w:tab w:val="clear" w:pos="900"/>
              <w:tab w:val="clear" w:pos="9350"/>
              <w:tab w:val="right" w:pos="9025" w:leader="dot"/>
            </w:tabs>
            <w:rPr/>
          </w:pPr>
          <w:hyperlink w:anchor="__RefHeading___Toc23497_4195859891">
            <w:r>
              <w:rPr>
                <w:webHidden/>
                <w:rStyle w:val="IndexLink"/>
              </w:rPr>
              <w:t>9.7 Remittance and commission</w:t>
              <w:tab/>
              <w:t>25</w:t>
            </w:r>
          </w:hyperlink>
        </w:p>
        <w:p>
          <w:pPr>
            <w:pStyle w:val="TOC2"/>
            <w:tabs>
              <w:tab w:val="clear" w:pos="900"/>
              <w:tab w:val="clear" w:pos="9350"/>
              <w:tab w:val="right" w:pos="9025" w:leader="dot"/>
            </w:tabs>
            <w:rPr/>
          </w:pPr>
          <w:hyperlink w:anchor="__RefHeading___Toc23499_4195859891">
            <w:r>
              <w:rPr>
                <w:webHidden/>
                <w:rStyle w:val="IndexLink"/>
              </w:rPr>
              <w:t>9.8 Reinsurance</w:t>
              <w:tab/>
              <w:t>26</w:t>
            </w:r>
          </w:hyperlink>
        </w:p>
        <w:p>
          <w:pPr>
            <w:pStyle w:val="TOC2"/>
            <w:tabs>
              <w:tab w:val="clear" w:pos="900"/>
              <w:tab w:val="clear" w:pos="9350"/>
              <w:tab w:val="right" w:pos="9025" w:leader="dot"/>
            </w:tabs>
            <w:rPr/>
          </w:pPr>
          <w:hyperlink w:anchor="__RefHeading___Toc23501_4195859891">
            <w:r>
              <w:rPr>
                <w:webHidden/>
                <w:rStyle w:val="IndexLink"/>
              </w:rPr>
              <w:t>9.9 Finance and period end</w:t>
              <w:tab/>
              <w:t>26</w:t>
            </w:r>
          </w:hyperlink>
        </w:p>
        <w:p>
          <w:pPr>
            <w:pStyle w:val="TOC2"/>
            <w:tabs>
              <w:tab w:val="clear" w:pos="900"/>
              <w:tab w:val="clear" w:pos="9350"/>
              <w:tab w:val="right" w:pos="9025" w:leader="dot"/>
            </w:tabs>
            <w:rPr/>
          </w:pPr>
          <w:hyperlink w:anchor="__RefHeading___Toc23503_4195859891">
            <w:r>
              <w:rPr>
                <w:webHidden/>
                <w:rStyle w:val="IndexLink"/>
              </w:rPr>
              <w:t>9.10 Access control</w:t>
              <w:tab/>
              <w:t>28</w:t>
            </w:r>
          </w:hyperlink>
        </w:p>
        <w:p>
          <w:pPr>
            <w:pStyle w:val="TOC1"/>
            <w:tabs>
              <w:tab w:val="clear" w:pos="900"/>
              <w:tab w:val="clear" w:pos="9350"/>
              <w:tab w:val="right" w:pos="9025" w:leader="dot"/>
            </w:tabs>
            <w:rPr/>
          </w:pPr>
          <w:hyperlink w:anchor="__RefHeading___Toc23505_4195859891">
            <w:r>
              <w:rPr>
                <w:webHidden/>
                <w:rStyle w:val="IndexLink"/>
              </w:rPr>
              <w:t>10. Printed documents</w:t>
              <w:tab/>
              <w:t>29</w:t>
            </w:r>
          </w:hyperlink>
        </w:p>
        <w:p>
          <w:pPr>
            <w:pStyle w:val="TOC1"/>
            <w:tabs>
              <w:tab w:val="clear" w:pos="900"/>
              <w:tab w:val="clear" w:pos="9350"/>
              <w:tab w:val="right" w:pos="9025" w:leader="dot"/>
            </w:tabs>
            <w:rPr/>
          </w:pPr>
          <w:hyperlink w:anchor="__RefHeading___Toc23507_4195859891">
            <w:r>
              <w:rPr>
                <w:webHidden/>
                <w:rStyle w:val="IndexLink"/>
              </w:rPr>
              <w:t>11. Settings that switch messages on or off</w:t>
              <w:tab/>
              <w:t>31</w:t>
            </w:r>
          </w:hyperlink>
        </w:p>
        <w:p>
          <w:pPr>
            <w:pStyle w:val="TOC1"/>
            <w:tabs>
              <w:tab w:val="clear" w:pos="900"/>
              <w:tab w:val="clear" w:pos="9350"/>
              <w:tab w:val="right" w:pos="9025" w:leader="dot"/>
            </w:tabs>
            <w:rPr/>
          </w:pPr>
          <w:hyperlink w:anchor="__RefHeading___Toc23509_4195859891">
            <w:r>
              <w:rPr>
                <w:webHidden/>
                <w:rStyle w:val="IndexLink"/>
              </w:rPr>
              <w:t>12. Gaps and observations</w:t>
              <w:tab/>
              <w:t>32</w:t>
            </w:r>
          </w:hyperlink>
        </w:p>
        <w:p>
          <w:pPr>
            <w:pStyle w:val="TOC1"/>
            <w:tabs>
              <w:tab w:val="clear" w:pos="900"/>
              <w:tab w:val="clear" w:pos="9350"/>
              <w:tab w:val="right" w:pos="9025" w:leader="dot"/>
            </w:tabs>
            <w:rPr/>
          </w:pPr>
          <w:hyperlink w:anchor="__RefHeading___Toc23511_4195859891">
            <w:r>
              <w:rPr>
                <w:webHidden/>
                <w:rStyle w:val="IndexLink"/>
                <w:i w:val="false"/>
                <w:iCs w:val="false"/>
              </w:rPr>
              <w:t>13. Document Sign-Off</w:t>
            </w:r>
            <w:r>
              <w:rPr>
                <w:rStyle w:val="IndexLink"/>
              </w:rPr>
              <w:tab/>
              <w:t>33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3417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3419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Preliminary Loss Advice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Acknowledgement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account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Debit note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HTML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Hypertext Markup Language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3421_4195859891"/>
      <w:bookmarkEnd w:id="6"/>
      <w:r>
        <w:rPr>
          <w:rFonts w:eastAsia="Segoe UI" w:cs="Segoe UI" w:ascii="Segoe UI" w:hAnsi="Segoe UI"/>
          <w:b/>
          <w:color w:val="0F4761"/>
          <w:sz w:val="32"/>
        </w:rPr>
        <w:t>3.  About this document</w:t>
      </w:r>
    </w:p>
    <w:p>
      <w:pPr>
        <w:pStyle w:val="Normal"/>
        <w:spacing w:lineRule="auto" w:line="276" w:before="0" w:after="120"/>
        <w:rPr/>
      </w:pPr>
      <w:r>
        <w:rPr>
          <w:rFonts w:eastAsia="Segoe UI" w:cs="Segoe UI" w:ascii="Segoe UI" w:hAnsi="Segoe UI"/>
          <w:color w:val="101820"/>
          <w:sz w:val="21"/>
        </w:rPr>
        <w:t>This document lists every message BrokerVerse OOTB sends or prepares: e-mails to clients, insurers, agents and staff, the in-app notifications in the header bell, and the printed documents that accompany the client and insurer journey. For each e-mail it gives the trigger, the recipient, the template and where it is configured, the subject and body exactly as seeded, the merge fields, attachments and the setting that switches it on or off.</w:t>
      </w:r>
    </w:p>
    <w:p>
      <w:pPr>
        <w:pStyle w:val="Normal"/>
        <w:spacing w:lineRule="auto" w:line="276" w:before="0" w:after="120"/>
        <w:rPr/>
      </w:pPr>
      <w:r>
        <w:rPr>
          <w:rFonts w:eastAsia="Segoe UI" w:cs="Segoe UI" w:ascii="Segoe UI" w:hAnsi="Segoe UI"/>
          <w:color w:val="101820"/>
          <w:sz w:val="21"/>
        </w:rPr>
        <w:t xml:space="preserve">The facts come from the application code (every call that queues an e-mail or creates a notification) and from the seeded settings of the loaded test system on 03 October 2026. The companion workbook </w:t>
      </w:r>
      <w:r>
        <w:rPr>
          <w:rFonts w:eastAsia="Segoe UI" w:cs="Segoe UI" w:ascii="Segoe UI" w:hAnsi="Segoe UI"/>
          <w:b/>
          <w:color w:val="101820"/>
          <w:sz w:val="21"/>
        </w:rPr>
        <w:t>BrokerVerse_Communication_Touchpoints.xlsx</w:t>
      </w:r>
      <w:r>
        <w:rPr>
          <w:rFonts w:eastAsia="Segoe UI" w:cs="Segoe UI" w:ascii="Segoe UI" w:hAnsi="Segoe UI"/>
          <w:color w:val="101820"/>
          <w:sz w:val="21"/>
        </w:rPr>
        <w:t xml:space="preserve"> holds the same inventory in one sheet per channel.</w:t>
      </w:r>
      <w:r>
        <w:br w:type="page"/>
      </w:r>
    </w:p>
    <w:p>
      <w:pPr>
        <w:pStyle w:val="Heading1"/>
        <w:rPr/>
      </w:pPr>
      <w:bookmarkStart w:id="7" w:name="__RefHeading___Toc23423_4195859891"/>
      <w:bookmarkEnd w:id="7"/>
      <w:r>
        <w:rPr>
          <w:rFonts w:eastAsia="Segoe UI" w:cs="Segoe UI" w:ascii="Segoe UI" w:hAnsi="Segoe UI"/>
          <w:b/>
          <w:color w:val="0F4761"/>
          <w:sz w:val="32"/>
        </w:rPr>
        <w:t>4.  How messages are sent</w:t>
      </w:r>
    </w:p>
    <w:p>
      <w:pPr>
        <w:pStyle w:val="Heading2"/>
        <w:rPr/>
      </w:pPr>
      <w:bookmarkStart w:id="8" w:name="__RefHeading___Toc23425_4195859891"/>
      <w:bookmarkEnd w:id="8"/>
      <w:r>
        <w:rPr>
          <w:rFonts w:eastAsia="Segoe UI" w:cs="Segoe UI"/>
          <w:b/>
          <w:color w:val="0F4761"/>
          <w:sz w:val="26"/>
        </w:rPr>
        <w:t>4.1  E-mail</w:t>
      </w:r>
    </w:p>
    <w:p>
      <w:pPr>
        <w:pStyle w:val="Normal"/>
        <w:spacing w:lineRule="auto" w:line="276" w:before="0" w:after="120"/>
        <w:rPr/>
      </w:pPr>
      <w:r>
        <w:rPr>
          <w:rFonts w:eastAsia="Segoe UI" w:cs="Segoe UI" w:ascii="Segoe UI" w:hAnsi="Segoe UI"/>
          <w:color w:val="101820"/>
          <w:sz w:val="21"/>
        </w:rPr>
        <w:t>Every e-mail is first written to the outbox (</w:t>
      </w:r>
      <w:r>
        <w:rPr>
          <w:rFonts w:eastAsia="Consolas" w:cs="Consolas" w:ascii="Consolas" w:hAnsi="Consolas"/>
          <w:color w:val="101820"/>
          <w:sz w:val="19"/>
        </w:rPr>
        <w:t>email_outbox</w:t>
      </w:r>
      <w:r>
        <w:rPr>
          <w:rFonts w:eastAsia="Segoe UI" w:cs="Segoe UI" w:ascii="Segoe UI" w:hAnsi="Segoe UI"/>
          <w:color w:val="101820"/>
          <w:sz w:val="21"/>
        </w:rPr>
        <w:t xml:space="preserve">): recipient, cc, subject, HTML body, template code, and the record it concerns. The </w:t>
      </w:r>
      <w:r>
        <w:rPr>
          <w:rFonts w:eastAsia="Segoe UI" w:cs="Segoe UI" w:ascii="Segoe UI" w:hAnsi="Segoe UI"/>
          <w:b/>
          <w:color w:val="101820"/>
          <w:sz w:val="21"/>
        </w:rPr>
        <w:t>E-mail outbox</w:t>
      </w:r>
      <w:r>
        <w:rPr>
          <w:rFonts w:eastAsia="Segoe UI" w:cs="Segoe UI" w:ascii="Segoe UI" w:hAnsi="Segoe UI"/>
          <w:color w:val="101820"/>
          <w:sz w:val="21"/>
        </w:rPr>
        <w:t xml:space="preserve"> job (every 5 minutes) sends up to 50 queued messages per run through the SMTP server and marks them sent, or retries up to 5 times and then marks them failed. Master &gt; E-mail Outbox lists every message with its status and last error, and has Retry.</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12"/>
        <w:gridCol w:w="3461"/>
        <w:gridCol w:w="2740"/>
      </w:tblGrid>
      <w:tr>
        <w:trPr>
          <w:tblHeader w:val="true"/>
        </w:trPr>
        <w:tc>
          <w:tcPr>
            <w:tcW w:w="28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34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 / location</w:t>
            </w:r>
          </w:p>
        </w:tc>
        <w:tc>
          <w:tcPr>
            <w:tcW w:w="27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OOTB</w:t>
            </w:r>
          </w:p>
        </w:tc>
      </w:tr>
      <w:tr>
        <w:trPr/>
        <w:tc>
          <w:tcPr>
            <w:tcW w:w="28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switch: e-mail leaves the system</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(Master &gt; Configuration &gt; Notifications &amp; E-mail &gt; Notifications)</w:t>
            </w:r>
          </w:p>
        </w:tc>
        <w:tc>
          <w:tcPr>
            <w:tcW w:w="27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w:t>
            </w:r>
          </w:p>
        </w:tc>
      </w:tr>
      <w:tr>
        <w:trPr/>
        <w:tc>
          <w:tcPr>
            <w:tcW w:w="28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server</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Environment variable </w:t>
            </w:r>
            <w:r>
              <w:rPr>
                <w:rFonts w:eastAsia="Consolas" w:cs="Consolas" w:ascii="Consolas" w:hAnsi="Consolas"/>
                <w:color w:val="101820"/>
                <w:kern w:val="0"/>
                <w:sz w:val="16"/>
                <w:szCs w:val="24"/>
                <w:lang w:val="en-US" w:eastAsia="ja-JP" w:bidi="ar-SA"/>
              </w:rPr>
              <w:t>SMTP_URL</w:t>
            </w:r>
          </w:p>
        </w:tc>
        <w:tc>
          <w:tcPr>
            <w:tcW w:w="27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set in the OOTB package</w:t>
            </w:r>
          </w:p>
        </w:tc>
      </w:tr>
      <w:tr>
        <w:trPr/>
        <w:tc>
          <w:tcPr>
            <w:tcW w:w="28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Sender</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notification.from_address</w:t>
            </w:r>
          </w:p>
        </w:tc>
        <w:tc>
          <w:tcPr>
            <w:tcW w:w="27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&lt;connect@iortatechnxt.com&gt;</w:t>
            </w:r>
          </w:p>
        </w:tc>
      </w:tr>
      <w:tr>
        <w:trPr/>
        <w:tc>
          <w:tcPr>
            <w:tcW w:w="28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Outbox retention</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housekeeping.email_outbox_sent_days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housekeeping.email_outbox_failed_days</w:t>
            </w:r>
          </w:p>
        </w:tc>
        <w:tc>
          <w:tcPr>
            <w:tcW w:w="27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 730 days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While sending is off, e-mails still queue (the test system holds 260 queued e-mails), and the send and share dialogs tell the user that the message was only queued. When sending is switched on, the queue is delivered by the next run, so review the outbox before switching on in a system that held test data.</w:t>
      </w:r>
    </w:p>
    <w:p>
      <w:pPr>
        <w:pStyle w:val="Normal"/>
        <w:spacing w:lineRule="auto" w:line="276" w:before="0" w:after="120"/>
        <w:rPr/>
      </w:pPr>
      <w:r>
        <w:rPr>
          <w:rFonts w:eastAsia="Segoe UI" w:cs="Segoe UI" w:ascii="Segoe UI" w:hAnsi="Segoe UI"/>
          <w:color w:val="101820"/>
          <w:sz w:val="21"/>
        </w:rPr>
        <w:t xml:space="preserve">Four e-mails carry their document as a PDF attachment: the official receipt (E20), the premium invoice (E21), the policy issued e-mail (E07, with the policy schedule) and the commission debit note (E14). The PDF is generated when the e-mail is sent, so it shows the record as it is then, and Master &gt; E-mail Outbox names the attachment on each message. One message may carry at most </w:t>
      </w:r>
      <w:r>
        <w:rPr>
          <w:rFonts w:eastAsia="Consolas" w:cs="Consolas" w:ascii="Consolas" w:hAnsi="Consolas"/>
          <w:color w:val="101820"/>
          <w:sz w:val="19"/>
        </w:rPr>
        <w:t>email.max_attachment_mb</w:t>
      </w:r>
      <w:r>
        <w:rPr>
          <w:rFonts w:eastAsia="Segoe UI" w:cs="Segoe UI" w:ascii="Segoe UI" w:hAnsi="Segoe UI"/>
          <w:color w:val="101820"/>
          <w:sz w:val="21"/>
        </w:rPr>
        <w:t xml:space="preserve"> (10 MB) of attachments; a larger message fails at once with the reason in the outbox. Scheduled reports and remittance statements still travel as download links.</w:t>
      </w:r>
    </w:p>
    <w:p>
      <w:pPr>
        <w:pStyle w:val="Heading2"/>
        <w:rPr/>
      </w:pPr>
      <w:bookmarkStart w:id="9" w:name="__RefHeading___Toc23427_4195859891"/>
      <w:bookmarkEnd w:id="9"/>
      <w:r>
        <w:rPr>
          <w:rFonts w:eastAsia="Segoe UI" w:cs="Segoe UI"/>
          <w:b/>
          <w:color w:val="0F4761"/>
          <w:sz w:val="26"/>
        </w:rPr>
        <w:t>4.2  Templates and merge fields</w:t>
      </w:r>
    </w:p>
    <w:p>
      <w:pPr>
        <w:pStyle w:val="Normal"/>
        <w:spacing w:lineRule="auto" w:line="276" w:before="0" w:after="120"/>
        <w:rPr/>
      </w:pPr>
      <w:r>
        <w:rPr>
          <w:rFonts w:eastAsia="Segoe UI" w:cs="Segoe UI" w:ascii="Segoe UI" w:hAnsi="Segoe UI"/>
          <w:color w:val="101820"/>
          <w:sz w:val="21"/>
        </w:rPr>
        <w:t xml:space="preserve">Templates are settings. Most are edited on Master &gt; Configuration (the area is given with each template). A template is HTML with placeholders in double braces, for example </w:t>
      </w:r>
      <w:r>
        <w:rPr>
          <w:rFonts w:eastAsia="Consolas" w:cs="Consolas" w:ascii="Consolas" w:hAnsi="Consolas"/>
          <w:color w:val="101820"/>
          <w:sz w:val="19"/>
        </w:rPr>
        <w:t>{{policyNumber}}</w:t>
      </w:r>
      <w:r>
        <w:rPr>
          <w:rFonts w:eastAsia="Segoe UI" w:cs="Segoe UI" w:ascii="Segoe UI" w:hAnsi="Segoe UI"/>
          <w:color w:val="101820"/>
          <w:sz w:val="21"/>
        </w:rPr>
        <w:t xml:space="preserve">. Values are HTML-escaped in the body and inserted as plain text in the subject. A placeholder with no value is left empty. A template whose subject is missing stops the action with "E-mail template email.template.&lt;key&gt; is not configured". </w:t>
      </w:r>
      <w:r>
        <w:rPr>
          <w:rFonts w:eastAsia="Consolas" w:cs="Consolas" w:ascii="Consolas" w:hAnsi="Consolas"/>
          <w:color w:val="101820"/>
          <w:sz w:val="19"/>
        </w:rPr>
        <w:t>{{companyName}}</w:t>
      </w:r>
      <w:r>
        <w:rPr>
          <w:rFonts w:eastAsia="Segoe UI" w:cs="Segoe UI" w:ascii="Segoe UI" w:hAnsi="Segoe UI"/>
          <w:color w:val="101820"/>
          <w:sz w:val="21"/>
        </w:rPr>
        <w:t xml:space="preserve"> is the name of the letterhead company (Company master).</w:t>
      </w:r>
    </w:p>
    <w:p>
      <w:pPr>
        <w:pStyle w:val="Heading2"/>
        <w:rPr/>
      </w:pPr>
      <w:bookmarkStart w:id="10" w:name="__RefHeading___Toc23429_4195859891"/>
      <w:bookmarkEnd w:id="10"/>
      <w:r>
        <w:rPr>
          <w:rFonts w:eastAsia="Segoe UI" w:cs="Segoe UI"/>
          <w:b/>
          <w:color w:val="0F4761"/>
          <w:sz w:val="26"/>
        </w:rPr>
        <w:t>4.3  In-app notifications</w:t>
      </w:r>
    </w:p>
    <w:p>
      <w:pPr>
        <w:pStyle w:val="Normal"/>
        <w:spacing w:lineRule="auto" w:line="276" w:before="0" w:after="120"/>
        <w:rPr/>
      </w:pPr>
      <w:r>
        <w:rPr>
          <w:rFonts w:eastAsia="Segoe UI" w:cs="Segoe UI" w:ascii="Segoe UI" w:hAnsi="Segoe UI"/>
          <w:color w:val="101820"/>
          <w:sz w:val="21"/>
        </w:rPr>
        <w:t xml:space="preserve">Notifications appear under the bell in the top bar (Top bar &gt; Notifications). A notification goes to one user, or to every user holding a permission (an "audience"), with a type (info, task, approval, reminder, alert, warning, action), a title, a message and a link to the record. Read notifications are deleted after </w:t>
      </w:r>
      <w:r>
        <w:rPr>
          <w:rFonts w:eastAsia="Consolas" w:cs="Consolas" w:ascii="Consolas" w:hAnsi="Consolas"/>
          <w:color w:val="101820"/>
          <w:sz w:val="19"/>
        </w:rPr>
        <w:t>housekeeping.notifications_read_days</w:t>
      </w:r>
      <w:r>
        <w:rPr>
          <w:rFonts w:eastAsia="Segoe UI" w:cs="Segoe UI" w:ascii="Segoe UI" w:hAnsi="Segoe UI"/>
          <w:color w:val="101820"/>
          <w:sz w:val="21"/>
        </w:rPr>
        <w:t xml:space="preserve"> (180).</w:t>
      </w:r>
    </w:p>
    <w:p>
      <w:pPr>
        <w:pStyle w:val="Heading2"/>
        <w:rPr/>
      </w:pPr>
      <w:bookmarkStart w:id="11" w:name="__RefHeading___Toc23431_4195859891"/>
      <w:bookmarkEnd w:id="11"/>
      <w:r>
        <w:rPr>
          <w:rFonts w:eastAsia="Segoe UI" w:cs="Segoe UI"/>
          <w:b/>
          <w:color w:val="0F4761"/>
          <w:sz w:val="26"/>
        </w:rPr>
        <w:t>4.4  Other channels</w:t>
      </w:r>
    </w:p>
    <w:p>
      <w:pPr>
        <w:pStyle w:val="Normal"/>
        <w:spacing w:lineRule="auto" w:line="276" w:before="0" w:after="120"/>
        <w:rPr/>
      </w:pPr>
      <w:r>
        <w:rPr>
          <w:rFonts w:eastAsia="Segoe UI" w:cs="Segoe UI" w:ascii="Segoe UI" w:hAnsi="Segoe UI"/>
          <w:color w:val="101820"/>
          <w:sz w:val="21"/>
        </w:rPr>
        <w:t>There is no SMS, Viber or WhatsApp sending. Where a screen offers SMS, Phone or Letter (renewal reminders, collection follow-ups, remittance notifications), the action is only logged. Staff share the quotation approval link and online payment links by copying them (Copy approval link; payment link pay address).</w:t>
      </w:r>
    </w:p>
    <w:p>
      <w:pPr>
        <w:pStyle w:val="Normal"/>
        <w:spacing w:lineRule="auto" w:line="276" w:before="0" w:after="120"/>
        <w:rPr/>
      </w:pPr>
      <w:r>
        <w:rPr>
          <w:rFonts w:eastAsia="Segoe UI" w:cs="Segoe UI" w:ascii="Segoe UI" w:hAnsi="Segoe UI"/>
          <w:color w:val="101820"/>
          <w:sz w:val="21"/>
        </w:rPr>
        <w:t>Two-factor authentication uses an authenticator app (time-based codes); the system sends no code by e-mail or SMS for it.</w:t>
      </w:r>
      <w:r>
        <w:br w:type="page"/>
      </w:r>
    </w:p>
    <w:p>
      <w:pPr>
        <w:pStyle w:val="Heading1"/>
        <w:rPr/>
      </w:pPr>
      <w:bookmarkStart w:id="12" w:name="__RefHeading___Toc23433_4195859891"/>
      <w:bookmarkEnd w:id="12"/>
      <w:r>
        <w:rPr>
          <w:rFonts w:eastAsia="Segoe UI" w:cs="Segoe UI" w:ascii="Segoe UI" w:hAnsi="Segoe UI"/>
          <w:b/>
          <w:color w:val="0F4761"/>
          <w:sz w:val="32"/>
        </w:rPr>
        <w:t>5.  Journey overview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79"/>
        <w:gridCol w:w="2544"/>
        <w:gridCol w:w="2546"/>
        <w:gridCol w:w="2544"/>
      </w:tblGrid>
      <w:tr>
        <w:trPr>
          <w:tblHeader w:val="true"/>
        </w:trPr>
        <w:tc>
          <w:tcPr>
            <w:tcW w:w="13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Stage</w:t>
            </w:r>
          </w:p>
        </w:tc>
        <w:tc>
          <w:tcPr>
            <w:tcW w:w="25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w:t>
            </w:r>
          </w:p>
        </w:tc>
        <w:tc>
          <w:tcPr>
            <w:tcW w:w="25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Insurer</w:t>
            </w:r>
          </w:p>
        </w:tc>
        <w:tc>
          <w:tcPr>
            <w:tcW w:w="25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Internal</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approval request (E01), share quotation (E02, E03)</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submitted to insurer (E04)</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sent for approval, customer accepted, quotation approved</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(E05), placement slip firm order (E06)</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 and servicing</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with schedule attached (E07), endorsement / cancellation (E08)</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endorsement completed</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reminder (E11), collection follow-up (E12), official receipt (E20), premium invoice (E21)</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to verify, online payments, credit limit, warranty, collection reminders</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 copy (cc of E13)</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Preliminary Loss Advice (E13)</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claim, status changes, settlement approval</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(E09), renewal reminder (E10)</w:t>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reminders and approvals, renewed, lapsed</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 (E14), remittance bill / statement (E15, E16), composed notifications (E17)</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debit note, incentive approvals</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 and period end</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JV and petty cash approvals, month-end reminders</w:t>
            </w:r>
          </w:p>
        </w:tc>
      </w:tr>
      <w:tr>
        <w:trPr/>
        <w:tc>
          <w:tcPr>
            <w:tcW w:w="13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Reporting and security</w:t>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reports (E18), password reset (E19)</w:t>
            </w:r>
          </w:p>
        </w:tc>
      </w:tr>
    </w:tbl>
    <w:p>
      <w:pPr>
        <w:pStyle w:val="Normal"/>
        <w:spacing w:before="0" w:after="80"/>
        <w:rPr/>
      </w:pPr>
      <w:r>
        <w:rPr/>
      </w:r>
      <w:r>
        <w:br w:type="page"/>
      </w:r>
    </w:p>
    <w:p>
      <w:pPr>
        <w:pStyle w:val="Heading1"/>
        <w:rPr/>
      </w:pPr>
      <w:bookmarkStart w:id="13" w:name="__RefHeading___Toc23435_4195859891"/>
      <w:bookmarkEnd w:id="13"/>
      <w:r>
        <w:rPr>
          <w:rFonts w:eastAsia="Segoe UI" w:cs="Segoe UI" w:ascii="Segoe UI" w:hAnsi="Segoe UI"/>
          <w:b/>
          <w:color w:val="0F4761"/>
          <w:sz w:val="32"/>
        </w:rPr>
        <w:t>6.  E-mails to clients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902"/>
        <w:gridCol w:w="1682"/>
        <w:gridCol w:w="352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9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c>
          <w:tcPr>
            <w:tcW w:w="16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Stage</w:t>
            </w:r>
          </w:p>
        </w:tc>
        <w:tc>
          <w:tcPr>
            <w:tcW w:w="35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Recipient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E01</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approval request</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e-mail, else client e-mail (required when sending is enabled)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E02</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 quotation</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typed in the Share dialog; lead e-mail from the coverage view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E03</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 e-mail from the Share dialog</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address typed (with optional cc)</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E07</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on the policy, else the lead e-mail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E08</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or cancellation to customer</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servicing</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(skipped silently when the client has none)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E09</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 (First, Second, Final)</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(required; a notice by e-mail is refused when the client has none)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E10</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reminder</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E11</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reminder</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(clients without one are skipped and listed)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E12</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follow-up e-mail</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or the address typed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E20</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or the address typed (with optional cc)</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E21</w:t>
            </w:r>
          </w:p>
        </w:tc>
        <w:tc>
          <w:tcPr>
            <w:tcW w:w="2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invoice / statement of account</w:t>
            </w:r>
          </w:p>
        </w:tc>
        <w:tc>
          <w:tcPr>
            <w:tcW w:w="16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3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or the address typed (with optional cc)</w:t>
            </w:r>
          </w:p>
        </w:tc>
      </w:tr>
    </w:tbl>
    <w:p>
      <w:pPr>
        <w:pStyle w:val="Normal"/>
        <w:spacing w:before="0" w:after="80"/>
        <w:rPr/>
      </w:pPr>
      <w:r>
        <w:rPr/>
      </w:r>
    </w:p>
    <w:p>
      <w:pPr>
        <w:pStyle w:val="Heading2"/>
        <w:rPr/>
      </w:pPr>
      <w:bookmarkStart w:id="14" w:name="__RefHeading___Toc23437_4195859891"/>
      <w:bookmarkEnd w:id="14"/>
      <w:r>
        <w:rPr>
          <w:rFonts w:eastAsia="Segoe UI" w:cs="Segoe UI"/>
          <w:b/>
          <w:color w:val="0F4761"/>
          <w:sz w:val="26"/>
        </w:rPr>
        <w:t>6.1  E01 Quotation approval request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click Send for customer approval on a Draft quotation (quotation must have a premium).</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Quote detail &gt; Send for customer approval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e-mail, else client e-mail (required when sending is enabled)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quote_approval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email.template.quote_approval;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customerName, productType, quotationNumber, currency, grossPremium, approvalUrl, validHours,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e-mail carries a signed approval link valid for quotations.approval_link_ttl_hours (168 hours)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becomes PendingCustomer even when the e-mail cannot leave; staff can copy the link (Copy approval link) to share by Viber or WhatsApp. Also notifies the Processing Team (in-app).</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{{companyName}}: please review quotation {{quotationNumber}}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{{customerName}},&lt;/p&gt;</w:t>
      </w:r>
    </w:p>
    <w:p>
      <w:pPr>
        <w:pStyle w:val="Normal"/>
        <w:shd w:val="clear" w:color="auto" w:fill="F3F4F6"/>
        <w:spacing w:before="0" w:after="0"/>
        <w:ind w:left="170"/>
        <w:rPr/>
      </w:pPr>
      <w:r>
        <w:rPr>
          <w:rFonts w:eastAsia="Consolas" w:cs="Consolas" w:ascii="Consolas" w:hAnsi="Consolas"/>
          <w:color w:val="101820"/>
          <w:sz w:val="17"/>
        </w:rPr>
        <w:t>&lt;p&gt;Your {{productType}} quotation &lt;b&gt;{{quotationNumber}}&lt;/b&gt; is ready. Gross premium: {{currency}} {{grossPremium}}.&lt;/p&gt;</w:t>
      </w:r>
    </w:p>
    <w:p>
      <w:pPr>
        <w:pStyle w:val="Normal"/>
        <w:shd w:val="clear" w:color="auto" w:fill="F3F4F6"/>
        <w:spacing w:before="0" w:after="0"/>
        <w:ind w:left="170"/>
        <w:rPr/>
      </w:pPr>
      <w:r>
        <w:rPr>
          <w:rFonts w:eastAsia="Consolas" w:cs="Consolas" w:ascii="Consolas" w:hAnsi="Consolas"/>
          <w:color w:val="101820"/>
          <w:sz w:val="17"/>
        </w:rPr>
        <w:t>&lt;p&gt;&lt;a href="{{approvalUrl}}"&gt;Review and accept the quotation&lt;/a&gt; (link valid for {{validHours}} hours).&lt;/p&gt;</w:t>
      </w:r>
    </w:p>
    <w:p>
      <w:pPr>
        <w:pStyle w:val="Normal"/>
        <w:shd w:val="clear" w:color="auto" w:fill="F3F4F6"/>
        <w:spacing w:before="0" w:after="0"/>
        <w:ind w:left="170"/>
        <w:rPr/>
      </w:pPr>
      <w:r>
        <w:rPr>
          <w:rFonts w:eastAsia="Consolas" w:cs="Consolas" w:ascii="Consolas" w:hAnsi="Consolas"/>
          <w:color w:val="101820"/>
          <w:sz w:val="17"/>
        </w:rPr>
        <w:t>&lt;p&gt;Thank you,&lt;br/&gt;{{companyName}}&lt;/p&gt;</w:t>
      </w:r>
    </w:p>
    <w:p>
      <w:pPr>
        <w:pStyle w:val="Normal"/>
        <w:spacing w:before="0" w:after="80"/>
        <w:rPr/>
      </w:pPr>
      <w:r>
        <w:rPr/>
      </w:r>
    </w:p>
    <w:p>
      <w:pPr>
        <w:pStyle w:val="Heading2"/>
        <w:rPr/>
      </w:pPr>
      <w:bookmarkStart w:id="15" w:name="__RefHeading___Toc23439_4195859891"/>
      <w:bookmarkEnd w:id="15"/>
      <w:r>
        <w:rPr>
          <w:rFonts w:eastAsia="Segoe UI" w:cs="Segoe UI"/>
          <w:b/>
          <w:color w:val="0F4761"/>
          <w:sz w:val="26"/>
        </w:rPr>
        <w:t>6.2  E02 Share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share a quotation from the Share dialog, or e-mail it from the coverage detailed view before a policy exists.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Quote detail &gt; Share; Operations &gt; Sales &amp; Marketing &gt; Quotations &gt; Coverage detailed view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typed in the Share dialog; lead e-mail from the coverage view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share_quote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email.template.share_quote;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customerName, message, quotationNumber, productType, currency, grossPremium, validUntil, companyName, insurerName, netPremium, sumInsured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quotation PDF is downloaded separately: Share &gt; Download)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Your {{productType}} quotation {{quotationNumber}}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{{customerName}},&lt;/p&gt;</w:t>
      </w:r>
    </w:p>
    <w:p>
      <w:pPr>
        <w:pStyle w:val="Normal"/>
        <w:shd w:val="clear" w:color="auto" w:fill="F3F4F6"/>
        <w:spacing w:before="0" w:after="0"/>
        <w:ind w:left="170"/>
        <w:rPr/>
      </w:pPr>
      <w:r>
        <w:rPr>
          <w:rFonts w:eastAsia="Consolas" w:cs="Consolas" w:ascii="Consolas" w:hAnsi="Consolas"/>
          <w:color w:val="101820"/>
          <w:sz w:val="17"/>
        </w:rPr>
        <w:t>&lt;p&gt;{{message}}&lt;/p&gt;</w:t>
      </w:r>
    </w:p>
    <w:p>
      <w:pPr>
        <w:pStyle w:val="Normal"/>
        <w:shd w:val="clear" w:color="auto" w:fill="F3F4F6"/>
        <w:spacing w:before="0" w:after="0"/>
        <w:ind w:left="170"/>
        <w:rPr/>
      </w:pPr>
      <w:r>
        <w:rPr>
          <w:rFonts w:eastAsia="Consolas" w:cs="Consolas" w:ascii="Consolas" w:hAnsi="Consolas"/>
          <w:color w:val="101820"/>
          <w:sz w:val="17"/>
        </w:rPr>
        <w:t>&lt;p&gt;Quotation &lt;b&gt;{{quotationNumber}}&lt;/b&gt; ({{productType}}): gross premium {{currency}} {{grossPremium}}, valid until {{validUntil}}.&lt;/p&gt;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16" w:name="__RefHeading___Toc23441_4195859891"/>
      <w:bookmarkEnd w:id="16"/>
      <w:r>
        <w:rPr>
          <w:rFonts w:eastAsia="Segoe UI" w:cs="Segoe UI"/>
          <w:b/>
          <w:color w:val="0F4761"/>
          <w:sz w:val="26"/>
        </w:rPr>
        <w:t>6.3  E03 Custom e-mail from the Share dialog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edit the generated text in the Share dialog and send it.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Quote detail &gt; Share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address typed (with optional cc)</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custom</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the text is composed on screen (Generate starts from email.template.share_quote)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(typed by the user)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(typed by the user)</w:t>
      </w:r>
    </w:p>
    <w:p>
      <w:pPr>
        <w:pStyle w:val="Normal"/>
        <w:spacing w:before="0" w:after="80"/>
        <w:rPr/>
      </w:pPr>
      <w:r>
        <w:rPr/>
      </w:r>
    </w:p>
    <w:p>
      <w:pPr>
        <w:pStyle w:val="Heading2"/>
        <w:rPr/>
      </w:pPr>
      <w:bookmarkStart w:id="17" w:name="__RefHeading___Toc23443_4195859891"/>
      <w:bookmarkEnd w:id="17"/>
      <w:r>
        <w:rPr>
          <w:rFonts w:eastAsia="Segoe UI" w:cs="Segoe UI"/>
          <w:b/>
          <w:color w:val="0F4761"/>
          <w:sz w:val="26"/>
        </w:rPr>
        <w:t>6.4  E07 Policy issued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click the e-mail action on the coverage detailed view of a quotation that has a policy. Not sent automatically at issue.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Coverage detailed view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on the policy, else the lead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policy_issued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email.template.policy_issued;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customerName, policyNumber, productType, quotationNumber, currency, grossPremium</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schedule PDF (</w:t>
            </w:r>
            <w:r>
              <w:rPr>
                <w:rFonts w:eastAsia="Consolas" w:cs="Consolas" w:ascii="Consolas" w:hAnsi="Consolas"/>
                <w:color w:val="101820"/>
                <w:kern w:val="0"/>
                <w:sz w:val="16"/>
                <w:szCs w:val="24"/>
                <w:lang w:val="en-US" w:eastAsia="ja-JP" w:bidi="ar-SA"/>
              </w:rPr>
              <w:t>policy-schedule-&lt;policy number&gt;.pdf</w:t>
            </w:r>
            <w:r>
              <w:rPr>
                <w:rFonts w:eastAsia="Segoe UI" w:cs="Segoe UI" w:ascii="Segoe UI" w:hAnsi="Segoe UI"/>
                <w:color w:val="101820"/>
                <w:kern w:val="0"/>
                <w:sz w:val="18"/>
                <w:szCs w:val="24"/>
                <w:lang w:val="en-US" w:eastAsia="ja-JP" w:bidi="ar-SA"/>
              </w:rPr>
              <w:t>) when the quotation has a policy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Your policy {{policyNumber}} has been issued</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{{customerName}},&lt;/p&gt;</w:t>
      </w:r>
    </w:p>
    <w:p>
      <w:pPr>
        <w:pStyle w:val="Normal"/>
        <w:shd w:val="clear" w:color="auto" w:fill="F3F4F6"/>
        <w:spacing w:before="0" w:after="0"/>
        <w:ind w:left="170"/>
        <w:rPr/>
      </w:pPr>
      <w:r>
        <w:rPr>
          <w:rFonts w:eastAsia="Consolas" w:cs="Consolas" w:ascii="Consolas" w:hAnsi="Consolas"/>
          <w:color w:val="101820"/>
          <w:sz w:val="17"/>
        </w:rPr>
        <w:t>&lt;p&gt;Policy &lt;b&gt;{{policyNumber}}&lt;/b&gt; ({{productType}}) was issued from quotation {{quotationNumber}}. Gross premium: {{currency}} {{grossPremium}}.&lt;/p&gt;</w:t>
      </w:r>
    </w:p>
    <w:p>
      <w:pPr>
        <w:pStyle w:val="Normal"/>
        <w:spacing w:before="0" w:after="80"/>
        <w:rPr/>
      </w:pPr>
      <w:r>
        <w:rPr/>
      </w:r>
    </w:p>
    <w:p>
      <w:pPr>
        <w:pStyle w:val="Heading2"/>
        <w:rPr/>
      </w:pPr>
      <w:bookmarkStart w:id="18" w:name="__RefHeading___Toc23445_4195859891"/>
      <w:bookmarkEnd w:id="18"/>
      <w:r>
        <w:rPr>
          <w:rFonts w:eastAsia="Segoe UI" w:cs="Segoe UI"/>
          <w:b/>
          <w:color w:val="0F4761"/>
          <w:sz w:val="26"/>
        </w:rPr>
        <w:t>6.5  E08 Endorsement or cancellation to customer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a draft endorsement to the customer, or initiate a policy cancellation.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Policy &gt; Endorsement &gt; Summary (Send to customer / Initiate cancellation)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(skipped silently when the client has 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endorsement_customer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email.template.endorsement_customer;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customerName, action (endorsement or cancellation), endorsementNumber, policyNumber, currency, premiumDelta,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{{companyName}}: {{action}} {{endorsementNumber}} on policy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{{customerName}},&lt;/p&gt;</w:t>
      </w:r>
    </w:p>
    <w:p>
      <w:pPr>
        <w:pStyle w:val="Normal"/>
        <w:shd w:val="clear" w:color="auto" w:fill="F3F4F6"/>
        <w:spacing w:before="0" w:after="0"/>
        <w:ind w:left="170"/>
        <w:rPr/>
      </w:pPr>
      <w:r>
        <w:rPr>
          <w:rFonts w:eastAsia="Consolas" w:cs="Consolas" w:ascii="Consolas" w:hAnsi="Consolas"/>
          <w:color w:val="101820"/>
          <w:sz w:val="17"/>
        </w:rPr>
        <w:t>&lt;p&gt;We have prepared {{action}} &lt;b&gt;{{endorsementNumber}}&lt;/b&gt; on policy {{policyNumber}}. Premium adjustment: {{currency}} {{premiumDelta}}.&lt;/p&gt;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19" w:name="__RefHeading___Toc23447_4195859891"/>
      <w:bookmarkEnd w:id="19"/>
      <w:r>
        <w:rPr>
          <w:rFonts w:eastAsia="Segoe UI" w:cs="Segoe UI"/>
          <w:b/>
          <w:color w:val="0F4761"/>
          <w:sz w:val="26"/>
        </w:rPr>
        <w:t>6.6  E09 Renewal notice (First, Second, Final)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the next notice from the Renewal Queue, or a Renewal Batch sends notices for the selected policies.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 &gt; Renewal Queue (Send notice); Operations &gt; Renewals &gt; Renewal Batch &gt; Send Renewal Notices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(required; a notice by e-mail is refused when the client has 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renewal-notice-first / -second / -final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renewals.notice_subject, renewals.notice_template, renewals.notice_stages; Master &gt; Configuration &gt; Policies, Endorsements &amp; Renewals &gt; Renewals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noticeLabel (First Notice, Second Notice, Final Notice), clientName, policyNumber, insurerName, expiryDate, currency, premium,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 order enforced by renewals.enforce_notice_order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owner also gets an in-app reminder. The same subject and body serve all three stages; only noticeLabel changes.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{{noticeLabel}}: renewal of policy {{policyNumber}} (expires {{expiryDate}})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{{clientName}},&lt;/p&gt;</w:t>
      </w:r>
    </w:p>
    <w:p>
      <w:pPr>
        <w:pStyle w:val="Normal"/>
        <w:shd w:val="clear" w:color="auto" w:fill="F3F4F6"/>
        <w:spacing w:before="0" w:after="0"/>
        <w:ind w:left="170"/>
        <w:rPr/>
      </w:pPr>
      <w:r>
        <w:rPr>
          <w:rFonts w:eastAsia="Consolas" w:cs="Consolas" w:ascii="Consolas" w:hAnsi="Consolas"/>
          <w:color w:val="101820"/>
          <w:sz w:val="17"/>
        </w:rPr>
        <w:t>&lt;p&gt;Your policy &lt;b&gt;{{policyNumber}}&lt;/b&gt; with {{insurerName}} expires on {{expiryDate}}.&lt;/p&gt;</w:t>
      </w:r>
    </w:p>
    <w:p>
      <w:pPr>
        <w:pStyle w:val="Normal"/>
        <w:shd w:val="clear" w:color="auto" w:fill="F3F4F6"/>
        <w:spacing w:before="0" w:after="0"/>
        <w:ind w:left="170"/>
        <w:rPr/>
      </w:pPr>
      <w:r>
        <w:rPr>
          <w:rFonts w:eastAsia="Consolas" w:cs="Consolas" w:ascii="Consolas" w:hAnsi="Consolas"/>
          <w:color w:val="101820"/>
          <w:sz w:val="17"/>
        </w:rPr>
        <w:t>&lt;p&gt;Renewal premium: {{currency}} {{premium}}.&lt;/p&gt;</w:t>
      </w:r>
    </w:p>
    <w:p>
      <w:pPr>
        <w:pStyle w:val="Normal"/>
        <w:shd w:val="clear" w:color="auto" w:fill="F3F4F6"/>
        <w:spacing w:before="0" w:after="0"/>
        <w:ind w:left="170"/>
        <w:rPr/>
      </w:pPr>
      <w:r>
        <w:rPr>
          <w:rFonts w:eastAsia="Consolas" w:cs="Consolas" w:ascii="Consolas" w:hAnsi="Consolas"/>
          <w:color w:val="101820"/>
          <w:sz w:val="17"/>
        </w:rPr>
        <w:t>&lt;p&gt;Please contact us to renew and keep your cover in force.&lt;/p&gt;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0" w:name="__RefHeading___Toc23449_4195859891"/>
      <w:bookmarkEnd w:id="20"/>
      <w:r>
        <w:rPr>
          <w:rFonts w:eastAsia="Segoe UI" w:cs="Segoe UI"/>
          <w:b/>
          <w:color w:val="0F4761"/>
          <w:sz w:val="26"/>
        </w:rPr>
        <w:t>6.7  E10 Renewal reminder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log a reminder with method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 &gt; Renewal Queue &gt; Send 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renewals.notice_subject, renewals.notice_template; Master &gt; Configuration &gt; Policies, Endorsements &amp; Renewals &gt; Renewals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the renewal notice, with noticeLabel = Renewal 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Methods SMS, Phone and Letter are only logged; nothing is sent.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{{noticeLabel}}: renewal of policy {{policyNumber}} (expires {{expiryDate}})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{{clientName}},&lt;/p&gt;</w:t>
      </w:r>
    </w:p>
    <w:p>
      <w:pPr>
        <w:pStyle w:val="Normal"/>
        <w:shd w:val="clear" w:color="auto" w:fill="F3F4F6"/>
        <w:spacing w:before="0" w:after="0"/>
        <w:ind w:left="170"/>
        <w:rPr/>
      </w:pPr>
      <w:r>
        <w:rPr>
          <w:rFonts w:eastAsia="Consolas" w:cs="Consolas" w:ascii="Consolas" w:hAnsi="Consolas"/>
          <w:color w:val="101820"/>
          <w:sz w:val="17"/>
        </w:rPr>
        <w:t>&lt;p&gt;Your policy &lt;b&gt;{{policyNumber}}&lt;/b&gt; with {{insurerName}} expires on {{expiryDate}}.&lt;/p&gt;</w:t>
      </w:r>
    </w:p>
    <w:p>
      <w:pPr>
        <w:pStyle w:val="Normal"/>
        <w:shd w:val="clear" w:color="auto" w:fill="F3F4F6"/>
        <w:spacing w:before="0" w:after="0"/>
        <w:ind w:left="170"/>
        <w:rPr/>
      </w:pPr>
      <w:r>
        <w:rPr>
          <w:rFonts w:eastAsia="Consolas" w:cs="Consolas" w:ascii="Consolas" w:hAnsi="Consolas"/>
          <w:color w:val="101820"/>
          <w:sz w:val="17"/>
        </w:rPr>
        <w:t>&lt;p&gt;Renewal premium: {{currency}} {{premium}}.&lt;/p&gt;</w:t>
      </w:r>
    </w:p>
    <w:p>
      <w:pPr>
        <w:pStyle w:val="Normal"/>
        <w:shd w:val="clear" w:color="auto" w:fill="F3F4F6"/>
        <w:spacing w:before="0" w:after="0"/>
        <w:ind w:left="170"/>
        <w:rPr/>
      </w:pPr>
      <w:r>
        <w:rPr>
          <w:rFonts w:eastAsia="Consolas" w:cs="Consolas" w:ascii="Consolas" w:hAnsi="Consolas"/>
          <w:color w:val="101820"/>
          <w:sz w:val="17"/>
        </w:rPr>
        <w:t>&lt;p&gt;Please contact us to renew and keep your cover in force.&lt;/p&gt;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1" w:name="__RefHeading___Toc23451_4195859891"/>
      <w:bookmarkEnd w:id="21"/>
      <w:r>
        <w:rPr>
          <w:rFonts w:eastAsia="Segoe UI" w:cs="Segoe UI"/>
          <w:b/>
          <w:color w:val="0F4761"/>
          <w:sz w:val="26"/>
        </w:rPr>
        <w:t>6.8  E11 Premium payment reminder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Collection reminders job (daily 08:00) or the Send Payment Reminders Now button: bills due within collections.reminder_days_before (7) days or overdue, not reminded in collections.reminder_repeat_days (7) days.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 (collection-reminders); Accounts &gt; Collections &gt; Send Payment Reminders Now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(clients without one are skipped and listed)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collections.email_subject, collections.email_template; Master &gt; Configuration &gt; Billing, Collections &amp; Credit &gt; Collections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clientName, policyNumber, billNumber, amount (with peso sign), dueDate, daysPastDue,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 the job can be switched off on Master &gt; Schedules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body says "is due on" also for overdue bills. The policy owner and holders of write:collections get an in-app reminder.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Premium payment reminder - Policy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{{clientName}},&lt;/p&gt;</w:t>
      </w:r>
    </w:p>
    <w:p>
      <w:pPr>
        <w:pStyle w:val="Normal"/>
        <w:shd w:val="clear" w:color="auto" w:fill="F3F4F6"/>
        <w:spacing w:before="0" w:after="0"/>
        <w:ind w:left="170"/>
        <w:rPr/>
      </w:pPr>
      <w:r>
        <w:rPr>
          <w:rFonts w:eastAsia="Consolas" w:cs="Consolas" w:ascii="Consolas" w:hAnsi="Consolas"/>
          <w:color w:val="101820"/>
          <w:sz w:val="17"/>
        </w:rPr>
        <w:t>&lt;p&gt;This is a friendly reminder that the premium of &lt;b&gt;{{amount}}&lt;/b&gt; for policy &lt;b&gt;{{policyNumber}}&lt;/b&gt; (bill {{billNumber}}) is due on {{dueDate}}.&lt;/p&gt;</w:t>
      </w:r>
    </w:p>
    <w:p>
      <w:pPr>
        <w:pStyle w:val="Normal"/>
        <w:shd w:val="clear" w:color="auto" w:fill="F3F4F6"/>
        <w:spacing w:before="0" w:after="0"/>
        <w:ind w:left="170"/>
        <w:rPr/>
      </w:pPr>
      <w:r>
        <w:rPr>
          <w:rFonts w:eastAsia="Consolas" w:cs="Consolas" w:ascii="Consolas" w:hAnsi="Consolas"/>
          <w:color w:val="101820"/>
          <w:sz w:val="17"/>
        </w:rPr>
        <w:t>&lt;p&gt;Please disregard this notice if payment has been made.&lt;/p&gt;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2" w:name="__RefHeading___Toc23453_4195859891"/>
      <w:bookmarkEnd w:id="22"/>
      <w:r>
        <w:rPr>
          <w:rFonts w:eastAsia="Segoe UI" w:cs="Segoe UI"/>
          <w:b/>
          <w:color w:val="0F4761"/>
          <w:sz w:val="26"/>
        </w:rPr>
        <w:t>6.9  E12 Collection follow-up e-mail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an e-mail from a collection item, or a premium reminder from the Premium Warranty Monitor.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&gt; Detail &gt; Send e-mail; Accounts &gt; Credit Control &gt; Premium Warranty Monitor &gt; Remind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e-mail, or the address typed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collection-follow-up</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collections.email_subject (when no subject is typed), collections.email_template (when no notes are typed); Master &gt; Configuration &gt; Billing, Collections &amp; Credit &gt; Collections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the payment reminder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Logged as an Email action on the collection item (and as a reminder on the warranty monitor).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Premium payment reminder - Policy {{policyNumber}} (or the subject typed)</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The notes typed on screen, or the collection template above</w:t>
      </w:r>
    </w:p>
    <w:p>
      <w:pPr>
        <w:pStyle w:val="Normal"/>
        <w:spacing w:before="0" w:after="80"/>
        <w:rPr/>
      </w:pPr>
      <w:r>
        <w:rPr/>
      </w:r>
    </w:p>
    <w:p>
      <w:pPr>
        <w:pStyle w:val="Heading2"/>
        <w:rPr/>
      </w:pPr>
      <w:bookmarkStart w:id="23" w:name="__RefHeading___Toc23455_4195859891"/>
      <w:bookmarkEnd w:id="23"/>
      <w:r>
        <w:rPr>
          <w:rFonts w:eastAsia="Segoe UI" w:cs="Segoe UI"/>
          <w:b/>
          <w:color w:val="0F4761"/>
          <w:sz w:val="26"/>
        </w:rPr>
        <w:t>6.10  E20 Official receipt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Staff click E-mail receipt on a receipt, or automatically when a receipt is recorded and </w:t>
            </w:r>
            <w:r>
              <w:rPr>
                <w:rFonts w:eastAsia="Consolas" w:cs="Consolas" w:ascii="Consolas" w:hAnsi="Consolas"/>
                <w:color w:val="101820"/>
                <w:kern w:val="0"/>
                <w:sz w:val="16"/>
                <w:szCs w:val="24"/>
                <w:lang w:val="en-US" w:eastAsia="ja-JP" w:bidi="ar-SA"/>
              </w:rPr>
              <w:t>receipts.email_on_record</w:t>
            </w:r>
            <w:r>
              <w:rPr>
                <w:rFonts w:eastAsia="Segoe UI" w:cs="Segoe UI" w:ascii="Segoe UI" w:hAnsi="Segoe UI"/>
                <w:color w:val="101820"/>
                <w:kern w:val="0"/>
                <w:sz w:val="18"/>
                <w:szCs w:val="24"/>
                <w:lang w:val="en-US" w:eastAsia="ja-JP" w:bidi="ar-SA"/>
              </w:rPr>
              <w:t xml:space="preserve"> is 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Receipts &gt; View &gt; E-mail receipt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typed, else the client e-mail; refused with "The client has no e-mail address; enter one" when there is 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official-receipt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official-receipt-auto</w:t>
            </w:r>
            <w:r>
              <w:rPr>
                <w:rFonts w:eastAsia="Segoe UI" w:cs="Segoe UI" w:ascii="Segoe UI" w:hAnsi="Segoe UI"/>
                <w:color w:val="101820"/>
                <w:kern w:val="0"/>
                <w:sz w:val="18"/>
                <w:szCs w:val="24"/>
                <w:lang w:val="en-US" w:eastAsia="ja-JP" w:bidi="ar-SA"/>
              </w:rPr>
              <w:t xml:space="preserve"> when sent automatically)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receipts.email_subject, receipts.email_template, receipts.email_on_record; Master &gt; Configuration &gt; Billing, Collections &amp; Credit &gt; Receipts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clientName, receiptNumber, policyNumber, amount, receiptDate, paymentMode, referenceNo, balance, customerCode, note,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PDF (</w:t>
            </w:r>
            <w:r>
              <w:rPr>
                <w:rFonts w:eastAsia="Consolas" w:cs="Consolas" w:ascii="Consolas" w:hAnsi="Consolas"/>
                <w:color w:val="101820"/>
                <w:kern w:val="0"/>
                <w:sz w:val="16"/>
                <w:szCs w:val="24"/>
                <w:lang w:val="en-US" w:eastAsia="ja-JP" w:bidi="ar-SA"/>
              </w:rPr>
              <w:t>receipt-&lt;OR number&gt;.pdf</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receipts.email_on_record</w:t>
            </w:r>
            <w:r>
              <w:rPr>
                <w:rFonts w:eastAsia="Segoe UI" w:cs="Segoe UI" w:ascii="Segoe UI" w:hAnsi="Segoe UI"/>
                <w:color w:val="101820"/>
                <w:kern w:val="0"/>
                <w:sz w:val="18"/>
                <w:szCs w:val="24"/>
                <w:lang w:val="en-US" w:eastAsia="ja-JP" w:bidi="ar-SA"/>
              </w:rPr>
              <w:t xml:space="preserve"> (false) for the automatic e-mail;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Official receipt {{receiptNumber}} for policy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 (summary): thanks the client for the payment, names the attached receipt, then a table of amount received, date received, mode of payment, reference and balance remaining, the note typed on screen, and the company name.</w:t>
      </w:r>
    </w:p>
    <w:p>
      <w:pPr>
        <w:pStyle w:val="Heading2"/>
        <w:rPr/>
      </w:pPr>
      <w:bookmarkStart w:id="24" w:name="__RefHeading___Toc23457_4195859891"/>
      <w:bookmarkEnd w:id="24"/>
      <w:r>
        <w:rPr>
          <w:rFonts w:eastAsia="Segoe UI" w:cs="Segoe UI"/>
          <w:b/>
          <w:color w:val="0F4761"/>
          <w:sz w:val="26"/>
        </w:rPr>
        <w:t>6.11  E21 Premium invoice / statement of account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Staff click E-mail invoice on a collection item, or automatically when a bill is issued from a policy, endorsement or renewal and </w:t>
            </w:r>
            <w:r>
              <w:rPr>
                <w:rFonts w:eastAsia="Consolas" w:cs="Consolas" w:ascii="Consolas" w:hAnsi="Consolas"/>
                <w:color w:val="101820"/>
                <w:kern w:val="0"/>
                <w:sz w:val="16"/>
                <w:szCs w:val="24"/>
                <w:lang w:val="en-US" w:eastAsia="ja-JP" w:bidi="ar-SA"/>
              </w:rPr>
              <w:t>billing.email_on_issue</w:t>
            </w:r>
            <w:r>
              <w:rPr>
                <w:rFonts w:eastAsia="Segoe UI" w:cs="Segoe UI" w:ascii="Segoe UI" w:hAnsi="Segoe UI"/>
                <w:color w:val="101820"/>
                <w:kern w:val="0"/>
                <w:sz w:val="18"/>
                <w:szCs w:val="24"/>
                <w:lang w:val="en-US" w:eastAsia="ja-JP" w:bidi="ar-SA"/>
              </w:rPr>
              <w:t xml:space="preserve"> is 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&gt; Detail &gt; E-mail invoice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typed, else the client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premium-invoice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premium-invoice-auto</w:t>
            </w:r>
            <w:r>
              <w:rPr>
                <w:rFonts w:eastAsia="Segoe UI" w:cs="Segoe UI" w:ascii="Segoe UI" w:hAnsi="Segoe UI"/>
                <w:color w:val="101820"/>
                <w:kern w:val="0"/>
                <w:sz w:val="18"/>
                <w:szCs w:val="24"/>
                <w:lang w:val="en-US" w:eastAsia="ja-JP" w:bidi="ar-SA"/>
              </w:rPr>
              <w:t xml:space="preserve"> when sent automatically)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billing.email_subject, billing.email_template, billing.payment_instructions, billing.email_on_issue; Master &gt; Configuration &gt; Other settings &gt; Billing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clientName, billNumber, policyNumber, productName, insurerName, netPremium, taxes, grossPremium, amountDue, billDate, dueDate, paymentInstructions, note,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invoice PDF (</w:t>
            </w:r>
            <w:r>
              <w:rPr>
                <w:rFonts w:eastAsia="Consolas" w:cs="Consolas" w:ascii="Consolas" w:hAnsi="Consolas"/>
                <w:color w:val="101820"/>
                <w:kern w:val="0"/>
                <w:sz w:val="16"/>
                <w:szCs w:val="24"/>
                <w:lang w:val="en-US" w:eastAsia="ja-JP" w:bidi="ar-SA"/>
              </w:rPr>
              <w:t>invoice-&lt;bill number&gt;.pdf</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billing.email_on_issue</w:t>
            </w:r>
            <w:r>
              <w:rPr>
                <w:rFonts w:eastAsia="Segoe UI" w:cs="Segoe UI" w:ascii="Segoe UI" w:hAnsi="Segoe UI"/>
                <w:color w:val="101820"/>
                <w:kern w:val="0"/>
                <w:sz w:val="18"/>
                <w:szCs w:val="24"/>
                <w:lang w:val="en-US" w:eastAsia="ja-JP" w:bidi="ar-SA"/>
              </w:rPr>
              <w:t xml:space="preserve"> (false) for the automatic e-mail;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Premium invoice {{billNumber}} for policy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 (summary): names the attached invoice, then a table of net premium, taxes and charges, gross premium, amount due and due date, the payment instructions, the note, and the company name.</w:t>
      </w:r>
      <w:r>
        <w:br w:type="page"/>
      </w:r>
    </w:p>
    <w:p>
      <w:pPr>
        <w:pStyle w:val="Heading1"/>
        <w:rPr/>
      </w:pPr>
      <w:bookmarkStart w:id="25" w:name="__RefHeading___Toc23459_4195859891"/>
      <w:bookmarkEnd w:id="25"/>
      <w:r>
        <w:rPr>
          <w:rFonts w:eastAsia="Segoe UI" w:cs="Segoe UI" w:ascii="Segoe UI" w:hAnsi="Segoe UI"/>
          <w:b/>
          <w:color w:val="0F4761"/>
          <w:sz w:val="32"/>
        </w:rPr>
        <w:t>7.  E-mails to insurers and agents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976"/>
        <w:gridCol w:w="1780"/>
        <w:gridCol w:w="335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9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c>
          <w:tcPr>
            <w:tcW w:w="17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Stage</w:t>
            </w:r>
          </w:p>
        </w:tc>
        <w:tc>
          <w:tcPr>
            <w:tcW w:w="33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Recipient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E04</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submitted to insurer</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contact e-mail (Insurance Company master); insurers without one are listed as failed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E05</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for quotation (broker slip)</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pending insurer on the slip (contact e-mail from the Insurance Company master)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E06</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 (firm order)</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participant not yet confirmed; one e-mail per insurer showing its own share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E13</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Preliminary Loss Advice</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e-mail, else claims.pla_default_recipient (OOTB claims@brokerverse.local); cc the insured client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E14</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entered, else the insurer e-mail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E15</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Agency bill or insurer remittance statement</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entered, else the agent user e-mail, else the insurer e-mail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E16</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statement (advice)</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address entered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E17</w:t>
            </w:r>
          </w:p>
        </w:tc>
        <w:tc>
          <w:tcPr>
            <w:tcW w:w="2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notification (composed)</w:t>
            </w:r>
          </w:p>
        </w:tc>
        <w:tc>
          <w:tcPr>
            <w:tcW w:w="17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commission</w:t>
            </w:r>
          </w:p>
        </w:tc>
        <w:tc>
          <w:tcPr>
            <w:tcW w:w="3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recipient containing @</w:t>
            </w:r>
          </w:p>
        </w:tc>
      </w:tr>
    </w:tbl>
    <w:p>
      <w:pPr>
        <w:pStyle w:val="Normal"/>
        <w:spacing w:before="0" w:after="80"/>
        <w:rPr/>
      </w:pPr>
      <w:r>
        <w:rPr/>
      </w:r>
    </w:p>
    <w:p>
      <w:pPr>
        <w:pStyle w:val="Heading2"/>
        <w:rPr/>
      </w:pPr>
      <w:bookmarkStart w:id="26" w:name="__RefHeading___Toc23461_4195859891"/>
      <w:bookmarkEnd w:id="26"/>
      <w:r>
        <w:rPr>
          <w:rFonts w:eastAsia="Segoe UI" w:cs="Segoe UI"/>
          <w:b/>
          <w:color w:val="0F4761"/>
          <w:sz w:val="26"/>
        </w:rPr>
        <w:t>7.1  E04 Quotation submitted to insurer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submit a customer-accepted quotation to the insurer, or send a quotation to selected insurers.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Quote detail &gt; Submit to insurer; Quote detail &gt; Share &gt; Send to insurer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contact e-mail (Insurance Company master); insurers without one are listed as failed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insurer_submission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email.template.insurer_submission;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insurerName, quotationNumber, customerName, productType, currency, sumInsured, grossPremium,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Placement request {{quotationNumber}} - {{productType}}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 underwriting team,&lt;/p&gt;</w:t>
      </w:r>
    </w:p>
    <w:p>
      <w:pPr>
        <w:pStyle w:val="Normal"/>
        <w:shd w:val="clear" w:color="auto" w:fill="F3F4F6"/>
        <w:spacing w:before="0" w:after="0"/>
        <w:ind w:left="170"/>
        <w:rPr/>
      </w:pPr>
      <w:r>
        <w:rPr>
          <w:rFonts w:eastAsia="Consolas" w:cs="Consolas" w:ascii="Consolas" w:hAnsi="Consolas"/>
          <w:color w:val="101820"/>
          <w:sz w:val="17"/>
        </w:rPr>
        <w:t>&lt;p&gt;Please review quotation &lt;b&gt;{{quotationNumber}}&lt;/b&gt; for {{customerName}} ({{productType}}), sum insured {{currency}} {{sumInsured}}, indicated gross premium {{currency}} {{grossPremium}}.&lt;/p&gt;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7" w:name="__RefHeading___Toc23463_4195859891"/>
      <w:bookmarkEnd w:id="27"/>
      <w:r>
        <w:rPr>
          <w:rFonts w:eastAsia="Segoe UI" w:cs="Segoe UI"/>
          <w:b/>
          <w:color w:val="0F4761"/>
          <w:sz w:val="26"/>
        </w:rPr>
        <w:t>7.2  E05 Request for quotation (broker slip)</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submit a broker slip to the market, or add an insurer to a submitted slip.</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Request for Quotation (Broker Slip) &gt; Submit; Detail &gt; Add insurer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pending insurer on the slip (contact e-mail from the Insurance Company master)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broker_slip_request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email.template.broker_slip_request;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insurerName, slipNumber, insuredName, productType, currency, sumInsured, period, covers, responseDueDate, companyName, offerNumber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(Broker Slip PDF available on the detail screen)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Request for quotation {{slipNumber}} - {{productType}} - {{insuredName}}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 underwriting team,&lt;/p&gt;</w:t>
      </w:r>
    </w:p>
    <w:p>
      <w:pPr>
        <w:pStyle w:val="Normal"/>
        <w:shd w:val="clear" w:color="auto" w:fill="F3F4F6"/>
        <w:spacing w:before="0" w:after="0"/>
        <w:ind w:left="170"/>
        <w:rPr/>
      </w:pPr>
      <w:r>
        <w:rPr>
          <w:rFonts w:eastAsia="Consolas" w:cs="Consolas" w:ascii="Consolas" w:hAnsi="Consolas"/>
          <w:color w:val="101820"/>
          <w:sz w:val="17"/>
        </w:rPr>
        <w:t>&lt;p&gt;We invite your quotation for the risk below.&lt;/p&gt;</w:t>
      </w:r>
    </w:p>
    <w:p>
      <w:pPr>
        <w:pStyle w:val="Normal"/>
        <w:shd w:val="clear" w:color="auto" w:fill="F3F4F6"/>
        <w:spacing w:before="0" w:after="0"/>
        <w:ind w:left="170"/>
        <w:rPr/>
      </w:pPr>
      <w:r>
        <w:rPr>
          <w:rFonts w:eastAsia="Consolas" w:cs="Consolas" w:ascii="Consolas" w:hAnsi="Consolas"/>
          <w:color w:val="101820"/>
          <w:sz w:val="17"/>
        </w:rPr>
        <w:t>&lt;p&gt;Broker slip &lt;b&gt;{{slipNumber}}&lt;/b&gt;&lt;br/&gt;Insured: {{insuredName}}&lt;br/&gt;Class: {{productType}}&lt;br/&gt;Sum insured: {{currency}} {{sumInsured}}&lt;br/&gt;Period: {{period}}&lt;br/&gt;Requested covers: {{covers}}&lt;/p&gt;</w:t>
      </w:r>
    </w:p>
    <w:p>
      <w:pPr>
        <w:pStyle w:val="Normal"/>
        <w:shd w:val="clear" w:color="auto" w:fill="F3F4F6"/>
        <w:spacing w:before="0" w:after="0"/>
        <w:ind w:left="170"/>
        <w:rPr/>
      </w:pPr>
      <w:r>
        <w:rPr>
          <w:rFonts w:eastAsia="Consolas" w:cs="Consolas" w:ascii="Consolas" w:hAnsi="Consolas"/>
          <w:color w:val="101820"/>
          <w:sz w:val="17"/>
        </w:rPr>
        <w:t>&lt;p&gt;Please send your terms (premium, rate, deductibles, conditions, the line you can write and the validity of the offer) by &lt;b&gt;{{responseDueDate}}&lt;/b&gt;.&lt;/p&gt;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8" w:name="__RefHeading___Toc23465_4195859891"/>
      <w:bookmarkEnd w:id="28"/>
      <w:r>
        <w:rPr>
          <w:rFonts w:eastAsia="Segoe UI" w:cs="Segoe UI"/>
          <w:b/>
          <w:color w:val="0F4761"/>
          <w:sz w:val="26"/>
        </w:rPr>
        <w:t>7.3  E06 Placement slip (firm order)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the placement slip to the participating insurers (all, or selected ones).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Placement Slips &gt; Detail &gt; Send to insurer(s)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participant not yet confirmed; one e-mail per insurer showing its own share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placement_order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email.template.placement_order; Master &gt; Configuration &gt; Notifications &amp; E-mail &gt; E-mail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insurerName, placementNumber, insuredName, productType, period, currency, sumInsured, sharePercent, role, shareSumInsured, sharePremium, sharePremiumTotal,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(Placement Slip PDF per participant on the detail screen)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Placement slip {{placementNumber}} - firm order - {{insuredName}}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 underwriting team,&lt;/p&gt;</w:t>
      </w:r>
    </w:p>
    <w:p>
      <w:pPr>
        <w:pStyle w:val="Normal"/>
        <w:shd w:val="clear" w:color="auto" w:fill="F3F4F6"/>
        <w:spacing w:before="0" w:after="0"/>
        <w:ind w:left="170"/>
        <w:rPr/>
      </w:pPr>
      <w:r>
        <w:rPr>
          <w:rFonts w:eastAsia="Consolas" w:cs="Consolas" w:ascii="Consolas" w:hAnsi="Consolas"/>
          <w:color w:val="101820"/>
          <w:sz w:val="17"/>
        </w:rPr>
        <w:t>&lt;p&gt;On behalf of our client we place the risk below with you and request your confirmation of cover and your policy / certificate number.&lt;/p&gt;</w:t>
      </w:r>
    </w:p>
    <w:p>
      <w:pPr>
        <w:pStyle w:val="Normal"/>
        <w:shd w:val="clear" w:color="auto" w:fill="F3F4F6"/>
        <w:spacing w:before="0" w:after="0"/>
        <w:ind w:left="170"/>
        <w:rPr/>
      </w:pPr>
      <w:r>
        <w:rPr>
          <w:rFonts w:eastAsia="Consolas" w:cs="Consolas" w:ascii="Consolas" w:hAnsi="Consolas"/>
          <w:color w:val="101820"/>
          <w:sz w:val="17"/>
        </w:rPr>
        <w:t>&lt;p&gt;Placement slip &lt;b&gt;{{placementNumber}}&lt;/b&gt;&lt;br/&gt;Insured: {{insuredName}}&lt;br/&gt;Class: {{productType}}&lt;br/&gt;Period: {{period}}&lt;br/&gt;Sum insured (100%): {{currency}} {{sumInsured}}&lt;br/&gt;Your share: &lt;b&gt;{{sharePercent}}%&lt;/b&gt; ({{role}})&lt;br/&gt;Your share of sum insured: {{currency}} {{shareSumInsured}}&lt;br/&gt;Your share of premium: {{currency}} {{sharePremium}} (gross {{currency}} {{sharePremiumTotal}})&lt;/p&gt;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29" w:name="__RefHeading___Toc23467_4195859891"/>
      <w:bookmarkEnd w:id="29"/>
      <w:r>
        <w:rPr>
          <w:rFonts w:eastAsia="Segoe UI" w:cs="Segoe UI"/>
          <w:b/>
          <w:color w:val="0F4761"/>
          <w:sz w:val="26"/>
        </w:rPr>
        <w:t>7.4  E13 Preliminary Loss Advice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claim is registered (the registration form includes the Send mail step).</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Claims &gt; Register claim &gt; Send 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e-mail, else claims.pla_default_recipient (OOTB claims@brokerverse.local); cc the insured client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claim-pla</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claims.pla_subject, claims.pla_template; Master &gt; Configuration &gt; Claims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insurerName, policyNumber, insuredName, claimNumber, lossDate, lossTime, lossPlace, lossType, currency, estimate, message (typed text),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 claims.pla_enabled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the user types a subject other than "New Claim Notification", the subject becomes "&lt;typed subject&gt; - &lt;claim number&gt;" (the test data shows "Claim notification POL-... - CLM-...").</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Preliminary Loss Advice - {{claimNumber}} / {{policyNumber}}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{{insurerName}},&lt;/p&gt;</w:t>
      </w:r>
    </w:p>
    <w:p>
      <w:pPr>
        <w:pStyle w:val="Normal"/>
        <w:shd w:val="clear" w:color="auto" w:fill="F3F4F6"/>
        <w:spacing w:before="0" w:after="0"/>
        <w:ind w:left="170"/>
        <w:rPr/>
      </w:pPr>
      <w:r>
        <w:rPr>
          <w:rFonts w:eastAsia="Consolas" w:cs="Consolas" w:ascii="Consolas" w:hAnsi="Consolas"/>
          <w:color w:val="101820"/>
          <w:sz w:val="17"/>
        </w:rPr>
        <w:t>&lt;p&gt;We advise a loss under policy &lt;b&gt;{{policyNumber}}&lt;/b&gt; of {{insuredName}}.&lt;/p&gt;</w:t>
      </w:r>
    </w:p>
    <w:p>
      <w:pPr>
        <w:pStyle w:val="Normal"/>
        <w:shd w:val="clear" w:color="auto" w:fill="F3F4F6"/>
        <w:spacing w:before="0" w:after="0"/>
        <w:ind w:left="170"/>
        <w:rPr/>
      </w:pPr>
      <w:r>
        <w:rPr>
          <w:rFonts w:eastAsia="Consolas" w:cs="Consolas" w:ascii="Consolas" w:hAnsi="Consolas"/>
          <w:color w:val="101820"/>
          <w:sz w:val="17"/>
        </w:rPr>
        <w:t>&lt;p&gt;Claim reference: {{claimNumber}}&lt;br/&gt;Date of loss: {{lossDate}} {{lossTime}}&lt;br/&gt;Place of loss: {{lossPlace}}&lt;br/&gt;Nature of loss: {{lossType}}&lt;br/&gt;Estimated amount: {{currency}} {{estimate}}&lt;/p&gt;</w:t>
      </w:r>
    </w:p>
    <w:p>
      <w:pPr>
        <w:pStyle w:val="Normal"/>
        <w:shd w:val="clear" w:color="auto" w:fill="F3F4F6"/>
        <w:spacing w:before="0" w:after="0"/>
        <w:ind w:left="170"/>
        <w:rPr/>
      </w:pPr>
      <w:r>
        <w:rPr>
          <w:rFonts w:eastAsia="Consolas" w:cs="Consolas" w:ascii="Consolas" w:hAnsi="Consolas"/>
          <w:color w:val="101820"/>
          <w:sz w:val="17"/>
        </w:rPr>
        <w:t>&lt;p&gt;{{message}}&lt;/p&gt;</w:t>
      </w:r>
    </w:p>
    <w:p>
      <w:pPr>
        <w:pStyle w:val="Normal"/>
        <w:shd w:val="clear" w:color="auto" w:fill="F3F4F6"/>
        <w:spacing w:before="0" w:after="0"/>
        <w:ind w:left="170"/>
        <w:rPr/>
      </w:pPr>
      <w:r>
        <w:rPr>
          <w:rFonts w:eastAsia="Consolas" w:cs="Consolas" w:ascii="Consolas" w:hAnsi="Consolas"/>
          <w:color w:val="101820"/>
          <w:sz w:val="17"/>
        </w:rPr>
        <w:t>&lt;p&gt;{{companyName}} Claims&lt;/p&gt;</w:t>
      </w:r>
    </w:p>
    <w:p>
      <w:pPr>
        <w:pStyle w:val="Normal"/>
        <w:spacing w:before="0" w:after="80"/>
        <w:rPr/>
      </w:pPr>
      <w:r>
        <w:rPr/>
      </w:r>
    </w:p>
    <w:p>
      <w:pPr>
        <w:pStyle w:val="Heading2"/>
        <w:rPr/>
      </w:pPr>
      <w:bookmarkStart w:id="30" w:name="__RefHeading___Toc23469_4195859891"/>
      <w:bookmarkEnd w:id="30"/>
      <w:r>
        <w:rPr>
          <w:rFonts w:eastAsia="Segoe UI" w:cs="Segoe UI"/>
          <w:b/>
          <w:color w:val="0F4761"/>
          <w:sz w:val="26"/>
        </w:rPr>
        <w:t>7.5  E14 Commission debit note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an approved commission debit note (direct bill).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Direct Bill Processing &gt; Debit Notes &gt; Send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entered, else the insurer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commission-debit-note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direct_bill.email_subject, direct_bill.email_body; Master &gt; Configuration &gt; Remittance &amp; Reconciliation &gt; Direct bill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dnNumber, insurerName, amount (currency and amount), dueDate,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 PDF (</w:t>
            </w:r>
            <w:r>
              <w:rPr>
                <w:rFonts w:eastAsia="Consolas" w:cs="Consolas" w:ascii="Consolas" w:hAnsi="Consolas"/>
                <w:color w:val="101820"/>
                <w:kern w:val="0"/>
                <w:sz w:val="16"/>
                <w:szCs w:val="24"/>
                <w:lang w:val="en-US" w:eastAsia="ja-JP" w:bidi="ar-SA"/>
              </w:rPr>
              <w:t>debit-note-&lt;DN number&gt;.pdf</w:t>
            </w:r>
            <w:r>
              <w:rPr>
                <w:rFonts w:eastAsia="Segoe UI" w:cs="Segoe UI" w:ascii="Segoe UI" w:hAnsi="Segoe UI"/>
                <w:color w:val="101820"/>
                <w:kern w:val="0"/>
                <w:sz w:val="18"/>
                <w:szCs w:val="24"/>
                <w:lang w:val="en-US" w:eastAsia="ja-JP" w:bidi="ar-SA"/>
              </w:rPr>
              <w: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Commission debit note {{dnNumber}} - {{companyName}}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&lt;p&gt;Dear {{insurerName}},&lt;/p&gt;</w:t>
      </w:r>
    </w:p>
    <w:p>
      <w:pPr>
        <w:pStyle w:val="Normal"/>
        <w:shd w:val="clear" w:color="auto" w:fill="F3F4F6"/>
        <w:spacing w:before="0" w:after="0"/>
        <w:ind w:left="170"/>
        <w:rPr/>
      </w:pPr>
      <w:r>
        <w:rPr>
          <w:rFonts w:eastAsia="Consolas" w:cs="Consolas" w:ascii="Consolas" w:hAnsi="Consolas"/>
          <w:color w:val="101820"/>
          <w:sz w:val="17"/>
        </w:rPr>
        <w:t>&lt;p&gt;Please find our commission debit note &lt;b&gt;{{dnNumber}}&lt;/b&gt; for {{amount}}, due on {{dueDate}}.&lt;/p&gt;</w:t>
      </w:r>
    </w:p>
    <w:p>
      <w:pPr>
        <w:pStyle w:val="Normal"/>
        <w:shd w:val="clear" w:color="auto" w:fill="F3F4F6"/>
        <w:spacing w:before="0" w:after="0"/>
        <w:ind w:left="170"/>
        <w:rPr/>
      </w:pPr>
      <w:r>
        <w:rPr>
          <w:rFonts w:eastAsia="Consolas" w:cs="Consolas" w:ascii="Consolas" w:hAnsi="Consolas"/>
          <w:color w:val="101820"/>
          <w:sz w:val="17"/>
        </w:rPr>
        <w:t>&lt;p&gt;Kindly settle the amount net of the expanded withholding tax on the commission and send BIR Form 2307 for the tax withheld.&lt;/p&gt;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31" w:name="__RefHeading___Toc23471_4195859891"/>
      <w:bookmarkEnd w:id="31"/>
      <w:r>
        <w:rPr>
          <w:rFonts w:eastAsia="Segoe UI" w:cs="Segoe UI"/>
          <w:b/>
          <w:color w:val="0F4761"/>
          <w:sz w:val="26"/>
        </w:rPr>
        <w:t>7.6  E15 Agency bill or insurer remittance statement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send a generated agency bill (or an insurer remittance bill).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Agency Bill Processing &gt; Send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address entered, else the agent user e-mail, else the insurer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remittance-bill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remittance.bill_email_subject, remittance.bill_email_body; Master &gt; Configuration &gt; Remittance &amp; Reconciliation &gt; Remittance to insurers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billNumber, billDate, currency, amount (net due plus previous balance), dueDate,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Statement of account {{billNumber}}</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&lt;p&gt;Bill {{billNumber}} dated {{billDate}}: {{currency}} {{amount}}, due {{dueDate}}.&lt;/p&gt;</w:t>
      </w:r>
    </w:p>
    <w:p>
      <w:pPr>
        <w:pStyle w:val="Normal"/>
        <w:spacing w:before="0" w:after="80"/>
        <w:rPr/>
      </w:pPr>
      <w:r>
        <w:rPr/>
      </w:r>
    </w:p>
    <w:p>
      <w:pPr>
        <w:pStyle w:val="Heading2"/>
        <w:rPr/>
      </w:pPr>
      <w:bookmarkStart w:id="32" w:name="__RefHeading___Toc23473_4195859891"/>
      <w:bookmarkEnd w:id="32"/>
      <w:r>
        <w:rPr>
          <w:rFonts w:eastAsia="Segoe UI" w:cs="Segoe UI"/>
          <w:b/>
          <w:color w:val="0F4761"/>
          <w:sz w:val="26"/>
        </w:rPr>
        <w:t>7.7  E16 Remittance statement (advice)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generate a remittance statement and enter e-mail recipients.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Statements &gt; Generate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address entered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remittance-statement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remittance.statement_email_subject, remittance.statement_email_body; Master &gt; Configuration &gt; Remittance &amp; Reconciliation &gt; Remittance to insurers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downloadUrl, fileName,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 link to the CSV statement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Remittance statement {{period}}</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&lt;p&gt;Your remittance statement for {{period}} is available: &lt;a href="{{downloadUrl}}"&gt;{{fileName}}&lt;/a&gt;&lt;/p&gt;</w:t>
      </w:r>
    </w:p>
    <w:p>
      <w:pPr>
        <w:pStyle w:val="Normal"/>
        <w:spacing w:before="0" w:after="80"/>
        <w:rPr/>
      </w:pPr>
      <w:r>
        <w:rPr/>
      </w:r>
    </w:p>
    <w:p>
      <w:pPr>
        <w:pStyle w:val="Heading2"/>
        <w:rPr/>
      </w:pPr>
      <w:bookmarkStart w:id="33" w:name="__RefHeading___Toc23475_4195859891"/>
      <w:bookmarkEnd w:id="33"/>
      <w:r>
        <w:rPr>
          <w:rFonts w:eastAsia="Segoe UI" w:cs="Segoe UI"/>
          <w:b/>
          <w:color w:val="0F4761"/>
          <w:sz w:val="26"/>
        </w:rPr>
        <w:t>7.8  E17 Remittance notification (composed)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compose a notification with channel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Notifications &gt; Compose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recipient containing @</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remittance-notification or the template code chosen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notification templates NTF-001 and NTF-002 (Master &gt; Finance &gt; Remittance Master) prefill the screen; Master &gt; Finance &gt; Remittance Master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NTF-001 variables {BillNo}, {Amount}, {DueDate}, {InsuredName}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 SMS is recorded but nothing is sent. The template triggers ("Due Date - 5 days", "Payment Received") are not automated.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(typed or from the template)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The typed content wrapped in a paragraph</w:t>
      </w:r>
    </w:p>
    <w:p>
      <w:pPr>
        <w:pStyle w:val="Normal"/>
        <w:spacing w:before="0" w:after="80"/>
        <w:rPr/>
      </w:pPr>
      <w:r>
        <w:rPr/>
      </w:r>
      <w:r>
        <w:br w:type="page"/>
      </w:r>
    </w:p>
    <w:p>
      <w:pPr>
        <w:pStyle w:val="Heading1"/>
        <w:rPr/>
      </w:pPr>
      <w:bookmarkStart w:id="34" w:name="__RefHeading___Toc23477_4195859891"/>
      <w:bookmarkEnd w:id="34"/>
      <w:r>
        <w:rPr>
          <w:rFonts w:eastAsia="Segoe UI" w:cs="Segoe UI" w:ascii="Segoe UI" w:hAnsi="Segoe UI"/>
          <w:b/>
          <w:color w:val="0F4761"/>
          <w:sz w:val="32"/>
        </w:rPr>
        <w:t>8.  E-mails to staff</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041"/>
        <w:gridCol w:w="1036"/>
        <w:gridCol w:w="5029"/>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0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Stage</w:t>
            </w:r>
          </w:p>
        </w:tc>
        <w:tc>
          <w:tcPr>
            <w:tcW w:w="50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Recipient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E18</w:t>
            </w:r>
          </w:p>
        </w:tc>
        <w:tc>
          <w:tcPr>
            <w:tcW w:w="2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report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Reporting</w:t>
            </w:r>
          </w:p>
        </w:tc>
        <w:tc>
          <w:tcPr>
            <w:tcW w:w="5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recipients (up to 50 addresses)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E19</w:t>
            </w:r>
          </w:p>
        </w:tc>
        <w:tc>
          <w:tcPr>
            <w:tcW w:w="2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code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w:t>
            </w:r>
          </w:p>
        </w:tc>
        <w:tc>
          <w:tcPr>
            <w:tcW w:w="50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e-mail on the account (inactive users and users without e-mail get nothing; the screen answers the same in every case)</w:t>
            </w:r>
          </w:p>
        </w:tc>
      </w:tr>
    </w:tbl>
    <w:p>
      <w:pPr>
        <w:pStyle w:val="Normal"/>
        <w:spacing w:before="0" w:after="80"/>
        <w:rPr/>
      </w:pPr>
      <w:r>
        <w:rPr/>
      </w:r>
    </w:p>
    <w:p>
      <w:pPr>
        <w:pStyle w:val="Heading2"/>
        <w:rPr/>
      </w:pPr>
      <w:bookmarkStart w:id="35" w:name="__RefHeading___Toc23479_4195859891"/>
      <w:bookmarkEnd w:id="35"/>
      <w:r>
        <w:rPr>
          <w:rFonts w:eastAsia="Segoe UI" w:cs="Segoe UI"/>
          <w:b/>
          <w:color w:val="0F4761"/>
          <w:sz w:val="26"/>
        </w:rPr>
        <w:t>8.1  E18 Scheduled report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report schedule runs (its job report-&lt;id&gt;), or Run now.</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 (report-&lt;id&gt;); report schedules via API</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recipients (up to 50 addresses)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scheduled-report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reports.email_subject, reports.email_body; Master &gt; Configuration &gt; Reports &amp; Dashboards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companyName, reportName, from, to, rows, format, fileName, downloadUrl, generatedAt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a signed link valid reports.download_link_ttl_hours (72)</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{{companyName}}: {{reportName}} ({{from}} to {{to}})</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&lt;p&gt;Good day,&lt;/p&gt;</w:t>
      </w:r>
    </w:p>
    <w:p>
      <w:pPr>
        <w:pStyle w:val="Normal"/>
        <w:shd w:val="clear" w:color="auto" w:fill="F3F4F6"/>
        <w:spacing w:before="0" w:after="0"/>
        <w:ind w:left="170"/>
        <w:rPr/>
      </w:pPr>
      <w:r>
        <w:rPr>
          <w:rFonts w:eastAsia="Consolas" w:cs="Consolas" w:ascii="Consolas" w:hAnsi="Consolas"/>
          <w:color w:val="101820"/>
          <w:sz w:val="17"/>
        </w:rPr>
        <w:t>&lt;p&gt;The scheduled report &lt;b&gt;{{reportName}}&lt;/b&gt; for {{from}} to {{to}} is ready ({{rows}} rows, {{format}}).&lt;/p&gt;</w:t>
      </w:r>
    </w:p>
    <w:p>
      <w:pPr>
        <w:pStyle w:val="Normal"/>
        <w:shd w:val="clear" w:color="auto" w:fill="F3F4F6"/>
        <w:spacing w:before="0" w:after="0"/>
        <w:ind w:left="170"/>
        <w:rPr/>
      </w:pPr>
      <w:r>
        <w:rPr>
          <w:rFonts w:eastAsia="Consolas" w:cs="Consolas" w:ascii="Consolas" w:hAnsi="Consolas"/>
          <w:color w:val="101820"/>
          <w:sz w:val="17"/>
        </w:rPr>
        <w:t>&lt;p&gt;&lt;a href="{{downloadUrl}}"&gt;Download {{fileName}}&lt;/a&gt;&lt;/p&gt;</w:t>
      </w:r>
    </w:p>
    <w:p>
      <w:pPr>
        <w:pStyle w:val="Normal"/>
        <w:shd w:val="clear" w:color="auto" w:fill="F3F4F6"/>
        <w:spacing w:before="0" w:after="0"/>
        <w:ind w:left="170"/>
        <w:rPr/>
      </w:pPr>
      <w:r>
        <w:rPr>
          <w:rFonts w:eastAsia="Consolas" w:cs="Consolas" w:ascii="Consolas" w:hAnsi="Consolas"/>
          <w:color w:val="101820"/>
          <w:sz w:val="17"/>
        </w:rPr>
        <w:t>&lt;p&gt;{{companyName}}&lt;/p&gt;</w:t>
      </w:r>
    </w:p>
    <w:p>
      <w:pPr>
        <w:pStyle w:val="Normal"/>
        <w:spacing w:before="0" w:after="80"/>
        <w:rPr/>
      </w:pPr>
      <w:r>
        <w:rPr/>
      </w:r>
    </w:p>
    <w:p>
      <w:pPr>
        <w:pStyle w:val="Heading2"/>
        <w:rPr/>
      </w:pPr>
      <w:bookmarkStart w:id="36" w:name="__RefHeading___Toc23481_4195859891"/>
      <w:bookmarkEnd w:id="36"/>
      <w:r>
        <w:rPr>
          <w:rFonts w:eastAsia="Segoe UI" w:cs="Segoe UI"/>
          <w:b/>
          <w:color w:val="0F4761"/>
          <w:sz w:val="26"/>
        </w:rPr>
        <w:t>8.2  E19 Password reset code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Trigger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user asks for a reset code on the sign-in page (Forgot password).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&gt; Forgot password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Recipient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e-mail on the account (inactive users and users without e-mail get nothing; the screen answers the same in every case)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through the outbox</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code (outbox)</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password-reset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Configured in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security.reset_email_subject, security.reset_email_body; Master &gt; Configuration &gt; Security &amp; Access &gt; Security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Merge fields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(6 digits), minutes (security.reset_code_minutes, 15), companyName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Attachments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 off</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on and SMTP configured (applies to every e-mail)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Earlier codes are withdrawn; a code is withdrawn after security.reset_code_max_attempts (5) wrong tries. Requests are rate limited.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Subject:</w:t>
      </w:r>
    </w:p>
    <w:p>
      <w:pPr>
        <w:pStyle w:val="Normal"/>
        <w:shd w:val="clear" w:color="auto" w:fill="F3F4F6"/>
        <w:spacing w:before="0" w:after="0"/>
        <w:ind w:left="170"/>
        <w:rPr/>
      </w:pPr>
      <w:r>
        <w:rPr>
          <w:rFonts w:eastAsia="Consolas" w:cs="Consolas" w:ascii="Consolas" w:hAnsi="Consolas"/>
          <w:color w:val="101820"/>
          <w:sz w:val="17"/>
        </w:rPr>
        <w:t>Your {{companyName}} password reset code</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Body:</w:t>
      </w:r>
    </w:p>
    <w:p>
      <w:pPr>
        <w:pStyle w:val="Normal"/>
        <w:shd w:val="clear" w:color="auto" w:fill="F3F4F6"/>
        <w:spacing w:before="0" w:after="0"/>
        <w:ind w:left="170"/>
        <w:rPr/>
      </w:pPr>
      <w:r>
        <w:rPr>
          <w:rFonts w:eastAsia="Consolas" w:cs="Consolas" w:ascii="Consolas" w:hAnsi="Consolas"/>
          <w:color w:val="101820"/>
          <w:sz w:val="17"/>
        </w:rPr>
        <w:t>&lt;p&gt;Your verification code is &lt;b&gt;{{code}}&lt;/b&gt;. It expires in {{minutes}} minutes. If you did not ask for it, ignore this e-mail.&lt;/p&gt;</w:t>
      </w:r>
    </w:p>
    <w:p>
      <w:pPr>
        <w:pStyle w:val="Normal"/>
        <w:spacing w:before="0" w:after="80"/>
        <w:rPr/>
      </w:pPr>
      <w:r>
        <w:rPr/>
      </w:r>
      <w:r>
        <w:br w:type="page"/>
      </w:r>
    </w:p>
    <w:p>
      <w:pPr>
        <w:pStyle w:val="Heading1"/>
        <w:rPr/>
      </w:pPr>
      <w:bookmarkStart w:id="37" w:name="__RefHeading___Toc23483_4195859891"/>
      <w:bookmarkEnd w:id="37"/>
      <w:r>
        <w:rPr>
          <w:rFonts w:eastAsia="Segoe UI" w:cs="Segoe UI" w:ascii="Segoe UI" w:hAnsi="Segoe UI"/>
          <w:b/>
          <w:color w:val="0F4761"/>
          <w:sz w:val="32"/>
        </w:rPr>
        <w:t>9.  In-app notifications</w:t>
      </w:r>
    </w:p>
    <w:p>
      <w:pPr>
        <w:pStyle w:val="Normal"/>
        <w:spacing w:lineRule="auto" w:line="276" w:before="0" w:after="120"/>
        <w:rPr/>
      </w:pPr>
      <w:r>
        <w:rPr>
          <w:rFonts w:eastAsia="Segoe UI" w:cs="Segoe UI" w:ascii="Segoe UI" w:hAnsi="Segoe UI"/>
          <w:color w:val="101820"/>
          <w:sz w:val="21"/>
        </w:rPr>
        <w:t>Messages are quoted as in the code; text in angle brackets is filled from the record. "Holders of &lt;permission&gt;" means every user whose roles grant that permission.</w:t>
      </w:r>
    </w:p>
    <w:p>
      <w:pPr>
        <w:pStyle w:val="Heading2"/>
        <w:rPr/>
      </w:pPr>
      <w:bookmarkStart w:id="38" w:name="__RefHeading___Toc23485_4195859891"/>
      <w:bookmarkEnd w:id="38"/>
      <w:r>
        <w:rPr>
          <w:rFonts w:eastAsia="Segoe UI" w:cs="Segoe UI"/>
          <w:b/>
          <w:color w:val="0F4761"/>
          <w:sz w:val="26"/>
        </w:rPr>
        <w:t>9.1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32"/>
        <w:gridCol w:w="1902"/>
        <w:gridCol w:w="940"/>
        <w:gridCol w:w="1105"/>
        <w:gridCol w:w="1723"/>
        <w:gridCol w:w="1711"/>
      </w:tblGrid>
      <w:tr>
        <w:trPr>
          <w:tblHeader w:val="true"/>
        </w:trPr>
        <w:tc>
          <w:tcPr>
            <w:tcW w:w="16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9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1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7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6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sent to customer for approval</w:t>
            </w:r>
          </w:p>
        </w:tc>
        <w:tc>
          <w:tcPr>
            <w:tcW w:w="1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Users with roles in quotations.approval_notify_roles (Processing Team)</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1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sent for approval</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&lt;number&gt; (&lt;customer&gt;, &lt;premium&gt;) was sent to the customer for approval</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6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Customer accepts by the approval link, or staff record an acceptance</w:t>
            </w:r>
          </w:p>
        </w:tc>
        <w:tc>
          <w:tcPr>
            <w:tcW w:w="1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creator</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task</w:t>
            </w:r>
          </w:p>
        </w:tc>
        <w:tc>
          <w:tcPr>
            <w:tcW w:w="11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Customer accepted quotation</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customer accepted quotation &lt;number&gt;; you can proceed to policy (recorded: "... (&lt;channel&gt;); ...")</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6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approved</w:t>
            </w:r>
          </w:p>
        </w:tc>
        <w:tc>
          <w:tcPr>
            <w:tcW w:w="19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owner (not when they approved it)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1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&lt;number&gt; approved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&lt;number&gt; was approved by &lt;user&gt; and can be converted to a policy</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Heading2"/>
        <w:rPr/>
      </w:pPr>
      <w:bookmarkStart w:id="39" w:name="__RefHeading___Toc23487_4195859891"/>
      <w:bookmarkEnd w:id="39"/>
      <w:r>
        <w:rPr>
          <w:rFonts w:eastAsia="Segoe UI" w:cs="Segoe UI"/>
          <w:b/>
          <w:color w:val="0F4761"/>
          <w:sz w:val="26"/>
        </w:rPr>
        <w:t>9.2  Policy issue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7"/>
        <w:gridCol w:w="1241"/>
        <w:gridCol w:w="908"/>
        <w:gridCol w:w="907"/>
        <w:gridCol w:w="1891"/>
        <w:gridCol w:w="1644"/>
        <w:gridCol w:w="906"/>
      </w:tblGrid>
      <w:tr>
        <w:trPr>
          <w:tblHeader w:val="true"/>
        </w:trPr>
        <w:tc>
          <w:tcPr>
            <w:tcW w:w="15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2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8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6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 from a quotation</w:t>
            </w:r>
          </w:p>
        </w:tc>
        <w:tc>
          <w:tcPr>
            <w:tcW w:w="1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w:t>
            </w:r>
          </w:p>
        </w:tc>
        <w:tc>
          <w:tcPr>
            <w:tcW w:w="18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&lt;number&gt; was issued from quotation &lt;number&gt; (bill &lt;bill number&gt;</w:t>
            </w:r>
          </w:p>
        </w:tc>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bill: the client pays the insurer)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5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 from a placement slip</w:t>
            </w:r>
          </w:p>
        </w:tc>
        <w:tc>
          <w:tcPr>
            <w:tcW w:w="1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owner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w:t>
            </w:r>
          </w:p>
        </w:tc>
        <w:tc>
          <w:tcPr>
            <w:tcW w:w="18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&lt;number&gt; was issued from placement slip &lt;number&gt;</w:t>
            </w:r>
          </w:p>
        </w:tc>
        <w:tc>
          <w:tcPr>
            <w:tcW w:w="16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p>
    <w:p>
      <w:pPr>
        <w:pStyle w:val="Heading2"/>
        <w:rPr/>
      </w:pPr>
      <w:bookmarkStart w:id="40" w:name="__RefHeading___Toc23489_4195859891"/>
      <w:bookmarkEnd w:id="40"/>
      <w:r>
        <w:rPr>
          <w:rFonts w:eastAsia="Segoe UI" w:cs="Segoe UI"/>
          <w:b/>
          <w:color w:val="0F4761"/>
          <w:sz w:val="26"/>
        </w:rPr>
        <w:t>9.3  Billing and collection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1"/>
        <w:gridCol w:w="1766"/>
        <w:gridCol w:w="941"/>
        <w:gridCol w:w="1533"/>
        <w:gridCol w:w="1532"/>
        <w:gridCol w:w="1711"/>
      </w:tblGrid>
      <w:tr>
        <w:trPr>
          <w:tblHeader w:val="true"/>
        </w:trPr>
        <w:tc>
          <w:tcPr>
            <w:tcW w:w="15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7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5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5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payment captured on a policy, not yet verified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role users except the user who recorded it</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payment to verify</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recorded &lt;mode&gt; &lt;amount&gt; (ref &lt;reference&gt;) on policy &lt;number&gt;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Captured payment confirmed or rejected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who recorded it</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payment &lt;reference&gt; confirmed / rejected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Confirmed by &lt;user&gt; on policy &lt;number&gt;, receipt &lt;OR&gt;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payment received, failed to apply or amount differs</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Link creator and roles in payments.notify_roles_on_error (Accounting)</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task</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payment received / Online payment not applied / Online payment to review</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&lt;link number&gt;: ... (amount, target and reason)</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 reminder sent</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 and holders of write:collections</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reminder</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due &lt;date&gt; - &lt;policy&gt; / Premium overdue &lt;n&gt; day(s) - &lt;policy&gt;</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&lt;client&gt;: &lt;amount&gt; outstanding on &lt;bill&gt;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issued over the client credit limit</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write:collections</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warning</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credit limit exceeded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&lt;client&gt;: open premium &lt;exposure&gt; is over the credit limit &lt;limit&gt; by &lt;excess&gt; after &lt;policy&gt;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warranty extension requested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approve:credit-control</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Warranty extension &lt;policy&gt; awaiting approval</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&lt;policy&gt; (&lt;client&gt;, deadline &lt;date&gt; to &lt;date&gt;: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warranty extension decided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Warranty extension &lt;policy&gt; approved / rejected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Deadline moved to &lt;date&gt;; approved by &lt;user&gt; / Rejected by &lt;user&gt;: &lt;remarks&gt;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Cancellation for non-payment requested</w:t>
            </w:r>
          </w:p>
        </w:tc>
        <w:tc>
          <w:tcPr>
            <w:tcW w:w="17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write:endorsements</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action</w:t>
            </w:r>
          </w:p>
        </w:tc>
        <w:tc>
          <w:tcPr>
            <w:tcW w:w="15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Cancellation for non-payment requested</w:t>
            </w:r>
          </w:p>
        </w:tc>
        <w:tc>
          <w:tcPr>
            <w:tcW w:w="15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&lt;policy&gt; (&lt;client&gt;): &lt;endorsement number&gt;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bl>
    <w:p>
      <w:pPr>
        <w:pStyle w:val="Normal"/>
        <w:spacing w:before="0" w:after="80"/>
        <w:rPr/>
      </w:pPr>
      <w:r>
        <w:rPr/>
      </w:r>
    </w:p>
    <w:p>
      <w:pPr>
        <w:pStyle w:val="Heading2"/>
        <w:rPr/>
      </w:pPr>
      <w:bookmarkStart w:id="41" w:name="__RefHeading___Toc23491_4195859891"/>
      <w:bookmarkEnd w:id="41"/>
      <w:r>
        <w:rPr>
          <w:rFonts w:eastAsia="Segoe UI" w:cs="Segoe UI"/>
          <w:b/>
          <w:color w:val="0F4761"/>
          <w:sz w:val="26"/>
        </w:rPr>
        <w:t>9.4  Policy servicing</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6"/>
        <w:gridCol w:w="1242"/>
        <w:gridCol w:w="907"/>
        <w:gridCol w:w="2331"/>
        <w:gridCol w:w="2330"/>
        <w:gridCol w:w="906"/>
      </w:tblGrid>
      <w:tr>
        <w:trPr>
          <w:tblHeader w:val="true"/>
        </w:trPr>
        <w:tc>
          <w:tcPr>
            <w:tcW w:w="12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2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23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23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2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 completed</w:t>
            </w:r>
          </w:p>
        </w:tc>
        <w:tc>
          <w:tcPr>
            <w:tcW w:w="12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23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 completed / Policy cancelled by endorsement</w:t>
            </w:r>
          </w:p>
        </w:tc>
        <w:tc>
          <w:tcPr>
            <w:tcW w:w="23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 &lt;number&gt; on policy &lt;number&gt; was completed (premium change &lt;amount&gt;)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bl>
    <w:p>
      <w:pPr>
        <w:pStyle w:val="Normal"/>
        <w:spacing w:before="0" w:after="80"/>
        <w:rPr/>
      </w:pPr>
      <w:r>
        <w:rPr/>
      </w:r>
    </w:p>
    <w:p>
      <w:pPr>
        <w:pStyle w:val="Heading2"/>
        <w:rPr/>
      </w:pPr>
      <w:bookmarkStart w:id="42" w:name="__RefHeading___Toc23493_4195859891"/>
      <w:bookmarkEnd w:id="42"/>
      <w:r>
        <w:rPr>
          <w:rFonts w:eastAsia="Segoe UI" w:cs="Segoe UI"/>
          <w:b/>
          <w:color w:val="0F4761"/>
          <w:sz w:val="26"/>
        </w:rPr>
        <w:t>9.5  Claims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6"/>
        <w:gridCol w:w="1416"/>
        <w:gridCol w:w="941"/>
        <w:gridCol w:w="1531"/>
        <w:gridCol w:w="1669"/>
        <w:gridCol w:w="1841"/>
      </w:tblGrid>
      <w:tr>
        <w:trPr>
          <w:tblHeader w:val="true"/>
        </w:trPr>
        <w:tc>
          <w:tcPr>
            <w:tcW w:w="16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4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5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66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8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registered</w:t>
            </w:r>
          </w:p>
        </w:tc>
        <w:tc>
          <w:tcPr>
            <w:tcW w:w="14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handler and 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task</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claim &lt;number&gt;</w:t>
            </w:r>
          </w:p>
        </w:tc>
        <w:tc>
          <w:tcPr>
            <w:tcW w:w="16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&lt;number&gt; registered on policy &lt;number&gt;</w:t>
            </w:r>
          </w:p>
        </w:tc>
        <w:tc>
          <w:tcPr>
            <w:tcW w:w="1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notification.claim_status</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status changes</w:t>
            </w:r>
          </w:p>
        </w:tc>
        <w:tc>
          <w:tcPr>
            <w:tcW w:w="14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handler and 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&lt;number&gt;: &lt;status&gt;</w:t>
            </w:r>
          </w:p>
        </w:tc>
        <w:tc>
          <w:tcPr>
            <w:tcW w:w="16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&lt;note&gt; or "Claim &lt;number&gt; is now &lt;status&gt;"</w:t>
            </w:r>
          </w:p>
        </w:tc>
        <w:tc>
          <w:tcPr>
            <w:tcW w:w="1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notification.claim_status</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Settlement submitted (maker-checker)</w:t>
            </w:r>
          </w:p>
        </w:tc>
        <w:tc>
          <w:tcPr>
            <w:tcW w:w="14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role users except the 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settlement &lt;claim&gt; awaiting approval</w:t>
            </w:r>
          </w:p>
        </w:tc>
        <w:tc>
          <w:tcPr>
            <w:tcW w:w="16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&lt;claim&gt; (&lt;amount&gt;, &lt;settlement type&gt;)</w:t>
            </w:r>
          </w:p>
        </w:tc>
        <w:tc>
          <w:tcPr>
            <w:tcW w:w="1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claims.settlement_maker_checker, notification.approval_requests</w:t>
            </w:r>
          </w:p>
        </w:tc>
      </w:tr>
      <w:tr>
        <w:trPr/>
        <w:tc>
          <w:tcPr>
            <w:tcW w:w="16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Settlement approved or returned</w:t>
            </w:r>
          </w:p>
        </w:tc>
        <w:tc>
          <w:tcPr>
            <w:tcW w:w="14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 settlement &lt;claim&gt; approved / returned</w:t>
            </w:r>
          </w:p>
        </w:tc>
        <w:tc>
          <w:tcPr>
            <w:tcW w:w="16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Returned by &lt;user&gt;: &lt;note&gt;</w:t>
            </w:r>
          </w:p>
        </w:tc>
        <w:tc>
          <w:tcPr>
            <w:tcW w:w="18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Heading2"/>
        <w:rPr/>
      </w:pPr>
      <w:bookmarkStart w:id="43" w:name="__RefHeading___Toc23495_4195859891"/>
      <w:bookmarkEnd w:id="43"/>
      <w:r>
        <w:rPr>
          <w:rFonts w:eastAsia="Segoe UI" w:cs="Segoe UI"/>
          <w:b/>
          <w:color w:val="0F4761"/>
          <w:sz w:val="26"/>
        </w:rPr>
        <w:t>9.6  Renewal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8"/>
        <w:gridCol w:w="1911"/>
        <w:gridCol w:w="941"/>
        <w:gridCol w:w="1304"/>
        <w:gridCol w:w="1728"/>
        <w:gridCol w:w="1711"/>
      </w:tblGrid>
      <w:tr>
        <w:trPr>
          <w:tblHeader w:val="true"/>
        </w:trPr>
        <w:tc>
          <w:tcPr>
            <w:tcW w:w="14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9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3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7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notice sent</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reminder</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&lt;notice label&gt;: &lt;policy&gt;</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&lt;notice label&gt; sent for policy &lt;policy&gt; expiring &lt;date&gt;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notices job (60, 30, 15 days)</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reminder</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due in &lt;n&gt; days</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&lt;number&gt; expires on &lt;date&gt;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notification.renewal_reminder</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terms submitted</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Users with roles in renewals.approver_roles (Processing Team) except the 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&lt;number&gt; awaiting approval</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(policy &lt;policy&gt;, &lt;premium&gt;)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approved or returned</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 (else the 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&lt;number&gt; approved / returned</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 Returned by &lt;user&gt;: &lt;note&gt;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completed</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renewed: &lt;policy&gt;</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New term &lt;new policy&gt; from &lt;inception&gt; to &lt;expiry&gt;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4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lapsed (manual or pipeline job)</w:t>
            </w:r>
          </w:p>
        </w:tc>
        <w:tc>
          <w:tcPr>
            <w:tcW w:w="19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owner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alert</w:t>
            </w:r>
          </w:p>
        </w:tc>
        <w:tc>
          <w:tcPr>
            <w:tcW w:w="1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lapsed: &lt;policy&gt;</w:t>
            </w:r>
          </w:p>
        </w:tc>
        <w:tc>
          <w:tcPr>
            <w:tcW w:w="17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bl>
    <w:p>
      <w:pPr>
        <w:pStyle w:val="Normal"/>
        <w:spacing w:before="0" w:after="80"/>
        <w:rPr/>
      </w:pPr>
      <w:r>
        <w:rPr/>
      </w:r>
    </w:p>
    <w:p>
      <w:pPr>
        <w:pStyle w:val="Heading2"/>
        <w:rPr/>
      </w:pPr>
      <w:bookmarkStart w:id="44" w:name="__RefHeading___Toc23497_4195859891"/>
      <w:bookmarkEnd w:id="44"/>
      <w:r>
        <w:rPr>
          <w:rFonts w:eastAsia="Segoe UI" w:cs="Segoe UI"/>
          <w:b/>
          <w:color w:val="0F4761"/>
          <w:sz w:val="26"/>
        </w:rPr>
        <w:t>9.7  Remittance and commission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9"/>
        <w:gridCol w:w="1713"/>
        <w:gridCol w:w="941"/>
        <w:gridCol w:w="1502"/>
        <w:gridCol w:w="1717"/>
        <w:gridCol w:w="1711"/>
      </w:tblGrid>
      <w:tr>
        <w:trPr>
          <w:tblHeader w:val="true"/>
        </w:trPr>
        <w:tc>
          <w:tcPr>
            <w:tcW w:w="14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5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7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Remittances submitted for approval</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write:remittance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batch &lt;batch&gt;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&lt;n&gt; remittance(s) in batch &lt;batch&gt; (&lt;total&gt;)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Settlement submitted, adjustment needing approval, electronic transfer</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write:remittance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Settlement / Adjustment / Electronic transfer &lt;reference&gt;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&lt;reference&gt; (&lt;description&gt;, &lt;amount&gt;)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settlement, adjustment or transfer approved or rejected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Initiator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&lt;transaction type&gt; &lt;reference&gt; approved / rejected</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 submitted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write:remittance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 &lt;DN number&gt;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&lt;DN number&gt; (&lt;insurer&gt;, &lt;amount&gt;)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 decided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 &lt;DN number&gt; approved / rejected</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calculation submitted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write:incentive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calculation &lt;batch&gt;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&lt;batch&gt; (period &lt;period&gt;)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batch decided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calculation &lt;batch&gt; approved / rejected</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lines eligible (marked by a user, or premium fully collected)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write:commission</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payout &lt;referrer&gt; awaiting approval</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marked lines eligible / Premium of &lt;policy&gt; fully collected: &lt;n&gt; line(s) of &lt;referrer&gt; awaiting approval (&lt;amount&gt;)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4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lines approved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who marked them eligible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5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payout &lt;referrer&gt; approved</w:t>
            </w:r>
          </w:p>
        </w:tc>
        <w:tc>
          <w:tcPr>
            <w:tcW w:w="17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Heading2"/>
        <w:rPr/>
      </w:pPr>
      <w:bookmarkStart w:id="45" w:name="__RefHeading___Toc23499_4195859891"/>
      <w:bookmarkEnd w:id="45"/>
      <w:r>
        <w:rPr>
          <w:rFonts w:eastAsia="Segoe UI" w:cs="Segoe UI"/>
          <w:b/>
          <w:color w:val="0F4761"/>
          <w:sz w:val="26"/>
        </w:rPr>
        <w:t>9.8  Reinsurance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04"/>
        <w:gridCol w:w="1713"/>
        <w:gridCol w:w="941"/>
        <w:gridCol w:w="1217"/>
        <w:gridCol w:w="1527"/>
        <w:gridCol w:w="1711"/>
      </w:tblGrid>
      <w:tr>
        <w:trPr>
          <w:tblHeader w:val="true"/>
        </w:trPr>
        <w:tc>
          <w:tcPr>
            <w:tcW w:w="19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2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5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9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Treaty created or changed (reinsurance.treaty_requires_approval)</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write:reinsurance</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Treaty &lt;number&gt; awaiting approval</w:t>
            </w:r>
          </w:p>
        </w:tc>
        <w:tc>
          <w:tcPr>
            <w:tcW w:w="1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(&lt;name&gt;)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9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Treaty decided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Treaty &lt;number&gt; approved / rejected</w:t>
            </w:r>
          </w:p>
        </w:tc>
        <w:tc>
          <w:tcPr>
            <w:tcW w:w="1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Heading2"/>
        <w:rPr/>
      </w:pPr>
      <w:bookmarkStart w:id="46" w:name="__RefHeading___Toc23501_4195859891"/>
      <w:bookmarkEnd w:id="46"/>
      <w:r>
        <w:rPr>
          <w:rFonts w:eastAsia="Segoe UI" w:cs="Segoe UI"/>
          <w:b/>
          <w:color w:val="0F4761"/>
          <w:sz w:val="26"/>
        </w:rPr>
        <w:t>9.9  Finance and period end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4"/>
        <w:gridCol w:w="1599"/>
        <w:gridCol w:w="847"/>
        <w:gridCol w:w="1667"/>
        <w:gridCol w:w="1638"/>
        <w:gridCol w:w="1539"/>
      </w:tblGrid>
      <w:tr>
        <w:trPr>
          <w:tblHeader w:val="true"/>
        </w:trPr>
        <w:tc>
          <w:tcPr>
            <w:tcW w:w="17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5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6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6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5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submitted for approval (manual, reversal, correction)</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write:journal-vouchers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adjustment journal awaiting approval; year-end adjustment journal (period 13)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write:journal-vouchers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(bank adjustment: &lt;type&gt;, &lt;amount&gt; / year-end adjustment, period &lt;period&gt;)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approved (Journal Voucher, accounting queue, bank adjustment)</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&lt;number&gt; approved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and posted by &lt;user&gt;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rejected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voucher &lt;number&gt;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submitted for approval (status For approval, agent payout vouchers)</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write:disbursements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(&lt;payee&gt;,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approved (cheque approved, agent payout approved), or sent back to draft / cancelled while awaiting approval</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&lt;number&gt; approved / rejected / cancelled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 issued (Pending)</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write:disbursements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(&lt;payee&gt;,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 approved or cancelled while Pending</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 &lt;number&gt; approved / cancelled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 Cancelled by &lt;user&gt;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request submitted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write:disbursements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request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(&lt;requester&gt;,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request decided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Creator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request &lt;number&gt; approved /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Posting rule or account determination change requested (accounting.configuration_maker_checker)</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approve:posting-rules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change &lt;id&gt;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requested &lt;kind&gt;: &lt;target&gt; (&lt;note&gt;)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change decided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Requester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change &lt;id&gt; approved /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&lt;kind&gt;: &lt;target&gt; approved by &lt;user&gt; and in effect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 submitted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approve:insurer-reconciliation</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(&lt;insurer&gt;, &lt;period&gt;, paid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 decided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reconciliation &lt;number&gt; approved /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prepared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approve:bank-reconciliation</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(&lt;bank account&gt;, period &lt;period&gt;, bank balance &lt;amount&gt;)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approved, or reopened (rejected when it was prepared)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Preparer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&lt;number&gt; approved / rejected / reopened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Approved by &lt;user&gt; / Rejected by &lt;user&gt;: &lt;remarks&gt;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submitted (accounting.period_close_requires_approval)</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approve:period-end</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&lt;number&gt; awaiting approval</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submitted &lt;number&gt;: close / soft close of period &lt;period&gt;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approved or rejected</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Submitter</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&lt;number&gt; approved / rejected</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Period &lt;period&gt; closed; approved by &lt;user&gt; / Rejected by &lt;user&gt;: &lt;reason&gt;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fund below minimum</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Custodian, holders of write:disbursements</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alert</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Petty cash &lt;code&gt; below minimum</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Available &lt;amount&gt;; minimum cashbox &lt;amount&gt;. Replenish the fund.</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w:t>
            </w:r>
          </w:p>
        </w:tc>
      </w:tr>
      <w:tr>
        <w:trPr/>
        <w:tc>
          <w:tcPr>
            <w:tcW w:w="17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reminder job</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write:period-end (high priority)</w:t>
            </w:r>
          </w:p>
        </w:tc>
        <w:tc>
          <w:tcPr>
            <w:tcW w:w="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reminder</w:t>
            </w:r>
          </w:p>
        </w:tc>
        <w:tc>
          <w:tcPr>
            <w:tcW w:w="16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&lt;period&gt; ends in &lt;n&gt; day(s) / Month-end close: &lt;period&gt; is still open</w:t>
            </w:r>
          </w:p>
        </w:tc>
        <w:tc>
          <w:tcPr>
            <w:tcW w:w="16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period &lt;period&gt; ends on &lt;date&gt;. Post pending journals and prepare the month-end close run. / ... ended on &lt;date&gt; and is not closed yet.</w:t>
            </w:r>
          </w:p>
        </w:tc>
        <w:tc>
          <w:tcPr>
            <w:tcW w:w="15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Job month-end-reminder (off by default)</w:t>
            </w:r>
          </w:p>
        </w:tc>
      </w:tr>
    </w:tbl>
    <w:p>
      <w:pPr>
        <w:pStyle w:val="Normal"/>
        <w:spacing w:before="0" w:after="80"/>
        <w:rPr/>
      </w:pPr>
      <w:r>
        <w:rPr/>
      </w:r>
    </w:p>
    <w:p>
      <w:pPr>
        <w:pStyle w:val="Heading2"/>
        <w:rPr/>
      </w:pPr>
      <w:bookmarkStart w:id="47" w:name="__RefHeading___Toc23503_4195859891"/>
      <w:bookmarkEnd w:id="47"/>
      <w:r>
        <w:rPr>
          <w:rFonts w:eastAsia="Segoe UI" w:cs="Segoe UI"/>
          <w:b/>
          <w:color w:val="0F4761"/>
          <w:sz w:val="26"/>
        </w:rPr>
        <w:t>9.10  Access control</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7"/>
        <w:gridCol w:w="1712"/>
        <w:gridCol w:w="942"/>
        <w:gridCol w:w="1611"/>
        <w:gridCol w:w="1931"/>
        <w:gridCol w:w="1711"/>
      </w:tblGrid>
      <w:tr>
        <w:trPr>
          <w:tblHeader w:val="true"/>
        </w:trPr>
        <w:tc>
          <w:tcPr>
            <w:tcW w:w="1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Event</w:t>
            </w:r>
          </w:p>
        </w:tc>
        <w:tc>
          <w:tcPr>
            <w:tcW w:w="17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Recipient</w:t>
            </w:r>
          </w:p>
        </w:tc>
        <w:tc>
          <w:tcPr>
            <w:tcW w:w="9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6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9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Message</w:t>
            </w:r>
          </w:p>
        </w:tc>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On / off</w:t>
            </w:r>
          </w:p>
        </w:tc>
      </w:tr>
      <w:tr>
        <w:trPr/>
        <w:tc>
          <w:tcPr>
            <w:tcW w:w="1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limit proposed</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approve:access-control</w:t>
            </w:r>
          </w:p>
        </w:tc>
        <w:tc>
          <w:tcPr>
            <w:tcW w:w="9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limit #&lt;id&gt; awaiting approval</w:t>
            </w:r>
          </w:p>
        </w:tc>
        <w:tc>
          <w:tcPr>
            <w:tcW w:w="1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proposed &lt;transaction type&gt; for &lt;role or user&gt;: &lt;limit&gt; (&lt;remarks&gt;)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limit decided</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Proposer</w:t>
            </w:r>
          </w:p>
        </w:tc>
        <w:tc>
          <w:tcPr>
            <w:tcW w:w="9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info / alert</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limit #&lt;id&gt; approved / rejected</w:t>
            </w:r>
          </w:p>
        </w:tc>
        <w:tc>
          <w:tcPr>
            <w:tcW w:w="1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&lt;transaction type&gt; for &lt;role or user&gt;: &lt;limit&gt;, approved by &lt;user&gt; and in effect / Rejected by &lt;user&gt;: &lt;note&gt;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r>
        <w:trPr/>
        <w:tc>
          <w:tcPr>
            <w:tcW w:w="1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Access review started</w:t>
            </w:r>
          </w:p>
        </w:tc>
        <w:tc>
          <w:tcPr>
            <w:tcW w:w="17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Holders of write:access-control</w:t>
            </w:r>
          </w:p>
        </w:tc>
        <w:tc>
          <w:tcPr>
            <w:tcW w:w="9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approval</w:t>
            </w:r>
          </w:p>
        </w:tc>
        <w:tc>
          <w:tcPr>
            <w:tcW w:w="1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Access review &lt;name&gt; awaiting decisions</w:t>
            </w:r>
          </w:p>
        </w:tc>
        <w:tc>
          <w:tcPr>
            <w:tcW w:w="1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&lt;user&gt; started &lt;name&gt;: &lt;n&gt; user(s) to keep or revoke by &lt;due date&gt;</w:t>
            </w:r>
          </w:p>
        </w:tc>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notification.approval_requests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Segregation-of-duties rules and delegations take effect when saved (no approval step). Instalment plans have no approval; a credit limit exception is reported to holders of write:collections, who acknowledge it. Endorsements are approved by the customer, not by a second user.</w:t>
      </w:r>
      <w:r>
        <w:br w:type="page"/>
      </w:r>
    </w:p>
    <w:p>
      <w:pPr>
        <w:pStyle w:val="Heading1"/>
        <w:rPr/>
      </w:pPr>
      <w:bookmarkStart w:id="48" w:name="__RefHeading___Toc23505_4195859891"/>
      <w:bookmarkEnd w:id="48"/>
      <w:r>
        <w:rPr>
          <w:rFonts w:eastAsia="Segoe UI" w:cs="Segoe UI" w:ascii="Segoe UI" w:hAnsi="Segoe UI"/>
          <w:b/>
          <w:color w:val="0F4761"/>
          <w:sz w:val="32"/>
        </w:rPr>
        <w:t>10.  Printed documents</w:t>
      </w:r>
    </w:p>
    <w:p>
      <w:pPr>
        <w:pStyle w:val="Normal"/>
        <w:spacing w:lineRule="auto" w:line="276" w:before="0" w:after="120"/>
        <w:rPr/>
      </w:pPr>
      <w:r>
        <w:rPr>
          <w:rFonts w:eastAsia="Segoe UI" w:cs="Segoe UI" w:ascii="Segoe UI" w:hAnsi="Segoe UI"/>
          <w:color w:val="101820"/>
          <w:sz w:val="21"/>
        </w:rPr>
        <w:t>These documents are produced as PDF on the screens and handed or sent to the client or insurer outside the e-mail templates. They use the letterhead of the Company master (the company marked as letterhead), the signatories master, and the settings of Master &gt; Configuration &gt; Company &amp; Branding &gt; Printed documents.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96"/>
        <w:gridCol w:w="2396"/>
        <w:gridCol w:w="940"/>
        <w:gridCol w:w="908"/>
        <w:gridCol w:w="2375"/>
      </w:tblGrid>
      <w:tr>
        <w:trPr>
          <w:tblHeader w:val="true"/>
        </w:trPr>
        <w:tc>
          <w:tcPr>
            <w:tcW w:w="23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Document</w:t>
            </w:r>
          </w:p>
        </w:tc>
        <w:tc>
          <w:tcPr>
            <w:tcW w:w="23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Where</w:t>
            </w:r>
          </w:p>
        </w:tc>
        <w:tc>
          <w:tcPr>
            <w:tcW w:w="9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Format</w:t>
            </w:r>
          </w:p>
        </w:tc>
        <w:tc>
          <w:tcPr>
            <w:tcW w:w="23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Configured by</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 (motor; fire / IAR)</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Quotations &gt; Quote detail &gt; Share &gt; Download</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Company master letterhead, documents.* settings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Package quotation; insurer comparison</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Package Bundles &gt; Print; Compare Insurers</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 commission never printed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slip (to the market or one insurer)</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 for Quotation &gt; Detail &gt; Broker Slip PDF</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slip (lead, whole security, co-insurer share)</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Slips &gt; Detail &gt; Placement Slip PDF</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Insurance placing slip</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Policy &gt; Policy detail &gt; Documents</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schedule (motor; fire / non-motor)</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Policy &gt; Policy detail &gt; Policy schedule</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 signatories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statement (policy, endorsement, renewal)</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detail &gt; Generate invoice</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documents.payment_instructions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Acknowledgement receipt</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Policy &gt; Payment &gt; Payments recorded &gt; Print acknowledgement receipt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documents.acknowledgement_receipt_note</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Official receipt (single, bulk)</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Receipts &gt; Print / Bulk print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receipts.print_title, documents.receipt_footer</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voucher (bulk)</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Disbursement &gt; Bulk print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Payee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debit note</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Remittance &gt; Direct Bill Processing &gt; Debit Notes &gt; Print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Acknowledgement Letter, Claims Data Sheet, Claims Discharge Voucher</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Claims &gt; Claim detail &gt; Documents</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 insurer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claims.documents (text lines with placeholders)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Form 2307</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BIR Form 2307 &gt; Print</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Payee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Print</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settings</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statement</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Bank Reconciliation &gt; Reconciliations</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Internal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Letterhead</w:t>
            </w:r>
          </w:p>
        </w:tc>
      </w:tr>
      <w:tr>
        <w:trPr/>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Digital policy after online payment</w:t>
            </w:r>
          </w:p>
        </w:tc>
        <w:tc>
          <w:tcPr>
            <w:tcW w:w="23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Public pay page (/pay/&lt;token&gt;) &gt; Policy</w:t>
            </w:r>
          </w:p>
        </w:tc>
        <w:tc>
          <w:tcPr>
            <w:tcW w:w="9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PDF</w:t>
            </w:r>
          </w:p>
        </w:tc>
        <w:tc>
          <w:tcPr>
            <w:tcW w:w="23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Package or policy schedule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Seeded wording used on documents: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9"/>
        <w:gridCol w:w="4555"/>
      </w:tblGrid>
      <w:tr>
        <w:trPr>
          <w:tblHeader w:val="true"/>
        </w:trPr>
        <w:tc>
          <w:tcPr>
            <w:tcW w:w="4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4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Text</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documents.payment_instructions</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Please settle the total amount due on or before the due date. Make cheques payable to {{companyName}} and quote the bill number as the payment reference. For bank transfers or e-wallet payments, send the proof of payment to your account officer.</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documents.acknowledgement_receipt_note</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This acknowledgement receipt is not an official receipt. The official receipt is issued once the payment is verified by Accounting.</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claims.documents: Claims Acknowledgement Letter</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 acknowledge receipt of your claim {{claimNumber}} under policy {{policyNumber}}. / Insured: {{insuredName}} / Date of loss: {{lossDate}} / Reported on: {{reportedDate}} / Our claims team will contact you within {{slaDays}} days.</w:t>
            </w:r>
          </w:p>
        </w:tc>
      </w:tr>
    </w:tbl>
    <w:p>
      <w:pPr>
        <w:pStyle w:val="Normal"/>
        <w:spacing w:before="0" w:after="80"/>
        <w:rPr/>
      </w:pPr>
      <w:r>
        <w:rPr/>
      </w:r>
      <w:r>
        <w:br w:type="page"/>
      </w:r>
    </w:p>
    <w:p>
      <w:pPr>
        <w:pStyle w:val="Heading1"/>
        <w:rPr/>
      </w:pPr>
      <w:bookmarkStart w:id="49" w:name="__RefHeading___Toc23507_4195859891"/>
      <w:bookmarkEnd w:id="49"/>
      <w:r>
        <w:rPr>
          <w:rFonts w:eastAsia="Segoe UI" w:cs="Segoe UI" w:ascii="Segoe UI" w:hAnsi="Segoe UI"/>
          <w:b/>
          <w:color w:val="0F4761"/>
          <w:sz w:val="32"/>
        </w:rPr>
        <w:t>11.  Settings that switch messages on or off</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28"/>
        <w:gridCol w:w="2557"/>
        <w:gridCol w:w="3229"/>
      </w:tblGrid>
      <w:tr>
        <w:trPr>
          <w:tblHeader w:val="true"/>
        </w:trPr>
        <w:tc>
          <w:tcPr>
            <w:tcW w:w="32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25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OOTB</w:t>
            </w:r>
          </w:p>
        </w:tc>
        <w:tc>
          <w:tcPr>
            <w:tcW w:w="3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false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e-mail leaves the system while off (all e-mails stay queued).</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notification.from_address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&lt;connect@iortatechnxt.com&gt;</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Sender of every e-mail.</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notification.approval_requests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approval notification: the requests to the approvers (type approval) and the decisions sent to the makers, in every maker-checker flow listed above.</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notification.claim_status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registration and status notifications to the handler and owner.</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notification.renewal_reminder</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Renewal notices job (in-app reminders 60, 30, 15 days before expiry).</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receipts.email_on_record</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false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the official receipt (PDF attached) automatically when a receipt is recorded.</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billing.email_on_issue</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false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the premium invoice (PDF attached) automatically when a bill is issued.</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email.max_attachment_mb</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Largest total size of the attachments of one e-mail.</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claims.pla_enabled</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Preliminary Loss Advice e-mail on claim registration.</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claims.pla_default_recipient</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claims@brokerverse.local</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 recipient when the insurer has no e-mail. Replace before go-live.</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renewals.enforce_notice_order</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true</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second and final notice must go in order.</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collections.reminder_days_before</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collections.reminder_repeat_days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 7</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reminder window and repeat interval.</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quotations.approval_notify_roles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Who is told a quotation went to the customer.</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quotations.approval_link_ttl_hours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168</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Validity of the customer approval link.</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renewals.approver_roles</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Who approves renewal terms.</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payments.notify_roles_on_error</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Who is told about online payments.</w:t>
            </w:r>
          </w:p>
        </w:tc>
      </w:tr>
      <w:tr>
        <w:trPr/>
        <w:tc>
          <w:tcPr>
            <w:tcW w:w="3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Schedules: collection-reminders, renewal-notices, month-end-reminder</w:t>
            </w:r>
          </w:p>
        </w:tc>
        <w:tc>
          <w:tcPr>
            <w:tcW w:w="2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on, off</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 the scheduled messages on or off.</w:t>
            </w:r>
          </w:p>
        </w:tc>
      </w:tr>
    </w:tbl>
    <w:p>
      <w:pPr>
        <w:pStyle w:val="Normal"/>
        <w:spacing w:before="0" w:after="80"/>
        <w:rPr/>
      </w:pPr>
      <w:r>
        <w:rPr/>
      </w:r>
      <w:r>
        <w:br w:type="page"/>
      </w:r>
    </w:p>
    <w:p>
      <w:pPr>
        <w:pStyle w:val="Heading1"/>
        <w:rPr/>
      </w:pPr>
      <w:bookmarkStart w:id="50" w:name="__RefHeading___Toc23509_4195859891"/>
      <w:bookmarkEnd w:id="50"/>
      <w:r>
        <w:rPr>
          <w:rFonts w:eastAsia="Segoe UI" w:cs="Segoe UI" w:ascii="Segoe UI" w:hAnsi="Segoe UI"/>
          <w:b/>
          <w:color w:val="0F4761"/>
          <w:sz w:val="32"/>
        </w:rPr>
        <w:t>12.  Gaps and observations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708"/>
        <w:gridCol w:w="2692"/>
        <w:gridCol w:w="27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27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Observation</w:t>
            </w:r>
          </w:p>
        </w:tc>
        <w:tc>
          <w:tcPr>
            <w:tcW w:w="26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27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Suggested action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e-mail is sent to the client for the claim acknowledgement, and the "Policy issued" e-mail (with the schedule attached) is sent only from the coverage detailed view, not at issue. The official receipt and the premium invoice are e-mailed with the PDF (E20, E21).</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acknowledgement letters are printed and sent by hand.</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claim acknowledgement e-mail if the broker wants 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commission statement e-mail to agents or referrers; the Broker Commission Statement and the incentive statement are on screen only.</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Agents receive statements outside the system.</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commission statement template, or schedule the report per agent.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notification templates NTF-001 (trigger "Due Date - 5 days") and NTF-002 (SMS, trigger "Payment Received") are not automated, and SMS is not sent.</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Templates suggest automation that does not exist.</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Remove the triggers from the templates or implement them.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welcome or credentials e-mail when a user is created or provisioned; initial passwords are handed over outside the system.</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Manual step at user creation.</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handover procedure in the security policy.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payment reminder body says the premium "is due on" also when the bill is overdue.</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Wording.</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Add an overdue variant using </w:t>
            </w:r>
            <w:r>
              <w:rPr>
                <w:rFonts w:eastAsia="Consolas" w:cs="Consolas" w:ascii="Consolas" w:hAnsi="Consolas"/>
                <w:color w:val="101820"/>
                <w:kern w:val="0"/>
                <w:sz w:val="16"/>
                <w:szCs w:val="24"/>
                <w:lang w:val="en-US" w:eastAsia="ja-JP" w:bidi="ar-SA"/>
              </w:rPr>
              <w:t>{{daysPastDue}}</w:t>
            </w:r>
            <w:r>
              <w:rPr>
                <w:rFonts w:eastAsia="Segoe UI" w:cs="Segoe UI" w:ascii="Segoe UI" w:hAnsi="Segoe UI"/>
                <w:color w:val="101820"/>
                <w:kern w:val="0"/>
                <w:sz w:val="18"/>
                <w:szCs w:val="24"/>
                <w:lang w:val="en-US" w:eastAsia="ja-JP" w:bidi="ar-SA"/>
              </w:rPr>
              <w: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claims.pla_default_recipient</w:t>
            </w:r>
            <w:r>
              <w:rPr>
                <w:rFonts w:eastAsia="Segoe UI" w:cs="Segoe UI" w:ascii="Segoe UI" w:hAnsi="Segoe UI"/>
                <w:color w:val="101820"/>
                <w:kern w:val="0"/>
                <w:sz w:val="18"/>
                <w:szCs w:val="24"/>
                <w:lang w:val="en-US" w:eastAsia="ja-JP" w:bidi="ar-SA"/>
              </w:rPr>
              <w:t xml:space="preserve"> is seeded with a placeholder address (claims@brokerverse.local).</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PLAs for insurers without e-mail go nowhere.</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the broker's claims mailbox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bill subject reads "Statement of account {{billNumber}}" and the body has no greeting or company name.</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Plain message to agents and insurers.</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the wording with the broker.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7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e-mail or notification when a scheduled job fails (see the Schedules and Batch Jobs document).</w:t>
            </w:r>
          </w:p>
        </w:tc>
        <w:tc>
          <w:tcPr>
            <w:tcW w:w="26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Failures can go unnoticed.</w:t>
            </w:r>
          </w:p>
        </w:tc>
        <w:tc>
          <w:tcPr>
            <w:tcW w:w="27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an alert.</w:t>
            </w:r>
          </w:p>
        </w:tc>
      </w:tr>
    </w:tbl>
    <w:p>
      <w:pPr>
        <w:pStyle w:val="Normal"/>
        <w:spacing w:before="0" w:after="80"/>
        <w:rPr/>
      </w:pPr>
      <w:r>
        <w:rPr/>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51" w:name="__RefHeading___Toc23511_4195859891"/>
      <w:bookmarkStart w:id="52" w:name="_Toc233203395"/>
      <w:bookmarkEnd w:id="51"/>
      <w:r>
        <w:rPr>
          <w:rStyle w:val="BookTitle"/>
          <w:bCs w:val="false"/>
          <w:i w:val="false"/>
          <w:iCs w:val="false"/>
          <w:spacing w:val="0"/>
        </w:rPr>
        <w:t>13.  Document Sign-Off</w:t>
      </w:r>
      <w:bookmarkEnd w:id="5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2026-10-03T20:23:26Z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