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Production Support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Approach and Standards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Approach and Standards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700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702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704_4195859891">
            <w:r>
              <w:rPr>
                <w:webHidden/>
                <w:rStyle w:val="IndexLink"/>
              </w:rPr>
              <w:t>3. Introduction</w:t>
              <w:tab/>
              <w:t>5</w:t>
            </w:r>
          </w:hyperlink>
        </w:p>
        <w:p>
          <w:pPr>
            <w:pStyle w:val="TOC2"/>
            <w:tabs>
              <w:tab w:val="clear" w:pos="900"/>
              <w:tab w:val="clear" w:pos="9350"/>
              <w:tab w:val="right" w:pos="9025" w:leader="dot"/>
            </w:tabs>
            <w:rPr/>
          </w:pPr>
          <w:hyperlink w:anchor="__RefHeading___Toc78706_4195859891">
            <w:r>
              <w:rPr>
                <w:webHidden/>
                <w:rStyle w:val="IndexLink"/>
              </w:rPr>
              <w:t>3.1 Purpose</w:t>
              <w:tab/>
              <w:t>5</w:t>
            </w:r>
          </w:hyperlink>
        </w:p>
        <w:p>
          <w:pPr>
            <w:pStyle w:val="TOC2"/>
            <w:tabs>
              <w:tab w:val="clear" w:pos="900"/>
              <w:tab w:val="clear" w:pos="9350"/>
              <w:tab w:val="right" w:pos="9025" w:leader="dot"/>
            </w:tabs>
            <w:rPr/>
          </w:pPr>
          <w:hyperlink w:anchor="__RefHeading___Toc78708_4195859891">
            <w:r>
              <w:rPr>
                <w:webHidden/>
                <w:rStyle w:val="IndexLink"/>
              </w:rPr>
              <w:t>3.2 Audience</w:t>
              <w:tab/>
              <w:t>5</w:t>
            </w:r>
          </w:hyperlink>
        </w:p>
        <w:p>
          <w:pPr>
            <w:pStyle w:val="TOC2"/>
            <w:tabs>
              <w:tab w:val="clear" w:pos="900"/>
              <w:tab w:val="clear" w:pos="9350"/>
              <w:tab w:val="right" w:pos="9025" w:leader="dot"/>
            </w:tabs>
            <w:rPr/>
          </w:pPr>
          <w:hyperlink w:anchor="__RefHeading___Toc78710_4195859891">
            <w:r>
              <w:rPr>
                <w:webHidden/>
                <w:rStyle w:val="IndexLink"/>
              </w:rPr>
              <w:t>3.3 Reference material</w:t>
              <w:tab/>
              <w:t>5</w:t>
            </w:r>
          </w:hyperlink>
        </w:p>
        <w:p>
          <w:pPr>
            <w:pStyle w:val="TOC1"/>
            <w:tabs>
              <w:tab w:val="clear" w:pos="900"/>
              <w:tab w:val="clear" w:pos="9350"/>
              <w:tab w:val="right" w:pos="9025" w:leader="dot"/>
            </w:tabs>
            <w:rPr/>
          </w:pPr>
          <w:hyperlink w:anchor="__RefHeading___Toc78712_4195859891">
            <w:r>
              <w:rPr>
                <w:webHidden/>
                <w:rStyle w:val="IndexLink"/>
              </w:rPr>
              <w:t>4. Support model</w:t>
              <w:tab/>
              <w:t>6</w:t>
            </w:r>
          </w:hyperlink>
        </w:p>
        <w:p>
          <w:pPr>
            <w:pStyle w:val="TOC2"/>
            <w:tabs>
              <w:tab w:val="clear" w:pos="900"/>
              <w:tab w:val="clear" w:pos="9350"/>
              <w:tab w:val="right" w:pos="9025" w:leader="dot"/>
            </w:tabs>
            <w:rPr/>
          </w:pPr>
          <w:hyperlink w:anchor="__RefHeading___Toc78714_4195859891">
            <w:r>
              <w:rPr>
                <w:webHidden/>
                <w:rStyle w:val="IndexLink"/>
              </w:rPr>
              <w:t>4.1 Levels</w:t>
              <w:tab/>
              <w:t>6</w:t>
            </w:r>
          </w:hyperlink>
        </w:p>
        <w:p>
          <w:pPr>
            <w:pStyle w:val="TOC2"/>
            <w:tabs>
              <w:tab w:val="clear" w:pos="900"/>
              <w:tab w:val="clear" w:pos="9350"/>
              <w:tab w:val="right" w:pos="9025" w:leader="dot"/>
            </w:tabs>
            <w:rPr/>
          </w:pPr>
          <w:hyperlink w:anchor="__RefHeading___Toc78716_4195859891">
            <w:r>
              <w:rPr>
                <w:webHidden/>
                <w:rStyle w:val="IndexLink"/>
              </w:rPr>
              <w:t>4.2 Responsibilities of L1</w:t>
              <w:tab/>
              <w:t>6</w:t>
            </w:r>
          </w:hyperlink>
        </w:p>
        <w:p>
          <w:pPr>
            <w:pStyle w:val="TOC2"/>
            <w:tabs>
              <w:tab w:val="clear" w:pos="900"/>
              <w:tab w:val="clear" w:pos="9350"/>
              <w:tab w:val="right" w:pos="9025" w:leader="dot"/>
            </w:tabs>
            <w:rPr/>
          </w:pPr>
          <w:hyperlink w:anchor="__RefHeading___Toc78718_4195859891">
            <w:r>
              <w:rPr>
                <w:webHidden/>
                <w:rStyle w:val="IndexLink"/>
              </w:rPr>
              <w:t>4.3 Service desk</w:t>
              <w:tab/>
              <w:t>6</w:t>
            </w:r>
          </w:hyperlink>
        </w:p>
        <w:p>
          <w:pPr>
            <w:pStyle w:val="TOC1"/>
            <w:tabs>
              <w:tab w:val="clear" w:pos="900"/>
              <w:tab w:val="clear" w:pos="9350"/>
              <w:tab w:val="right" w:pos="9025" w:leader="dot"/>
            </w:tabs>
            <w:rPr/>
          </w:pPr>
          <w:hyperlink w:anchor="__RefHeading___Toc78720_4195859891">
            <w:r>
              <w:rPr>
                <w:webHidden/>
                <w:rStyle w:val="IndexLink"/>
              </w:rPr>
              <w:t>5. Service hours</w:t>
              <w:tab/>
              <w:t>7</w:t>
            </w:r>
          </w:hyperlink>
        </w:p>
        <w:p>
          <w:pPr>
            <w:pStyle w:val="TOC1"/>
            <w:tabs>
              <w:tab w:val="clear" w:pos="900"/>
              <w:tab w:val="clear" w:pos="9350"/>
              <w:tab w:val="right" w:pos="9025" w:leader="dot"/>
            </w:tabs>
            <w:rPr/>
          </w:pPr>
          <w:hyperlink w:anchor="__RefHeading___Toc78722_4195859891">
            <w:r>
              <w:rPr>
                <w:webHidden/>
                <w:rStyle w:val="IndexLink"/>
              </w:rPr>
              <w:t>6. Severity levels and targets</w:t>
              <w:tab/>
              <w:t>8</w:t>
            </w:r>
          </w:hyperlink>
        </w:p>
        <w:p>
          <w:pPr>
            <w:pStyle w:val="TOC2"/>
            <w:tabs>
              <w:tab w:val="clear" w:pos="900"/>
              <w:tab w:val="clear" w:pos="9350"/>
              <w:tab w:val="right" w:pos="9025" w:leader="dot"/>
            </w:tabs>
            <w:rPr/>
          </w:pPr>
          <w:hyperlink w:anchor="__RefHeading___Toc78724_4195859891">
            <w:r>
              <w:rPr>
                <w:webHidden/>
                <w:rStyle w:val="IndexLink"/>
              </w:rPr>
              <w:t>6.1 Definitions</w:t>
              <w:tab/>
              <w:t>8</w:t>
            </w:r>
          </w:hyperlink>
        </w:p>
        <w:p>
          <w:pPr>
            <w:pStyle w:val="TOC2"/>
            <w:tabs>
              <w:tab w:val="clear" w:pos="900"/>
              <w:tab w:val="clear" w:pos="9350"/>
              <w:tab w:val="right" w:pos="9025" w:leader="dot"/>
            </w:tabs>
            <w:rPr/>
          </w:pPr>
          <w:hyperlink w:anchor="__RefHeading___Toc78726_4195859891">
            <w:r>
              <w:rPr>
                <w:webHidden/>
                <w:rStyle w:val="IndexLink"/>
              </w:rPr>
              <w:t>6.2 Targets</w:t>
              <w:tab/>
              <w:t>8</w:t>
            </w:r>
          </w:hyperlink>
        </w:p>
        <w:p>
          <w:pPr>
            <w:pStyle w:val="TOC1"/>
            <w:tabs>
              <w:tab w:val="clear" w:pos="900"/>
              <w:tab w:val="clear" w:pos="9350"/>
              <w:tab w:val="right" w:pos="9025" w:leader="dot"/>
            </w:tabs>
            <w:rPr/>
          </w:pPr>
          <w:hyperlink w:anchor="__RefHeading___Toc78728_4195859891">
            <w:r>
              <w:rPr>
                <w:webHidden/>
                <w:rStyle w:val="IndexLink"/>
              </w:rPr>
              <w:t>7. Ticket workflow</w:t>
              <w:tab/>
              <w:t>9</w:t>
            </w:r>
          </w:hyperlink>
        </w:p>
        <w:p>
          <w:pPr>
            <w:pStyle w:val="TOC2"/>
            <w:tabs>
              <w:tab w:val="clear" w:pos="900"/>
              <w:tab w:val="clear" w:pos="9350"/>
              <w:tab w:val="right" w:pos="9025" w:leader="dot"/>
            </w:tabs>
            <w:rPr/>
          </w:pPr>
          <w:hyperlink w:anchor="__RefHeading___Toc78730_4195859891">
            <w:r>
              <w:rPr>
                <w:webHidden/>
                <w:rStyle w:val="IndexLink"/>
              </w:rPr>
              <w:t>7.1 Minimum content of a ticket</w:t>
              <w:tab/>
              <w:t>9</w:t>
            </w:r>
          </w:hyperlink>
        </w:p>
        <w:p>
          <w:pPr>
            <w:pStyle w:val="TOC2"/>
            <w:tabs>
              <w:tab w:val="clear" w:pos="900"/>
              <w:tab w:val="clear" w:pos="9350"/>
              <w:tab w:val="right" w:pos="9025" w:leader="dot"/>
            </w:tabs>
            <w:rPr/>
          </w:pPr>
          <w:hyperlink w:anchor="__RefHeading___Toc78732_4195859891">
            <w:r>
              <w:rPr>
                <w:webHidden/>
                <w:rStyle w:val="IndexLink"/>
              </w:rPr>
              <w:t>7.2 Statuses</w:t>
              <w:tab/>
              <w:t>9</w:t>
            </w:r>
          </w:hyperlink>
        </w:p>
        <w:p>
          <w:pPr>
            <w:pStyle w:val="TOC2"/>
            <w:tabs>
              <w:tab w:val="clear" w:pos="900"/>
              <w:tab w:val="clear" w:pos="9350"/>
              <w:tab w:val="right" w:pos="9025" w:leader="dot"/>
            </w:tabs>
            <w:rPr/>
          </w:pPr>
          <w:hyperlink w:anchor="__RefHeading___Toc78734_4195859891">
            <w:r>
              <w:rPr>
                <w:webHidden/>
                <w:rStyle w:val="IndexLink"/>
              </w:rPr>
              <w:t>7.3 Triage steps at L2</w:t>
              <w:tab/>
              <w:t>9</w:t>
            </w:r>
          </w:hyperlink>
        </w:p>
        <w:p>
          <w:pPr>
            <w:pStyle w:val="TOC1"/>
            <w:tabs>
              <w:tab w:val="clear" w:pos="900"/>
              <w:tab w:val="clear" w:pos="9350"/>
              <w:tab w:val="right" w:pos="9025" w:leader="dot"/>
            </w:tabs>
            <w:rPr/>
          </w:pPr>
          <w:hyperlink w:anchor="__RefHeading___Toc78736_4195859891">
            <w:r>
              <w:rPr>
                <w:webHidden/>
                <w:rStyle w:val="IndexLink"/>
              </w:rPr>
              <w:t>8. Escalation matrix</w:t>
              <w:tab/>
              <w:t>11</w:t>
            </w:r>
          </w:hyperlink>
        </w:p>
        <w:p>
          <w:pPr>
            <w:pStyle w:val="TOC1"/>
            <w:tabs>
              <w:tab w:val="clear" w:pos="900"/>
              <w:tab w:val="clear" w:pos="9350"/>
              <w:tab w:val="right" w:pos="9025" w:leader="dot"/>
            </w:tabs>
            <w:rPr/>
          </w:pPr>
          <w:hyperlink w:anchor="__RefHeading___Toc78738_4195859891">
            <w:r>
              <w:rPr>
                <w:webHidden/>
                <w:rStyle w:val="IndexLink"/>
              </w:rPr>
              <w:t>9. Problem management</w:t>
              <w:tab/>
              <w:t>12</w:t>
            </w:r>
          </w:hyperlink>
        </w:p>
        <w:p>
          <w:pPr>
            <w:pStyle w:val="TOC1"/>
            <w:tabs>
              <w:tab w:val="clear" w:pos="900"/>
              <w:tab w:val="clear" w:pos="9350"/>
              <w:tab w:val="right" w:pos="9025" w:leader="dot"/>
            </w:tabs>
            <w:rPr/>
          </w:pPr>
          <w:hyperlink w:anchor="__RefHeading___Toc78740_4195859891">
            <w:r>
              <w:rPr>
                <w:webHidden/>
                <w:rStyle w:val="IndexLink"/>
              </w:rPr>
              <w:t>10. Change management</w:t>
              <w:tab/>
              <w:t>13</w:t>
            </w:r>
          </w:hyperlink>
        </w:p>
        <w:p>
          <w:pPr>
            <w:pStyle w:val="TOC2"/>
            <w:tabs>
              <w:tab w:val="clear" w:pos="900"/>
              <w:tab w:val="clear" w:pos="9350"/>
              <w:tab w:val="right" w:pos="9025" w:leader="dot"/>
            </w:tabs>
            <w:rPr/>
          </w:pPr>
          <w:hyperlink w:anchor="__RefHeading___Toc78742_4195859891">
            <w:r>
              <w:rPr>
                <w:webHidden/>
                <w:rStyle w:val="IndexLink"/>
              </w:rPr>
              <w:t>10.1 Types of change</w:t>
              <w:tab/>
              <w:t>13</w:t>
            </w:r>
          </w:hyperlink>
        </w:p>
        <w:p>
          <w:pPr>
            <w:pStyle w:val="TOC2"/>
            <w:tabs>
              <w:tab w:val="clear" w:pos="900"/>
              <w:tab w:val="clear" w:pos="9350"/>
              <w:tab w:val="right" w:pos="9025" w:leader="dot"/>
            </w:tabs>
            <w:rPr/>
          </w:pPr>
          <w:hyperlink w:anchor="__RefHeading___Toc78744_4195859891">
            <w:r>
              <w:rPr>
                <w:webHidden/>
                <w:rStyle w:val="IndexLink"/>
              </w:rPr>
              <w:t>10.2 Configuration changes in production</w:t>
              <w:tab/>
              <w:t>13</w:t>
            </w:r>
          </w:hyperlink>
        </w:p>
        <w:p>
          <w:pPr>
            <w:pStyle w:val="TOC2"/>
            <w:tabs>
              <w:tab w:val="clear" w:pos="900"/>
              <w:tab w:val="clear" w:pos="9350"/>
              <w:tab w:val="right" w:pos="9025" w:leader="dot"/>
            </w:tabs>
            <w:rPr/>
          </w:pPr>
          <w:hyperlink w:anchor="__RefHeading___Toc78746_4195859891">
            <w:r>
              <w:rPr>
                <w:webHidden/>
                <w:rStyle w:val="IndexLink"/>
              </w:rPr>
              <w:t>10.3 Data corrections</w:t>
              <w:tab/>
              <w:t>13</w:t>
            </w:r>
          </w:hyperlink>
        </w:p>
        <w:p>
          <w:pPr>
            <w:pStyle w:val="TOC1"/>
            <w:tabs>
              <w:tab w:val="clear" w:pos="900"/>
              <w:tab w:val="clear" w:pos="9350"/>
              <w:tab w:val="right" w:pos="9025" w:leader="dot"/>
            </w:tabs>
            <w:rPr/>
          </w:pPr>
          <w:hyperlink w:anchor="__RefHeading___Toc78748_4195859891">
            <w:r>
              <w:rPr>
                <w:webHidden/>
                <w:rStyle w:val="IndexLink"/>
              </w:rPr>
              <w:t>11. Release management and patching</w:t>
              <w:tab/>
              <w:t>14</w:t>
            </w:r>
          </w:hyperlink>
        </w:p>
        <w:p>
          <w:pPr>
            <w:pStyle w:val="TOC2"/>
            <w:tabs>
              <w:tab w:val="clear" w:pos="900"/>
              <w:tab w:val="clear" w:pos="9350"/>
              <w:tab w:val="right" w:pos="9025" w:leader="dot"/>
            </w:tabs>
            <w:rPr/>
          </w:pPr>
          <w:hyperlink w:anchor="__RefHeading___Toc78750_4195859891">
            <w:r>
              <w:rPr>
                <w:webHidden/>
                <w:rStyle w:val="IndexLink"/>
              </w:rPr>
              <w:t>11.1 Releases</w:t>
              <w:tab/>
              <w:t>14</w:t>
            </w:r>
          </w:hyperlink>
        </w:p>
        <w:p>
          <w:pPr>
            <w:pStyle w:val="TOC2"/>
            <w:tabs>
              <w:tab w:val="clear" w:pos="900"/>
              <w:tab w:val="clear" w:pos="9350"/>
              <w:tab w:val="right" w:pos="9025" w:leader="dot"/>
            </w:tabs>
            <w:rPr/>
          </w:pPr>
          <w:hyperlink w:anchor="__RefHeading___Toc78752_4195859891">
            <w:r>
              <w:rPr>
                <w:webHidden/>
                <w:rStyle w:val="IndexLink"/>
              </w:rPr>
              <w:t>11.2 Patching</w:t>
              <w:tab/>
              <w:t>14</w:t>
            </w:r>
          </w:hyperlink>
        </w:p>
        <w:p>
          <w:pPr>
            <w:pStyle w:val="TOC1"/>
            <w:tabs>
              <w:tab w:val="clear" w:pos="900"/>
              <w:tab w:val="clear" w:pos="9350"/>
              <w:tab w:val="right" w:pos="9025" w:leader="dot"/>
            </w:tabs>
            <w:rPr/>
          </w:pPr>
          <w:hyperlink w:anchor="__RefHeading___Toc78754_4195859891">
            <w:r>
              <w:rPr>
                <w:webHidden/>
                <w:rStyle w:val="IndexLink"/>
              </w:rPr>
              <w:t>12. Monitoring and health checks</w:t>
              <w:tab/>
              <w:t>15</w:t>
            </w:r>
          </w:hyperlink>
        </w:p>
        <w:p>
          <w:pPr>
            <w:pStyle w:val="TOC1"/>
            <w:tabs>
              <w:tab w:val="clear" w:pos="900"/>
              <w:tab w:val="clear" w:pos="9350"/>
              <w:tab w:val="right" w:pos="9025" w:leader="dot"/>
            </w:tabs>
            <w:rPr/>
          </w:pPr>
          <w:hyperlink w:anchor="__RefHeading___Toc78756_4195859891">
            <w:r>
              <w:rPr>
                <w:webHidden/>
                <w:rStyle w:val="IndexLink"/>
              </w:rPr>
              <w:t>13. Backup verification and DR drills</w:t>
              <w:tab/>
              <w:t>16</w:t>
            </w:r>
          </w:hyperlink>
        </w:p>
        <w:p>
          <w:pPr>
            <w:pStyle w:val="TOC2"/>
            <w:tabs>
              <w:tab w:val="clear" w:pos="900"/>
              <w:tab w:val="clear" w:pos="9350"/>
              <w:tab w:val="right" w:pos="9025" w:leader="dot"/>
            </w:tabs>
            <w:rPr/>
          </w:pPr>
          <w:hyperlink w:anchor="__RefHeading___Toc78758_4195859891">
            <w:r>
              <w:rPr>
                <w:webHidden/>
                <w:rStyle w:val="IndexLink"/>
              </w:rPr>
              <w:t>13.1 Backup verification</w:t>
              <w:tab/>
              <w:t>16</w:t>
            </w:r>
          </w:hyperlink>
        </w:p>
        <w:p>
          <w:pPr>
            <w:pStyle w:val="TOC2"/>
            <w:tabs>
              <w:tab w:val="clear" w:pos="900"/>
              <w:tab w:val="clear" w:pos="9350"/>
              <w:tab w:val="right" w:pos="9025" w:leader="dot"/>
            </w:tabs>
            <w:rPr/>
          </w:pPr>
          <w:hyperlink w:anchor="__RefHeading___Toc78760_4195859891">
            <w:r>
              <w:rPr>
                <w:webHidden/>
                <w:rStyle w:val="IndexLink"/>
              </w:rPr>
              <w:t>13.2 DR drills</w:t>
              <w:tab/>
              <w:t>16</w:t>
            </w:r>
          </w:hyperlink>
        </w:p>
        <w:p>
          <w:pPr>
            <w:pStyle w:val="TOC1"/>
            <w:tabs>
              <w:tab w:val="clear" w:pos="900"/>
              <w:tab w:val="clear" w:pos="9350"/>
              <w:tab w:val="right" w:pos="9025" w:leader="dot"/>
            </w:tabs>
            <w:rPr/>
          </w:pPr>
          <w:hyperlink w:anchor="__RefHeading___Toc78762_4195859891">
            <w:r>
              <w:rPr>
                <w:webHidden/>
                <w:rStyle w:val="IndexLink"/>
              </w:rPr>
              <w:t>14. Service reporting and KPIs</w:t>
              <w:tab/>
              <w:t>17</w:t>
            </w:r>
          </w:hyperlink>
        </w:p>
        <w:p>
          <w:pPr>
            <w:pStyle w:val="TOC2"/>
            <w:tabs>
              <w:tab w:val="clear" w:pos="900"/>
              <w:tab w:val="clear" w:pos="9350"/>
              <w:tab w:val="right" w:pos="9025" w:leader="dot"/>
            </w:tabs>
            <w:rPr/>
          </w:pPr>
          <w:hyperlink w:anchor="__RefHeading___Toc78764_4195859891">
            <w:r>
              <w:rPr>
                <w:webHidden/>
                <w:rStyle w:val="IndexLink"/>
              </w:rPr>
              <w:t>14.1 Monthly service report</w:t>
              <w:tab/>
              <w:t>17</w:t>
            </w:r>
          </w:hyperlink>
        </w:p>
        <w:p>
          <w:pPr>
            <w:pStyle w:val="TOC2"/>
            <w:tabs>
              <w:tab w:val="clear" w:pos="900"/>
              <w:tab w:val="clear" w:pos="9350"/>
              <w:tab w:val="right" w:pos="9025" w:leader="dot"/>
            </w:tabs>
            <w:rPr/>
          </w:pPr>
          <w:hyperlink w:anchor="__RefHeading___Toc78766_4195859891">
            <w:r>
              <w:rPr>
                <w:webHidden/>
                <w:rStyle w:val="IndexLink"/>
              </w:rPr>
              <w:t>14.2 KPIs</w:t>
              <w:tab/>
              <w:t>17</w:t>
            </w:r>
          </w:hyperlink>
        </w:p>
        <w:p>
          <w:pPr>
            <w:pStyle w:val="TOC1"/>
            <w:tabs>
              <w:tab w:val="clear" w:pos="900"/>
              <w:tab w:val="clear" w:pos="9350"/>
              <w:tab w:val="right" w:pos="9025" w:leader="dot"/>
            </w:tabs>
            <w:rPr/>
          </w:pPr>
          <w:hyperlink w:anchor="__RefHeading___Toc78768_4195859891">
            <w:r>
              <w:rPr>
                <w:webHidden/>
                <w:rStyle w:val="IndexLink"/>
              </w:rPr>
              <w:t>15. Knowledge base</w:t>
              <w:tab/>
              <w:t>18</w:t>
            </w:r>
          </w:hyperlink>
        </w:p>
        <w:p>
          <w:pPr>
            <w:pStyle w:val="TOC1"/>
            <w:tabs>
              <w:tab w:val="clear" w:pos="900"/>
              <w:tab w:val="clear" w:pos="9350"/>
              <w:tab w:val="right" w:pos="9025" w:leader="dot"/>
            </w:tabs>
            <w:rPr/>
          </w:pPr>
          <w:hyperlink w:anchor="__RefHeading___Toc78770_4195859891">
            <w:r>
              <w:rPr>
                <w:webHidden/>
                <w:rStyle w:val="IndexLink"/>
              </w:rPr>
              <w:t>16. Handover from hypercare</w:t>
              <w:tab/>
              <w:t>19</w:t>
            </w:r>
          </w:hyperlink>
        </w:p>
        <w:p>
          <w:pPr>
            <w:pStyle w:val="TOC1"/>
            <w:tabs>
              <w:tab w:val="clear" w:pos="900"/>
              <w:tab w:val="clear" w:pos="9350"/>
              <w:tab w:val="right" w:pos="9025" w:leader="dot"/>
            </w:tabs>
            <w:rPr/>
          </w:pPr>
          <w:hyperlink w:anchor="__RefHeading___Toc78772_4195859891">
            <w:r>
              <w:rPr>
                <w:webHidden/>
                <w:rStyle w:val="IndexLink"/>
              </w:rPr>
              <w:t>17. Root-cause analysis standards</w:t>
              <w:tab/>
              <w:t>20</w:t>
            </w:r>
          </w:hyperlink>
        </w:p>
        <w:p>
          <w:pPr>
            <w:pStyle w:val="TOC1"/>
            <w:tabs>
              <w:tab w:val="clear" w:pos="900"/>
              <w:tab w:val="clear" w:pos="9350"/>
              <w:tab w:val="right" w:pos="9025" w:leader="dot"/>
            </w:tabs>
            <w:rPr/>
          </w:pPr>
          <w:hyperlink w:anchor="__RefHeading___Toc78774_4195859891">
            <w:r>
              <w:rPr>
                <w:webHidden/>
                <w:rStyle w:val="IndexLink"/>
              </w:rPr>
              <w:t>18. Code fix standards</w:t>
              <w:tab/>
              <w:t>21</w:t>
            </w:r>
          </w:hyperlink>
        </w:p>
        <w:p>
          <w:pPr>
            <w:pStyle w:val="TOC2"/>
            <w:tabs>
              <w:tab w:val="clear" w:pos="900"/>
              <w:tab w:val="clear" w:pos="9350"/>
              <w:tab w:val="right" w:pos="9025" w:leader="dot"/>
            </w:tabs>
            <w:rPr/>
          </w:pPr>
          <w:hyperlink w:anchor="__RefHeading___Toc78776_4195859891">
            <w:r>
              <w:rPr>
                <w:webHidden/>
                <w:rStyle w:val="IndexLink"/>
              </w:rPr>
              <w:t>18.1 Branching and review</w:t>
              <w:tab/>
              <w:t>21</w:t>
            </w:r>
          </w:hyperlink>
        </w:p>
        <w:p>
          <w:pPr>
            <w:pStyle w:val="TOC2"/>
            <w:tabs>
              <w:tab w:val="clear" w:pos="900"/>
              <w:tab w:val="clear" w:pos="9350"/>
              <w:tab w:val="right" w:pos="9025" w:leader="dot"/>
            </w:tabs>
            <w:rPr/>
          </w:pPr>
          <w:hyperlink w:anchor="__RefHeading___Toc78778_4195859891">
            <w:r>
              <w:rPr>
                <w:webHidden/>
                <w:rStyle w:val="IndexLink"/>
              </w:rPr>
              <w:t>18.2 Rules for the change</w:t>
              <w:tab/>
              <w:t>21</w:t>
            </w:r>
          </w:hyperlink>
        </w:p>
        <w:p>
          <w:pPr>
            <w:pStyle w:val="TOC2"/>
            <w:tabs>
              <w:tab w:val="clear" w:pos="900"/>
              <w:tab w:val="clear" w:pos="9350"/>
              <w:tab w:val="right" w:pos="9025" w:leader="dot"/>
            </w:tabs>
            <w:rPr/>
          </w:pPr>
          <w:hyperlink w:anchor="__RefHeading___Toc78780_4195859891">
            <w:r>
              <w:rPr>
                <w:webHidden/>
                <w:rStyle w:val="IndexLink"/>
              </w:rPr>
              <w:t>18.3 Tests</w:t>
              <w:tab/>
              <w:t>21</w:t>
            </w:r>
          </w:hyperlink>
        </w:p>
        <w:p>
          <w:pPr>
            <w:pStyle w:val="TOC1"/>
            <w:tabs>
              <w:tab w:val="clear" w:pos="900"/>
              <w:tab w:val="clear" w:pos="9350"/>
              <w:tab w:val="right" w:pos="9025" w:leader="dot"/>
            </w:tabs>
            <w:rPr/>
          </w:pPr>
          <w:hyperlink w:anchor="__RefHeading___Toc78782_4195859891">
            <w:r>
              <w:rPr>
                <w:webHidden/>
                <w:rStyle w:val="IndexLink"/>
              </w:rPr>
              <w:t>19. Regression testing</w:t>
              <w:tab/>
              <w:t>22</w:t>
            </w:r>
          </w:hyperlink>
        </w:p>
        <w:p>
          <w:pPr>
            <w:pStyle w:val="TOC1"/>
            <w:tabs>
              <w:tab w:val="clear" w:pos="900"/>
              <w:tab w:val="clear" w:pos="9350"/>
              <w:tab w:val="right" w:pos="9025" w:leader="dot"/>
            </w:tabs>
            <w:rPr/>
          </w:pPr>
          <w:hyperlink w:anchor="__RefHeading___Toc78784_4195859891">
            <w:r>
              <w:rPr>
                <w:webHidden/>
                <w:rStyle w:val="IndexLink"/>
              </w:rPr>
              <w:t>20. Security incidents and personal data breaches</w:t>
              <w:tab/>
              <w:t>23</w:t>
            </w:r>
          </w:hyperlink>
        </w:p>
        <w:p>
          <w:pPr>
            <w:pStyle w:val="TOC2"/>
            <w:tabs>
              <w:tab w:val="clear" w:pos="900"/>
              <w:tab w:val="clear" w:pos="9350"/>
              <w:tab w:val="right" w:pos="9025" w:leader="dot"/>
            </w:tabs>
            <w:rPr/>
          </w:pPr>
          <w:hyperlink w:anchor="__RefHeading___Toc78786_4195859891">
            <w:r>
              <w:rPr>
                <w:webHidden/>
                <w:rStyle w:val="IndexLink"/>
              </w:rPr>
              <w:t>20.1 Security incidents</w:t>
              <w:tab/>
              <w:t>23</w:t>
            </w:r>
          </w:hyperlink>
        </w:p>
        <w:p>
          <w:pPr>
            <w:pStyle w:val="TOC2"/>
            <w:tabs>
              <w:tab w:val="clear" w:pos="900"/>
              <w:tab w:val="clear" w:pos="9350"/>
              <w:tab w:val="right" w:pos="9025" w:leader="dot"/>
            </w:tabs>
            <w:rPr/>
          </w:pPr>
          <w:hyperlink w:anchor="__RefHeading___Toc78788_4195859891">
            <w:r>
              <w:rPr>
                <w:webHidden/>
                <w:rStyle w:val="IndexLink"/>
              </w:rPr>
              <w:t>20.2 Personal data breaches</w:t>
              <w:tab/>
              <w:t>23</w:t>
            </w:r>
          </w:hyperlink>
        </w:p>
        <w:p>
          <w:pPr>
            <w:pStyle w:val="TOC2"/>
            <w:tabs>
              <w:tab w:val="clear" w:pos="900"/>
              <w:tab w:val="clear" w:pos="9350"/>
              <w:tab w:val="right" w:pos="9025" w:leader="dot"/>
            </w:tabs>
            <w:rPr/>
          </w:pPr>
          <w:hyperlink w:anchor="__RefHeading___Toc78790_4195859891">
            <w:r>
              <w:rPr>
                <w:webHidden/>
                <w:rStyle w:val="IndexLink"/>
              </w:rPr>
              <w:t>20.3 Data subject requests</w:t>
              <w:tab/>
              <w:t>24</w:t>
            </w:r>
          </w:hyperlink>
        </w:p>
        <w:p>
          <w:pPr>
            <w:pStyle w:val="TOC1"/>
            <w:tabs>
              <w:tab w:val="clear" w:pos="900"/>
              <w:tab w:val="clear" w:pos="9350"/>
              <w:tab w:val="right" w:pos="9025" w:leader="dot"/>
            </w:tabs>
            <w:rPr/>
          </w:pPr>
          <w:hyperlink w:anchor="__RefHeading___Toc78792_4195859891">
            <w:r>
              <w:rPr>
                <w:webHidden/>
                <w:rStyle w:val="IndexLink"/>
              </w:rPr>
              <w:t>21. Support exclusions</w:t>
              <w:tab/>
              <w:t>25</w:t>
            </w:r>
          </w:hyperlink>
        </w:p>
        <w:p>
          <w:pPr>
            <w:pStyle w:val="TOC1"/>
            <w:tabs>
              <w:tab w:val="clear" w:pos="900"/>
              <w:tab w:val="clear" w:pos="9350"/>
              <w:tab w:val="right" w:pos="9025" w:leader="dot"/>
            </w:tabs>
            <w:rPr/>
          </w:pPr>
          <w:hyperlink w:anchor="__RefHeading___Toc78794_4195859891">
            <w:r>
              <w:rPr>
                <w:webHidden/>
                <w:rStyle w:val="IndexLink"/>
              </w:rPr>
              <w:t>22. What the broker provides</w:t>
              <w:tab/>
              <w:t>26</w:t>
            </w:r>
          </w:hyperlink>
        </w:p>
        <w:p>
          <w:pPr>
            <w:pStyle w:val="TOC1"/>
            <w:tabs>
              <w:tab w:val="clear" w:pos="900"/>
              <w:tab w:val="clear" w:pos="9350"/>
              <w:tab w:val="right" w:pos="9025" w:leader="dot"/>
            </w:tabs>
            <w:rPr/>
          </w:pPr>
          <w:hyperlink w:anchor="__RefHeading___Toc78796_4195859891">
            <w:r>
              <w:rPr>
                <w:webHidden/>
                <w:rStyle w:val="IndexLink"/>
                <w:i w:val="false"/>
                <w:iCs w:val="false"/>
              </w:rPr>
              <w:t>23. Document Sign-Off</w:t>
            </w:r>
            <w:r>
              <w:rPr>
                <w:rStyle w:val="IndexLink"/>
              </w:rPr>
              <w:tab/>
              <w:t>27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70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70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ITIL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 Infrastructure Library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Pull request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704_4195859891"/>
      <w:bookmarkEnd w:id="6"/>
      <w:r>
        <w:rPr>
          <w:rFonts w:eastAsia="Segoe UI" w:cs="Segoe UI" w:ascii="Segoe UI" w:hAnsi="Segoe UI"/>
          <w:b/>
          <w:color w:val="0F4761"/>
          <w:sz w:val="32"/>
        </w:rPr>
        <w:t>3.  Introduction</w:t>
      </w:r>
    </w:p>
    <w:p>
      <w:pPr>
        <w:pStyle w:val="Heading2"/>
        <w:rPr/>
      </w:pPr>
      <w:bookmarkStart w:id="7" w:name="__RefHeading___Toc78706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pStyle w:val="Normal"/>
        <w:spacing w:lineRule="auto" w:line="276" w:before="0" w:after="120"/>
        <w:rPr/>
      </w:pPr>
      <w:r>
        <w:rPr>
          <w:rFonts w:eastAsia="Segoe UI" w:cs="Segoe UI" w:ascii="Segoe UI" w:hAnsi="Segoe UI"/>
          <w:color w:val="101820"/>
          <w:sz w:val="21"/>
        </w:rPr>
        <w:t xml:space="preserve">The figures in this document (hours, targets, frequencies) are the iorta TechNXT standard proposal. The final values are fixed in the support agreement with the broker and are then copied into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p>
    <w:p>
      <w:pPr>
        <w:pStyle w:val="Heading2"/>
        <w:rPr/>
      </w:pPr>
      <w:bookmarkStart w:id="8" w:name="__RefHeading___Toc78708_4195859891"/>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System Administrator, key users and IT management; the iorta TechNXT application support, engineering and DevOps teams; the account manager.</w:t>
      </w:r>
    </w:p>
    <w:p>
      <w:pPr>
        <w:pStyle w:val="Heading2"/>
        <w:rPr/>
      </w:pPr>
      <w:bookmarkStart w:id="9" w:name="__RefHeading___Toc78710_4195859891"/>
      <w:bookmarkEnd w:id="9"/>
      <w:r>
        <w:rPr>
          <w:rFonts w:eastAsia="Segoe UI" w:cs="Segoe UI"/>
          <w:b/>
          <w:color w:val="0F4761"/>
          <w:sz w:val="26"/>
        </w:rPr>
        <w:t>3.3  Reference material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in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docs/onboarding/SUPPORT_AND_ESCALATION.md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a user report must contain and what support checks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docs/developer-guide/README.md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frontend.md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Tracing a defect from a screen to the API and the database; logs and request IDs; common production issues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OpenAPI file, Postman collection, API touchpoint workbook (screen to route)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health checks, start-up rules, upgrade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documents 07 to 11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 RTO and RPO, backup and recovery, archival and housekeeping,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and role decks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behaviour of each screen; known limitations (manual Appendix 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backend/scripts/uat-scenario.js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regression scripts</w:t>
            </w:r>
          </w:p>
        </w:tc>
      </w:tr>
    </w:tbl>
    <w:p>
      <w:pPr>
        <w:pStyle w:val="Normal"/>
        <w:spacing w:before="0" w:after="80"/>
        <w:rPr/>
      </w:pPr>
      <w:r>
        <w:rPr/>
      </w:r>
      <w:r>
        <w:br w:type="page"/>
      </w:r>
    </w:p>
    <w:p>
      <w:pPr>
        <w:pStyle w:val="Heading1"/>
        <w:rPr/>
      </w:pPr>
      <w:bookmarkStart w:id="10" w:name="__RefHeading___Toc78712_4195859891"/>
      <w:bookmarkEnd w:id="10"/>
      <w:r>
        <w:rPr>
          <w:rFonts w:eastAsia="Segoe UI" w:cs="Segoe UI" w:ascii="Segoe UI" w:hAnsi="Segoe UI"/>
          <w:b/>
          <w:color w:val="0F4761"/>
          <w:sz w:val="32"/>
        </w:rPr>
        <w:t>4.  Support model</w:t>
      </w:r>
    </w:p>
    <w:p>
      <w:pPr>
        <w:pStyle w:val="Heading2"/>
        <w:rPr/>
      </w:pPr>
      <w:bookmarkStart w:id="11" w:name="__RefHeading___Toc78714_4195859891"/>
      <w:bookmarkEnd w:id="11"/>
      <w:r>
        <w:rPr>
          <w:rFonts w:eastAsia="Segoe UI" w:cs="Segoe UI"/>
          <w:b/>
          <w:color w:val="0F4761"/>
          <w:sz w:val="26"/>
        </w:rPr>
        <w:t>4.1  Levels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6"/>
        <w:gridCol w:w="40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users, roles, password and two-step verification resets, settings and master data; logging the ticket with the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triage and classification; reproduction in the test environment; analysis with request IDs, logs, Audit Trail and job runs;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(development and DevOps)</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corrections that need a script, performance, infrastructure, security incidents, root-cause analysis,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This model maps to the levels users see in the user manual (Appendix H) and in </w:t>
      </w:r>
      <w:r>
        <w:rPr>
          <w:rFonts w:eastAsia="Consolas" w:cs="Consolas" w:ascii="Consolas" w:hAnsi="Consolas"/>
          <w:color w:val="101820"/>
          <w:sz w:val="19"/>
        </w:rPr>
        <w:t>SUPPORT_AND_ESCALATION.md</w:t>
      </w:r>
      <w:r>
        <w:rPr>
          <w:rFonts w:eastAsia="Segoe UI" w:cs="Segoe UI" w:ascii="Segoe UI" w:hAnsi="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rPr/>
      </w:pPr>
      <w:bookmarkStart w:id="12" w:name="__RefHeading___Toc78716_4195859891"/>
      <w:bookmarkEnd w:id="12"/>
      <w:r>
        <w:rPr>
          <w:rFonts w:eastAsia="Segoe UI" w:cs="Segoe UI"/>
          <w:b/>
          <w:color w:val="0F4761"/>
          <w:sz w:val="26"/>
        </w:rPr>
        <w:t>4.2  Responsibilities of L1</w:t>
      </w:r>
    </w:p>
    <w:p>
      <w:pPr>
        <w:pStyle w:val="Normal"/>
        <w:numPr>
          <w:ilvl w:val="0"/>
          <w:numId w:val="1"/>
        </w:numPr>
        <w:spacing w:before="0" w:after="60"/>
        <w:rPr/>
      </w:pPr>
      <w:r>
        <w:rPr>
          <w:rFonts w:eastAsia="Segoe UI" w:cs="Segoe UI" w:ascii="Segoe UI" w:hAnsi="Segoe UI"/>
          <w:color w:val="101820"/>
          <w:sz w:val="21"/>
        </w:rPr>
        <w:t>Answer how-to questions from the user manual and the role decks.</w:t>
      </w:r>
    </w:p>
    <w:p>
      <w:pPr>
        <w:pStyle w:val="Normal"/>
        <w:numPr>
          <w:ilvl w:val="0"/>
          <w:numId w:val="1"/>
        </w:numPr>
        <w:spacing w:before="0" w:after="60"/>
        <w:rPr/>
      </w:pPr>
      <w:r>
        <w:rPr>
          <w:rFonts w:eastAsia="Segoe UI" w:cs="Segoe UI" w:ascii="Segoe UI" w:hAnsi="Segoe UI"/>
          <w:color w:val="101820"/>
          <w:sz w:val="21"/>
        </w:rPr>
        <w:t>Check the user's role and menus (</w:t>
      </w:r>
      <w:r>
        <w:rPr>
          <w:rFonts w:eastAsia="Consolas" w:cs="Consolas" w:ascii="Consolas" w:hAnsi="Consolas"/>
          <w:color w:val="101820"/>
          <w:sz w:val="19"/>
        </w:rPr>
        <w:t>GETTING_STARTED.md</w:t>
      </w:r>
      <w:r>
        <w:rPr>
          <w:rFonts w:eastAsia="Segoe UI" w:cs="Segoe UI" w:ascii="Segoe UI" w:hAnsi="Segoe UI"/>
          <w:color w:val="101820"/>
          <w:sz w:val="21"/>
        </w:rPr>
        <w:t>, section 2), the setting concerned (Master &gt; Configuration) and Master &gt; Audit Trail for a recent change.</w:t>
      </w:r>
    </w:p>
    <w:p>
      <w:pPr>
        <w:pStyle w:val="Normal"/>
        <w:numPr>
          <w:ilvl w:val="0"/>
          <w:numId w:val="1"/>
        </w:numPr>
        <w:spacing w:before="0" w:after="60"/>
        <w:rPr/>
      </w:pPr>
      <w:r>
        <w:rPr>
          <w:rFonts w:eastAsia="Segoe UI" w:cs="Segoe UI" w:ascii="Segoe UI" w:hAnsi="Segoe UI"/>
          <w:color w:val="101820"/>
          <w:sz w:val="21"/>
        </w:rPr>
        <w:t xml:space="preserve">For uploads, compare the rejected file with the template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Raise a ticket with the evidence of chapter 7 when the issue remains.</w:t>
      </w:r>
    </w:p>
    <w:p>
      <w:pPr>
        <w:pStyle w:val="Normal"/>
        <w:numPr>
          <w:ilvl w:val="0"/>
          <w:numId w:val="1"/>
        </w:numPr>
        <w:spacing w:before="0" w:after="60"/>
        <w:rPr/>
      </w:pPr>
      <w:r>
        <w:rPr>
          <w:rFonts w:eastAsia="Segoe UI" w:cs="Segoe UI" w:ascii="Segoe UI" w:hAnsi="Segoe UI"/>
          <w:color w:val="101820"/>
          <w:sz w:val="21"/>
        </w:rPr>
        <w:t>Communicate with the broker's users during an incident and confirm the fix.</w:t>
      </w:r>
    </w:p>
    <w:p>
      <w:pPr>
        <w:pStyle w:val="Heading2"/>
        <w:rPr/>
      </w:pPr>
      <w:bookmarkStart w:id="13" w:name="__RefHeading___Toc78718_4195859891"/>
      <w:bookmarkEnd w:id="13"/>
      <w:r>
        <w:rPr>
          <w:rFonts w:eastAsia="Segoe UI" w:cs="Segoe UI"/>
          <w:b/>
          <w:color w:val="0F4761"/>
          <w:sz w:val="26"/>
        </w:rPr>
        <w:t>4.3  Service desk</w:t>
      </w:r>
    </w:p>
    <w:p>
      <w:pPr>
        <w:pStyle w:val="Normal"/>
        <w:spacing w:lineRule="auto" w:line="276" w:before="0" w:after="120"/>
        <w:rPr/>
      </w:pPr>
      <w:r>
        <w:rPr>
          <w:rFonts w:eastAsia="Segoe UI" w:cs="Segoe UI" w:ascii="Segoe UI" w:hAnsi="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r>
        <w:br w:type="page"/>
      </w:r>
    </w:p>
    <w:p>
      <w:pPr>
        <w:pStyle w:val="Heading1"/>
        <w:rPr/>
      </w:pPr>
      <w:bookmarkStart w:id="14" w:name="__RefHeading___Toc78720_4195859891"/>
      <w:bookmarkEnd w:id="14"/>
      <w:r>
        <w:rPr>
          <w:rFonts w:eastAsia="Segoe UI" w:cs="Segoe UI" w:ascii="Segoe UI" w:hAnsi="Segoe UI"/>
          <w:b/>
          <w:color w:val="0F4761"/>
          <w:sz w:val="32"/>
        </w:rPr>
        <w:t>5.  Service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4"/>
        <w:gridCol w:w="4005"/>
        <w:gridCol w:w="2505"/>
      </w:tblGrid>
      <w:tr>
        <w:trPr>
          <w:tblHeader w:val="true"/>
        </w:trPr>
        <w:tc>
          <w:tcPr>
            <w:tcW w:w="2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4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2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 to 18:00 PHT, Monday to Friday, except Philippine regular holidays</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2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4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broker; default Saturday 20:00 to Sunday 06:00 PHT</w:t>
            </w:r>
          </w:p>
        </w:tc>
        <w:tc>
          <w:tcPr>
            <w:tcW w:w="2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 Monitoring alarms (chapter 12) are watched outside service hours only where the extended option is taken.</w:t>
      </w:r>
      <w:r>
        <w:br w:type="page"/>
      </w:r>
    </w:p>
    <w:p>
      <w:pPr>
        <w:pStyle w:val="Heading1"/>
        <w:rPr/>
      </w:pPr>
      <w:bookmarkStart w:id="15" w:name="__RefHeading___Toc78722_4195859891"/>
      <w:bookmarkEnd w:id="15"/>
      <w:r>
        <w:rPr>
          <w:rFonts w:eastAsia="Segoe UI" w:cs="Segoe UI" w:ascii="Segoe UI" w:hAnsi="Segoe UI"/>
          <w:b/>
          <w:color w:val="0F4761"/>
          <w:sz w:val="32"/>
        </w:rPr>
        <w:t>6.  Severity levels and targets</w:t>
      </w:r>
    </w:p>
    <w:p>
      <w:pPr>
        <w:pStyle w:val="Heading2"/>
        <w:rPr/>
      </w:pPr>
      <w:bookmarkStart w:id="16" w:name="__RefHeading___Toc78724_4195859891"/>
      <w:bookmarkEnd w:id="16"/>
      <w:r>
        <w:rPr>
          <w:rFonts w:eastAsia="Segoe UI" w:cs="Segoe UI"/>
          <w:b/>
          <w:color w:val="0F4761"/>
          <w:sz w:val="26"/>
        </w:rPr>
        <w:t>6.1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3953"/>
        <w:gridCol w:w="3939"/>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9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9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broker proposes the severity when raising the ticket. L2 confirms or changes it at triage, with the reason, and the broker may ask for a review through the escalation matrix.</w:t>
      </w:r>
    </w:p>
    <w:p>
      <w:pPr>
        <w:pStyle w:val="Heading2"/>
        <w:rPr/>
      </w:pPr>
      <w:bookmarkStart w:id="17" w:name="__RefHeading___Toc78726_4195859891"/>
      <w:bookmarkEnd w:id="17"/>
      <w:r>
        <w:rPr>
          <w:rFonts w:eastAsia="Segoe UI" w:cs="Segoe UI"/>
          <w:b/>
          <w:color w:val="0F4761"/>
          <w:sz w:val="26"/>
        </w:rPr>
        <w:t>6.2  Targets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22"/>
        <w:gridCol w:w="1516"/>
        <w:gridCol w:w="2037"/>
        <w:gridCol w:w="3217"/>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2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3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2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broker or handled as a change request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These targets are the iorta TechNXT standard proposal. </w:t>
      </w:r>
      <w:r>
        <w:rPr>
          <w:rFonts w:eastAsia="Consolas" w:cs="Consolas" w:ascii="Consolas" w:hAnsi="Consolas"/>
          <w:color w:val="101820"/>
          <w:sz w:val="18"/>
        </w:rPr>
        <w:t>SUPPORT_AND_ESCALATION.md</w:t>
      </w:r>
      <w:r>
        <w:rPr>
          <w:rFonts w:eastAsia="Segoe UI" w:cs="Segoe UI" w:ascii="Segoe UI" w:hAnsi="Segoe UI"/>
          <w:color w:val="101820"/>
          <w:sz w:val="20"/>
        </w:rPr>
        <w:t xml:space="preserve"> shows an earlier proposal used at onboarding (P1 first response 1 business hour, fix in 1 business day). The support agreement fixes one set of values and both documents are then aligned.</w:t>
      </w:r>
    </w:p>
    <w:p>
      <w:pPr>
        <w:pStyle w:val="Normal"/>
        <w:spacing w:lineRule="auto" w:line="276" w:before="0" w:after="120"/>
        <w:rPr/>
      </w:pPr>
      <w:r>
        <w:rPr>
          <w:rFonts w:eastAsia="Segoe UI" w:cs="Segoe UI" w:ascii="Segoe UI" w:hAnsi="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r>
        <w:br w:type="page"/>
      </w:r>
    </w:p>
    <w:p>
      <w:pPr>
        <w:pStyle w:val="Heading1"/>
        <w:rPr/>
      </w:pPr>
      <w:bookmarkStart w:id="18" w:name="__RefHeading___Toc78728_4195859891"/>
      <w:bookmarkEnd w:id="18"/>
      <w:r>
        <w:rPr>
          <w:rFonts w:eastAsia="Segoe UI" w:cs="Segoe UI" w:ascii="Segoe UI" w:hAnsi="Segoe UI"/>
          <w:b/>
          <w:color w:val="0F4761"/>
          <w:sz w:val="32"/>
        </w:rPr>
        <w:t>7.  Ticket workflow</w:t>
      </w:r>
    </w:p>
    <w:p>
      <w:pPr>
        <w:pStyle w:val="Heading2"/>
        <w:rPr/>
      </w:pPr>
      <w:bookmarkStart w:id="19" w:name="__RefHeading___Toc78730_4195859891"/>
      <w:bookmarkEnd w:id="19"/>
      <w:r>
        <w:rPr>
          <w:rFonts w:eastAsia="Segoe UI" w:cs="Segoe UI"/>
          <w:b/>
          <w:color w:val="0F4761"/>
          <w:sz w:val="26"/>
        </w:rPr>
        <w:t>7.1  Minimum content of a ticket</w:t>
      </w:r>
    </w:p>
    <w:p>
      <w:pPr>
        <w:pStyle w:val="Normal"/>
        <w:spacing w:lineRule="auto" w:line="276" w:before="0" w:after="120"/>
        <w:rPr/>
      </w:pPr>
      <w:r>
        <w:rPr>
          <w:rFonts w:eastAsia="Segoe UI" w:cs="Segoe UI" w:ascii="Segoe UI" w:hAnsi="Segoe UI"/>
          <w:color w:val="101820"/>
          <w:sz w:val="21"/>
        </w:rPr>
        <w:t xml:space="preserve">As in </w:t>
      </w:r>
      <w:r>
        <w:rPr>
          <w:rFonts w:eastAsia="Consolas" w:cs="Consolas" w:ascii="Consolas" w:hAnsi="Consolas"/>
          <w:color w:val="101820"/>
          <w:sz w:val="19"/>
        </w:rPr>
        <w:t>SUPPORT_AND_ESCALATION.md</w:t>
      </w:r>
      <w:r>
        <w:rPr>
          <w:rFonts w:eastAsia="Segoe UI" w:cs="Segoe UI" w:ascii="Segoe UI" w:hAnsi="Segoe UI"/>
          <w:color w:val="101820"/>
          <w:sz w:val="21"/>
        </w:rPr>
        <w:t>, section 2:</w:t>
      </w:r>
    </w:p>
    <w:p>
      <w:pPr>
        <w:pStyle w:val="Normal"/>
        <w:numPr>
          <w:ilvl w:val="0"/>
          <w:numId w:val="8"/>
        </w:numPr>
        <w:spacing w:before="0" w:after="60"/>
        <w:rPr/>
      </w:pPr>
      <w:r>
        <w:rPr>
          <w:rFonts w:eastAsia="Segoe UI" w:cs="Segoe UI" w:ascii="Segoe UI" w:hAnsi="Segoe UI"/>
          <w:color w:val="101820"/>
          <w:sz w:val="21"/>
        </w:rPr>
        <w:t>The screen (menu path) and the record number (policy, quotation, receipt, voucher, journal).</w:t>
      </w:r>
    </w:p>
    <w:p>
      <w:pPr>
        <w:pStyle w:val="Normal"/>
        <w:numPr>
          <w:ilvl w:val="0"/>
          <w:numId w:val="2"/>
        </w:numPr>
        <w:spacing w:before="0" w:after="60"/>
        <w:rPr/>
      </w:pPr>
      <w:r>
        <w:rPr>
          <w:rFonts w:eastAsia="Segoe UI" w:cs="Segoe UI" w:ascii="Segoe UI" w:hAnsi="Segoe UI"/>
          <w:color w:val="101820"/>
          <w:sz w:val="21"/>
        </w:rPr>
        <w:t>The date and time, to the minute.</w:t>
      </w:r>
    </w:p>
    <w:p>
      <w:pPr>
        <w:pStyle w:val="Normal"/>
        <w:numPr>
          <w:ilvl w:val="0"/>
          <w:numId w:val="2"/>
        </w:numPr>
        <w:spacing w:before="0" w:after="60"/>
        <w:rPr/>
      </w:pPr>
      <w:r>
        <w:rPr>
          <w:rFonts w:eastAsia="Segoe UI" w:cs="Segoe UI" w:ascii="Segoe UI" w:hAnsi="Segoe UI"/>
          <w:color w:val="101820"/>
          <w:sz w:val="21"/>
        </w:rPr>
        <w:t>The request ID shown in the error message, if any.</w:t>
      </w:r>
    </w:p>
    <w:p>
      <w:pPr>
        <w:pStyle w:val="Normal"/>
        <w:numPr>
          <w:ilvl w:val="0"/>
          <w:numId w:val="2"/>
        </w:numPr>
        <w:spacing w:before="0" w:after="60"/>
        <w:rPr/>
      </w:pPr>
      <w:r>
        <w:rPr>
          <w:rFonts w:eastAsia="Segoe UI" w:cs="Segoe UI" w:ascii="Segoe UI" w:hAnsi="Segoe UI"/>
          <w:color w:val="101820"/>
          <w:sz w:val="21"/>
        </w:rPr>
        <w:t>What was done, what happened and what was expected.</w:t>
      </w:r>
    </w:p>
    <w:p>
      <w:pPr>
        <w:pStyle w:val="Normal"/>
        <w:numPr>
          <w:ilvl w:val="0"/>
          <w:numId w:val="2"/>
        </w:numPr>
        <w:spacing w:before="0" w:after="60"/>
        <w:rPr/>
      </w:pPr>
      <w:r>
        <w:rPr>
          <w:rFonts w:eastAsia="Segoe UI" w:cs="Segoe UI" w:ascii="Segoe UI" w:hAnsi="Segoe UI"/>
          <w:color w:val="101820"/>
          <w:sz w:val="21"/>
        </w:rPr>
        <w:t>A screenshot, with client personal data covered.</w:t>
      </w:r>
    </w:p>
    <w:p>
      <w:pPr>
        <w:pStyle w:val="Normal"/>
        <w:numPr>
          <w:ilvl w:val="0"/>
          <w:numId w:val="2"/>
        </w:numPr>
        <w:spacing w:before="0" w:after="60"/>
        <w:rPr/>
      </w:pPr>
      <w:r>
        <w:rPr>
          <w:rFonts w:eastAsia="Segoe UI" w:cs="Segoe UI" w:ascii="Segoe UI" w:hAnsi="Segoe UI"/>
          <w:color w:val="101820"/>
          <w:sz w:val="21"/>
        </w:rPr>
        <w:t>The username (never the password) and the role.</w:t>
      </w:r>
    </w:p>
    <w:p>
      <w:pPr>
        <w:pStyle w:val="Normal"/>
        <w:numPr>
          <w:ilvl w:val="0"/>
          <w:numId w:val="2"/>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0" w:name="__RefHeading___Toc78732_4195859891"/>
      <w:bookmarkEnd w:id="20"/>
      <w:r>
        <w:rPr>
          <w:rFonts w:eastAsia="Segoe UI" w:cs="Segoe UI"/>
          <w:b/>
          <w:color w:val="0F4761"/>
          <w:sz w:val="26"/>
        </w:rPr>
        <w:t>7.2  Statuses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8"/>
        <w:gridCol w:w="5278"/>
        <w:gridCol w:w="1649"/>
      </w:tblGrid>
      <w:tr>
        <w:trPr>
          <w:tblHeader w:val="true"/>
        </w:trPr>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5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6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moves it</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by L1</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Acknowledged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confirmed, owner assigned, first response sent</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analysis or being fixed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or L3</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Awaiting customer</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information, a test or a decision from the broker; the clock stops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Workaround provided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restored; the permanent fix is tracked on a problem record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or answer delivered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confirmed, or no reply within 5 business days of Resolved</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or automatic</w:t>
            </w:r>
          </w:p>
        </w:tc>
      </w:tr>
      <w:tr>
        <w:trPr/>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Reopened</w:t>
            </w:r>
          </w:p>
        </w:tc>
        <w:tc>
          <w:tcPr>
            <w:tcW w:w="5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reports within 5 business days that the issue remains</w:t>
            </w:r>
          </w:p>
        </w:tc>
        <w:tc>
          <w:tcPr>
            <w:tcW w:w="16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r>
    </w:tbl>
    <w:p>
      <w:pPr>
        <w:pStyle w:val="Normal"/>
        <w:spacing w:before="0" w:after="80"/>
        <w:rPr/>
      </w:pPr>
      <w:r>
        <w:rPr/>
      </w:r>
    </w:p>
    <w:p>
      <w:pPr>
        <w:pStyle w:val="Heading2"/>
        <w:rPr/>
      </w:pPr>
      <w:bookmarkStart w:id="21" w:name="__RefHeading___Toc78734_4195859891"/>
      <w:bookmarkEnd w:id="21"/>
      <w:r>
        <w:rPr>
          <w:rFonts w:eastAsia="Segoe UI" w:cs="Segoe UI"/>
          <w:b/>
          <w:color w:val="0F4761"/>
          <w:sz w:val="26"/>
        </w:rPr>
        <w:t>7.3  Triage steps at L2</w:t>
      </w:r>
    </w:p>
    <w:p>
      <w:pPr>
        <w:pStyle w:val="Normal"/>
        <w:numPr>
          <w:ilvl w:val="0"/>
          <w:numId w:val="9"/>
        </w:numPr>
        <w:spacing w:before="0" w:after="60"/>
        <w:rPr/>
      </w:pPr>
      <w:r>
        <w:rPr>
          <w:rFonts w:eastAsia="Segoe UI" w:cs="Segoe UI" w:ascii="Segoe UI" w:hAnsi="Segoe UI"/>
          <w:color w:val="101820"/>
          <w:sz w:val="21"/>
        </w:rPr>
        <w:t>Confirm severity and impact.</w:t>
      </w:r>
    </w:p>
    <w:p>
      <w:pPr>
        <w:pStyle w:val="Normal"/>
        <w:numPr>
          <w:ilvl w:val="0"/>
          <w:numId w:val="10"/>
        </w:numPr>
        <w:spacing w:before="0" w:after="60"/>
        <w:rPr/>
      </w:pPr>
      <w:r>
        <w:rPr>
          <w:rFonts w:eastAsia="Segoe UI" w:cs="Segoe UI" w:ascii="Segoe UI" w:hAnsi="Segoe UI"/>
          <w:color w:val="101820"/>
          <w:sz w:val="21"/>
        </w:rPr>
        <w:t>Find the request ID in the logs (JSON lines; the 500 message and stack are only in the log).</w:t>
      </w:r>
    </w:p>
    <w:p>
      <w:pPr>
        <w:pStyle w:val="Normal"/>
        <w:numPr>
          <w:ilvl w:val="0"/>
          <w:numId w:val="11"/>
        </w:numPr>
        <w:spacing w:before="0" w:after="60"/>
        <w:rPr/>
      </w:pPr>
      <w:r>
        <w:rPr>
          <w:rFonts w:eastAsia="Segoe UI" w:cs="Segoe UI" w:ascii="Segoe UI" w:hAnsi="Segoe UI"/>
          <w:color w:val="101820"/>
          <w:sz w:val="21"/>
        </w:rPr>
        <w:t xml:space="preserve">Check health: </w:t>
      </w:r>
      <w:r>
        <w:rPr>
          <w:rFonts w:eastAsia="Consolas" w:cs="Consolas" w:ascii="Consolas" w:hAnsi="Consolas"/>
          <w:color w:val="101820"/>
          <w:sz w:val="19"/>
        </w:rPr>
        <w:t>GET /api/health</w:t>
      </w:r>
      <w:r>
        <w:rPr>
          <w:rFonts w:eastAsia="Segoe UI" w:cs="Segoe UI" w:ascii="Segoe UI" w:hAnsi="Segoe UI"/>
          <w:color w:val="101820"/>
          <w:sz w:val="21"/>
        </w:rPr>
        <w:t xml:space="preserve"> (ready, database latency, pending migrations) and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Normal"/>
        <w:numPr>
          <w:ilvl w:val="0"/>
          <w:numId w:val="12"/>
        </w:numPr>
        <w:spacing w:before="0" w:after="60"/>
        <w:rPr/>
      </w:pPr>
      <w:r>
        <w:rPr>
          <w:rFonts w:eastAsia="Segoe UI" w:cs="Segoe UI" w:ascii="Segoe UI" w:hAnsi="Segoe UI"/>
          <w:color w:val="101820"/>
          <w:sz w:val="21"/>
        </w:rPr>
        <w:t>Find the route from the screen in the API touchpoint workbook and follow it to the module and tables.</w:t>
      </w:r>
    </w:p>
    <w:p>
      <w:pPr>
        <w:pStyle w:val="Normal"/>
        <w:numPr>
          <w:ilvl w:val="0"/>
          <w:numId w:val="13"/>
        </w:numPr>
        <w:spacing w:before="0" w:after="60"/>
        <w:rPr/>
      </w:pPr>
      <w:r>
        <w:rPr>
          <w:rFonts w:eastAsia="Segoe UI" w:cs="Segoe UI" w:ascii="Segoe UI" w:hAnsi="Segoe UI"/>
          <w:color w:val="101820"/>
          <w:sz w:val="21"/>
        </w:rPr>
        <w:t>Check the usual suspects of the area (</w:t>
      </w:r>
      <w:r>
        <w:rPr>
          <w:rFonts w:eastAsia="Consolas" w:cs="Consolas" w:ascii="Consolas" w:hAnsi="Consolas"/>
          <w:color w:val="101820"/>
          <w:sz w:val="19"/>
        </w:rPr>
        <w:t>docs/developer-guide/backend.md</w:t>
      </w:r>
      <w:r>
        <w:rPr>
          <w:rFonts w:eastAsia="Segoe UI" w:cs="Segoe UI" w:ascii="Segoe UI" w:hAnsi="Segoe UI"/>
          <w:color w:val="101820"/>
          <w:sz w:val="21"/>
        </w:rPr>
        <w:t>, section 7): sign-in and lockouts (</w:t>
      </w:r>
      <w:r>
        <w:rPr>
          <w:rFonts w:eastAsia="Consolas" w:cs="Consolas" w:ascii="Consolas" w:hAnsi="Consolas"/>
          <w:color w:val="101820"/>
          <w:sz w:val="19"/>
        </w:rPr>
        <w:t>login_history</w:t>
      </w:r>
      <w:r>
        <w:rPr>
          <w:rFonts w:eastAsia="Segoe UI" w:cs="Segoe UI" w:ascii="Segoe UI" w:hAnsi="Segoe UI"/>
          <w:color w:val="101820"/>
          <w:sz w:val="21"/>
        </w:rPr>
        <w:t>), document numbering, postings and closed periods, scheduled jobs (</w:t>
      </w:r>
      <w:r>
        <w:rPr>
          <w:rFonts w:eastAsia="Consolas" w:cs="Consolas" w:ascii="Consolas" w:hAnsi="Consolas"/>
          <w:color w:val="101820"/>
          <w:sz w:val="19"/>
        </w:rPr>
        <w:t>job_runs</w:t>
      </w:r>
      <w:r>
        <w:rPr>
          <w:rFonts w:eastAsia="Segoe UI" w:cs="Segoe UI" w:ascii="Segoe UI" w:hAnsi="Segoe UI"/>
          <w:color w:val="101820"/>
          <w:sz w:val="21"/>
        </w:rPr>
        <w:t>), PDFs, the e-mail outbox.</w:t>
      </w:r>
    </w:p>
    <w:p>
      <w:pPr>
        <w:pStyle w:val="Normal"/>
        <w:numPr>
          <w:ilvl w:val="0"/>
          <w:numId w:val="14"/>
        </w:numPr>
        <w:spacing w:before="0" w:after="60"/>
        <w:rPr/>
      </w:pPr>
      <w:r>
        <w:rPr>
          <w:rFonts w:eastAsia="Segoe UI" w:cs="Segoe UI" w:ascii="Segoe UI" w:hAnsi="Segoe UI"/>
          <w:color w:val="101820"/>
          <w:sz w:val="21"/>
        </w:rPr>
        <w:t>Check configuration before code: the setting in Master &gt; Configuration and its history in Master &gt; Audit Trail.</w:t>
      </w:r>
    </w:p>
    <w:p>
      <w:pPr>
        <w:pStyle w:val="Normal"/>
        <w:numPr>
          <w:ilvl w:val="0"/>
          <w:numId w:val="15"/>
        </w:numPr>
        <w:spacing w:before="0" w:after="60"/>
        <w:rPr/>
      </w:pPr>
      <w:r>
        <w:rPr>
          <w:rFonts w:eastAsia="Segoe UI" w:cs="Segoe UI" w:ascii="Segoe UI" w:hAnsi="Segoe UI"/>
          <w:color w:val="101820"/>
          <w:sz w:val="21"/>
        </w:rPr>
        <w:t>Reproduce in the test environment where possible.</w:t>
      </w:r>
    </w:p>
    <w:p>
      <w:pPr>
        <w:pStyle w:val="Normal"/>
        <w:numPr>
          <w:ilvl w:val="0"/>
          <w:numId w:val="16"/>
        </w:numPr>
        <w:spacing w:before="0" w:after="60"/>
        <w:rPr/>
      </w:pPr>
      <w:r>
        <w:rPr>
          <w:rFonts w:eastAsia="Segoe UI" w:cs="Segoe UI" w:ascii="Segoe UI" w:hAnsi="Segoe UI"/>
          <w:color w:val="101820"/>
          <w:sz w:val="21"/>
        </w:rPr>
        <w:t>Classify the cause: user or training, configuration, master or transaction data, code defect, infrastructure, third party.</w:t>
      </w:r>
    </w:p>
    <w:p>
      <w:pPr>
        <w:pStyle w:val="Normal"/>
        <w:numPr>
          <w:ilvl w:val="0"/>
          <w:numId w:val="17"/>
        </w:numPr>
        <w:spacing w:before="0" w:after="60"/>
        <w:rPr/>
      </w:pPr>
      <w:r>
        <w:rPr>
          <w:rFonts w:eastAsia="Segoe UI" w:cs="Segoe UI" w:ascii="Segoe UI" w:hAnsi="Segoe UI"/>
          <w:color w:val="101820"/>
          <w:sz w:val="21"/>
        </w:rPr>
        <w:t>Resolve at L2 or pass to L3 with the evidence.</w:t>
      </w:r>
      <w:r>
        <w:br w:type="page"/>
      </w:r>
    </w:p>
    <w:p>
      <w:pPr>
        <w:pStyle w:val="Heading1"/>
        <w:rPr/>
      </w:pPr>
      <w:bookmarkStart w:id="22" w:name="__RefHeading___Toc78736_4195859891"/>
      <w:bookmarkEnd w:id="22"/>
      <w:r>
        <w:rPr>
          <w:rFonts w:eastAsia="Segoe UI" w:cs="Segoe UI" w:ascii="Segoe UI" w:hAnsi="Segoe UI"/>
          <w:b/>
          <w:color w:val="0F4761"/>
          <w:sz w:val="32"/>
        </w:rPr>
        <w:t>8.  Escalation matrix</w:t>
      </w:r>
    </w:p>
    <w:p>
      <w:pPr>
        <w:pStyle w:val="Normal"/>
        <w:spacing w:lineRule="auto" w:line="276" w:before="0" w:after="120"/>
        <w:rPr/>
      </w:pPr>
      <w:r>
        <w:rPr>
          <w:rFonts w:eastAsia="Segoe UI" w:cs="Segoe UI" w:ascii="Segoe UI" w:hAnsi="Segoe UI"/>
          <w:color w:val="101820"/>
          <w:sz w:val="21"/>
        </w:rPr>
        <w:t>Functional escalation moves a ticket to the next support level. Hierarchical escalation brings in management when a target is at risk.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 side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broker's 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engineering lead and DevOps lead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 (chapter 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the support agreement and kept up to date by both parties.</w:t>
      </w:r>
      <w:r>
        <w:br w:type="page"/>
      </w:r>
    </w:p>
    <w:p>
      <w:pPr>
        <w:pStyle w:val="Heading1"/>
        <w:rPr/>
      </w:pPr>
      <w:bookmarkStart w:id="23" w:name="__RefHeading___Toc78738_4195859891"/>
      <w:bookmarkEnd w:id="23"/>
      <w:r>
        <w:rPr>
          <w:rFonts w:eastAsia="Segoe UI" w:cs="Segoe UI" w:ascii="Segoe UI" w:hAnsi="Segoe UI"/>
          <w:b/>
          <w:color w:val="0F4761"/>
          <w:sz w:val="32"/>
        </w:rPr>
        <w:t>9.  Problem management</w:t>
      </w:r>
    </w:p>
    <w:p>
      <w:pPr>
        <w:pStyle w:val="Normal"/>
        <w:spacing w:lineRule="auto" w:line="276" w:before="0" w:after="120"/>
        <w:rPr/>
      </w:pPr>
      <w:r>
        <w:rPr>
          <w:rFonts w:eastAsia="Segoe UI" w:cs="Segoe UI" w:ascii="Segoe UI" w:hAnsi="Segoe UI"/>
          <w:color w:val="101820"/>
          <w:sz w:val="21"/>
        </w:rPr>
        <w:t>Aligned with ITIL problem management.</w:t>
      </w:r>
    </w:p>
    <w:p>
      <w:pPr>
        <w:pStyle w:val="Normal"/>
        <w:numPr>
          <w:ilvl w:val="0"/>
          <w:numId w:val="1"/>
        </w:numPr>
        <w:spacing w:before="0" w:after="60"/>
        <w:rPr/>
      </w:pPr>
      <w:r>
        <w:rPr>
          <w:rFonts w:eastAsia="Segoe UI" w:cs="Segoe UI" w:ascii="Segoe UI" w:hAnsi="Segoe UI"/>
          <w:color w:val="101820"/>
          <w:sz w:val="21"/>
        </w:rPr>
        <w:t>A problem record is opened for every P1, for every P2 whose cause is not known when service is restored, and for any cause behind three or more incidents in a month.</w:t>
      </w:r>
    </w:p>
    <w:p>
      <w:pPr>
        <w:pStyle w:val="Normal"/>
        <w:numPr>
          <w:ilvl w:val="0"/>
          <w:numId w:val="1"/>
        </w:numPr>
        <w:spacing w:before="0" w:after="60"/>
        <w:rPr/>
      </w:pPr>
      <w:r>
        <w:rPr>
          <w:rFonts w:eastAsia="Segoe UI" w:cs="Segoe UI" w:ascii="Segoe UI" w:hAnsi="Segoe UI"/>
          <w:color w:val="101820"/>
          <w:sz w:val="21"/>
        </w:rPr>
        <w:t>L2 owns the record; L3 carries out the root-cause analysis to the standard of chapter 17.</w:t>
      </w:r>
    </w:p>
    <w:p>
      <w:pPr>
        <w:pStyle w:val="Normal"/>
        <w:numPr>
          <w:ilvl w:val="0"/>
          <w:numId w:val="1"/>
        </w:numPr>
        <w:spacing w:before="0" w:after="60"/>
        <w:rPr/>
      </w:pPr>
      <w:r>
        <w:rPr>
          <w:rFonts w:eastAsia="Segoe UI" w:cs="Segoe UI" w:ascii="Segoe UI" w:hAnsi="Segoe UI"/>
          <w:color w:val="101820"/>
          <w:sz w:val="21"/>
        </w:rPr>
        <w:t>A known-error record (symptom, cause, workaround) is published in the knowledge base as soon as the workaround is known.</w:t>
      </w:r>
    </w:p>
    <w:p>
      <w:pPr>
        <w:pStyle w:val="Normal"/>
        <w:numPr>
          <w:ilvl w:val="0"/>
          <w:numId w:val="1"/>
        </w:numPr>
        <w:spacing w:before="0" w:after="60"/>
        <w:rPr/>
      </w:pPr>
      <w:r>
        <w:rPr>
          <w:rFonts w:eastAsia="Segoe UI" w:cs="Segoe UI" w:ascii="Segoe UI" w:hAnsi="Segoe UI"/>
          <w:color w:val="101820"/>
          <w:sz w:val="21"/>
        </w:rPr>
        <w:t>The problem is closed when the permanent fix is released and no new incident of the same cause occurs for 30 days.</w:t>
      </w:r>
    </w:p>
    <w:p>
      <w:pPr>
        <w:pStyle w:val="Normal"/>
        <w:numPr>
          <w:ilvl w:val="0"/>
          <w:numId w:val="1"/>
        </w:numPr>
        <w:spacing w:before="0" w:after="60"/>
        <w:rPr/>
      </w:pPr>
      <w:r>
        <w:rPr>
          <w:rFonts w:eastAsia="Segoe UI" w:cs="Segoe UI" w:ascii="Segoe UI" w:hAnsi="Segoe UI"/>
          <w:color w:val="101820"/>
          <w:sz w:val="21"/>
        </w:rPr>
        <w:t>Open problems are reviewed in the monthly service review.</w:t>
      </w:r>
      <w:r>
        <w:br w:type="page"/>
      </w:r>
    </w:p>
    <w:p>
      <w:pPr>
        <w:pStyle w:val="Heading1"/>
        <w:rPr/>
      </w:pPr>
      <w:bookmarkStart w:id="24" w:name="__RefHeading___Toc78740_4195859891"/>
      <w:bookmarkEnd w:id="24"/>
      <w:r>
        <w:rPr>
          <w:rFonts w:eastAsia="Segoe UI" w:cs="Segoe UI" w:ascii="Segoe UI" w:hAnsi="Segoe UI"/>
          <w:b/>
          <w:color w:val="0F4761"/>
          <w:sz w:val="32"/>
        </w:rPr>
        <w:t>10.  Change management</w:t>
      </w:r>
    </w:p>
    <w:p>
      <w:pPr>
        <w:pStyle w:val="Heading2"/>
        <w:rPr/>
      </w:pPr>
      <w:bookmarkStart w:id="25" w:name="__RefHeading___Toc78742_4195859891"/>
      <w:bookmarkEnd w:id="25"/>
      <w:r>
        <w:rPr>
          <w:rFonts w:eastAsia="Segoe UI" w:cs="Segoe UI"/>
          <w:b/>
          <w:color w:val="0F4761"/>
          <w:sz w:val="26"/>
        </w:rPr>
        <w:t>10.1  Types of change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36"/>
        <w:gridCol w:w="3986"/>
        <w:gridCol w:w="3992"/>
      </w:tblGrid>
      <w:tr>
        <w:trPr>
          <w:tblHeader w:val="true"/>
        </w:trPr>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3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c>
          <w:tcPr>
            <w:tcW w:w="39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Adding a user, resetting a password, adding a master record, changing an e-mail text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Pre-approved; done by the broker's System Administrator; recorded in the Audit Trail</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a change of tax rate, account determination or posting rule; a new document number series; a new scheduled job time; a data correction script</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with impact, test evidence and rollback; approved by the broker's change owner and iorta TechNXT support manager (CAB)</w:t>
            </w:r>
          </w:p>
        </w:tc>
      </w:tr>
      <w:tr>
        <w:trPr/>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w:t>
            </w:r>
          </w:p>
        </w:tc>
        <w:tc>
          <w:tcPr>
            <w:tcW w:w="3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for a P1; security patch</w:t>
            </w:r>
          </w:p>
        </w:tc>
        <w:tc>
          <w:tcPr>
            <w:tcW w:w="39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the support manager and the broker's IT head by telephone or e-mail; recorded afterwards and reviewed at the next CAB</w:t>
            </w:r>
          </w:p>
        </w:tc>
      </w:tr>
    </w:tbl>
    <w:p>
      <w:pPr>
        <w:pStyle w:val="Normal"/>
        <w:spacing w:before="0" w:after="80"/>
        <w:rPr/>
      </w:pPr>
      <w:r>
        <w:rPr/>
      </w:r>
    </w:p>
    <w:p>
      <w:pPr>
        <w:pStyle w:val="Heading2"/>
        <w:rPr/>
      </w:pPr>
      <w:bookmarkStart w:id="26" w:name="__RefHeading___Toc78744_4195859891"/>
      <w:bookmarkEnd w:id="26"/>
      <w:r>
        <w:rPr>
          <w:rFonts w:eastAsia="Segoe UI" w:cs="Segoe UI"/>
          <w:b/>
          <w:color w:val="0F4761"/>
          <w:sz w:val="26"/>
        </w:rPr>
        <w:t>10.2  Configuration changes in production</w:t>
      </w:r>
    </w:p>
    <w:p>
      <w:pPr>
        <w:pStyle w:val="Normal"/>
        <w:numPr>
          <w:ilvl w:val="0"/>
          <w:numId w:val="1"/>
        </w:numPr>
        <w:spacing w:before="0" w:after="60"/>
        <w:rPr/>
      </w:pPr>
      <w:r>
        <w:rPr>
          <w:rFonts w:eastAsia="Segoe UI" w:cs="Segoe UI" w:ascii="Segoe UI" w:hAnsi="Segoe UI"/>
          <w:color w:val="101820"/>
          <w:sz w:val="21"/>
        </w:rPr>
        <w:t>Settings in Master &gt; Configuration apply at once on every server and are recorded in the Audit Trail with the old and new value.</w:t>
      </w:r>
    </w:p>
    <w:p>
      <w:pPr>
        <w:pStyle w:val="Normal"/>
        <w:numPr>
          <w:ilvl w:val="0"/>
          <w:numId w:val="1"/>
        </w:numPr>
        <w:spacing w:before="0" w:after="60"/>
        <w:rPr/>
      </w:pPr>
      <w:r>
        <w:rPr>
          <w:rFonts w:eastAsia="Segoe UI" w:cs="Segoe UI" w:ascii="Segoe UI" w:hAnsi="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pStyle w:val="Normal"/>
        <w:numPr>
          <w:ilvl w:val="0"/>
          <w:numId w:val="1"/>
        </w:numPr>
        <w:spacing w:before="0" w:after="60"/>
        <w:rPr/>
      </w:pPr>
      <w:r>
        <w:rPr>
          <w:rFonts w:eastAsia="Segoe UI" w:cs="Segoe UI" w:ascii="Segoe UI" w:hAnsi="Segoe UI"/>
          <w:color w:val="101820"/>
          <w:sz w:val="21"/>
        </w:rPr>
        <w:t>GL accounts, tax rates and maker-checker switches are changed only with the agreement of the Accounting Manager (user manual, Master data chapter).</w:t>
      </w:r>
    </w:p>
    <w:p>
      <w:pPr>
        <w:pStyle w:val="Normal"/>
        <w:numPr>
          <w:ilvl w:val="0"/>
          <w:numId w:val="1"/>
        </w:numPr>
        <w:spacing w:before="0" w:after="60"/>
        <w:rPr/>
      </w:pPr>
      <w:r>
        <w:rPr>
          <w:rFonts w:eastAsia="Segoe UI" w:cs="Segoe UI" w:ascii="Segoe UI" w:hAnsi="Segoe UI"/>
          <w:color w:val="101820"/>
          <w:sz w:val="21"/>
        </w:rPr>
        <w:t>iorta TechNXT does not change the broker's business configuration in production without a ticket and the broker's written approval.</w:t>
      </w:r>
    </w:p>
    <w:p>
      <w:pPr>
        <w:pStyle w:val="Heading2"/>
        <w:rPr/>
      </w:pPr>
      <w:bookmarkStart w:id="27" w:name="__RefHeading___Toc78746_4195859891"/>
      <w:bookmarkEnd w:id="27"/>
      <w:r>
        <w:rPr>
          <w:rFonts w:eastAsia="Segoe UI" w:cs="Segoe UI"/>
          <w:b/>
          <w:color w:val="0F4761"/>
          <w:sz w:val="26"/>
        </w:rPr>
        <w:t>10.3  Data corrections</w:t>
      </w:r>
    </w:p>
    <w:p>
      <w:pPr>
        <w:pStyle w:val="Normal"/>
        <w:spacing w:lineRule="auto" w:line="276" w:before="0" w:after="120"/>
        <w:rPr/>
      </w:pPr>
      <w:r>
        <w:rPr>
          <w:rFonts w:eastAsia="Segoe UI" w:cs="Segoe UI" w:ascii="Segoe UI" w:hAnsi="Segoe UI"/>
          <w:color w:val="101820"/>
          <w:sz w:val="21"/>
        </w:rPr>
        <w:t>A correction of business data through the database is a normal change. It needs: the ticket, the script, a dry run on a copy of production in the test environment with the before and after counts, the broker's approval, a database snapshot just before it runs, and the result attached to the ticket. Financial data is corrected through the screens (correction or reversal journals) whenever the screens allow it, so the ledger keeps its trail.</w:t>
      </w:r>
      <w:r>
        <w:br w:type="page"/>
      </w:r>
    </w:p>
    <w:p>
      <w:pPr>
        <w:pStyle w:val="Heading1"/>
        <w:rPr/>
      </w:pPr>
      <w:bookmarkStart w:id="28" w:name="__RefHeading___Toc78748_4195859891"/>
      <w:bookmarkEnd w:id="28"/>
      <w:r>
        <w:rPr>
          <w:rFonts w:eastAsia="Segoe UI" w:cs="Segoe UI" w:ascii="Segoe UI" w:hAnsi="Segoe UI"/>
          <w:b/>
          <w:color w:val="0F4761"/>
          <w:sz w:val="32"/>
        </w:rPr>
        <w:t>11.  Release management and patching</w:t>
      </w:r>
    </w:p>
    <w:p>
      <w:pPr>
        <w:pStyle w:val="Heading2"/>
        <w:rPr/>
      </w:pPr>
      <w:bookmarkStart w:id="29" w:name="__RefHeading___Toc78750_4195859891"/>
      <w:bookmarkEnd w:id="29"/>
      <w:r>
        <w:rPr>
          <w:rFonts w:eastAsia="Segoe UI" w:cs="Segoe UI"/>
          <w:b/>
          <w:color w:val="0F4761"/>
          <w:sz w:val="26"/>
        </w:rPr>
        <w:t>11.1  Releases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 (P1 or security)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list the fixes, changes, migrations and anything an administrator must do by hand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 is installed in the test environment first; the broker runs the UAT scripts that cover the change; iorta TechNXT runs the regression of chapter 19</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with the test evidence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maintenance window, announced at least 5 business days ahead (emergency releases: as agreed)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image deployed; on start the API applies new migrations (they only add) and the idempotent seed, then reports ready on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with migrations, one instance first, then scale 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and published by the GitHub Actions workflow (build, S3 sync, CloudFront invalidation); the workflow runs the front-end tests and refuses to publish an unbuilt page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taken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and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showing the expected commit and no pending migration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pStyle w:val="Normal"/>
        <w:spacing w:before="0" w:after="80"/>
        <w:rPr/>
      </w:pPr>
      <w:r>
        <w:rPr/>
      </w:r>
    </w:p>
    <w:p>
      <w:pPr>
        <w:pStyle w:val="Heading2"/>
        <w:rPr/>
      </w:pPr>
      <w:bookmarkStart w:id="30" w:name="__RefHeading___Toc78752_4195859891"/>
      <w:bookmarkEnd w:id="30"/>
      <w:r>
        <w:rPr>
          <w:rFonts w:eastAsia="Segoe UI" w:cs="Segoe UI"/>
          <w:b/>
          <w:color w:val="0F4761"/>
          <w:sz w:val="26"/>
        </w:rPr>
        <w:t>11.2  Patching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runtime and npm dependencies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 reviewed monthly; critical fixes within 14 days as an emergency release, high within 30 days, others in the next planned release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base image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with each release; at least quarterly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(managed service)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versions applied in the maintenance window; major upgrades planned as a project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Operating system and managed services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Managed by the cloud provider; monthly, critical security patches within 14 days and high within 30 days where iorta TechNXT hosts; maintenance windows aligned with the broker's window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certificates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alarm at 30 days before expiry</w:t>
            </w:r>
          </w:p>
        </w:tc>
      </w:tr>
    </w:tbl>
    <w:p>
      <w:pPr>
        <w:pStyle w:val="Normal"/>
        <w:spacing w:before="0" w:after="80"/>
        <w:rPr/>
      </w:pPr>
      <w:r>
        <w:rPr/>
      </w:r>
      <w:r>
        <w:br w:type="page"/>
      </w:r>
    </w:p>
    <w:p>
      <w:pPr>
        <w:pStyle w:val="Heading1"/>
        <w:rPr/>
      </w:pPr>
      <w:bookmarkStart w:id="31" w:name="__RefHeading___Toc78754_4195859891"/>
      <w:bookmarkEnd w:id="31"/>
      <w:r>
        <w:rPr>
          <w:rFonts w:eastAsia="Segoe UI" w:cs="Segoe UI" w:ascii="Segoe UI" w:hAnsi="Segoe UI"/>
          <w:b/>
          <w:color w:val="0F4761"/>
          <w:sz w:val="32"/>
        </w:rPr>
        <w:t>12.  Monitoring and health checks</w:t>
      </w:r>
    </w:p>
    <w:p>
      <w:pPr>
        <w:pStyle w:val="Normal"/>
        <w:spacing w:lineRule="auto" w:line="276" w:before="0" w:after="120"/>
        <w:rPr/>
      </w:pPr>
      <w:r>
        <w:rPr>
          <w:rFonts w:eastAsia="Segoe UI" w:cs="Segoe UI" w:ascii="Segoe UI" w:hAnsi="Segoe UI"/>
          <w:color w:val="101820"/>
          <w:sz w:val="21"/>
        </w:rPr>
        <w:t>The monitoring design is in architecture document 11. The standard checks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2896"/>
        <w:gridCol w:w="2255"/>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8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API readiness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returns 200 and ready within 2 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alarm to on-call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sign-in page loads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journey with a monitoring user without business permissions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no pending migration, expected commit</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 rate, response time, container CPU and memory, database CPU, storage and connections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alarms as in document 11</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last status of each job in Master &gt; Schedules; failed runs in </w:t>
            </w:r>
            <w:r>
              <w:rPr>
                <w:rFonts w:eastAsia="Consolas" w:cs="Consolas" w:ascii="Consolas" w:hAnsi="Consolas"/>
                <w:color w:val="101820"/>
                <w:kern w:val="0"/>
                <w:sz w:val="16"/>
                <w:szCs w:val="24"/>
                <w:lang w:val="en-US" w:eastAsia="ja-JP" w:bidi="ar-SA"/>
              </w:rPr>
              <w:t>job_runs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09:00 PHT</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queued older than 15 minutes, failed messages</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 locked accounts, refresh-token reuse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alarm</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security</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latest restorable time</w:t>
            </w:r>
          </w:p>
        </w:tc>
        <w:tc>
          <w:tcPr>
            <w:tcW w:w="28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daily health check is recorded (date, checker, result, tickets raised). Monitoring alarms raise tickets with the severity of document 11 (P1 immediate, P2 same business day, P3 next business day).</w:t>
      </w:r>
      <w:r>
        <w:br w:type="page"/>
      </w:r>
    </w:p>
    <w:p>
      <w:pPr>
        <w:pStyle w:val="Heading1"/>
        <w:rPr/>
      </w:pPr>
      <w:bookmarkStart w:id="32" w:name="__RefHeading___Toc78756_4195859891"/>
      <w:bookmarkEnd w:id="32"/>
      <w:r>
        <w:rPr>
          <w:rFonts w:eastAsia="Segoe UI" w:cs="Segoe UI" w:ascii="Segoe UI" w:hAnsi="Segoe UI"/>
          <w:b/>
          <w:color w:val="0F4761"/>
          <w:sz w:val="32"/>
        </w:rPr>
        <w:t>13.  Backup verification and DR drills</w:t>
      </w:r>
    </w:p>
    <w:p>
      <w:pPr>
        <w:pStyle w:val="Heading2"/>
        <w:rPr/>
      </w:pPr>
      <w:bookmarkStart w:id="33" w:name="__RefHeading___Toc78758_4195859891"/>
      <w:bookmarkEnd w:id="33"/>
      <w:r>
        <w:rPr>
          <w:rFonts w:eastAsia="Segoe UI" w:cs="Segoe UI"/>
          <w:b/>
          <w:color w:val="0F4761"/>
          <w:sz w:val="26"/>
        </w:rPr>
        <w:t>13.1  Backup verification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(from architecture document 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automated snapshots and point-in-time restore; retention at least 30 days (35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volume (documents, ID images, generated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held in the secret store, with a sealed escrow copy; without the same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users with two-step verification cannot sign in after a restore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API started against it in an isolated environment, smoke test; document restore and sample check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 with the source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test is recorded (date, operator, backup used, recovery point, duration, issues) and reviewed by the DevOps lead. A failed test is raised as a P2 incident.</w:t>
      </w:r>
    </w:p>
    <w:p>
      <w:pPr>
        <w:pStyle w:val="Heading2"/>
        <w:rPr/>
      </w:pPr>
      <w:bookmarkStart w:id="34" w:name="__RefHeading___Toc78760_4195859891"/>
      <w:bookmarkEnd w:id="34"/>
      <w:r>
        <w:rPr>
          <w:rFonts w:eastAsia="Segoe UI" w:cs="Segoe UI"/>
          <w:b/>
          <w:color w:val="0F4761"/>
          <w:sz w:val="26"/>
        </w:rPr>
        <w:t>13.2  DR drills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86"/>
        <w:gridCol w:w="1241"/>
        <w:gridCol w:w="3888"/>
      </w:tblGrid>
      <w:tr>
        <w:trPr>
          <w:tblHeader w:val="true"/>
        </w:trPr>
        <w:tc>
          <w:tcPr>
            <w:tcW w:w="3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Drill</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broker's IT and business contacts</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c>
          <w:tcPr>
            <w:tcW w:w="3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agreed objectives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r>
        <w:br w:type="page"/>
      </w:r>
    </w:p>
    <w:p>
      <w:pPr>
        <w:pStyle w:val="Heading1"/>
        <w:rPr/>
      </w:pPr>
      <w:bookmarkStart w:id="35" w:name="__RefHeading___Toc78762_4195859891"/>
      <w:bookmarkEnd w:id="35"/>
      <w:r>
        <w:rPr>
          <w:rFonts w:eastAsia="Segoe UI" w:cs="Segoe UI" w:ascii="Segoe UI" w:hAnsi="Segoe UI"/>
          <w:b/>
          <w:color w:val="0F4761"/>
          <w:sz w:val="32"/>
        </w:rPr>
        <w:t>14.  Service reporting and KPIs</w:t>
      </w:r>
    </w:p>
    <w:p>
      <w:pPr>
        <w:pStyle w:val="Heading2"/>
        <w:rPr/>
      </w:pPr>
      <w:bookmarkStart w:id="36" w:name="__RefHeading___Toc78764_4195859891"/>
      <w:bookmarkEnd w:id="36"/>
      <w:r>
        <w:rPr>
          <w:rFonts w:eastAsia="Segoe UI" w:cs="Segoe UI"/>
          <w:b/>
          <w:color w:val="0F4761"/>
          <w:sz w:val="26"/>
        </w:rPr>
        <w:t>14.1  Monthly service report</w:t>
      </w:r>
    </w:p>
    <w:p>
      <w:pPr>
        <w:pStyle w:val="Normal"/>
        <w:spacing w:lineRule="auto" w:line="276" w:before="0" w:after="120"/>
        <w:rPr/>
      </w:pPr>
      <w:r>
        <w:rPr>
          <w:rFonts w:eastAsia="Segoe UI" w:cs="Segoe UI" w:ascii="Segoe UI" w:hAnsi="Segoe UI"/>
          <w:color w:val="101820"/>
          <w:sz w:val="21"/>
        </w:rPr>
        <w:t>Sent by the 10th business day of each month and discussed in a monthly service review with the broker's IT head and System Administrator.</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7" w:name="__RefHeading___Toc78766_4195859891"/>
      <w:bookmarkEnd w:id="37"/>
      <w:r>
        <w:rPr>
          <w:rFonts w:eastAsia="Segoe UI" w:cs="Segoe UI"/>
          <w:b/>
          <w:color w:val="0F4761"/>
          <w:sz w:val="26"/>
        </w:rPr>
        <w:t>14.2  KPIs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2"/>
        <w:gridCol w:w="4370"/>
        <w:gridCol w:w="1913"/>
      </w:tblGrid>
      <w:tr>
        <w:trPr>
          <w:tblHeader w:val="true"/>
        </w:trPr>
        <w:tc>
          <w:tcPr>
            <w:tcW w:w="27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 (proposed)</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27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contact resolution at L1</w:t>
            </w:r>
          </w:p>
        </w:tc>
        <w:tc>
          <w:tcPr>
            <w:tcW w:w="4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Questions closed by the broker's super users without a ticket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the broker</w:t>
            </w:r>
          </w:p>
        </w:tc>
      </w:tr>
    </w:tbl>
    <w:p>
      <w:pPr>
        <w:pStyle w:val="Normal"/>
        <w:spacing w:before="0" w:after="80"/>
        <w:rPr/>
      </w:pPr>
      <w:r>
        <w:rPr/>
      </w:r>
      <w:r>
        <w:br w:type="page"/>
      </w:r>
    </w:p>
    <w:p>
      <w:pPr>
        <w:pStyle w:val="Heading1"/>
        <w:rPr/>
      </w:pPr>
      <w:bookmarkStart w:id="38" w:name="__RefHeading___Toc78768_4195859891"/>
      <w:bookmarkEnd w:id="38"/>
      <w:r>
        <w:rPr>
          <w:rFonts w:eastAsia="Segoe UI" w:cs="Segoe UI" w:ascii="Segoe UI" w:hAnsi="Segoe UI"/>
          <w:b/>
          <w:color w:val="0F4761"/>
          <w:sz w:val="32"/>
        </w:rPr>
        <w:t>15.  Knowledge base</w:t>
      </w:r>
    </w:p>
    <w:p>
      <w:pPr>
        <w:pStyle w:val="Normal"/>
        <w:numPr>
          <w:ilvl w:val="0"/>
          <w:numId w:val="1"/>
        </w:numPr>
        <w:spacing w:before="0" w:after="60"/>
        <w:rPr/>
      </w:pPr>
      <w:r>
        <w:rPr>
          <w:rFonts w:eastAsia="Segoe UI" w:cs="Segoe UI" w:ascii="Segoe UI" w:hAnsi="Segoe UI"/>
          <w:color w:val="101820"/>
          <w:sz w:val="21"/>
        </w:rPr>
        <w:t>iorta TechNXT keeps a knowledge base shared with the broker's L1 contacts: how-to articles, known errors with workarounds, release notes, and the answers to repeated questions.</w:t>
      </w:r>
    </w:p>
    <w:p>
      <w:pPr>
        <w:pStyle w:val="Normal"/>
        <w:numPr>
          <w:ilvl w:val="0"/>
          <w:numId w:val="1"/>
        </w:numPr>
        <w:spacing w:before="0" w:after="60"/>
        <w:rPr/>
      </w:pPr>
      <w:r>
        <w:rPr>
          <w:rFonts w:eastAsia="Segoe UI" w:cs="Segoe UI" w:ascii="Segoe UI" w:hAnsi="Segoe UI"/>
          <w:color w:val="101820"/>
          <w:sz w:val="21"/>
        </w:rPr>
        <w:t>Each article names the screen by its menu path, the role, the BrokerVerse release it applies to and the date reviewed.</w:t>
      </w:r>
    </w:p>
    <w:p>
      <w:pPr>
        <w:pStyle w:val="Normal"/>
        <w:numPr>
          <w:ilvl w:val="0"/>
          <w:numId w:val="1"/>
        </w:numPr>
        <w:spacing w:before="0" w:after="60"/>
        <w:rPr/>
      </w:pPr>
      <w:r>
        <w:rPr>
          <w:rFonts w:eastAsia="Segoe UI" w:cs="Segoe UI" w:ascii="Segoe UI" w:hAnsi="Segoe UI"/>
          <w:color w:val="101820"/>
          <w:sz w:val="21"/>
        </w:rPr>
        <w:t>Every resolved ticket is checked for a knowledge article: a new article, an update or none needed.</w:t>
      </w:r>
    </w:p>
    <w:p>
      <w:pPr>
        <w:pStyle w:val="Normal"/>
        <w:numPr>
          <w:ilvl w:val="0"/>
          <w:numId w:val="1"/>
        </w:numPr>
        <w:spacing w:before="0" w:after="60"/>
        <w:rPr/>
      </w:pPr>
      <w:r>
        <w:rPr>
          <w:rFonts w:eastAsia="Segoe UI" w:cs="Segoe UI" w:ascii="Segoe UI" w:hAnsi="Segoe UI"/>
          <w:color w:val="101820"/>
          <w:sz w:val="21"/>
        </w:rPr>
        <w:t>The user manual (Appendix F, Troubleshooting; Appendix G, Known limitations) and the role decks are the starting set.</w:t>
      </w:r>
    </w:p>
    <w:p>
      <w:pPr>
        <w:pStyle w:val="Normal"/>
        <w:numPr>
          <w:ilvl w:val="0"/>
          <w:numId w:val="1"/>
        </w:numPr>
        <w:spacing w:before="0" w:after="60"/>
        <w:rPr/>
      </w:pPr>
      <w:r>
        <w:rPr>
          <w:rFonts w:eastAsia="Segoe UI" w:cs="Segoe UI" w:ascii="Segoe UI" w:hAnsi="Segoe UI"/>
          <w:color w:val="101820"/>
          <w:sz w:val="21"/>
        </w:rPr>
        <w:t>Articles are reviewed at each release and at least twice a year.</w:t>
      </w:r>
      <w:r>
        <w:br w:type="page"/>
      </w:r>
    </w:p>
    <w:p>
      <w:pPr>
        <w:pStyle w:val="Heading1"/>
        <w:rPr/>
      </w:pPr>
      <w:bookmarkStart w:id="39" w:name="__RefHeading___Toc78770_4195859891"/>
      <w:bookmarkEnd w:id="39"/>
      <w:r>
        <w:rPr>
          <w:rFonts w:eastAsia="Segoe UI" w:cs="Segoe UI" w:ascii="Segoe UI" w:hAnsi="Segoe UI"/>
          <w:b/>
          <w:color w:val="0F4761"/>
          <w:sz w:val="32"/>
        </w:rPr>
        <w:t>16.  Handover from hypercare</w:t>
      </w:r>
    </w:p>
    <w:p>
      <w:pPr>
        <w:pStyle w:val="Normal"/>
        <w:spacing w:lineRule="auto" w:line="276" w:before="0" w:after="120"/>
        <w:rPr/>
      </w:pPr>
      <w:r>
        <w:rPr>
          <w:rFonts w:eastAsia="Segoe UI" w:cs="Segoe UI" w:ascii="Segoe UI" w:hAnsi="Segoe UI"/>
          <w:color w:val="101820"/>
          <w:sz w:val="21"/>
        </w:rPr>
        <w:t>Production support takes over from the project team when these criteria are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or copy of the configuration workbook as built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annex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held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signed by the broker's IT head, the iorta TechNXT project manager and support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w:t>
      </w:r>
      <w:r>
        <w:br w:type="page"/>
      </w:r>
    </w:p>
    <w:p>
      <w:pPr>
        <w:pStyle w:val="Heading1"/>
        <w:rPr/>
      </w:pPr>
      <w:bookmarkStart w:id="40" w:name="__RefHeading___Toc78772_4195859891"/>
      <w:bookmarkEnd w:id="40"/>
      <w:r>
        <w:rPr>
          <w:rFonts w:eastAsia="Segoe UI" w:cs="Segoe UI" w:ascii="Segoe UI" w:hAnsi="Segoe UI"/>
          <w:b/>
          <w:color w:val="0F4761"/>
          <w:sz w:val="32"/>
        </w:rPr>
        <w:t>17.  Root-cause analysis standards</w:t>
      </w:r>
    </w:p>
    <w:p>
      <w:pPr>
        <w:pStyle w:val="Normal"/>
        <w:spacing w:lineRule="auto" w:line="276" w:before="0" w:after="120"/>
        <w:rPr/>
      </w:pPr>
      <w:r>
        <w:rPr>
          <w:rFonts w:eastAsia="Segoe UI" w:cs="Segoe UI" w:ascii="Segoe UI" w:hAnsi="Segoe UI"/>
          <w:color w:val="101820"/>
          <w:sz w:val="21"/>
        </w:rPr>
        <w:t>An RCA is written for every P1 and for each problem record. The draft goes to the broker within 5 business days of service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Section</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happened, impact (users, branches, transactions, amounts), duration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Detection, response, escalation, workaround, restore, with times in PHT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 IDs and log lines,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rows, Audit Trail entries, monitoring graphs, the release deployed at the time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 found with a structured method (five whys or cause-and-effect), classed as code, configuration, data, infrastructure, third party, process or user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Contributing factors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gaps, missing tests, unclear procedure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impact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affected and how they were corrected or confirmed correct, including the ledger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fixed this occurrence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Preventive actions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stops it happening again (test added, alarm added, procedure or training), with owner and date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personal data was involved; if yes, the incident is also handled under chapter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RCAs are blameless: they look at systems and processes, not at individuals.</w:t>
      </w:r>
      <w:r>
        <w:br w:type="page"/>
      </w:r>
    </w:p>
    <w:p>
      <w:pPr>
        <w:pStyle w:val="Heading1"/>
        <w:rPr/>
      </w:pPr>
      <w:bookmarkStart w:id="41" w:name="__RefHeading___Toc78774_4195859891"/>
      <w:bookmarkEnd w:id="41"/>
      <w:r>
        <w:rPr>
          <w:rFonts w:eastAsia="Segoe UI" w:cs="Segoe UI" w:ascii="Segoe UI" w:hAnsi="Segoe UI"/>
          <w:b/>
          <w:color w:val="0F4761"/>
          <w:sz w:val="32"/>
        </w:rPr>
        <w:t>18.  Code fix standards</w:t>
      </w:r>
    </w:p>
    <w:p>
      <w:pPr>
        <w:pStyle w:val="Heading2"/>
        <w:rPr/>
      </w:pPr>
      <w:bookmarkStart w:id="42" w:name="__RefHeading___Toc78776_4195859891"/>
      <w:bookmarkEnd w:id="42"/>
      <w:r>
        <w:rPr>
          <w:rFonts w:eastAsia="Segoe UI" w:cs="Segoe UI"/>
          <w:b/>
          <w:color w:val="0F4761"/>
          <w:sz w:val="26"/>
        </w:rPr>
        <w:t>18.1  Branching and review</w:t>
      </w:r>
    </w:p>
    <w:p>
      <w:pPr>
        <w:pStyle w:val="Normal"/>
        <w:numPr>
          <w:ilvl w:val="0"/>
          <w:numId w:val="1"/>
        </w:numPr>
        <w:spacing w:before="0" w:after="60"/>
        <w:rPr/>
      </w:pPr>
      <w:r>
        <w:rPr>
          <w:rFonts w:eastAsia="Segoe UI" w:cs="Segoe UI" w:ascii="Segoe UI" w:hAnsi="Segoe UI"/>
          <w:color w:val="101820"/>
          <w:sz w:val="21"/>
        </w:rPr>
        <w:t xml:space="preserve">Fixes start from the release tag running in production (for example </w:t>
      </w:r>
      <w:r>
        <w:rPr>
          <w:rFonts w:eastAsia="Consolas" w:cs="Consolas" w:ascii="Consolas" w:hAnsi="Consolas"/>
          <w:color w:val="101820"/>
          <w:sz w:val="19"/>
        </w:rPr>
        <w:t>v1.0.0</w:t>
      </w:r>
      <w:r>
        <w:rPr>
          <w:rFonts w:eastAsia="Segoe UI" w:cs="Segoe UI" w:ascii="Segoe UI" w:hAnsi="Segoe UI"/>
          <w:color w:val="101820"/>
          <w:sz w:val="21"/>
        </w:rPr>
        <w:t xml:space="preserve">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a branch named </w:t>
      </w:r>
      <w:r>
        <w:rPr>
          <w:rFonts w:eastAsia="Consolas" w:cs="Consolas" w:ascii="Consolas" w:hAnsi="Consolas"/>
          <w:color w:val="101820"/>
          <w:sz w:val="19"/>
        </w:rPr>
        <w:t>fix/&lt;ticket-number&gt;-&lt;short-description&gt;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pStyle w:val="Normal"/>
        <w:numPr>
          <w:ilvl w:val="0"/>
          <w:numId w:val="1"/>
        </w:numPr>
        <w:spacing w:before="0" w:after="60"/>
        <w:rPr/>
      </w:pPr>
      <w:r>
        <w:rPr>
          <w:rFonts w:eastAsia="Segoe UI" w:cs="Segoe UI" w:ascii="Segoe UI" w:hAnsi="Segoe UI"/>
          <w:color w:val="101820"/>
          <w:sz w:val="21"/>
        </w:rPr>
        <w:t>Continuous integration (</w:t>
      </w:r>
      <w:r>
        <w:rPr>
          <w:rFonts w:eastAsia="Consolas" w:cs="Consolas" w:ascii="Consolas" w:hAnsi="Consolas"/>
          <w:color w:val="101820"/>
          <w:sz w:val="19"/>
        </w:rPr>
        <w:t>.github/workflows/ci.yml</w:t>
      </w:r>
      <w:r>
        <w:rPr>
          <w:rFonts w:eastAsia="Segoe UI" w:cs="Segoe UI" w:ascii="Segoe UI" w:hAnsi="Segoe UI"/>
          <w:color w:val="101820"/>
          <w:sz w:val="21"/>
        </w:rPr>
        <w:t>) runs on every push and pull request: backend lint and tests, front-end tests and production build, backend image build. A red pipeline blocks the merge.</w:t>
      </w:r>
    </w:p>
    <w:p>
      <w:pPr>
        <w:pStyle w:val="Normal"/>
        <w:numPr>
          <w:ilvl w:val="0"/>
          <w:numId w:val="1"/>
        </w:numPr>
        <w:spacing w:before="0" w:after="60"/>
        <w:rPr/>
      </w:pPr>
      <w:r>
        <w:rPr>
          <w:rFonts w:eastAsia="Segoe UI" w:cs="Segoe UI" w:ascii="Segoe UI" w:hAnsi="Segoe UI"/>
          <w:color w:val="101820"/>
          <w:sz w:val="21"/>
        </w:rPr>
        <w:t>The fix is merged to the release branch and tagged as a new patch release; it is also merged into the main development line so it is not lost in the next release.</w:t>
      </w:r>
    </w:p>
    <w:p>
      <w:pPr>
        <w:pStyle w:val="Heading2"/>
        <w:rPr/>
      </w:pPr>
      <w:bookmarkStart w:id="43" w:name="__RefHeading___Toc78778_4195859891"/>
      <w:bookmarkEnd w:id="43"/>
      <w:r>
        <w:rPr>
          <w:rFonts w:eastAsia="Segoe UI" w:cs="Segoe UI"/>
          <w:b/>
          <w:color w:val="0F4761"/>
          <w:sz w:val="26"/>
        </w:rPr>
        <w:t>18.2  Rules for the change</w:t>
      </w:r>
    </w:p>
    <w:p>
      <w:pPr>
        <w:pStyle w:val="Normal"/>
        <w:numPr>
          <w:ilvl w:val="0"/>
          <w:numId w:val="1"/>
        </w:numPr>
        <w:spacing w:before="0" w:after="60"/>
        <w:rPr/>
      </w:pPr>
      <w:r>
        <w:rPr>
          <w:rFonts w:eastAsia="Segoe UI" w:cs="Segoe UI" w:ascii="Segoe UI" w:hAnsi="Segoe UI"/>
          <w:color w:val="101820"/>
          <w:sz w:val="21"/>
        </w:rPr>
        <w:t>Database migrations only add (new tables, columns, indexes). Existing data is changed only by a reviewed migration or a data correction under change control.</w:t>
      </w:r>
    </w:p>
    <w:p>
      <w:pPr>
        <w:pStyle w:val="Normal"/>
        <w:numPr>
          <w:ilvl w:val="0"/>
          <w:numId w:val="1"/>
        </w:numPr>
        <w:spacing w:before="0" w:after="60"/>
        <w:rPr/>
      </w:pPr>
      <w:r>
        <w:rPr>
          <w:rFonts w:eastAsia="Segoe UI" w:cs="Segoe UI" w:ascii="Segoe UI" w:hAnsi="Segoe UI"/>
          <w:color w:val="101820"/>
          <w:sz w:val="21"/>
        </w:rPr>
        <w:t xml:space="preserve">A new or changed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and the test suite check this.</w:t>
      </w:r>
    </w:p>
    <w:p>
      <w:pPr>
        <w:pStyle w:val="Normal"/>
        <w:numPr>
          <w:ilvl w:val="0"/>
          <w:numId w:val="1"/>
        </w:numPr>
        <w:spacing w:before="0" w:after="60"/>
        <w:rPr/>
      </w:pPr>
      <w:r>
        <w:rPr>
          <w:rFonts w:eastAsia="Segoe UI" w:cs="Segoe UI" w:ascii="Segoe UI" w:hAnsi="Segoe UI"/>
          <w:color w:val="101820"/>
          <w:sz w:val="21"/>
        </w:rPr>
        <w:t>A new route declares its screen, its permission (</w:t>
      </w:r>
      <w:r>
        <w:rPr>
          <w:rFonts w:eastAsia="Consolas" w:cs="Consolas" w:ascii="Consolas" w:hAnsi="Consolas"/>
          <w:color w:val="101820"/>
          <w:sz w:val="19"/>
        </w:rPr>
        <w:t>requirePermission</w:t>
      </w:r>
      <w:r>
        <w:rPr>
          <w:rFonts w:eastAsia="Segoe UI" w:cs="Segoe UI" w:ascii="Segoe UI" w:hAnsi="Segoe UI"/>
          <w:color w:val="101820"/>
          <w:sz w:val="21"/>
        </w:rPr>
        <w:t xml:space="preserve">), body validation and an </w:t>
      </w:r>
      <w:r>
        <w:rPr>
          <w:rFonts w:eastAsia="Consolas" w:cs="Consolas" w:ascii="Consolas" w:hAnsi="Consolas"/>
          <w:color w:val="101820"/>
          <w:sz w:val="19"/>
        </w:rPr>
        <w:t>audit()</w:t>
      </w:r>
      <w:r>
        <w:rPr>
          <w:rFonts w:eastAsia="Segoe UI" w:cs="Segoe UI" w:ascii="Segoe UI" w:hAnsi="Segoe UI"/>
          <w:color w:val="101820"/>
          <w:sz w:val="21"/>
        </w:rPr>
        <w:t xml:space="preserve"> call on every change; </w:t>
      </w:r>
      <w:r>
        <w:rPr>
          <w:rFonts w:eastAsia="Consolas" w:cs="Consolas" w:ascii="Consolas" w:hAnsi="Consolas"/>
          <w:color w:val="101820"/>
          <w:sz w:val="19"/>
        </w:rPr>
        <w:t>npm run export:api</w:t>
      </w:r>
      <w:r>
        <w:rPr>
          <w:rFonts w:eastAsia="Segoe UI" w:cs="Segoe UI" w:ascii="Segoe UI" w:hAnsi="Segoe UI"/>
          <w:color w:val="101820"/>
          <w:sz w:val="21"/>
        </w:rPr>
        <w:t xml:space="preserve"> regenerates the API documentation.</w:t>
      </w:r>
    </w:p>
    <w:p>
      <w:pPr>
        <w:pStyle w:val="Normal"/>
        <w:numPr>
          <w:ilvl w:val="0"/>
          <w:numId w:val="1"/>
        </w:numPr>
        <w:spacing w:before="0" w:after="60"/>
        <w:rPr/>
      </w:pPr>
      <w:r>
        <w:rPr>
          <w:rFonts w:eastAsia="Segoe UI" w:cs="Segoe UI" w:ascii="Segoe UI" w:hAnsi="Segoe UI"/>
          <w:color w:val="101820"/>
          <w:sz w:val="21"/>
        </w:rPr>
        <w:t>No business parameter (rate, account code, limit, e-mail text) is hard-coded: it is a setting in Master &gt; Configuration.</w:t>
      </w:r>
    </w:p>
    <w:p>
      <w:pPr>
        <w:pStyle w:val="Normal"/>
        <w:numPr>
          <w:ilvl w:val="0"/>
          <w:numId w:val="1"/>
        </w:numPr>
        <w:spacing w:before="0" w:after="60"/>
        <w:rPr/>
      </w:pPr>
      <w:r>
        <w:rPr>
          <w:rFonts w:eastAsia="Segoe UI" w:cs="Segoe UI" w:ascii="Segoe UI" w:hAnsi="Segoe UI"/>
          <w:color w:val="101820"/>
          <w:sz w:val="21"/>
        </w:rPr>
        <w:t>An importer change regenerates the upload templates (</w:t>
      </w:r>
      <w:r>
        <w:rPr>
          <w:rFonts w:eastAsia="Consolas" w:cs="Consolas" w:ascii="Consolas" w:hAnsi="Consolas"/>
          <w:color w:val="101820"/>
          <w:sz w:val="19"/>
        </w:rPr>
        <w:t>node scripts/build-upload-templates.js</w:t>
      </w:r>
      <w:r>
        <w:rPr>
          <w:rFonts w:eastAsia="Segoe UI" w:cs="Segoe UI" w:ascii="Segoe UI" w:hAnsi="Segoe UI"/>
          <w:color w:val="101820"/>
          <w:sz w:val="21"/>
        </w:rPr>
        <w:t xml:space="preserve">); </w:t>
      </w:r>
      <w:r>
        <w:rPr>
          <w:rFonts w:eastAsia="Consolas" w:cs="Consolas" w:ascii="Consolas" w:hAnsi="Consolas"/>
          <w:color w:val="101820"/>
          <w:sz w:val="19"/>
        </w:rPr>
        <w:t>upload-templates.test.js</w:t>
      </w:r>
      <w:r>
        <w:rPr>
          <w:rFonts w:eastAsia="Segoe UI" w:cs="Segoe UI" w:ascii="Segoe UI" w:hAnsi="Segoe UI"/>
          <w:color w:val="101820"/>
          <w:sz w:val="21"/>
        </w:rPr>
        <w:t xml:space="preserve"> checks the headers against the importers.</w:t>
      </w:r>
    </w:p>
    <w:p>
      <w:pPr>
        <w:pStyle w:val="Normal"/>
        <w:numPr>
          <w:ilvl w:val="0"/>
          <w:numId w:val="1"/>
        </w:numPr>
        <w:spacing w:before="0" w:after="60"/>
        <w:rPr/>
      </w:pPr>
      <w:r>
        <w:rPr>
          <w:rFonts w:eastAsia="Segoe UI" w:cs="Segoe UI" w:ascii="Segoe UI" w:hAnsi="Segoe UI"/>
          <w:color w:val="101820"/>
          <w:sz w:val="21"/>
        </w:rPr>
        <w:t>ESLint must be clean (</w:t>
      </w:r>
      <w:r>
        <w:rPr>
          <w:rFonts w:eastAsia="Consolas" w:cs="Consolas" w:ascii="Consolas" w:hAnsi="Consolas"/>
          <w:color w:val="101820"/>
          <w:sz w:val="19"/>
        </w:rPr>
        <w:t>npx eslint src test scripts</w:t>
      </w:r>
      <w:r>
        <w:rPr>
          <w:rFonts w:eastAsia="Segoe UI" w:cs="Segoe UI" w:ascii="Segoe UI" w:hAnsi="Segoe UI"/>
          <w:color w:val="101820"/>
          <w:sz w:val="21"/>
        </w:rPr>
        <w:t>).</w:t>
      </w:r>
    </w:p>
    <w:p>
      <w:pPr>
        <w:pStyle w:val="Heading2"/>
        <w:rPr/>
      </w:pPr>
      <w:bookmarkStart w:id="44" w:name="__RefHeading___Toc78780_4195859891"/>
      <w:bookmarkEnd w:id="44"/>
      <w:r>
        <w:rPr>
          <w:rFonts w:eastAsia="Segoe UI" w:cs="Segoe UI"/>
          <w:b/>
          <w:color w:val="0F4761"/>
          <w:sz w:val="26"/>
        </w:rPr>
        <w:t>18.3  Tests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Unit and integration test for the fix</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test in </w:t>
            </w:r>
            <w:r>
              <w:rPr>
                <w:rFonts w:eastAsia="Consolas" w:cs="Consolas" w:ascii="Consolas" w:hAnsi="Consolas"/>
                <w:color w:val="101820"/>
                <w:kern w:val="0"/>
                <w:sz w:val="16"/>
                <w:szCs w:val="24"/>
                <w:lang w:val="en-US" w:eastAsia="ja-JP" w:bidi="ar-SA"/>
              </w:rPr>
              <w:t>backend/test</w:t>
            </w:r>
            <w:r>
              <w:rPr>
                <w:rFonts w:eastAsia="Segoe UI" w:cs="Segoe UI" w:ascii="Segoe UI" w:hAnsi="Segoe UI"/>
                <w:color w:val="101820"/>
                <w:kern w:val="0"/>
                <w:sz w:val="18"/>
                <w:szCs w:val="24"/>
                <w:lang w:val="en-US" w:eastAsia="ja-JP" w:bidi="ar-SA"/>
              </w:rPr>
              <w:t xml:space="preserve"> that fails before the fix and passes after it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for every code fix</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suite (vitest, PostgreSQL 16)</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TEST_DATABASE_URL=postgres://.../brokerverse_test npx vitest run</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 Each test file drops and recreates the schema of the test database, so it never points at a database in use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craco test --watchAll=false</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brokerverse/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npx eslint src test scripts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Clean</w:t>
            </w:r>
          </w:p>
        </w:tc>
      </w:tr>
    </w:tbl>
    <w:p>
      <w:pPr>
        <w:pStyle w:val="Normal"/>
        <w:spacing w:before="0" w:after="80"/>
        <w:rPr/>
      </w:pPr>
      <w:r>
        <w:rPr/>
      </w:r>
      <w:r>
        <w:br w:type="page"/>
      </w:r>
    </w:p>
    <w:p>
      <w:pPr>
        <w:pStyle w:val="Heading1"/>
        <w:rPr/>
      </w:pPr>
      <w:bookmarkStart w:id="45" w:name="__RefHeading___Toc78782_4195859891"/>
      <w:bookmarkEnd w:id="45"/>
      <w:r>
        <w:rPr>
          <w:rFonts w:eastAsia="Segoe UI" w:cs="Segoe UI" w:ascii="Segoe UI" w:hAnsi="Segoe UI"/>
          <w:b/>
          <w:color w:val="0F4761"/>
          <w:sz w:val="32"/>
        </w:rPr>
        <w:t>19.  Regression testing</w:t>
      </w:r>
    </w:p>
    <w:p>
      <w:pPr>
        <w:pStyle w:val="Normal"/>
        <w:spacing w:lineRule="auto" w:line="276" w:before="0" w:after="120"/>
        <w:rPr/>
      </w:pPr>
      <w:r>
        <w:rPr>
          <w:rFonts w:eastAsia="Segoe UI" w:cs="Segoe UI" w:ascii="Segoe UI" w:hAnsi="Segoe UI"/>
          <w:color w:val="101820"/>
          <w:sz w:val="21"/>
        </w:rPr>
        <w:t>Before any release reaches production, iorta TechNXT runs the regression below in the test environment and attaches the results to the change.</w:t>
      </w:r>
    </w:p>
    <w:p>
      <w:pPr>
        <w:pStyle w:val="Normal"/>
        <w:numPr>
          <w:ilvl w:val="0"/>
          <w:numId w:val="18"/>
        </w:numPr>
        <w:spacing w:before="0" w:after="60"/>
        <w:rPr/>
      </w:pPr>
      <w:r>
        <w:rPr>
          <w:rFonts w:eastAsia="Segoe UI" w:cs="Segoe UI" w:ascii="Segoe UI" w:hAnsi="Segoe UI"/>
          <w:color w:val="101820"/>
          <w:sz w:val="21"/>
        </w:rPr>
        <w:t>The backend vitest suite and the front-end tests (chapter 18).</w:t>
      </w:r>
    </w:p>
    <w:p>
      <w:pPr>
        <w:pStyle w:val="Normal"/>
        <w:numPr>
          <w:ilvl w:val="0"/>
          <w:numId w:val="19"/>
        </w:numPr>
        <w:spacing w:before="0" w:after="60"/>
        <w:rPr/>
      </w:pPr>
      <w:r>
        <w:rPr>
          <w:rFonts w:eastAsia="Segoe UI" w:cs="Segoe UI" w:ascii="Segoe UI" w:hAnsi="Segoe UI"/>
          <w:color w:val="101820"/>
          <w:sz w:val="21"/>
        </w:rPr>
        <w:t>The UAT data scenario on a fresh database, migrated and seeded with reference data only:</w:t>
      </w:r>
    </w:p>
    <w:p>
      <w:pPr>
        <w:pStyle w:val="Normal"/>
        <w:shd w:val="clear" w:color="auto" w:fill="F3F4F6"/>
        <w:spacing w:before="0" w:after="0"/>
        <w:ind w:left="170"/>
        <w:rPr/>
      </w:pPr>
      <w:r>
        <w:rPr>
          <w:rFonts w:eastAsia="Consolas" w:cs="Consolas" w:ascii="Consolas" w:hAnsi="Consolas"/>
          <w:color w:val="101820"/>
          <w:sz w:val="17"/>
        </w:rPr>
        <w:t>API_BASE=https://&lt;test-api&gt;/api ADMIN_PASSWORD=... PERSONA_PASSWORD=... node scripts/uat-scenario.js</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eastAsia="Consolas" w:cs="Consolas" w:ascii="Consolas" w:hAnsi="Consolas"/>
          <w:color w:val="101820"/>
          <w:sz w:val="19"/>
        </w:rPr>
        <w:t>UAT_REPORT</w:t>
      </w:r>
      <w:r>
        <w:rPr>
          <w:rFonts w:eastAsia="Segoe UI" w:cs="Segoe UI" w:ascii="Segoe UI" w:hAnsi="Segoe UI"/>
          <w:color w:val="101820"/>
          <w:sz w:val="21"/>
        </w:rPr>
        <w:t xml:space="preserve">, by default </w:t>
      </w:r>
      <w:r>
        <w:rPr>
          <w:rFonts w:eastAsia="Consolas" w:cs="Consolas" w:ascii="Consolas" w:hAnsi="Consolas"/>
          <w:color w:val="101820"/>
          <w:sz w:val="19"/>
        </w:rPr>
        <w:t>docs/e2e/UAT_SCENARIO_RUN.md</w:t>
      </w:r>
      <w:r>
        <w:rPr>
          <w:rFonts w:eastAsia="Segoe UI" w:cs="Segoe UI" w:ascii="Segoe UI" w:hAnsi="Segoe UI"/>
          <w:color w:val="101820"/>
          <w:sz w:val="21"/>
        </w:rPr>
        <w:t>) must show all steps passed. The run of 30 September 2026 passed 382 of 382 steps. Passwords come from the environment only.</w:t>
      </w:r>
    </w:p>
    <w:p>
      <w:pPr>
        <w:pStyle w:val="Normal"/>
        <w:numPr>
          <w:ilvl w:val="0"/>
          <w:numId w:val="20"/>
        </w:numPr>
        <w:spacing w:before="0" w:after="60"/>
        <w:rPr/>
      </w:pPr>
      <w:r>
        <w:rPr>
          <w:rFonts w:eastAsia="Segoe UI" w:cs="Segoe UI" w:ascii="Segoe UI" w:hAnsi="Segoe UI"/>
          <w:color w:val="101820"/>
          <w:sz w:val="21"/>
        </w:rPr>
        <w:t>The broker's key users run the UAT scripts (</w:t>
      </w:r>
      <w:r>
        <w:rPr>
          <w:rFonts w:eastAsia="Consolas" w:cs="Consolas" w:ascii="Consolas" w:hAnsi="Consolas"/>
          <w:color w:val="101820"/>
          <w:sz w:val="19"/>
        </w:rPr>
        <w:t>docs/onboarding/UAT_SCRIPTS.md</w:t>
      </w:r>
      <w:r>
        <w:rPr>
          <w:rFonts w:eastAsia="Segoe UI" w:cs="Segoe UI" w:ascii="Segoe UI" w:hAnsi="Segoe UI"/>
          <w:color w:val="101820"/>
          <w:sz w:val="21"/>
        </w:rPr>
        <w:t>) that cover the changed area.</w:t>
      </w:r>
    </w:p>
    <w:p>
      <w:pPr>
        <w:pStyle w:val="Normal"/>
        <w:numPr>
          <w:ilvl w:val="0"/>
          <w:numId w:val="21"/>
        </w:numPr>
        <w:spacing w:before="0" w:after="60"/>
        <w:rPr/>
      </w:pPr>
      <w:r>
        <w:rPr>
          <w:rFonts w:eastAsia="Segoe UI" w:cs="Segoe UI" w:ascii="Segoe UI" w:hAnsi="Segoe UI"/>
          <w:color w:val="101820"/>
          <w:sz w:val="21"/>
        </w:rPr>
        <w:t>For changes to printed documents and reports: the document and report sweep (</w:t>
      </w:r>
      <w:r>
        <w:rPr>
          <w:rFonts w:eastAsia="Consolas" w:cs="Consolas" w:ascii="Consolas" w:hAnsi="Consolas"/>
          <w:color w:val="101820"/>
          <w:sz w:val="19"/>
        </w:rPr>
        <w:t>backend/scripts/doc-report-sweep.js</w:t>
      </w:r>
      <w:r>
        <w:rPr>
          <w:rFonts w:eastAsia="Segoe UI" w:cs="Segoe UI" w:ascii="Segoe UI" w:hAnsi="Segoe UI"/>
          <w:color w:val="101820"/>
          <w:sz w:val="21"/>
        </w:rPr>
        <w:t>) and a check of the letterhead on the PDFs.</w:t>
      </w:r>
    </w:p>
    <w:p>
      <w:pPr>
        <w:pStyle w:val="Normal"/>
        <w:spacing w:lineRule="auto" w:line="276" w:before="0" w:after="120"/>
        <w:rPr/>
      </w:pPr>
      <w:r>
        <w:rPr>
          <w:rFonts w:eastAsia="Segoe UI" w:cs="Segoe UI" w:ascii="Segoe UI" w:hAnsi="Segoe UI"/>
          <w:color w:val="101820"/>
          <w:sz w:val="21"/>
        </w:rPr>
        <w:t>A failed step blocks the release until it is fixed or the CAB accepts the risk in writing.</w:t>
      </w:r>
      <w:r>
        <w:br w:type="page"/>
      </w:r>
    </w:p>
    <w:p>
      <w:pPr>
        <w:pStyle w:val="Heading1"/>
        <w:rPr/>
      </w:pPr>
      <w:bookmarkStart w:id="46" w:name="__RefHeading___Toc78784_4195859891"/>
      <w:bookmarkEnd w:id="46"/>
      <w:r>
        <w:rPr>
          <w:rFonts w:eastAsia="Segoe UI" w:cs="Segoe UI" w:ascii="Segoe UI" w:hAnsi="Segoe UI"/>
          <w:b/>
          <w:color w:val="0F4761"/>
          <w:sz w:val="32"/>
        </w:rPr>
        <w:t>20.  Security incidents and personal data breaches</w:t>
      </w:r>
    </w:p>
    <w:p>
      <w:pPr>
        <w:pStyle w:val="Heading2"/>
        <w:rPr/>
      </w:pPr>
      <w:bookmarkStart w:id="47" w:name="__RefHeading___Toc78786_4195859891"/>
      <w:bookmarkEnd w:id="47"/>
      <w:r>
        <w:rPr>
          <w:rFonts w:eastAsia="Segoe UI" w:cs="Segoe UI"/>
          <w:b/>
          <w:color w:val="0F4761"/>
          <w:sz w:val="26"/>
        </w:rPr>
        <w:t>20.1  Security incidents</w:t>
      </w:r>
    </w:p>
    <w:p>
      <w:pPr>
        <w:pStyle w:val="Normal"/>
        <w:spacing w:lineRule="auto" w:line="276" w:before="0" w:after="120"/>
        <w:rPr/>
      </w:pPr>
      <w:r>
        <w:rPr>
          <w:rFonts w:eastAsia="Segoe UI" w:cs="Segoe UI" w:ascii="Segoe UI" w:hAnsi="Segoe UI"/>
          <w:color w:val="101820"/>
          <w:sz w:val="21"/>
        </w:rPr>
        <w:t>A suspected security incident (unauthorised access, credential attack, data exposed, malware, a leaked secret) is handled as a P1.</w:t>
      </w:r>
    </w:p>
    <w:p>
      <w:pPr>
        <w:pStyle w:val="Normal"/>
        <w:numPr>
          <w:ilvl w:val="0"/>
          <w:numId w:val="22"/>
        </w:numPr>
        <w:spacing w:before="0" w:after="60"/>
        <w:rPr/>
      </w:pPr>
      <w:r>
        <w:rPr>
          <w:rFonts w:eastAsia="Segoe UI" w:cs="Segoe UI" w:ascii="Segoe UI" w:hAnsi="Segoe UI"/>
          <w:color w:val="101820"/>
          <w:sz w:val="21"/>
        </w:rPr>
        <w:t>Contain: disable affected users, rotate exposed secrets (</w:t>
      </w:r>
      <w:r>
        <w:rPr>
          <w:rFonts w:eastAsia="Consolas" w:cs="Consolas" w:ascii="Consolas" w:hAnsi="Consolas"/>
          <w:color w:val="101820"/>
          <w:sz w:val="19"/>
        </w:rPr>
        <w:t>JWT_SECRET</w:t>
      </w:r>
      <w:r>
        <w:rPr>
          <w:rFonts w:eastAsia="Segoe UI" w:cs="Segoe UI" w:ascii="Segoe UI" w:hAnsi="Segoe UI"/>
          <w:color w:val="101820"/>
          <w:sz w:val="21"/>
        </w:rPr>
        <w:t xml:space="preserve"> signs every user out; </w:t>
      </w:r>
      <w:r>
        <w:rPr>
          <w:rFonts w:eastAsia="Consolas" w:cs="Consolas" w:ascii="Consolas" w:hAnsi="Consolas"/>
          <w:color w:val="101820"/>
          <w:sz w:val="19"/>
        </w:rPr>
        <w:t>DATA_ENCRYPTION_KEY</w:t>
      </w:r>
      <w:r>
        <w:rPr>
          <w:rFonts w:eastAsia="Segoe UI" w:cs="Segoe UI" w:ascii="Segoe UI" w:hAnsi="Segoe UI"/>
          <w:color w:val="101820"/>
          <w:sz w:val="21"/>
        </w:rPr>
        <w:t xml:space="preserve"> rotation is planned with the restore impact in mind), block addresses at the load balancer, isolate affected components.</w:t>
      </w:r>
    </w:p>
    <w:p>
      <w:pPr>
        <w:pStyle w:val="Normal"/>
        <w:numPr>
          <w:ilvl w:val="0"/>
          <w:numId w:val="23"/>
        </w:numPr>
        <w:spacing w:before="0" w:after="60"/>
        <w:rPr/>
      </w:pPr>
      <w:r>
        <w:rPr>
          <w:rFonts w:eastAsia="Segoe UI" w:cs="Segoe UI" w:ascii="Segoe UI" w:hAnsi="Segoe UI"/>
          <w:color w:val="101820"/>
          <w:sz w:val="21"/>
        </w:rPr>
        <w:t xml:space="preserve">Preserve evidence: logs,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monitoring data, database snapshot.</w:t>
      </w:r>
    </w:p>
    <w:p>
      <w:pPr>
        <w:pStyle w:val="Normal"/>
        <w:numPr>
          <w:ilvl w:val="0"/>
          <w:numId w:val="24"/>
        </w:numPr>
        <w:spacing w:before="0" w:after="60"/>
        <w:rPr/>
      </w:pPr>
      <w:r>
        <w:rPr>
          <w:rFonts w:eastAsia="Segoe UI" w:cs="Segoe UI" w:ascii="Segoe UI" w:hAnsi="Segoe UI"/>
          <w:color w:val="101820"/>
          <w:sz w:val="21"/>
        </w:rPr>
        <w:t>Assess what data and which data subjects are affected.</w:t>
      </w:r>
    </w:p>
    <w:p>
      <w:pPr>
        <w:pStyle w:val="Normal"/>
        <w:numPr>
          <w:ilvl w:val="0"/>
          <w:numId w:val="25"/>
        </w:numPr>
        <w:spacing w:before="0" w:after="60"/>
        <w:rPr/>
      </w:pPr>
      <w:r>
        <w:rPr>
          <w:rFonts w:eastAsia="Segoe UI" w:cs="Segoe UI" w:ascii="Segoe UI" w:hAnsi="Segoe UI"/>
          <w:color w:val="101820"/>
          <w:sz w:val="21"/>
        </w:rPr>
        <w:t>Recover and verify.</w:t>
      </w:r>
    </w:p>
    <w:p>
      <w:pPr>
        <w:pStyle w:val="Normal"/>
        <w:numPr>
          <w:ilvl w:val="0"/>
          <w:numId w:val="26"/>
        </w:numPr>
        <w:spacing w:before="0" w:after="60"/>
        <w:rPr/>
      </w:pPr>
      <w:r>
        <w:rPr>
          <w:rFonts w:eastAsia="Segoe UI" w:cs="Segoe UI" w:ascii="Segoe UI" w:hAnsi="Segoe UI"/>
          <w:color w:val="101820"/>
          <w:sz w:val="21"/>
        </w:rPr>
        <w:t>Report and learn: RCA, preventive actions.</w:t>
      </w:r>
    </w:p>
    <w:p>
      <w:pPr>
        <w:pStyle w:val="Heading2"/>
        <w:rPr/>
      </w:pPr>
      <w:bookmarkStart w:id="48" w:name="__RefHeading___Toc78788_4195859891"/>
      <w:bookmarkEnd w:id="48"/>
      <w:r>
        <w:rPr>
          <w:rFonts w:eastAsia="Segoe UI" w:cs="Segoe UI"/>
          <w:b/>
          <w:color w:val="0F4761"/>
          <w:sz w:val="26"/>
        </w:rPr>
        <w:t>20.2  Personal data breaches</w:t>
      </w:r>
    </w:p>
    <w:p>
      <w:pPr>
        <w:pStyle w:val="Normal"/>
        <w:spacing w:lineRule="auto" w:line="276" w:before="0" w:after="120"/>
        <w:rPr/>
      </w:pPr>
      <w:r>
        <w:rPr>
          <w:rFonts w:eastAsia="Segoe UI" w:cs="Segoe UI" w:ascii="Segoe UI" w:hAnsi="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2199"/>
        <w:gridCol w:w="3408"/>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informs the broker's DPO and System Administrator of a suspected breach</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delay, and within 24 hours of discovery (proposed contract term)</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whether the breach involves sensitive personal information or information that may enable identity fraud, and is likely to give rise to a real risk of serious harm</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with iorta TechNXT</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Immediately</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the National Privacy Commission,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knowledge of the breach</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to affected data subjects, where required</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unless the NPC allows otherwise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report and evidence</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and the broker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requested by the NPC</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entry and annual report of breaches</w:t>
            </w:r>
          </w:p>
        </w:tc>
        <w:tc>
          <w:tcPr>
            <w:tcW w:w="2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required by the NPC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rPr/>
      </w:pPr>
      <w:bookmarkStart w:id="49" w:name="__RefHeading___Toc78790_4195859891"/>
      <w:bookmarkEnd w:id="49"/>
      <w:r>
        <w:rPr>
          <w:rFonts w:eastAsia="Segoe UI" w:cs="Segoe UI"/>
          <w:b/>
          <w:color w:val="0F4761"/>
          <w:sz w:val="26"/>
        </w:rPr>
        <w:t>20.3  Data subject requests</w:t>
      </w:r>
    </w:p>
    <w:p>
      <w:pPr>
        <w:pStyle w:val="Normal"/>
        <w:spacing w:lineRule="auto" w:line="276" w:before="0" w:after="120"/>
        <w:rPr/>
      </w:pPr>
      <w:r>
        <w:rPr>
          <w:rFonts w:eastAsia="Segoe UI" w:cs="Segoe UI" w:ascii="Segoe UI" w:hAnsi="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arrives at iorta TechNXT directly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Forwarded to the broker's DPO within 2 business days, not answered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is refused although the DPO has decided the data may go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reviews the reasons shown by the dry run with the DPO; any database procedure is a normal change with the DPO's written instruction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Overdue requests are not notified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Check that the 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is switched on in Master &gt; Schedules and that the privacy team holds </w:t>
            </w:r>
            <w:r>
              <w:rPr>
                <w:rFonts w:eastAsia="Consolas" w:cs="Consolas" w:ascii="Consolas" w:hAnsi="Consolas"/>
                <w:color w:val="101820"/>
                <w:kern w:val="0"/>
                <w:sz w:val="16"/>
                <w:szCs w:val="24"/>
                <w:lang w:val="en-US" w:eastAsia="ja-JP" w:bidi="ar-SA"/>
              </w:rPr>
              <w:t>read:privacy</w:t>
            </w:r>
          </w:p>
        </w:tc>
      </w:tr>
    </w:tbl>
    <w:p>
      <w:pPr>
        <w:pStyle w:val="Normal"/>
        <w:spacing w:before="0" w:after="80"/>
        <w:rPr/>
      </w:pPr>
      <w:r>
        <w:rPr/>
      </w:r>
      <w:r>
        <w:br w:type="page"/>
      </w:r>
    </w:p>
    <w:p>
      <w:pPr>
        <w:pStyle w:val="Heading1"/>
        <w:rPr/>
      </w:pPr>
      <w:bookmarkStart w:id="50" w:name="__RefHeading___Toc78792_4195859891"/>
      <w:bookmarkEnd w:id="50"/>
      <w:r>
        <w:rPr>
          <w:rFonts w:eastAsia="Segoe UI" w:cs="Segoe UI" w:ascii="Segoe UI" w:hAnsi="Segoe UI"/>
          <w:b/>
          <w:color w:val="0F4761"/>
          <w:sz w:val="32"/>
        </w:rPr>
        <w:t>21.  Support exclusions</w:t>
      </w:r>
    </w:p>
    <w:p>
      <w:pPr>
        <w:pStyle w:val="Normal"/>
        <w:spacing w:lineRule="auto" w:line="276" w:before="0" w:after="120"/>
        <w:rPr/>
      </w:pPr>
      <w:r>
        <w:rPr>
          <w:rFonts w:eastAsia="Segoe UI" w:cs="Segoe UI" w:ascii="Segoe UI" w:hAnsi="Segoe UI"/>
          <w:color w:val="101820"/>
          <w:sz w:val="21"/>
        </w:rPr>
        <w:t>The following are outside production support and are handled as change requests or separate services:</w:t>
      </w:r>
    </w:p>
    <w:p>
      <w:pPr>
        <w:pStyle w:val="Normal"/>
        <w:numPr>
          <w:ilvl w:val="0"/>
          <w:numId w:val="1"/>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1"/>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1"/>
        </w:numPr>
        <w:spacing w:before="0" w:after="60"/>
        <w:rPr/>
      </w:pPr>
      <w:r>
        <w:rPr>
          <w:rFonts w:eastAsia="Segoe UI" w:cs="Segoe UI" w:ascii="Segoe UI" w:hAnsi="Segoe UI"/>
          <w:color w:val="101820"/>
          <w:sz w:val="21"/>
        </w:rPr>
        <w:t>Data entry, data cleansing and bulk data work for the broker's business.</w:t>
      </w:r>
    </w:p>
    <w:p>
      <w:pPr>
        <w:pStyle w:val="Normal"/>
        <w:numPr>
          <w:ilvl w:val="0"/>
          <w:numId w:val="1"/>
        </w:numPr>
        <w:spacing w:before="0" w:after="60"/>
        <w:rPr/>
      </w:pPr>
      <w:r>
        <w:rPr>
          <w:rFonts w:eastAsia="Segoe UI" w:cs="Segoe UI" w:ascii="Segoe UI" w:hAnsi="Segoe UI"/>
          <w:color w:val="101820"/>
          <w:sz w:val="21"/>
        </w:rPr>
        <w:t>Business configuration done on the broker's behalf beyond the agreed hours.</w:t>
      </w:r>
    </w:p>
    <w:p>
      <w:pPr>
        <w:pStyle w:val="Normal"/>
        <w:numPr>
          <w:ilvl w:val="0"/>
          <w:numId w:val="1"/>
        </w:numPr>
        <w:spacing w:before="0" w:after="60"/>
        <w:rPr/>
      </w:pPr>
      <w:r>
        <w:rPr>
          <w:rFonts w:eastAsia="Segoe UI" w:cs="Segoe UI" w:ascii="Segoe UI" w:hAnsi="Segoe UI"/>
          <w:color w:val="101820"/>
          <w:sz w:val="21"/>
        </w:rPr>
        <w:t>Training of new users beyond the agreed refresher sessions.</w:t>
      </w:r>
    </w:p>
    <w:p>
      <w:pPr>
        <w:pStyle w:val="Normal"/>
        <w:numPr>
          <w:ilvl w:val="0"/>
          <w:numId w:val="1"/>
        </w:numPr>
        <w:spacing w:before="0" w:after="60"/>
        <w:rPr/>
      </w:pPr>
      <w:r>
        <w:rPr>
          <w:rFonts w:eastAsia="Segoe UI" w:cs="Segoe UI" w:ascii="Segoe UI" w:hAnsi="Segoe UI"/>
          <w:color w:val="101820"/>
          <w:sz w:val="21"/>
        </w:rPr>
        <w:t>Issues caused by changes the broker made outside the change process, or by the broker's network, devices or browsers.</w:t>
      </w:r>
    </w:p>
    <w:p>
      <w:pPr>
        <w:pStyle w:val="Normal"/>
        <w:numPr>
          <w:ilvl w:val="0"/>
          <w:numId w:val="1"/>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1"/>
        </w:numPr>
        <w:spacing w:before="0" w:after="60"/>
        <w:rPr/>
      </w:pPr>
      <w:r>
        <w:rPr>
          <w:rFonts w:eastAsia="Segoe UI" w:cs="Segoe UI" w:ascii="Segoe UI" w:hAnsi="Segoe UI"/>
          <w:color w:val="101820"/>
          <w:sz w:val="21"/>
        </w:rPr>
        <w:t>Recovery of data deleted by the broker's users beyond what the backups hold.</w:t>
      </w:r>
    </w:p>
    <w:p>
      <w:pPr>
        <w:pStyle w:val="Normal"/>
        <w:numPr>
          <w:ilvl w:val="0"/>
          <w:numId w:val="1"/>
        </w:numPr>
        <w:spacing w:before="0" w:after="60"/>
        <w:rPr/>
      </w:pPr>
      <w:r>
        <w:rPr>
          <w:rFonts w:eastAsia="Segoe UI" w:cs="Segoe UI" w:ascii="Segoe UI" w:hAnsi="Segoe UI"/>
          <w:color w:val="101820"/>
          <w:sz w:val="21"/>
        </w:rPr>
        <w:t>Support of releases more than two planned releases behind the current one (assumption).</w:t>
      </w:r>
      <w:r>
        <w:br w:type="page"/>
      </w:r>
    </w:p>
    <w:p>
      <w:pPr>
        <w:pStyle w:val="Heading1"/>
        <w:rPr/>
      </w:pPr>
      <w:bookmarkStart w:id="51" w:name="__RefHeading___Toc78794_4195859891"/>
      <w:bookmarkEnd w:id="51"/>
      <w:r>
        <w:rPr>
          <w:rFonts w:eastAsia="Segoe UI" w:cs="Segoe UI" w:ascii="Segoe UI" w:hAnsi="Segoe UI"/>
          <w:b/>
          <w:color w:val="0F4761"/>
          <w:sz w:val="32"/>
        </w:rPr>
        <w:t>22.  What the broker provides</w:t>
      </w:r>
    </w:p>
    <w:p>
      <w:pPr>
        <w:pStyle w:val="Normal"/>
        <w:numPr>
          <w:ilvl w:val="0"/>
          <w:numId w:val="1"/>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1"/>
        </w:numPr>
        <w:spacing w:before="0" w:after="60"/>
        <w:rPr/>
      </w:pPr>
      <w:r>
        <w:rPr>
          <w:rFonts w:eastAsia="Segoe UI" w:cs="Segoe UI" w:ascii="Segoe UI" w:hAnsi="Segoe UI"/>
          <w:color w:val="101820"/>
          <w:sz w:val="21"/>
        </w:rPr>
        <w:t>A broker change owner and an IT head for escalations and CAB decisions; a DPO for privacy matters.</w:t>
      </w:r>
    </w:p>
    <w:p>
      <w:pPr>
        <w:pStyle w:val="Normal"/>
        <w:numPr>
          <w:ilvl w:val="0"/>
          <w:numId w:val="1"/>
        </w:numPr>
        <w:spacing w:before="0" w:after="60"/>
        <w:rPr/>
      </w:pPr>
      <w:r>
        <w:rPr>
          <w:rFonts w:eastAsia="Segoe UI" w:cs="Segoe UI" w:ascii="Segoe UI" w:hAnsi="Segoe UI"/>
          <w:color w:val="101820"/>
          <w:sz w:val="21"/>
        </w:rPr>
        <w:t>Tickets with the minimum content of chapter 7.</w:t>
      </w:r>
    </w:p>
    <w:p>
      <w:pPr>
        <w:pStyle w:val="Normal"/>
        <w:numPr>
          <w:ilvl w:val="0"/>
          <w:numId w:val="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1"/>
        </w:numPr>
        <w:spacing w:before="0" w:after="60"/>
        <w:rPr/>
      </w:pPr>
      <w:r>
        <w:rPr>
          <w:rFonts w:eastAsia="Segoe UI" w:cs="Segoe UI" w:ascii="Segoe UI" w:hAnsi="Segoe UI"/>
          <w:color w:val="101820"/>
          <w:sz w:val="21"/>
        </w:rPr>
        <w:t>Testers for the UAT scripts before each release, and approval within the agreed time.</w:t>
      </w:r>
    </w:p>
    <w:p>
      <w:pPr>
        <w:pStyle w:val="Normal"/>
        <w:numPr>
          <w:ilvl w:val="0"/>
          <w:numId w:val="1"/>
        </w:numPr>
        <w:spacing w:before="0" w:after="60"/>
        <w:rPr/>
      </w:pPr>
      <w:r>
        <w:rPr>
          <w:rFonts w:eastAsia="Segoe UI" w:cs="Segoe UI" w:ascii="Segoe UI" w:hAnsi="Segoe UI"/>
          <w:color w:val="101820"/>
          <w:sz w:val="21"/>
        </w:rPr>
        <w:t>Timely decisions on severity disputes, changes and releases.</w:t>
      </w:r>
    </w:p>
    <w:p>
      <w:pPr>
        <w:pStyle w:val="Normal"/>
        <w:numPr>
          <w:ilvl w:val="0"/>
          <w:numId w:val="1"/>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1"/>
        </w:numPr>
        <w:spacing w:before="0" w:after="60"/>
        <w:rPr/>
      </w:pPr>
      <w:r>
        <w:rPr>
          <w:rFonts w:eastAsia="Segoe UI" w:cs="Segoe UI" w:ascii="Segoe UI" w:hAnsi="Segoe UI"/>
          <w:color w:val="101820"/>
          <w:sz w:val="21"/>
        </w:rPr>
        <w:t>Credentials and contracts of third parties the broker owns (SMTP mailbox, payment gateway merchant account, bank formats), and their support contacts.</w:t>
      </w:r>
    </w:p>
    <w:p>
      <w:pPr>
        <w:pStyle w:val="Normal"/>
        <w:numPr>
          <w:ilvl w:val="0"/>
          <w:numId w:val="1"/>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2" w:name="__RefHeading___Toc78796_4195859891"/>
      <w:bookmarkStart w:id="53" w:name="_Toc233203395"/>
      <w:bookmarkEnd w:id="52"/>
      <w:r>
        <w:rPr>
          <w:rStyle w:val="BookTitle"/>
          <w:bCs w:val="false"/>
          <w:i w:val="false"/>
          <w:iCs w:val="false"/>
          <w:spacing w:val="0"/>
        </w:rPr>
        <w:t>23.  Document Sign-Off</w:t>
      </w:r>
      <w:bookmarkEnd w:id="5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lvlOverride w:ilvl="0">
      <w:startOverride w:val="1"/>
    </w:lvlOverride>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