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6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5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5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5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Reports 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Reports 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Reports and dashboards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Reports and dashboards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99299_4195859891">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99301_4195859891">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99303_4195859891">
            <w:r>
              <w:rPr>
                <w:webHidden/>
                <w:rStyle w:val="IndexLink"/>
              </w:rPr>
              <w:t>3. About this book</w:t>
              <w:tab/>
              <w:t>5</w:t>
            </w:r>
          </w:hyperlink>
        </w:p>
        <w:p>
          <w:pPr>
            <w:pStyle w:val="TOC2"/>
            <w:tabs>
              <w:tab w:val="clear" w:pos="900"/>
              <w:tab w:val="clear" w:pos="9350"/>
              <w:tab w:val="right" w:pos="9025" w:leader="dot"/>
            </w:tabs>
            <w:rPr/>
          </w:pPr>
          <w:hyperlink w:anchor="__RefHeading___Toc99305_4195859891">
            <w:r>
              <w:rPr>
                <w:webHidden/>
                <w:rStyle w:val="IndexLink"/>
              </w:rPr>
              <w:t>3.1 How the book is organised</w:t>
              <w:tab/>
              <w:t>5</w:t>
            </w:r>
          </w:hyperlink>
        </w:p>
        <w:p>
          <w:pPr>
            <w:pStyle w:val="TOC2"/>
            <w:tabs>
              <w:tab w:val="clear" w:pos="900"/>
              <w:tab w:val="clear" w:pos="9350"/>
              <w:tab w:val="right" w:pos="9025" w:leader="dot"/>
            </w:tabs>
            <w:rPr/>
          </w:pPr>
          <w:hyperlink w:anchor="__RefHeading___Toc99307_4195859891">
            <w:r>
              <w:rPr>
                <w:webHidden/>
                <w:rStyle w:val="IndexLink"/>
              </w:rPr>
              <w:t>3.2 Report inventory at a glance</w:t>
              <w:tab/>
              <w:t>6</w:t>
            </w:r>
          </w:hyperlink>
        </w:p>
        <w:p>
          <w:pPr>
            <w:pStyle w:val="TOC1"/>
            <w:tabs>
              <w:tab w:val="clear" w:pos="900"/>
              <w:tab w:val="clear" w:pos="9350"/>
              <w:tab w:val="right" w:pos="9025" w:leader="dot"/>
            </w:tabs>
            <w:rPr/>
          </w:pPr>
          <w:hyperlink w:anchor="__RefHeading___Toc99309_4195859891">
            <w:r>
              <w:rPr>
                <w:webHidden/>
                <w:rStyle w:val="IndexLink"/>
              </w:rPr>
              <w:t>4. How reports work</w:t>
              <w:tab/>
              <w:t>7</w:t>
            </w:r>
          </w:hyperlink>
        </w:p>
        <w:p>
          <w:pPr>
            <w:pStyle w:val="TOC2"/>
            <w:tabs>
              <w:tab w:val="clear" w:pos="900"/>
              <w:tab w:val="clear" w:pos="9350"/>
              <w:tab w:val="right" w:pos="9025" w:leader="dot"/>
            </w:tabs>
            <w:rPr/>
          </w:pPr>
          <w:hyperlink w:anchor="__RefHeading___Toc99311_4195859891">
            <w:r>
              <w:rPr>
                <w:webHidden/>
                <w:rStyle w:val="IndexLink"/>
              </w:rPr>
              <w:t>4.1 The report catalogue</w:t>
              <w:tab/>
              <w:t>7</w:t>
            </w:r>
          </w:hyperlink>
        </w:p>
        <w:p>
          <w:pPr>
            <w:pStyle w:val="TOC2"/>
            <w:tabs>
              <w:tab w:val="clear" w:pos="900"/>
              <w:tab w:val="clear" w:pos="9350"/>
              <w:tab w:val="right" w:pos="9025" w:leader="dot"/>
            </w:tabs>
            <w:rPr/>
          </w:pPr>
          <w:hyperlink w:anchor="__RefHeading___Toc99313_4195859891">
            <w:r>
              <w:rPr>
                <w:webHidden/>
                <w:rStyle w:val="IndexLink"/>
              </w:rPr>
              <w:t>4.2 Who may run a report</w:t>
              <w:tab/>
              <w:t>7</w:t>
            </w:r>
          </w:hyperlink>
        </w:p>
        <w:p>
          <w:pPr>
            <w:pStyle w:val="TOC2"/>
            <w:tabs>
              <w:tab w:val="clear" w:pos="900"/>
              <w:tab w:val="clear" w:pos="9350"/>
              <w:tab w:val="right" w:pos="9025" w:leader="dot"/>
            </w:tabs>
            <w:rPr/>
          </w:pPr>
          <w:hyperlink w:anchor="__RefHeading___Toc99315_4195859891">
            <w:r>
              <w:rPr>
                <w:webHidden/>
                <w:rStyle w:val="IndexLink"/>
              </w:rPr>
              <w:t>4.3 The report screen</w:t>
              <w:tab/>
              <w:t>7</w:t>
            </w:r>
          </w:hyperlink>
        </w:p>
        <w:p>
          <w:pPr>
            <w:pStyle w:val="TOC2"/>
            <w:tabs>
              <w:tab w:val="clear" w:pos="900"/>
              <w:tab w:val="clear" w:pos="9350"/>
              <w:tab w:val="right" w:pos="9025" w:leader="dot"/>
            </w:tabs>
            <w:rPr/>
          </w:pPr>
          <w:hyperlink w:anchor="__RefHeading___Toc99317_4195859891">
            <w:r>
              <w:rPr>
                <w:webHidden/>
                <w:rStyle w:val="IndexLink"/>
              </w:rPr>
              <w:t>4.4 What the engine does</w:t>
              <w:tab/>
              <w:t>8</w:t>
            </w:r>
          </w:hyperlink>
        </w:p>
        <w:p>
          <w:pPr>
            <w:pStyle w:val="TOC2"/>
            <w:tabs>
              <w:tab w:val="clear" w:pos="900"/>
              <w:tab w:val="clear" w:pos="9350"/>
              <w:tab w:val="right" w:pos="9025" w:leader="dot"/>
            </w:tabs>
            <w:rPr/>
          </w:pPr>
          <w:hyperlink w:anchor="__RefHeading___Toc99319_4195859891">
            <w:r>
              <w:rPr>
                <w:webHidden/>
                <w:rStyle w:val="IndexLink"/>
              </w:rPr>
              <w:t>4.5 Output formats</w:t>
              <w:tab/>
              <w:t>8</w:t>
            </w:r>
          </w:hyperlink>
        </w:p>
        <w:p>
          <w:pPr>
            <w:pStyle w:val="TOC2"/>
            <w:tabs>
              <w:tab w:val="clear" w:pos="900"/>
              <w:tab w:val="clear" w:pos="9350"/>
              <w:tab w:val="right" w:pos="9025" w:leader="dot"/>
            </w:tabs>
            <w:rPr/>
          </w:pPr>
          <w:hyperlink w:anchor="__RefHeading___Toc99321_4195859891">
            <w:r>
              <w:rPr>
                <w:webHidden/>
                <w:rStyle w:val="IndexLink"/>
              </w:rPr>
              <w:t>4.6 Scheduled delivery by e-mail</w:t>
              <w:tab/>
              <w:t>8</w:t>
            </w:r>
          </w:hyperlink>
        </w:p>
        <w:p>
          <w:pPr>
            <w:pStyle w:val="TOC1"/>
            <w:tabs>
              <w:tab w:val="clear" w:pos="900"/>
              <w:tab w:val="clear" w:pos="9350"/>
              <w:tab w:val="right" w:pos="9025" w:leader="dot"/>
            </w:tabs>
            <w:rPr/>
          </w:pPr>
          <w:hyperlink w:anchor="__RefHeading___Toc99323_4195859891">
            <w:r>
              <w:rPr>
                <w:webHidden/>
                <w:rStyle w:val="IndexLink"/>
              </w:rPr>
              <w:t>5. Operational reports</w:t>
              <w:tab/>
              <w:t>10</w:t>
            </w:r>
          </w:hyperlink>
        </w:p>
        <w:p>
          <w:pPr>
            <w:pStyle w:val="TOC2"/>
            <w:tabs>
              <w:tab w:val="clear" w:pos="900"/>
              <w:tab w:val="clear" w:pos="9350"/>
              <w:tab w:val="right" w:pos="9025" w:leader="dot"/>
            </w:tabs>
            <w:rPr/>
          </w:pPr>
          <w:hyperlink w:anchor="__RefHeading___Toc99325_4195859891">
            <w:r>
              <w:rPr>
                <w:webHidden/>
                <w:rStyle w:val="IndexLink"/>
              </w:rPr>
              <w:t>5.1 Production Register</w:t>
              <w:tab/>
              <w:t>10</w:t>
            </w:r>
          </w:hyperlink>
        </w:p>
        <w:p>
          <w:pPr>
            <w:pStyle w:val="TOC2"/>
            <w:tabs>
              <w:tab w:val="clear" w:pos="900"/>
              <w:tab w:val="clear" w:pos="9350"/>
              <w:tab w:val="right" w:pos="9025" w:leader="dot"/>
            </w:tabs>
            <w:rPr/>
          </w:pPr>
          <w:hyperlink w:anchor="__RefHeading___Toc99327_4195859891">
            <w:r>
              <w:rPr>
                <w:webHidden/>
                <w:rStyle w:val="IndexLink"/>
              </w:rPr>
              <w:t>5.2 Claims Position</w:t>
              <w:tab/>
              <w:t>11</w:t>
            </w:r>
          </w:hyperlink>
        </w:p>
        <w:p>
          <w:pPr>
            <w:pStyle w:val="TOC2"/>
            <w:tabs>
              <w:tab w:val="clear" w:pos="900"/>
              <w:tab w:val="clear" w:pos="9350"/>
              <w:tab w:val="right" w:pos="9025" w:leader="dot"/>
            </w:tabs>
            <w:rPr/>
          </w:pPr>
          <w:hyperlink w:anchor="__RefHeading___Toc99329_4195859891">
            <w:r>
              <w:rPr>
                <w:webHidden/>
                <w:rStyle w:val="IndexLink"/>
              </w:rPr>
              <w:t>5.3 Renewal Retention</w:t>
              <w:tab/>
              <w:t>12</w:t>
            </w:r>
          </w:hyperlink>
        </w:p>
        <w:p>
          <w:pPr>
            <w:pStyle w:val="TOC2"/>
            <w:tabs>
              <w:tab w:val="clear" w:pos="900"/>
              <w:tab w:val="clear" w:pos="9350"/>
              <w:tab w:val="right" w:pos="9025" w:leader="dot"/>
            </w:tabs>
            <w:rPr/>
          </w:pPr>
          <w:hyperlink w:anchor="__RefHeading___Toc99331_4195859891">
            <w:r>
              <w:rPr>
                <w:webHidden/>
                <w:rStyle w:val="IndexLink"/>
              </w:rPr>
              <w:t>5.4 Remittance Summary</w:t>
              <w:tab/>
              <w:t>13</w:t>
            </w:r>
          </w:hyperlink>
        </w:p>
        <w:p>
          <w:pPr>
            <w:pStyle w:val="TOC2"/>
            <w:tabs>
              <w:tab w:val="clear" w:pos="900"/>
              <w:tab w:val="clear" w:pos="9350"/>
              <w:tab w:val="right" w:pos="9025" w:leader="dot"/>
            </w:tabs>
            <w:rPr/>
          </w:pPr>
          <w:hyperlink w:anchor="__RefHeading___Toc99333_4195859891">
            <w:r>
              <w:rPr>
                <w:webHidden/>
                <w:rStyle w:val="IndexLink"/>
              </w:rPr>
              <w:t>5.5 Broker Commission Statement</w:t>
              <w:tab/>
              <w:t>13</w:t>
            </w:r>
          </w:hyperlink>
        </w:p>
        <w:p>
          <w:pPr>
            <w:pStyle w:val="TOC2"/>
            <w:tabs>
              <w:tab w:val="clear" w:pos="900"/>
              <w:tab w:val="clear" w:pos="9350"/>
              <w:tab w:val="right" w:pos="9025" w:leader="dot"/>
            </w:tabs>
            <w:rPr/>
          </w:pPr>
          <w:hyperlink w:anchor="__RefHeading___Toc99335_4195859891">
            <w:r>
              <w:rPr>
                <w:webHidden/>
                <w:rStyle w:val="IndexLink"/>
              </w:rPr>
              <w:t>5.6 Claims Ageing</w:t>
              <w:tab/>
              <w:t>14</w:t>
            </w:r>
          </w:hyperlink>
        </w:p>
        <w:p>
          <w:pPr>
            <w:pStyle w:val="TOC2"/>
            <w:tabs>
              <w:tab w:val="clear" w:pos="900"/>
              <w:tab w:val="clear" w:pos="9350"/>
              <w:tab w:val="right" w:pos="9025" w:leader="dot"/>
            </w:tabs>
            <w:rPr/>
          </w:pPr>
          <w:hyperlink w:anchor="__RefHeading___Toc99337_4195859891">
            <w:r>
              <w:rPr>
                <w:webHidden/>
                <w:rStyle w:val="IndexLink"/>
              </w:rPr>
              <w:t>5.7 Lead Conversion Funnel</w:t>
              <w:tab/>
              <w:t>14</w:t>
            </w:r>
          </w:hyperlink>
        </w:p>
        <w:p>
          <w:pPr>
            <w:pStyle w:val="TOC2"/>
            <w:tabs>
              <w:tab w:val="clear" w:pos="900"/>
              <w:tab w:val="clear" w:pos="9350"/>
              <w:tab w:val="right" w:pos="9025" w:leader="dot"/>
            </w:tabs>
            <w:rPr/>
          </w:pPr>
          <w:hyperlink w:anchor="__RefHeading___Toc99339_4195859891">
            <w:r>
              <w:rPr>
                <w:webHidden/>
                <w:rStyle w:val="IndexLink"/>
              </w:rPr>
              <w:t>5.8 Placement Pipeline</w:t>
              <w:tab/>
              <w:t>15</w:t>
            </w:r>
          </w:hyperlink>
        </w:p>
        <w:p>
          <w:pPr>
            <w:pStyle w:val="TOC2"/>
            <w:tabs>
              <w:tab w:val="clear" w:pos="900"/>
              <w:tab w:val="clear" w:pos="9350"/>
              <w:tab w:val="right" w:pos="9025" w:leader="dot"/>
            </w:tabs>
            <w:rPr/>
          </w:pPr>
          <w:hyperlink w:anchor="__RefHeading___Toc99341_4195859891">
            <w:r>
              <w:rPr>
                <w:webHidden/>
                <w:rStyle w:val="IndexLink"/>
              </w:rPr>
              <w:t>5.9 Market Response</w:t>
              <w:tab/>
              <w:t>15</w:t>
            </w:r>
          </w:hyperlink>
        </w:p>
        <w:p>
          <w:pPr>
            <w:pStyle w:val="TOC2"/>
            <w:tabs>
              <w:tab w:val="clear" w:pos="900"/>
              <w:tab w:val="clear" w:pos="9350"/>
              <w:tab w:val="right" w:pos="9025" w:leader="dot"/>
            </w:tabs>
            <w:rPr/>
          </w:pPr>
          <w:hyperlink w:anchor="__RefHeading___Toc99343_4195859891">
            <w:r>
              <w:rPr>
                <w:webHidden/>
                <w:rStyle w:val="IndexLink"/>
              </w:rPr>
              <w:t>5.10 Reinsurance Cession Register</w:t>
              <w:tab/>
              <w:t>15</w:t>
            </w:r>
          </w:hyperlink>
        </w:p>
        <w:p>
          <w:pPr>
            <w:pStyle w:val="TOC2"/>
            <w:tabs>
              <w:tab w:val="clear" w:pos="900"/>
              <w:tab w:val="clear" w:pos="9350"/>
              <w:tab w:val="right" w:pos="9025" w:leader="dot"/>
            </w:tabs>
            <w:rPr/>
          </w:pPr>
          <w:hyperlink w:anchor="__RefHeading___Toc99345_4195859891">
            <w:r>
              <w:rPr>
                <w:webHidden/>
                <w:rStyle w:val="IndexLink"/>
              </w:rPr>
              <w:t>5.11 Co-insurance Register</w:t>
              <w:tab/>
              <w:t>16</w:t>
            </w:r>
          </w:hyperlink>
        </w:p>
        <w:p>
          <w:pPr>
            <w:pStyle w:val="TOC1"/>
            <w:tabs>
              <w:tab w:val="clear" w:pos="900"/>
              <w:tab w:val="clear" w:pos="9350"/>
              <w:tab w:val="right" w:pos="9025" w:leader="dot"/>
            </w:tabs>
            <w:rPr/>
          </w:pPr>
          <w:hyperlink w:anchor="__RefHeading___Toc99347_4195859891">
            <w:r>
              <w:rPr>
                <w:webHidden/>
                <w:rStyle w:val="IndexLink"/>
              </w:rPr>
              <w:t>6. Financial reports</w:t>
              <w:tab/>
              <w:t>18</w:t>
            </w:r>
          </w:hyperlink>
        </w:p>
        <w:p>
          <w:pPr>
            <w:pStyle w:val="TOC2"/>
            <w:tabs>
              <w:tab w:val="clear" w:pos="900"/>
              <w:tab w:val="clear" w:pos="9350"/>
              <w:tab w:val="right" w:pos="9025" w:leader="dot"/>
            </w:tabs>
            <w:rPr/>
          </w:pPr>
          <w:hyperlink w:anchor="__RefHeading___Toc99349_4195859891">
            <w:r>
              <w:rPr>
                <w:webHidden/>
                <w:rStyle w:val="IndexLink"/>
              </w:rPr>
              <w:t>6.1 SOA / Premium Receivable</w:t>
              <w:tab/>
              <w:t>18</w:t>
            </w:r>
          </w:hyperlink>
        </w:p>
        <w:p>
          <w:pPr>
            <w:pStyle w:val="TOC2"/>
            <w:tabs>
              <w:tab w:val="clear" w:pos="900"/>
              <w:tab w:val="clear" w:pos="9350"/>
              <w:tab w:val="right" w:pos="9025" w:leader="dot"/>
            </w:tabs>
            <w:rPr/>
          </w:pPr>
          <w:hyperlink w:anchor="__RefHeading___Toc99351_4195859891">
            <w:r>
              <w:rPr>
                <w:webHidden/>
                <w:rStyle w:val="IndexLink"/>
              </w:rPr>
              <w:t>6.2 Collection Report</w:t>
              <w:tab/>
              <w:t>19</w:t>
            </w:r>
          </w:hyperlink>
        </w:p>
        <w:p>
          <w:pPr>
            <w:pStyle w:val="TOC2"/>
            <w:tabs>
              <w:tab w:val="clear" w:pos="900"/>
              <w:tab w:val="clear" w:pos="9350"/>
              <w:tab w:val="right" w:pos="9025" w:leader="dot"/>
            </w:tabs>
            <w:rPr/>
          </w:pPr>
          <w:hyperlink w:anchor="__RefHeading___Toc99353_4195859891">
            <w:r>
              <w:rPr>
                <w:webHidden/>
                <w:rStyle w:val="IndexLink"/>
              </w:rPr>
              <w:t>6.3 Receivables Ageing</w:t>
              <w:tab/>
              <w:t>20</w:t>
            </w:r>
          </w:hyperlink>
        </w:p>
        <w:p>
          <w:pPr>
            <w:pStyle w:val="TOC2"/>
            <w:tabs>
              <w:tab w:val="clear" w:pos="900"/>
              <w:tab w:val="clear" w:pos="9350"/>
              <w:tab w:val="right" w:pos="9025" w:leader="dot"/>
            </w:tabs>
            <w:rPr/>
          </w:pPr>
          <w:hyperlink w:anchor="__RefHeading___Toc99355_4195859891">
            <w:r>
              <w:rPr>
                <w:webHidden/>
                <w:rStyle w:val="IndexLink"/>
              </w:rPr>
              <w:t>6.4 Commission Receivable - Direct Bill</w:t>
              <w:tab/>
              <w:t>20</w:t>
            </w:r>
          </w:hyperlink>
        </w:p>
        <w:p>
          <w:pPr>
            <w:pStyle w:val="TOC2"/>
            <w:tabs>
              <w:tab w:val="clear" w:pos="900"/>
              <w:tab w:val="clear" w:pos="9350"/>
              <w:tab w:val="right" w:pos="9025" w:leader="dot"/>
            </w:tabs>
            <w:rPr/>
          </w:pPr>
          <w:hyperlink w:anchor="__RefHeading___Toc99357_4195859891">
            <w:r>
              <w:rPr>
                <w:webHidden/>
                <w:rStyle w:val="IndexLink"/>
              </w:rPr>
              <w:t>6.5 Receipts Register</w:t>
              <w:tab/>
              <w:t>21</w:t>
            </w:r>
          </w:hyperlink>
        </w:p>
        <w:p>
          <w:pPr>
            <w:pStyle w:val="TOC2"/>
            <w:tabs>
              <w:tab w:val="clear" w:pos="900"/>
              <w:tab w:val="clear" w:pos="9350"/>
              <w:tab w:val="right" w:pos="9025" w:leader="dot"/>
            </w:tabs>
            <w:rPr/>
          </w:pPr>
          <w:hyperlink w:anchor="__RefHeading___Toc99359_4195859891">
            <w:r>
              <w:rPr>
                <w:webHidden/>
                <w:rStyle w:val="IndexLink"/>
              </w:rPr>
              <w:t>6.6 Payables / Disbursement Register</w:t>
              <w:tab/>
              <w:t>21</w:t>
            </w:r>
          </w:hyperlink>
        </w:p>
        <w:p>
          <w:pPr>
            <w:pStyle w:val="TOC2"/>
            <w:tabs>
              <w:tab w:val="clear" w:pos="900"/>
              <w:tab w:val="clear" w:pos="9350"/>
              <w:tab w:val="right" w:pos="9025" w:leader="dot"/>
            </w:tabs>
            <w:rPr/>
          </w:pPr>
          <w:hyperlink w:anchor="__RefHeading___Toc99361_4195859891">
            <w:r>
              <w:rPr>
                <w:webHidden/>
                <w:rStyle w:val="IndexLink"/>
              </w:rPr>
              <w:t>6.7 Journal Register</w:t>
              <w:tab/>
              <w:t>22</w:t>
            </w:r>
          </w:hyperlink>
        </w:p>
        <w:p>
          <w:pPr>
            <w:pStyle w:val="TOC2"/>
            <w:tabs>
              <w:tab w:val="clear" w:pos="900"/>
              <w:tab w:val="clear" w:pos="9350"/>
              <w:tab w:val="right" w:pos="9025" w:leader="dot"/>
            </w:tabs>
            <w:rPr/>
          </w:pPr>
          <w:hyperlink w:anchor="__RefHeading___Toc99363_4195859891">
            <w:r>
              <w:rPr>
                <w:webHidden/>
                <w:rStyle w:val="IndexLink"/>
              </w:rPr>
              <w:t>6.8 Trial Balance</w:t>
              <w:tab/>
              <w:t>22</w:t>
            </w:r>
          </w:hyperlink>
        </w:p>
        <w:p>
          <w:pPr>
            <w:pStyle w:val="TOC2"/>
            <w:tabs>
              <w:tab w:val="clear" w:pos="900"/>
              <w:tab w:val="clear" w:pos="9350"/>
              <w:tab w:val="right" w:pos="9025" w:leader="dot"/>
            </w:tabs>
            <w:rPr/>
          </w:pPr>
          <w:hyperlink w:anchor="__RefHeading___Toc99365_4195859891">
            <w:r>
              <w:rPr>
                <w:webHidden/>
                <w:rStyle w:val="IndexLink"/>
              </w:rPr>
              <w:t>6.9 Incentive Results</w:t>
              <w:tab/>
              <w:t>23</w:t>
            </w:r>
          </w:hyperlink>
        </w:p>
        <w:p>
          <w:pPr>
            <w:pStyle w:val="TOC2"/>
            <w:tabs>
              <w:tab w:val="clear" w:pos="900"/>
              <w:tab w:val="clear" w:pos="9350"/>
              <w:tab w:val="right" w:pos="9025" w:leader="dot"/>
            </w:tabs>
            <w:rPr/>
          </w:pPr>
          <w:hyperlink w:anchor="__RefHeading___Toc99367_4195859891">
            <w:r>
              <w:rPr>
                <w:webHidden/>
                <w:rStyle w:val="IndexLink"/>
              </w:rPr>
              <w:t>6.10 Due to Insurers by Co-insurer</w:t>
              <w:tab/>
              <w:t>23</w:t>
            </w:r>
          </w:hyperlink>
        </w:p>
        <w:p>
          <w:pPr>
            <w:pStyle w:val="TOC2"/>
            <w:tabs>
              <w:tab w:val="clear" w:pos="900"/>
              <w:tab w:val="clear" w:pos="9350"/>
              <w:tab w:val="right" w:pos="9025" w:leader="dot"/>
            </w:tabs>
            <w:rPr/>
          </w:pPr>
          <w:hyperlink w:anchor="__RefHeading___Toc99369_4195859891">
            <w:r>
              <w:rPr>
                <w:webHidden/>
                <w:rStyle w:val="IndexLink"/>
              </w:rPr>
              <w:t>6.11 Income Statement</w:t>
              <w:tab/>
              <w:t>24</w:t>
            </w:r>
          </w:hyperlink>
        </w:p>
        <w:p>
          <w:pPr>
            <w:pStyle w:val="TOC2"/>
            <w:tabs>
              <w:tab w:val="clear" w:pos="900"/>
              <w:tab w:val="clear" w:pos="9350"/>
              <w:tab w:val="right" w:pos="9025" w:leader="dot"/>
            </w:tabs>
            <w:rPr/>
          </w:pPr>
          <w:hyperlink w:anchor="__RefHeading___Toc99371_4195859891">
            <w:r>
              <w:rPr>
                <w:webHidden/>
                <w:rStyle w:val="IndexLink"/>
              </w:rPr>
              <w:t>6.12 Balance Sheet</w:t>
              <w:tab/>
              <w:t>25</w:t>
            </w:r>
          </w:hyperlink>
        </w:p>
        <w:p>
          <w:pPr>
            <w:pStyle w:val="TOC2"/>
            <w:tabs>
              <w:tab w:val="clear" w:pos="900"/>
              <w:tab w:val="clear" w:pos="9350"/>
              <w:tab w:val="right" w:pos="9025" w:leader="dot"/>
            </w:tabs>
            <w:rPr/>
          </w:pPr>
          <w:hyperlink w:anchor="__RefHeading___Toc99373_4195859891">
            <w:r>
              <w:rPr>
                <w:webHidden/>
                <w:rStyle w:val="IndexLink"/>
              </w:rPr>
              <w:t>6.13 Trial Balance (Opening / Movement / Closing)</w:t>
              <w:tab/>
              <w:t>25</w:t>
            </w:r>
          </w:hyperlink>
        </w:p>
        <w:p>
          <w:pPr>
            <w:pStyle w:val="TOC2"/>
            <w:tabs>
              <w:tab w:val="clear" w:pos="900"/>
              <w:tab w:val="clear" w:pos="9350"/>
              <w:tab w:val="right" w:pos="9025" w:leader="dot"/>
            </w:tabs>
            <w:rPr/>
          </w:pPr>
          <w:hyperlink w:anchor="__RefHeading___Toc99375_4195859891">
            <w:r>
              <w:rPr>
                <w:webHidden/>
                <w:rStyle w:val="IndexLink"/>
              </w:rPr>
              <w:t>6.14 General Ledger Detail</w:t>
              <w:tab/>
              <w:t>26</w:t>
            </w:r>
          </w:hyperlink>
        </w:p>
        <w:p>
          <w:pPr>
            <w:pStyle w:val="TOC2"/>
            <w:tabs>
              <w:tab w:val="clear" w:pos="900"/>
              <w:tab w:val="clear" w:pos="9350"/>
              <w:tab w:val="right" w:pos="9025" w:leader="dot"/>
            </w:tabs>
            <w:rPr/>
          </w:pPr>
          <w:hyperlink w:anchor="__RefHeading___Toc99377_4195859891">
            <w:r>
              <w:rPr>
                <w:webHidden/>
                <w:rStyle w:val="IndexLink"/>
              </w:rPr>
              <w:t>6.15 Aged Payables to Insurers</w:t>
              <w:tab/>
              <w:t>26</w:t>
            </w:r>
          </w:hyperlink>
        </w:p>
        <w:p>
          <w:pPr>
            <w:pStyle w:val="TOC2"/>
            <w:tabs>
              <w:tab w:val="clear" w:pos="900"/>
              <w:tab w:val="clear" w:pos="9350"/>
              <w:tab w:val="right" w:pos="9025" w:leader="dot"/>
            </w:tabs>
            <w:rPr/>
          </w:pPr>
          <w:hyperlink w:anchor="__RefHeading___Toc99379_4195859891">
            <w:r>
              <w:rPr>
                <w:webHidden/>
                <w:rStyle w:val="IndexLink"/>
              </w:rPr>
              <w:t>6.16 Month-End Close Status</w:t>
              <w:tab/>
              <w:t>27</w:t>
            </w:r>
          </w:hyperlink>
        </w:p>
        <w:p>
          <w:pPr>
            <w:pStyle w:val="TOC1"/>
            <w:tabs>
              <w:tab w:val="clear" w:pos="900"/>
              <w:tab w:val="clear" w:pos="9350"/>
              <w:tab w:val="right" w:pos="9025" w:leader="dot"/>
            </w:tabs>
            <w:rPr/>
          </w:pPr>
          <w:hyperlink w:anchor="__RefHeading___Toc99381_4195859891">
            <w:r>
              <w:rPr>
                <w:webHidden/>
                <w:rStyle w:val="IndexLink"/>
              </w:rPr>
              <w:t>7. Tax reports (BIR)</w:t>
              <w:tab/>
              <w:t>28</w:t>
            </w:r>
          </w:hyperlink>
        </w:p>
        <w:p>
          <w:pPr>
            <w:pStyle w:val="TOC2"/>
            <w:tabs>
              <w:tab w:val="clear" w:pos="900"/>
              <w:tab w:val="clear" w:pos="9350"/>
              <w:tab w:val="right" w:pos="9025" w:leader="dot"/>
            </w:tabs>
            <w:rPr/>
          </w:pPr>
          <w:hyperlink w:anchor="__RefHeading___Toc99383_4195859891">
            <w:r>
              <w:rPr>
                <w:webHidden/>
                <w:rStyle w:val="IndexLink"/>
              </w:rPr>
              <w:t>7.1 VAT Summary</w:t>
              <w:tab/>
              <w:t>28</w:t>
            </w:r>
          </w:hyperlink>
        </w:p>
        <w:p>
          <w:pPr>
            <w:pStyle w:val="TOC2"/>
            <w:tabs>
              <w:tab w:val="clear" w:pos="900"/>
              <w:tab w:val="clear" w:pos="9350"/>
              <w:tab w:val="right" w:pos="9025" w:leader="dot"/>
            </w:tabs>
            <w:rPr/>
          </w:pPr>
          <w:hyperlink w:anchor="__RefHeading___Toc99385_4195859891">
            <w:r>
              <w:rPr>
                <w:webHidden/>
                <w:rStyle w:val="IndexLink"/>
              </w:rPr>
              <w:t>7.2 SAWT - Summary Alphalist of Withholding Taxes</w:t>
              <w:tab/>
              <w:t>29</w:t>
            </w:r>
          </w:hyperlink>
        </w:p>
        <w:p>
          <w:pPr>
            <w:pStyle w:val="TOC2"/>
            <w:tabs>
              <w:tab w:val="clear" w:pos="900"/>
              <w:tab w:val="clear" w:pos="9350"/>
              <w:tab w:val="right" w:pos="9025" w:leader="dot"/>
            </w:tabs>
            <w:rPr/>
          </w:pPr>
          <w:hyperlink w:anchor="__RefHeading___Toc99387_4195859891">
            <w:r>
              <w:rPr>
                <w:webHidden/>
                <w:rStyle w:val="IndexLink"/>
              </w:rPr>
              <w:t>7.3 QAP - Quarterly Alphalist of Payees</w:t>
              <w:tab/>
              <w:t>29</w:t>
            </w:r>
          </w:hyperlink>
        </w:p>
        <w:p>
          <w:pPr>
            <w:pStyle w:val="TOC2"/>
            <w:tabs>
              <w:tab w:val="clear" w:pos="900"/>
              <w:tab w:val="clear" w:pos="9350"/>
              <w:tab w:val="right" w:pos="9025" w:leader="dot"/>
            </w:tabs>
            <w:rPr/>
          </w:pPr>
          <w:hyperlink w:anchor="__RefHeading___Toc99389_4195859891">
            <w:r>
              <w:rPr>
                <w:webHidden/>
                <w:rStyle w:val="IndexLink"/>
              </w:rPr>
              <w:t>7.4 SLSP - Summary List of Sales</w:t>
              <w:tab/>
              <w:t>30</w:t>
            </w:r>
          </w:hyperlink>
        </w:p>
        <w:p>
          <w:pPr>
            <w:pStyle w:val="TOC2"/>
            <w:tabs>
              <w:tab w:val="clear" w:pos="900"/>
              <w:tab w:val="clear" w:pos="9350"/>
              <w:tab w:val="right" w:pos="9025" w:leader="dot"/>
            </w:tabs>
            <w:rPr/>
          </w:pPr>
          <w:hyperlink w:anchor="__RefHeading___Toc99391_4195859891">
            <w:r>
              <w:rPr>
                <w:webHidden/>
                <w:rStyle w:val="IndexLink"/>
              </w:rPr>
              <w:t>7.5 SLSP - Summary List of Purchases</w:t>
              <w:tab/>
              <w:t>30</w:t>
            </w:r>
          </w:hyperlink>
        </w:p>
        <w:p>
          <w:pPr>
            <w:pStyle w:val="TOC2"/>
            <w:tabs>
              <w:tab w:val="clear" w:pos="900"/>
              <w:tab w:val="clear" w:pos="9350"/>
              <w:tab w:val="right" w:pos="9025" w:leader="dot"/>
            </w:tabs>
            <w:rPr/>
          </w:pPr>
          <w:hyperlink w:anchor="__RefHeading___Toc99393_4195859891">
            <w:r>
              <w:rPr>
                <w:webHidden/>
                <w:rStyle w:val="IndexLink"/>
              </w:rPr>
              <w:t>7.6 BIR Form 2307 (issued and received)</w:t>
              <w:tab/>
              <w:t>31</w:t>
            </w:r>
          </w:hyperlink>
        </w:p>
        <w:p>
          <w:pPr>
            <w:pStyle w:val="TOC2"/>
            <w:tabs>
              <w:tab w:val="clear" w:pos="900"/>
              <w:tab w:val="clear" w:pos="9350"/>
              <w:tab w:val="right" w:pos="9025" w:leader="dot"/>
            </w:tabs>
            <w:rPr/>
          </w:pPr>
          <w:hyperlink w:anchor="__RefHeading___Toc99395_4195859891">
            <w:r>
              <w:rPr>
                <w:webHidden/>
                <w:rStyle w:val="IndexLink"/>
              </w:rPr>
              <w:t>7.7 Monthly and quarterly tax calendar</w:t>
              <w:tab/>
              <w:t>32</w:t>
            </w:r>
          </w:hyperlink>
        </w:p>
        <w:p>
          <w:pPr>
            <w:pStyle w:val="TOC1"/>
            <w:tabs>
              <w:tab w:val="clear" w:pos="900"/>
              <w:tab w:val="clear" w:pos="9350"/>
              <w:tab w:val="right" w:pos="9025" w:leader="dot"/>
            </w:tabs>
            <w:rPr/>
          </w:pPr>
          <w:hyperlink w:anchor="__RefHeading___Toc99397_4195859891">
            <w:r>
              <w:rPr>
                <w:webHidden/>
                <w:rStyle w:val="IndexLink"/>
              </w:rPr>
              <w:t>8. Reconciliation reports</w:t>
              <w:tab/>
              <w:t>33</w:t>
            </w:r>
          </w:hyperlink>
        </w:p>
        <w:p>
          <w:pPr>
            <w:pStyle w:val="TOC2"/>
            <w:tabs>
              <w:tab w:val="clear" w:pos="900"/>
              <w:tab w:val="clear" w:pos="9350"/>
              <w:tab w:val="right" w:pos="9025" w:leader="dot"/>
            </w:tabs>
            <w:rPr/>
          </w:pPr>
          <w:hyperlink w:anchor="__RefHeading___Toc99399_4195859891">
            <w:r>
              <w:rPr>
                <w:webHidden/>
                <w:rStyle w:val="IndexLink"/>
              </w:rPr>
              <w:t>8.1 Bank Reconciliation Statement</w:t>
              <w:tab/>
              <w:t>33</w:t>
            </w:r>
          </w:hyperlink>
        </w:p>
        <w:p>
          <w:pPr>
            <w:pStyle w:val="TOC2"/>
            <w:tabs>
              <w:tab w:val="clear" w:pos="900"/>
              <w:tab w:val="clear" w:pos="9350"/>
              <w:tab w:val="right" w:pos="9025" w:leader="dot"/>
            </w:tabs>
            <w:rPr/>
          </w:pPr>
          <w:hyperlink w:anchor="__RefHeading___Toc99401_4195859891">
            <w:r>
              <w:rPr>
                <w:webHidden/>
                <w:rStyle w:val="IndexLink"/>
              </w:rPr>
              <w:t>8.2 Outstanding Cheques</w:t>
              <w:tab/>
              <w:t>34</w:t>
            </w:r>
          </w:hyperlink>
        </w:p>
        <w:p>
          <w:pPr>
            <w:pStyle w:val="TOC2"/>
            <w:tabs>
              <w:tab w:val="clear" w:pos="900"/>
              <w:tab w:val="clear" w:pos="9350"/>
              <w:tab w:val="right" w:pos="9025" w:leader="dot"/>
            </w:tabs>
            <w:rPr/>
          </w:pPr>
          <w:hyperlink w:anchor="__RefHeading___Toc99403_4195859891">
            <w:r>
              <w:rPr>
                <w:webHidden/>
                <w:rStyle w:val="IndexLink"/>
              </w:rPr>
              <w:t>8.3 Deposits in Transit</w:t>
              <w:tab/>
              <w:t>34</w:t>
            </w:r>
          </w:hyperlink>
        </w:p>
        <w:p>
          <w:pPr>
            <w:pStyle w:val="TOC2"/>
            <w:tabs>
              <w:tab w:val="clear" w:pos="900"/>
              <w:tab w:val="clear" w:pos="9350"/>
              <w:tab w:val="right" w:pos="9025" w:leader="dot"/>
            </w:tabs>
            <w:rPr/>
          </w:pPr>
          <w:hyperlink w:anchor="__RefHeading___Toc99405_4195859891">
            <w:r>
              <w:rPr>
                <w:webHidden/>
                <w:rStyle w:val="IndexLink"/>
              </w:rPr>
              <w:t>8.4 Unmatched Bank Lines</w:t>
              <w:tab/>
              <w:t>34</w:t>
            </w:r>
          </w:hyperlink>
        </w:p>
        <w:p>
          <w:pPr>
            <w:pStyle w:val="TOC2"/>
            <w:tabs>
              <w:tab w:val="clear" w:pos="900"/>
              <w:tab w:val="clear" w:pos="9350"/>
              <w:tab w:val="right" w:pos="9025" w:leader="dot"/>
            </w:tabs>
            <w:rPr/>
          </w:pPr>
          <w:hyperlink w:anchor="__RefHeading___Toc99407_4195859891">
            <w:r>
              <w:rPr>
                <w:webHidden/>
                <w:rStyle w:val="IndexLink"/>
              </w:rPr>
              <w:t>8.5 Bank Book</w:t>
              <w:tab/>
              <w:t>35</w:t>
            </w:r>
          </w:hyperlink>
        </w:p>
        <w:p>
          <w:pPr>
            <w:pStyle w:val="TOC2"/>
            <w:tabs>
              <w:tab w:val="clear" w:pos="900"/>
              <w:tab w:val="clear" w:pos="9350"/>
              <w:tab w:val="right" w:pos="9025" w:leader="dot"/>
            </w:tabs>
            <w:rPr/>
          </w:pPr>
          <w:hyperlink w:anchor="__RefHeading___Toc99409_4195859891">
            <w:r>
              <w:rPr>
                <w:webHidden/>
                <w:rStyle w:val="IndexLink"/>
              </w:rPr>
              <w:t>8.6 Bank Reconciliation Statement (PDF and preview)</w:t>
              <w:tab/>
              <w:t>36</w:t>
            </w:r>
          </w:hyperlink>
        </w:p>
        <w:p>
          <w:pPr>
            <w:pStyle w:val="TOC2"/>
            <w:tabs>
              <w:tab w:val="clear" w:pos="900"/>
              <w:tab w:val="clear" w:pos="9350"/>
              <w:tab w:val="right" w:pos="9025" w:leader="dot"/>
            </w:tabs>
            <w:rPr/>
          </w:pPr>
          <w:hyperlink w:anchor="__RefHeading___Toc99411_4195859891">
            <w:r>
              <w:rPr>
                <w:webHidden/>
                <w:rStyle w:val="IndexLink"/>
              </w:rPr>
              <w:t>8.7 Insurer statement differences report</w:t>
              <w:tab/>
              <w:t>36</w:t>
            </w:r>
          </w:hyperlink>
        </w:p>
        <w:p>
          <w:pPr>
            <w:pStyle w:val="TOC2"/>
            <w:tabs>
              <w:tab w:val="clear" w:pos="900"/>
              <w:tab w:val="clear" w:pos="9350"/>
              <w:tab w:val="right" w:pos="9025" w:leader="dot"/>
            </w:tabs>
            <w:rPr/>
          </w:pPr>
          <w:hyperlink w:anchor="__RefHeading___Toc99413_4195859891">
            <w:r>
              <w:rPr>
                <w:webHidden/>
                <w:rStyle w:val="IndexLink"/>
              </w:rPr>
              <w:t>8.8 Remittance Ageing (premium held for insurers)</w:t>
              <w:tab/>
              <w:t>36</w:t>
            </w:r>
          </w:hyperlink>
        </w:p>
        <w:p>
          <w:pPr>
            <w:pStyle w:val="TOC2"/>
            <w:tabs>
              <w:tab w:val="clear" w:pos="900"/>
              <w:tab w:val="clear" w:pos="9350"/>
              <w:tab w:val="right" w:pos="9025" w:leader="dot"/>
            </w:tabs>
            <w:rPr/>
          </w:pPr>
          <w:hyperlink w:anchor="__RefHeading___Toc99415_4195859891">
            <w:r>
              <w:rPr>
                <w:webHidden/>
                <w:rStyle w:val="IndexLink"/>
              </w:rPr>
              <w:t>8.9 Remittance and reinsurance reconciliation screens</w:t>
              <w:tab/>
              <w:t>36</w:t>
            </w:r>
          </w:hyperlink>
        </w:p>
        <w:p>
          <w:pPr>
            <w:pStyle w:val="TOC1"/>
            <w:tabs>
              <w:tab w:val="clear" w:pos="900"/>
              <w:tab w:val="clear" w:pos="9350"/>
              <w:tab w:val="right" w:pos="9025" w:leader="dot"/>
            </w:tabs>
            <w:rPr/>
          </w:pPr>
          <w:hyperlink w:anchor="__RefHeading___Toc99417_4195859891">
            <w:r>
              <w:rPr>
                <w:webHidden/>
                <w:rStyle w:val="IndexLink"/>
              </w:rPr>
              <w:t>9. Management reports</w:t>
              <w:tab/>
              <w:t>37</w:t>
            </w:r>
          </w:hyperlink>
        </w:p>
        <w:p>
          <w:pPr>
            <w:pStyle w:val="TOC2"/>
            <w:tabs>
              <w:tab w:val="clear" w:pos="900"/>
              <w:tab w:val="clear" w:pos="9350"/>
              <w:tab w:val="right" w:pos="9025" w:leader="dot"/>
            </w:tabs>
            <w:rPr/>
          </w:pPr>
          <w:hyperlink w:anchor="__RefHeading___Toc99419_4195859891">
            <w:r>
              <w:rPr>
                <w:webHidden/>
                <w:rStyle w:val="IndexLink"/>
              </w:rPr>
              <w:t>9.1 Management catalogue reports</w:t>
              <w:tab/>
              <w:t>37</w:t>
            </w:r>
          </w:hyperlink>
        </w:p>
        <w:p>
          <w:pPr>
            <w:pStyle w:val="TOC2"/>
            <w:tabs>
              <w:tab w:val="clear" w:pos="900"/>
              <w:tab w:val="clear" w:pos="9350"/>
              <w:tab w:val="right" w:pos="9025" w:leader="dot"/>
            </w:tabs>
            <w:rPr/>
          </w:pPr>
          <w:hyperlink w:anchor="__RefHeading___Toc99421_4195859891">
            <w:r>
              <w:rPr>
                <w:webHidden/>
                <w:rStyle w:val="IndexLink"/>
              </w:rPr>
              <w:t>9.2 Dashboards</w:t>
              <w:tab/>
              <w:t>38</w:t>
            </w:r>
          </w:hyperlink>
        </w:p>
        <w:p>
          <w:pPr>
            <w:pStyle w:val="TOC1"/>
            <w:tabs>
              <w:tab w:val="clear" w:pos="900"/>
              <w:tab w:val="clear" w:pos="9350"/>
              <w:tab w:val="right" w:pos="9025" w:leader="dot"/>
            </w:tabs>
            <w:rPr/>
          </w:pPr>
          <w:hyperlink w:anchor="__RefHeading___Toc99423_4195859891">
            <w:r>
              <w:rPr>
                <w:webHidden/>
                <w:rStyle w:val="IndexLink"/>
              </w:rPr>
              <w:t>10. Module exports and printed registers</w:t>
              <w:tab/>
              <w:t>40</w:t>
            </w:r>
          </w:hyperlink>
        </w:p>
        <w:p>
          <w:pPr>
            <w:pStyle w:val="TOC2"/>
            <w:tabs>
              <w:tab w:val="clear" w:pos="900"/>
              <w:tab w:val="clear" w:pos="9350"/>
              <w:tab w:val="right" w:pos="9025" w:leader="dot"/>
            </w:tabs>
            <w:rPr/>
          </w:pPr>
          <w:hyperlink w:anchor="__RefHeading___Toc99425_4195859891">
            <w:r>
              <w:rPr>
                <w:webHidden/>
                <w:rStyle w:val="IndexLink"/>
              </w:rPr>
              <w:t>10.1 Regulatory outputs (Insurance Commission)</w:t>
              <w:tab/>
              <w:t>41</w:t>
            </w:r>
          </w:hyperlink>
        </w:p>
        <w:p>
          <w:pPr>
            <w:pStyle w:val="TOC1"/>
            <w:tabs>
              <w:tab w:val="clear" w:pos="900"/>
              <w:tab w:val="clear" w:pos="9350"/>
              <w:tab w:val="right" w:pos="9025" w:leader="dot"/>
            </w:tabs>
            <w:rPr/>
          </w:pPr>
          <w:hyperlink w:anchor="__RefHeading___Toc99427_4195859891">
            <w:r>
              <w:rPr>
                <w:webHidden/>
                <w:rStyle w:val="IndexLink"/>
              </w:rPr>
              <w:t>11. Report settings and administration</w:t>
              <w:tab/>
              <w:t>42</w:t>
            </w:r>
          </w:hyperlink>
        </w:p>
        <w:p>
          <w:pPr>
            <w:pStyle w:val="TOC2"/>
            <w:tabs>
              <w:tab w:val="clear" w:pos="900"/>
              <w:tab w:val="clear" w:pos="9350"/>
              <w:tab w:val="right" w:pos="9025" w:leader="dot"/>
            </w:tabs>
            <w:rPr/>
          </w:pPr>
          <w:hyperlink w:anchor="__RefHeading___Toc99429_4195859891">
            <w:r>
              <w:rPr>
                <w:webHidden/>
                <w:rStyle w:val="IndexLink"/>
              </w:rPr>
              <w:t>11.1 Settings</w:t>
              <w:tab/>
              <w:t>42</w:t>
            </w:r>
          </w:hyperlink>
        </w:p>
        <w:p>
          <w:pPr>
            <w:pStyle w:val="TOC2"/>
            <w:tabs>
              <w:tab w:val="clear" w:pos="900"/>
              <w:tab w:val="clear" w:pos="9350"/>
              <w:tab w:val="right" w:pos="9025" w:leader="dot"/>
            </w:tabs>
            <w:rPr/>
          </w:pPr>
          <w:hyperlink w:anchor="__RefHeading___Toc99431_4195859891">
            <w:r>
              <w:rPr>
                <w:webHidden/>
                <w:rStyle w:val="IndexLink"/>
              </w:rPr>
              <w:t>11.2 Adding or changing a report</w:t>
              <w:tab/>
              <w:t>42</w:t>
            </w:r>
          </w:hyperlink>
        </w:p>
        <w:p>
          <w:pPr>
            <w:pStyle w:val="TOC2"/>
            <w:tabs>
              <w:tab w:val="clear" w:pos="900"/>
              <w:tab w:val="clear" w:pos="9350"/>
              <w:tab w:val="right" w:pos="9025" w:leader="dot"/>
            </w:tabs>
            <w:rPr/>
          </w:pPr>
          <w:hyperlink w:anchor="__RefHeading___Toc99433_4195859891">
            <w:r>
              <w:rPr>
                <w:webHidden/>
                <w:rStyle w:val="IndexLink"/>
              </w:rPr>
              <w:t>11.3 Troubleshooting</w:t>
              <w:tab/>
              <w:t>43</w:t>
            </w:r>
          </w:hyperlink>
        </w:p>
        <w:p>
          <w:pPr>
            <w:pStyle w:val="TOC1"/>
            <w:tabs>
              <w:tab w:val="clear" w:pos="900"/>
              <w:tab w:val="clear" w:pos="9350"/>
              <w:tab w:val="right" w:pos="9025" w:leader="dot"/>
            </w:tabs>
            <w:rPr/>
          </w:pPr>
          <w:hyperlink w:anchor="__RefHeading___Toc99435_4195859891">
            <w:r>
              <w:rPr>
                <w:webHidden/>
                <w:rStyle w:val="IndexLink"/>
              </w:rPr>
              <w:t>12. Gaps and observations</w:t>
              <w:tab/>
              <w:t>44</w:t>
            </w:r>
          </w:hyperlink>
        </w:p>
        <w:p>
          <w:pPr>
            <w:pStyle w:val="TOC1"/>
            <w:tabs>
              <w:tab w:val="clear" w:pos="900"/>
              <w:tab w:val="clear" w:pos="9350"/>
              <w:tab w:val="right" w:pos="9025" w:leader="dot"/>
            </w:tabs>
            <w:rPr/>
          </w:pPr>
          <w:hyperlink w:anchor="__RefHeading___Toc99437_4195859891">
            <w:r>
              <w:rPr>
                <w:webHidden/>
                <w:rStyle w:val="IndexLink"/>
                <w:i w:val="false"/>
                <w:iCs w:val="false"/>
              </w:rPr>
              <w:t>13. Document Sign-Off</w:t>
            </w:r>
            <w:r>
              <w:rPr>
                <w:rStyle w:val="IndexLink"/>
              </w:rPr>
              <w:tab/>
              <w:t>45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99299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99301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Portable document format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99303_4195859891"/>
      <w:bookmarkEnd w:id="6"/>
      <w:r>
        <w:rPr>
          <w:rFonts w:eastAsia="Segoe UI" w:cs="Segoe UI" w:ascii="Segoe UI" w:hAnsi="Segoe UI"/>
          <w:b/>
          <w:color w:val="0F4761"/>
          <w:sz w:val="32"/>
        </w:rPr>
        <w:t>3.  About this book</w:t>
      </w:r>
    </w:p>
    <w:p>
      <w:pPr>
        <w:pStyle w:val="Normal"/>
        <w:spacing w:lineRule="auto" w:line="276" w:before="0" w:after="120"/>
        <w:rPr/>
      </w:pPr>
      <w:r>
        <w:rPr>
          <w:rFonts w:eastAsia="Segoe UI" w:cs="Segoe UI" w:ascii="Segoe UI" w:hAnsi="Segoe UI"/>
          <w:color w:val="101820"/>
          <w:sz w:val="21"/>
        </w:rPr>
        <w:t>This book lists every report and dashboard that ships with BrokerVerse OOTB: what each one shows, where to find it, who may run it, which filters and columns it has, what it totals, which outputs it produces and which transactions feed it. It is written for the people who run the reports every day (operations, finance, management) and for the support team that maintains them.</w:t>
      </w:r>
    </w:p>
    <w:p>
      <w:pPr>
        <w:pStyle w:val="Normal"/>
        <w:spacing w:lineRule="auto" w:line="276" w:before="0" w:after="120"/>
        <w:rPr/>
      </w:pPr>
      <w:r>
        <w:rPr>
          <w:rFonts w:eastAsia="Segoe UI" w:cs="Segoe UI" w:ascii="Segoe UI" w:hAnsi="Segoe UI"/>
          <w:color w:val="101820"/>
          <w:sz w:val="21"/>
        </w:rPr>
        <w:t>Everything in this book comes from the application code, the seeded configuration and a run against the loaded test system on 03 October 2026. Sample rows are real rows from that test system; they show the layout and are not reference figures.</w:t>
      </w:r>
    </w:p>
    <w:p>
      <w:pPr>
        <w:pStyle w:val="Heading2"/>
        <w:rPr/>
      </w:pPr>
      <w:bookmarkStart w:id="7" w:name="__RefHeading___Toc99305_4195859891"/>
      <w:bookmarkEnd w:id="7"/>
      <w:r>
        <w:rPr>
          <w:rFonts w:eastAsia="Segoe UI" w:cs="Segoe UI"/>
          <w:b/>
          <w:color w:val="0F4761"/>
          <w:sz w:val="26"/>
        </w:rPr>
        <w:t>3.1  How the book is organised</w:t>
      </w:r>
    </w:p>
    <w:p>
      <w:pPr>
        <w:pStyle w:val="Normal"/>
        <w:numPr>
          <w:ilvl w:val="0"/>
          <w:numId w:val="1"/>
        </w:numPr>
        <w:spacing w:before="0" w:after="60"/>
        <w:rPr/>
      </w:pPr>
      <w:r>
        <w:rPr>
          <w:rFonts w:eastAsia="Segoe UI" w:cs="Segoe UI" w:ascii="Segoe UI" w:hAnsi="Segoe UI"/>
          <w:color w:val="101820"/>
          <w:sz w:val="21"/>
        </w:rPr>
        <w:t>Chapter 4 explains how the report engine works: the catalogue, the report screen, file generation, download links, retention and scheduled delivery.</w:t>
      </w:r>
    </w:p>
    <w:p>
      <w:pPr>
        <w:pStyle w:val="Normal"/>
        <w:numPr>
          <w:ilvl w:val="0"/>
          <w:numId w:val="1"/>
        </w:numPr>
        <w:spacing w:before="0" w:after="60"/>
        <w:rPr/>
      </w:pPr>
      <w:r>
        <w:rPr>
          <w:rFonts w:eastAsia="Segoe UI" w:cs="Segoe UI" w:ascii="Segoe UI" w:hAnsi="Segoe UI"/>
          <w:color w:val="101820"/>
          <w:sz w:val="21"/>
        </w:rPr>
        <w:t>Chapters 5 to 9 describe the reports by group: operational, financial, tax (BIR), reconciliation, and management reports and dashboards.</w:t>
      </w:r>
    </w:p>
    <w:p>
      <w:pPr>
        <w:pStyle w:val="Normal"/>
        <w:numPr>
          <w:ilvl w:val="0"/>
          <w:numId w:val="1"/>
        </w:numPr>
        <w:spacing w:before="0" w:after="60"/>
        <w:rPr/>
      </w:pPr>
      <w:r>
        <w:rPr>
          <w:rFonts w:eastAsia="Segoe UI" w:cs="Segoe UI" w:ascii="Segoe UI" w:hAnsi="Segoe UI"/>
          <w:color w:val="101820"/>
          <w:sz w:val="21"/>
        </w:rPr>
        <w:t>Chapter 10 covers the exports and printed outputs that live on the module screens rather than in the report catalogue.</w:t>
      </w:r>
    </w:p>
    <w:p>
      <w:pPr>
        <w:pStyle w:val="Normal"/>
        <w:numPr>
          <w:ilvl w:val="0"/>
          <w:numId w:val="1"/>
        </w:numPr>
        <w:spacing w:before="0" w:after="60"/>
        <w:rPr/>
      </w:pPr>
      <w:r>
        <w:rPr>
          <w:rFonts w:eastAsia="Segoe UI" w:cs="Segoe UI" w:ascii="Segoe UI" w:hAnsi="Segoe UI"/>
          <w:color w:val="101820"/>
          <w:sz w:val="21"/>
        </w:rPr>
        <w:t>Chapter 11 lists the report settings and the troubleshooting steps.</w:t>
      </w:r>
    </w:p>
    <w:p>
      <w:pPr>
        <w:pStyle w:val="Normal"/>
        <w:numPr>
          <w:ilvl w:val="0"/>
          <w:numId w:val="1"/>
        </w:numPr>
        <w:spacing w:before="0" w:after="60"/>
        <w:rPr/>
      </w:pPr>
      <w:r>
        <w:rPr>
          <w:rFonts w:eastAsia="Segoe UI" w:cs="Segoe UI" w:ascii="Segoe UI" w:hAnsi="Segoe UI"/>
          <w:color w:val="101820"/>
          <w:sz w:val="21"/>
        </w:rPr>
        <w:t>Chapter 12 records the gaps found while preparing the book.</w:t>
      </w:r>
    </w:p>
    <w:p>
      <w:pPr>
        <w:pStyle w:val="Normal"/>
        <w:spacing w:lineRule="auto" w:line="276" w:before="0" w:after="120"/>
        <w:rPr/>
      </w:pPr>
      <w:r>
        <w:rPr>
          <w:rFonts w:eastAsia="Segoe UI" w:cs="Segoe UI" w:ascii="Segoe UI" w:hAnsi="Segoe UI"/>
          <w:color w:val="101820"/>
          <w:sz w:val="21"/>
        </w:rPr>
        <w:t xml:space="preserve">The companion workbook </w:t>
      </w:r>
      <w:r>
        <w:rPr>
          <w:rFonts w:eastAsia="Segoe UI" w:cs="Segoe UI" w:ascii="Segoe UI" w:hAnsi="Segoe UI"/>
          <w:b/>
          <w:color w:val="101820"/>
          <w:sz w:val="21"/>
        </w:rPr>
        <w:t>BrokerVerse_Reports_Book.xlsx</w:t>
      </w:r>
      <w:r>
        <w:rPr>
          <w:rFonts w:eastAsia="Segoe UI" w:cs="Segoe UI" w:ascii="Segoe UI" w:hAnsi="Segoe UI"/>
          <w:color w:val="101820"/>
          <w:sz w:val="21"/>
        </w:rPr>
        <w:t xml:space="preserve"> holds the full reference lists: one row per report, every column of every report, the report settings, the module exports and dashboards, and the sample totals.</w:t>
      </w:r>
    </w:p>
    <w:p>
      <w:pPr>
        <w:pStyle w:val="Heading2"/>
        <w:rPr/>
      </w:pPr>
      <w:bookmarkStart w:id="8" w:name="__RefHeading___Toc99307_4195859891"/>
      <w:bookmarkEnd w:id="8"/>
      <w:r>
        <w:rPr>
          <w:rFonts w:eastAsia="Segoe UI" w:cs="Segoe UI"/>
          <w:b/>
          <w:color w:val="0F4761"/>
          <w:sz w:val="26"/>
        </w:rPr>
        <w:t>3.2  Report inventory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7"/>
        <w:gridCol w:w="1940"/>
        <w:gridCol w:w="5477"/>
      </w:tblGrid>
      <w:tr>
        <w:trPr>
          <w:tblHeader w:val="true"/>
        </w:trPr>
        <w:tc>
          <w:tcPr>
            <w:tcW w:w="15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1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Catalogue reports</w:t>
            </w:r>
          </w:p>
        </w:tc>
        <w:tc>
          <w:tcPr>
            <w:tcW w:w="54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Other outputs in this book</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export, lead report, renewal batch report, placement and policy documents</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entries export, receipts and voucher bulk print, financial statements screen</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(BIR)</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(issued and received) with certificate register</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PDF, insurer statement differences report, remittance ageing, reinsurance reconciliation</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Sales, Processing, Claims, Commission, Collections, Renewal, Remittance, Reinsurance and Product dashboards</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r>
        <w:br w:type="page"/>
      </w:r>
    </w:p>
    <w:p>
      <w:pPr>
        <w:pStyle w:val="Heading1"/>
        <w:rPr/>
      </w:pPr>
      <w:bookmarkStart w:id="9" w:name="__RefHeading___Toc99309_4195859891"/>
      <w:bookmarkEnd w:id="9"/>
      <w:r>
        <w:rPr>
          <w:rFonts w:eastAsia="Segoe UI" w:cs="Segoe UI" w:ascii="Segoe UI" w:hAnsi="Segoe UI"/>
          <w:b/>
          <w:color w:val="0F4761"/>
          <w:sz w:val="32"/>
        </w:rPr>
        <w:t>4.  How reports work</w:t>
      </w:r>
    </w:p>
    <w:p>
      <w:pPr>
        <w:pStyle w:val="Heading2"/>
        <w:rPr/>
      </w:pPr>
      <w:bookmarkStart w:id="10" w:name="__RefHeading___Toc99311_4195859891"/>
      <w:bookmarkEnd w:id="10"/>
      <w:r>
        <w:rPr>
          <w:rFonts w:eastAsia="Segoe UI" w:cs="Segoe UI"/>
          <w:b/>
          <w:color w:val="0F4761"/>
          <w:sz w:val="26"/>
        </w:rPr>
        <w:t>4.1  The report catalogue</w:t>
      </w:r>
    </w:p>
    <w:p>
      <w:pPr>
        <w:pStyle w:val="Normal"/>
        <w:spacing w:lineRule="auto" w:line="276" w:before="0" w:after="120"/>
        <w:rPr/>
      </w:pPr>
      <w:r>
        <w:rPr>
          <w:rFonts w:eastAsia="Segoe UI" w:cs="Segoe UI" w:ascii="Segoe UI" w:hAnsi="Segoe UI"/>
          <w:color w:val="101820"/>
          <w:sz w:val="21"/>
        </w:rPr>
        <w:t xml:space="preserve">All catalogue reports are rows of the table </w:t>
      </w:r>
      <w:r>
        <w:rPr>
          <w:rFonts w:eastAsia="Consolas" w:cs="Consolas" w:ascii="Consolas" w:hAnsi="Consolas"/>
          <w:color w:val="101820"/>
          <w:sz w:val="19"/>
        </w:rPr>
        <w:t>report_definitions</w:t>
      </w:r>
      <w:r>
        <w:rPr>
          <w:rFonts w:eastAsia="Segoe UI" w:cs="Segoe UI" w:ascii="Segoe UI" w:hAnsi="Segoe UI"/>
          <w:color w:val="101820"/>
          <w:sz w:val="21"/>
        </w:rPr>
        <w:t xml:space="preserve"> (39 active rows in the OOTB seed). A definition holds the report code, name, category (operational or financial), description, the filter form as a JSON schema, the default columns with their types, the roles allowed and the permission needed, and the name of the query in </w:t>
      </w:r>
      <w:r>
        <w:rPr>
          <w:rFonts w:eastAsia="Consolas" w:cs="Consolas" w:ascii="Consolas" w:hAnsi="Consolas"/>
          <w:color w:val="101820"/>
          <w:sz w:val="19"/>
        </w:rPr>
        <w:t>backend/src/modules/reports/queries.js</w:t>
      </w:r>
      <w:r>
        <w:rPr>
          <w:rFonts w:eastAsia="Segoe UI" w:cs="Segoe UI" w:ascii="Segoe UI" w:hAnsi="Segoe UI"/>
          <w:color w:val="101820"/>
          <w:sz w:val="21"/>
        </w:rPr>
        <w:t xml:space="preserve"> (with </w:t>
      </w:r>
      <w:r>
        <w:rPr>
          <w:rFonts w:eastAsia="Consolas" w:cs="Consolas" w:ascii="Consolas" w:hAnsi="Consolas"/>
          <w:color w:val="101820"/>
          <w:sz w:val="19"/>
        </w:rPr>
        <w:t>periodEndQueries.js</w:t>
      </w:r>
      <w:r>
        <w:rPr>
          <w:rFonts w:eastAsia="Segoe UI" w:cs="Segoe UI" w:ascii="Segoe UI" w:hAnsi="Segoe UI"/>
          <w:color w:val="101820"/>
          <w:sz w:val="21"/>
        </w:rPr>
        <w:t xml:space="preserve"> and </w:t>
      </w:r>
      <w:r>
        <w:rPr>
          <w:rFonts w:eastAsia="Consolas" w:cs="Consolas" w:ascii="Consolas" w:hAnsi="Consolas"/>
          <w:color w:val="101820"/>
          <w:sz w:val="19"/>
        </w:rPr>
        <w:t>bankRecQueries.js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Reports &gt; All Reports</w:t>
      </w:r>
      <w:r>
        <w:rPr>
          <w:rFonts w:eastAsia="Segoe UI" w:cs="Segoe UI" w:ascii="Segoe UI" w:hAnsi="Segoe UI"/>
          <w:color w:val="101820"/>
          <w:sz w:val="21"/>
        </w:rPr>
        <w:t xml:space="preserve"> shows every report the signed-in user may run, grouped under Operational Reports and Financial Reports, with a search box. Clicking a report opens its report screen. The menu also has direct entries for the most used reports (Reports &gt; Operational Reports, Reports &gt; Financial Reports, Accounts &gt; Tax, Accounts &gt; Bank Reconciliation and Accounts &gt; Period End &gt; Financial Statements); they open the same report screen.</w:t>
      </w:r>
    </w:p>
    <w:p>
      <w:pPr>
        <w:pStyle w:val="Heading2"/>
        <w:rPr/>
      </w:pPr>
      <w:bookmarkStart w:id="11" w:name="__RefHeading___Toc99313_4195859891"/>
      <w:bookmarkEnd w:id="11"/>
      <w:r>
        <w:rPr>
          <w:rFonts w:eastAsia="Segoe UI" w:cs="Segoe UI"/>
          <w:b/>
          <w:color w:val="0F4761"/>
          <w:sz w:val="26"/>
        </w:rPr>
        <w:t>4.2  Who may run a report</w:t>
      </w:r>
    </w:p>
    <w:p>
      <w:pPr>
        <w:pStyle w:val="Normal"/>
        <w:spacing w:lineRule="auto" w:line="276" w:before="0" w:after="120"/>
        <w:rPr/>
      </w:pPr>
      <w:r>
        <w:rPr>
          <w:rFonts w:eastAsia="Segoe UI" w:cs="Segoe UI" w:ascii="Segoe UI" w:hAnsi="Segoe UI"/>
          <w:color w:val="101820"/>
          <w:sz w:val="21"/>
        </w:rPr>
        <w:t>A user sees and runs a catalogue report when both conditions hold:</w:t>
      </w:r>
    </w:p>
    <w:p>
      <w:pPr>
        <w:pStyle w:val="Normal"/>
        <w:numPr>
          <w:ilvl w:val="0"/>
          <w:numId w:val="1"/>
        </w:numPr>
        <w:spacing w:before="0" w:after="60"/>
        <w:rPr/>
      </w:pPr>
      <w:r>
        <w:rPr>
          <w:rFonts w:eastAsia="Segoe UI" w:cs="Segoe UI" w:ascii="Segoe UI" w:hAnsi="Segoe UI"/>
          <w:color w:val="101820"/>
          <w:sz w:val="21"/>
        </w:rPr>
        <w:t>the user holds the report's permission (</w:t>
      </w:r>
      <w:r>
        <w:rPr>
          <w:rFonts w:eastAsia="Consolas" w:cs="Consolas" w:ascii="Consolas" w:hAnsi="Consolas"/>
          <w:color w:val="101820"/>
          <w:sz w:val="19"/>
        </w:rPr>
        <w:t>read:reports</w:t>
      </w:r>
      <w:r>
        <w:rPr>
          <w:rFonts w:eastAsia="Segoe UI" w:cs="Segoe UI" w:ascii="Segoe UI" w:hAnsi="Segoe UI"/>
          <w:color w:val="101820"/>
          <w:sz w:val="21"/>
        </w:rPr>
        <w:t xml:space="preserve"> for every OOTB report), and</w:t>
      </w:r>
    </w:p>
    <w:p>
      <w:pPr>
        <w:pStyle w:val="Normal"/>
        <w:numPr>
          <w:ilvl w:val="0"/>
          <w:numId w:val="1"/>
        </w:numPr>
        <w:spacing w:before="0" w:after="60"/>
        <w:rPr/>
      </w:pPr>
      <w:r>
        <w:rPr>
          <w:rFonts w:eastAsia="Segoe UI" w:cs="Segoe UI" w:ascii="Segoe UI" w:hAnsi="Segoe UI"/>
          <w:color w:val="101820"/>
          <w:sz w:val="21"/>
        </w:rPr>
        <w:t>the report lists no roles, or the user holds one of the listed roles.</w:t>
      </w:r>
    </w:p>
    <w:p>
      <w:pPr>
        <w:pStyle w:val="Normal"/>
        <w:spacing w:lineRule="auto" w:line="276" w:before="0" w:after="120"/>
        <w:rPr/>
      </w:pPr>
      <w:r>
        <w:rPr>
          <w:rFonts w:eastAsia="Segoe UI" w:cs="Segoe UI" w:ascii="Segoe UI" w:hAnsi="Segoe UI"/>
          <w:color w:val="101820"/>
          <w:sz w:val="21"/>
        </w:rPr>
        <w:t xml:space="preserve">The System Administrator role passes every check. In the OOTB roles, </w:t>
      </w:r>
      <w:r>
        <w:rPr>
          <w:rFonts w:eastAsia="Consolas" w:cs="Consolas" w:ascii="Consolas" w:hAnsi="Consolas"/>
          <w:color w:val="101820"/>
          <w:sz w:val="19"/>
        </w:rPr>
        <w:t>read:reports</w:t>
      </w:r>
      <w:r>
        <w:rPr>
          <w:rFonts w:eastAsia="Segoe UI" w:cs="Segoe UI" w:ascii="Segoe UI" w:hAnsi="Segoe UI"/>
          <w:color w:val="101820"/>
          <w:sz w:val="21"/>
        </w:rPr>
        <w:t xml:space="preserve"> is held by Accounting, Claims, Operations, Processing Team, Sales &amp; Marketing and System Administrator; the Accounting Manager role inherits Accounting. The per-report role list is given with each report in this book.</w:t>
      </w:r>
    </w:p>
    <w:p>
      <w:pPr>
        <w:pStyle w:val="Normal"/>
        <w:shd w:val="clear" w:color="auto" w:fill="EAF2FB"/>
        <w:spacing w:before="0" w:after="160"/>
        <w:ind w:left="170"/>
        <w:rPr/>
      </w:pPr>
      <w:r>
        <w:rPr>
          <w:rFonts w:eastAsia="Segoe UI" w:cs="Segoe UI" w:ascii="Segoe UI" w:hAnsi="Segoe UI"/>
          <w:color w:val="101820"/>
          <w:sz w:val="20"/>
        </w:rPr>
        <w:t>Dashboards and module exports do not use the catalogue check. Each one has its own permission, listed with it in chapters 9 and 10.</w:t>
      </w:r>
    </w:p>
    <w:p>
      <w:pPr>
        <w:pStyle w:val="Heading2"/>
        <w:rPr/>
      </w:pPr>
      <w:bookmarkStart w:id="12" w:name="__RefHeading___Toc99315_4195859891"/>
      <w:bookmarkEnd w:id="12"/>
      <w:r>
        <w:rPr>
          <w:rFonts w:eastAsia="Segoe UI" w:cs="Segoe UI"/>
          <w:b/>
          <w:color w:val="0F4761"/>
          <w:sz w:val="26"/>
        </w:rPr>
        <w:t>4.3  The report screen</w:t>
      </w:r>
    </w:p>
    <w:p>
      <w:pPr>
        <w:pStyle w:val="Normal"/>
        <w:numPr>
          <w:ilvl w:val="0"/>
          <w:numId w:val="4"/>
        </w:numPr>
        <w:spacing w:before="0" w:after="60"/>
        <w:rPr/>
      </w:pPr>
      <w:r>
        <w:rPr>
          <w:rFonts w:eastAsia="Segoe UI" w:cs="Segoe UI" w:ascii="Segoe UI" w:hAnsi="Segoe UI"/>
          <w:color w:val="101820"/>
          <w:sz w:val="21"/>
        </w:rPr>
        <w:t xml:space="preserve">Pick the </w:t>
      </w:r>
      <w:r>
        <w:rPr>
          <w:rFonts w:eastAsia="Segoe UI" w:cs="Segoe UI" w:ascii="Segoe UI" w:hAnsi="Segoe UI"/>
          <w:b/>
          <w:color w:val="101820"/>
          <w:sz w:val="21"/>
        </w:rPr>
        <w:t>Report Criteria</w:t>
      </w:r>
      <w:r>
        <w:rPr>
          <w:rFonts w:eastAsia="Segoe UI" w:cs="Segoe UI" w:ascii="Segoe UI" w:hAnsi="Segoe UI"/>
          <w:color w:val="101820"/>
          <w:sz w:val="21"/>
        </w:rPr>
        <w:t xml:space="preserve"> (required). It decides the grouping or the subset of rows: for example Overall, Agent, Principal Insurer, Branch.</w:t>
      </w:r>
    </w:p>
    <w:p>
      <w:pPr>
        <w:pStyle w:val="Normal"/>
        <w:numPr>
          <w:ilvl w:val="0"/>
          <w:numId w:val="2"/>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From Date</w:t>
      </w:r>
      <w:r>
        <w:rPr>
          <w:rFonts w:eastAsia="Segoe UI" w:cs="Segoe UI" w:ascii="Segoe UI" w:hAnsi="Segoe UI"/>
          <w:color w:val="101820"/>
          <w:sz w:val="21"/>
        </w:rPr>
        <w:t xml:space="preserve"> and </w:t>
      </w:r>
      <w:r>
        <w:rPr>
          <w:rFonts w:eastAsia="Segoe UI" w:cs="Segoe UI" w:ascii="Segoe UI" w:hAnsi="Segoe UI"/>
          <w:b/>
          <w:color w:val="101820"/>
          <w:sz w:val="21"/>
        </w:rPr>
        <w:t>To Date</w:t>
      </w:r>
      <w:r>
        <w:rPr>
          <w:rFonts w:eastAsia="Segoe UI" w:cs="Segoe UI" w:ascii="Segoe UI" w:hAnsi="Segoe UI"/>
          <w:color w:val="101820"/>
          <w:sz w:val="21"/>
        </w:rPr>
        <w:t xml:space="preserve"> (both marked required on the screen). When a run arrives without a From Date, the engine goes back </w:t>
      </w:r>
      <w:r>
        <w:rPr>
          <w:rFonts w:eastAsia="Consolas" w:cs="Consolas" w:ascii="Consolas" w:hAnsi="Consolas"/>
          <w:color w:val="101820"/>
          <w:sz w:val="19"/>
        </w:rPr>
        <w:t>reports.default_range_days</w:t>
      </w:r>
      <w:r>
        <w:rPr>
          <w:rFonts w:eastAsia="Segoe UI" w:cs="Segoe UI" w:ascii="Segoe UI" w:hAnsi="Segoe UI"/>
          <w:color w:val="101820"/>
          <w:sz w:val="21"/>
        </w:rPr>
        <w:t xml:space="preserve"> (365) from To Date.</w:t>
      </w:r>
    </w:p>
    <w:p>
      <w:pPr>
        <w:pStyle w:val="Normal"/>
        <w:numPr>
          <w:ilvl w:val="0"/>
          <w:numId w:val="2"/>
        </w:numPr>
        <w:spacing w:before="0" w:after="60"/>
        <w:rPr/>
      </w:pPr>
      <w:r>
        <w:rPr>
          <w:rFonts w:eastAsia="Segoe UI" w:cs="Segoe UI" w:ascii="Segoe UI" w:hAnsi="Segoe UI"/>
          <w:color w:val="101820"/>
          <w:sz w:val="21"/>
        </w:rPr>
        <w:t>Fill the optional filters the report offers (Agent, Company (principal insurer), Branch, Client, Product, Status, Account, Bank Account). Agent, Company, Branch and Client accept an id, a code or a name. Some filters are enabled only for a matching criterion (for example Agent only with the Agent criterion).</w:t>
      </w:r>
    </w:p>
    <w:p>
      <w:pPr>
        <w:pStyle w:val="Normal"/>
        <w:numPr>
          <w:ilvl w:val="0"/>
          <w:numId w:val="2"/>
        </w:numPr>
        <w:spacing w:before="0" w:after="60"/>
        <w:rPr/>
      </w:pPr>
      <w:r>
        <w:rPr>
          <w:rFonts w:eastAsia="Segoe UI" w:cs="Segoe UI" w:ascii="Segoe UI" w:hAnsi="Segoe UI"/>
          <w:color w:val="101820"/>
          <w:sz w:val="21"/>
        </w:rPr>
        <w:t xml:space="preserve">Click </w:t>
      </w:r>
      <w:r>
        <w:rPr>
          <w:rFonts w:eastAsia="Segoe UI" w:cs="Segoe UI" w:ascii="Segoe UI" w:hAnsi="Segoe UI"/>
          <w:b/>
          <w:color w:val="101820"/>
          <w:sz w:val="21"/>
        </w:rPr>
        <w:t>Preview</w:t>
      </w:r>
      <w:r>
        <w:rPr>
          <w:rFonts w:eastAsia="Segoe UI" w:cs="Segoe UI" w:ascii="Segoe UI" w:hAnsi="Segoe UI"/>
          <w:color w:val="101820"/>
          <w:sz w:val="21"/>
        </w:rPr>
        <w:t xml:space="preserve"> to see the rows on screen, 50 to a page (</w:t>
      </w:r>
      <w:r>
        <w:rPr>
          <w:rFonts w:eastAsia="Consolas" w:cs="Consolas" w:ascii="Consolas" w:hAnsi="Consolas"/>
          <w:color w:val="101820"/>
          <w:sz w:val="19"/>
        </w:rPr>
        <w:t>reports.default_page_size</w:t>
      </w:r>
      <w:r>
        <w:rPr>
          <w:rFonts w:eastAsia="Segoe UI" w:cs="Segoe UI" w:ascii="Segoe UI" w:hAnsi="Segoe UI"/>
          <w:color w:val="101820"/>
          <w:sz w:val="21"/>
        </w:rPr>
        <w:t>), with the totals row, the summary figures and, for a grouping criterion, a group summary.</w:t>
      </w:r>
    </w:p>
    <w:p>
      <w:pPr>
        <w:pStyle w:val="Normal"/>
        <w:numPr>
          <w:ilvl w:val="0"/>
          <w:numId w:val="2"/>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File format</w:t>
      </w:r>
      <w:r>
        <w:rPr>
          <w:rFonts w:eastAsia="Segoe UI" w:cs="Segoe UI" w:ascii="Segoe UI" w:hAnsi="Segoe UI"/>
          <w:color w:val="101820"/>
          <w:sz w:val="21"/>
        </w:rPr>
        <w:t xml:space="preserve"> (Excel, CSV or PDF) and click </w:t>
      </w:r>
      <w:r>
        <w:rPr>
          <w:rFonts w:eastAsia="Segoe UI" w:cs="Segoe UI" w:ascii="Segoe UI" w:hAnsi="Segoe UI"/>
          <w:b/>
          <w:color w:val="101820"/>
          <w:sz w:val="21"/>
        </w:rPr>
        <w:t>Generate</w:t>
      </w:r>
      <w:r>
        <w:rPr>
          <w:rFonts w:eastAsia="Segoe UI" w:cs="Segoe UI" w:ascii="Segoe UI" w:hAnsi="Segoe UI"/>
          <w:color w:val="101820"/>
          <w:sz w:val="21"/>
        </w:rPr>
        <w:t xml:space="preserve"> to produce the file and download it.</w:t>
      </w:r>
    </w:p>
    <w:p>
      <w:pPr>
        <w:pStyle w:val="Heading2"/>
        <w:rPr/>
      </w:pPr>
      <w:bookmarkStart w:id="13" w:name="__RefHeading___Toc99317_4195859891"/>
      <w:bookmarkEnd w:id="13"/>
      <w:r>
        <w:rPr>
          <w:rFonts w:eastAsia="Segoe UI" w:cs="Segoe UI"/>
          <w:b/>
          <w:color w:val="0F4761"/>
          <w:sz w:val="26"/>
        </w:rPr>
        <w:t>4.4  What the engine does</w:t>
      </w:r>
    </w:p>
    <w:p>
      <w:pPr>
        <w:pStyle w:val="Normal"/>
        <w:numPr>
          <w:ilvl w:val="0"/>
          <w:numId w:val="1"/>
        </w:numPr>
        <w:spacing w:before="0" w:after="60"/>
        <w:rPr/>
      </w:pPr>
      <w:r>
        <w:rPr>
          <w:rFonts w:eastAsia="Segoe UI" w:cs="Segoe UI" w:ascii="Segoe UI" w:hAnsi="Segoe UI"/>
          <w:color w:val="101820"/>
          <w:sz w:val="21"/>
        </w:rPr>
        <w:t xml:space="preserve">The query receives the period (From Date, To Date) and the settings it needs. "Today" in ageing reports is the business date in </w:t>
      </w:r>
      <w:r>
        <w:rPr>
          <w:rFonts w:eastAsia="Consolas" w:cs="Consolas" w:ascii="Consolas" w:hAnsi="Consolas"/>
          <w:color w:val="101820"/>
          <w:sz w:val="19"/>
        </w:rPr>
        <w:t>general.timezone</w:t>
      </w:r>
      <w:r>
        <w:rPr>
          <w:rFonts w:eastAsia="Segoe UI" w:cs="Segoe UI" w:ascii="Segoe UI" w:hAnsi="Segoe UI"/>
          <w:color w:val="101820"/>
          <w:sz w:val="21"/>
        </w:rPr>
        <w:t xml:space="preserve"> (Asia/Manila), not the database server date.</w:t>
      </w:r>
    </w:p>
    <w:p>
      <w:pPr>
        <w:pStyle w:val="Normal"/>
        <w:numPr>
          <w:ilvl w:val="0"/>
          <w:numId w:val="1"/>
        </w:numPr>
        <w:spacing w:before="0" w:after="60"/>
        <w:rPr/>
      </w:pPr>
      <w:r>
        <w:rPr>
          <w:rFonts w:eastAsia="Segoe UI" w:cs="Segoe UI" w:ascii="Segoe UI" w:hAnsi="Segoe UI"/>
          <w:color w:val="101820"/>
          <w:sz w:val="21"/>
        </w:rPr>
        <w:t>Filters are applied around the base query. Columns whose name starts with an underscore are used for filtering only and never shown.</w:t>
      </w:r>
    </w:p>
    <w:p>
      <w:pPr>
        <w:pStyle w:val="Normal"/>
        <w:numPr>
          <w:ilvl w:val="0"/>
          <w:numId w:val="1"/>
        </w:numPr>
        <w:spacing w:before="0" w:after="60"/>
        <w:rPr/>
      </w:pPr>
      <w:r>
        <w:rPr>
          <w:rFonts w:eastAsia="Segoe UI" w:cs="Segoe UI" w:ascii="Segoe UI" w:hAnsi="Segoe UI"/>
          <w:color w:val="101820"/>
          <w:sz w:val="21"/>
        </w:rPr>
        <w:t>Every money, number and integer column in the default columns is totalled unless it is marked not to be (age in days, rates, percentages).</w:t>
      </w:r>
    </w:p>
    <w:p>
      <w:pPr>
        <w:pStyle w:val="Normal"/>
        <w:numPr>
          <w:ilvl w:val="0"/>
          <w:numId w:val="1"/>
        </w:numPr>
        <w:spacing w:before="0" w:after="60"/>
        <w:rPr/>
      </w:pPr>
      <w:r>
        <w:rPr>
          <w:rFonts w:eastAsia="Segoe UI" w:cs="Segoe UI" w:ascii="Segoe UI" w:hAnsi="Segoe UI"/>
          <w:color w:val="101820"/>
          <w:sz w:val="21"/>
        </w:rPr>
        <w:t xml:space="preserve">Some reports also return </w:t>
      </w:r>
      <w:r>
        <w:rPr>
          <w:rFonts w:eastAsia="Segoe UI" w:cs="Segoe UI" w:ascii="Segoe UI" w:hAnsi="Segoe UI"/>
          <w:b/>
          <w:color w:val="101820"/>
          <w:sz w:val="21"/>
        </w:rPr>
        <w:t>summary figures</w:t>
      </w:r>
      <w:r>
        <w:rPr>
          <w:rFonts w:eastAsia="Segoe UI" w:cs="Segoe UI" w:ascii="Segoe UI" w:hAnsi="Segoe UI"/>
          <w:color w:val="101820"/>
          <w:sz w:val="21"/>
        </w:rPr>
        <w:t xml:space="preserve"> (for example net income, retention rate, collection efficiency). They show under the table on screen and in the PDF, and on the Parameters sheet of the Excel file.</w:t>
      </w:r>
    </w:p>
    <w:p>
      <w:pPr>
        <w:pStyle w:val="Heading2"/>
        <w:rPr/>
      </w:pPr>
      <w:bookmarkStart w:id="14" w:name="__RefHeading___Toc99319_4195859891"/>
      <w:bookmarkEnd w:id="14"/>
      <w:r>
        <w:rPr>
          <w:rFonts w:eastAsia="Segoe UI" w:cs="Segoe UI"/>
          <w:b/>
          <w:color w:val="0F4761"/>
          <w:sz w:val="26"/>
        </w:rPr>
        <w:t>4.5  Output formats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Output</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you get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(Preview)</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Paged rows, totals row, summary figures, group summary for a grouping criterion.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Excel (.xlsx)</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Sheet with the report rows and a TOTAL row; a Summary sheet for a grouping criterion; a Parameters sheet (report, company, period, criteria, filters, rows, currency, generated at, generated by, summary figures).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rows and a TOTAL row, UTF-8.</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Company letterhead, report title, a parameter line (period, criteria, filters, currency, row count), the table with totals and a Summary table. Page size from </w:t>
            </w:r>
            <w:r>
              <w:rPr>
                <w:rFonts w:eastAsia="Consolas" w:cs="Consolas" w:ascii="Consolas" w:hAnsi="Consolas"/>
                <w:color w:val="101820"/>
                <w:kern w:val="0"/>
                <w:sz w:val="16"/>
                <w:szCs w:val="24"/>
                <w:lang w:val="en-US" w:eastAsia="ja-JP" w:bidi="ar-SA"/>
              </w:rPr>
              <w:t>reports.pdf_page_size</w:t>
            </w:r>
            <w:r>
              <w:rPr>
                <w:rFonts w:eastAsia="Segoe UI" w:cs="Segoe UI" w:ascii="Segoe UI" w:hAnsi="Segoe UI"/>
                <w:color w:val="101820"/>
                <w:kern w:val="0"/>
                <w:sz w:val="18"/>
                <w:szCs w:val="24"/>
                <w:lang w:val="en-US" w:eastAsia="ja-JP" w:bidi="ar-SA"/>
              </w:rPr>
              <w:t xml:space="preserve"> (A4).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Generated files are written to the file store under </w:t>
      </w:r>
      <w:r>
        <w:rPr>
          <w:rFonts w:eastAsia="Consolas" w:cs="Consolas" w:ascii="Consolas" w:hAnsi="Consolas"/>
          <w:color w:val="101820"/>
          <w:sz w:val="19"/>
        </w:rPr>
        <w:t>reports/</w:t>
      </w:r>
      <w:r>
        <w:rPr>
          <w:rFonts w:eastAsia="Segoe UI" w:cs="Segoe UI" w:ascii="Segoe UI" w:hAnsi="Segoe UI"/>
          <w:color w:val="101820"/>
          <w:sz w:val="21"/>
        </w:rPr>
        <w:t xml:space="preserve"> and recorded in </w:t>
      </w:r>
      <w:r>
        <w:rPr>
          <w:rFonts w:eastAsia="Consolas" w:cs="Consolas" w:ascii="Consolas" w:hAnsi="Consolas"/>
          <w:color w:val="101820"/>
          <w:sz w:val="19"/>
        </w:rPr>
        <w:t>generated_reports</w:t>
      </w:r>
      <w:r>
        <w:rPr>
          <w:rFonts w:eastAsia="Segoe UI" w:cs="Segoe UI" w:ascii="Segoe UI" w:hAnsi="Segoe UI"/>
          <w:color w:val="101820"/>
          <w:sz w:val="21"/>
        </w:rPr>
        <w:t xml:space="preserve"> (who, when, parameters, row count, totals, status). A file holds at most </w:t>
      </w:r>
      <w:r>
        <w:rPr>
          <w:rFonts w:eastAsia="Consolas" w:cs="Consolas" w:ascii="Consolas" w:hAnsi="Consolas"/>
          <w:color w:val="101820"/>
          <w:sz w:val="19"/>
        </w:rPr>
        <w:t>reports.max_rows</w:t>
      </w:r>
      <w:r>
        <w:rPr>
          <w:rFonts w:eastAsia="Segoe UI" w:cs="Segoe UI" w:ascii="Segoe UI" w:hAnsi="Segoe UI"/>
          <w:color w:val="101820"/>
          <w:sz w:val="21"/>
        </w:rPr>
        <w:t xml:space="preserve"> rows (50,000); the response says when a file was truncated. The download link is signed and valid for </w:t>
      </w:r>
      <w:r>
        <w:rPr>
          <w:rFonts w:eastAsia="Consolas" w:cs="Consolas" w:ascii="Consolas" w:hAnsi="Consolas"/>
          <w:color w:val="101820"/>
          <w:sz w:val="19"/>
        </w:rPr>
        <w:t>reports.download_link_ttl_hours</w:t>
      </w:r>
      <w:r>
        <w:rPr>
          <w:rFonts w:eastAsia="Segoe UI" w:cs="Segoe UI" w:ascii="Segoe UI" w:hAnsi="Segoe UI"/>
          <w:color w:val="101820"/>
          <w:sz w:val="21"/>
        </w:rPr>
        <w:t xml:space="preserve"> (72 hours). Files older than </w:t>
      </w:r>
      <w:r>
        <w:rPr>
          <w:rFonts w:eastAsia="Consolas" w:cs="Consolas" w:ascii="Consolas" w:hAnsi="Consolas"/>
          <w:color w:val="101820"/>
          <w:sz w:val="19"/>
        </w:rPr>
        <w:t>reports.retention_days</w:t>
      </w:r>
      <w:r>
        <w:rPr>
          <w:rFonts w:eastAsia="Segoe UI" w:cs="Segoe UI" w:ascii="Segoe UI" w:hAnsi="Segoe UI"/>
          <w:color w:val="101820"/>
          <w:sz w:val="21"/>
        </w:rPr>
        <w:t xml:space="preserve"> (90 days) are deleted when a scheduled report runs.</w:t>
      </w:r>
    </w:p>
    <w:p>
      <w:pPr>
        <w:pStyle w:val="Normal"/>
        <w:spacing w:lineRule="auto" w:line="276" w:before="0" w:after="120"/>
        <w:rPr/>
      </w:pPr>
      <w:r>
        <w:rPr>
          <w:rFonts w:eastAsia="Segoe UI" w:cs="Segoe UI" w:ascii="Segoe UI" w:hAnsi="Segoe UI"/>
          <w:color w:val="101820"/>
          <w:sz w:val="21"/>
        </w:rPr>
        <w:t xml:space="preserve">File names follow the pattern </w:t>
      </w:r>
      <w:r>
        <w:rPr>
          <w:rFonts w:eastAsia="Consolas" w:cs="Consolas" w:ascii="Consolas" w:hAnsi="Consolas"/>
          <w:color w:val="101820"/>
          <w:sz w:val="19"/>
        </w:rPr>
        <w:t>&lt;code&gt;_&lt;from&gt;_&lt;to&gt;_&lt;yyyymmdd-hhmmss&gt;.&lt;ext&gt;</w:t>
      </w:r>
      <w:r>
        <w:rPr>
          <w:rFonts w:eastAsia="Segoe UI" w:cs="Segoe UI" w:ascii="Segoe UI" w:hAnsi="Segoe UI"/>
          <w:color w:val="101820"/>
          <w:sz w:val="21"/>
        </w:rPr>
        <w:t xml:space="preserve">, for example </w:t>
      </w:r>
      <w:r>
        <w:rPr>
          <w:rFonts w:eastAsia="Consolas" w:cs="Consolas" w:ascii="Consolas" w:hAnsi="Consolas"/>
          <w:color w:val="101820"/>
          <w:sz w:val="19"/>
        </w:rPr>
        <w:t>production-register_2026-01-01_2026-09-30_20260928-101500.xlsx</w:t>
      </w:r>
      <w:r>
        <w:rPr>
          <w:rFonts w:eastAsia="Segoe UI" w:cs="Segoe UI" w:ascii="Segoe UI" w:hAnsi="Segoe UI"/>
          <w:color w:val="101820"/>
          <w:sz w:val="21"/>
        </w:rPr>
        <w:t>.</w:t>
      </w:r>
    </w:p>
    <w:p>
      <w:pPr>
        <w:pStyle w:val="Heading2"/>
        <w:rPr/>
      </w:pPr>
      <w:bookmarkStart w:id="15" w:name="__RefHeading___Toc99321_4195859891"/>
      <w:bookmarkEnd w:id="15"/>
      <w:r>
        <w:rPr>
          <w:rFonts w:eastAsia="Segoe UI" w:cs="Segoe UI"/>
          <w:b/>
          <w:color w:val="0F4761"/>
          <w:sz w:val="26"/>
        </w:rPr>
        <w:t>4.6  Scheduled delivery by e-mail</w:t>
      </w:r>
    </w:p>
    <w:p>
      <w:pPr>
        <w:pStyle w:val="Normal"/>
        <w:spacing w:lineRule="auto" w:line="276" w:before="0" w:after="120"/>
        <w:rPr/>
      </w:pPr>
      <w:r>
        <w:rPr>
          <w:rFonts w:eastAsia="Segoe UI" w:cs="Segoe UI" w:ascii="Segoe UI" w:hAnsi="Segoe UI"/>
          <w:color w:val="101820"/>
          <w:sz w:val="21"/>
        </w:rPr>
        <w:t xml:space="preserve">A report can be generated on a timetable and e-mailed to a list of addresses (a report schedule: report code, cron expression, parameters, format, recipients, enabled). Creating a schedule also creates a job </w:t>
      </w:r>
      <w:r>
        <w:rPr>
          <w:rFonts w:eastAsia="Consolas" w:cs="Consolas" w:ascii="Consolas" w:hAnsi="Consolas"/>
          <w:color w:val="101820"/>
          <w:sz w:val="19"/>
        </w:rPr>
        <w:t>report-&lt;schedule id&gt;</w:t>
      </w:r>
      <w:r>
        <w:rPr>
          <w:rFonts w:eastAsia="Segoe UI" w:cs="Segoe UI" w:ascii="Segoe UI" w:hAnsi="Segoe UI"/>
          <w:color w:val="101820"/>
          <w:sz w:val="21"/>
        </w:rPr>
        <w:t xml:space="preserve"> with handler </w:t>
      </w:r>
      <w:r>
        <w:rPr>
          <w:rFonts w:eastAsia="Consolas" w:cs="Consolas" w:ascii="Consolas" w:hAnsi="Consolas"/>
          <w:color w:val="101820"/>
          <w:sz w:val="19"/>
        </w:rPr>
        <w:t>scheduledReport</w:t>
      </w:r>
      <w:r>
        <w:rPr>
          <w:rFonts w:eastAsia="Segoe UI" w:cs="Segoe UI" w:ascii="Segoe UI" w:hAnsi="Segoe UI"/>
          <w:color w:val="101820"/>
          <w:sz w:val="21"/>
        </w:rPr>
        <w:t xml:space="preserve"> in Master &gt; Schedules, so it runs, shows its history and can be run on demand like any other job. The e-mail carries a download link, not the file; its wording is in the settings </w:t>
      </w:r>
      <w:r>
        <w:rPr>
          <w:rFonts w:eastAsia="Consolas" w:cs="Consolas" w:ascii="Consolas" w:hAnsi="Consolas"/>
          <w:color w:val="101820"/>
          <w:sz w:val="19"/>
        </w:rPr>
        <w:t>reports.email_subject</w:t>
      </w:r>
      <w:r>
        <w:rPr>
          <w:rFonts w:eastAsia="Segoe UI" w:cs="Segoe UI" w:ascii="Segoe UI" w:hAnsi="Segoe UI"/>
          <w:color w:val="101820"/>
          <w:sz w:val="21"/>
        </w:rPr>
        <w:t xml:space="preserve"> and </w:t>
      </w:r>
      <w:r>
        <w:rPr>
          <w:rFonts w:eastAsia="Consolas" w:cs="Consolas" w:ascii="Consolas" w:hAnsi="Consolas"/>
          <w:color w:val="101820"/>
          <w:sz w:val="19"/>
        </w:rPr>
        <w:t>reports.email_body</w:t>
      </w:r>
      <w:r>
        <w:rPr>
          <w:rFonts w:eastAsia="Segoe UI" w:cs="Segoe UI" w:ascii="Segoe UI" w:hAnsi="Segoe UI"/>
          <w:color w:val="101820"/>
          <w:sz w:val="21"/>
        </w:rPr>
        <w:t xml:space="preserve"> (see the Communication Templates document).</w:t>
      </w:r>
    </w:p>
    <w:p>
      <w:pPr>
        <w:pStyle w:val="Normal"/>
        <w:spacing w:lineRule="auto" w:line="276" w:before="0" w:after="120"/>
        <w:rPr/>
      </w:pPr>
      <w:r>
        <w:rPr>
          <w:rFonts w:eastAsia="Segoe UI" w:cs="Segoe UI" w:ascii="Segoe UI" w:hAnsi="Segoe UI"/>
          <w:color w:val="101820"/>
          <w:sz w:val="21"/>
        </w:rPr>
        <w:t xml:space="preserve">For scheduled runs the parameter </w:t>
      </w:r>
      <w:r>
        <w:rPr>
          <w:rFonts w:eastAsia="Consolas" w:cs="Consolas" w:ascii="Consolas" w:hAnsi="Consolas"/>
          <w:color w:val="101820"/>
          <w:sz w:val="19"/>
        </w:rPr>
        <w:t>period</w:t>
      </w:r>
      <w:r>
        <w:rPr>
          <w:rFonts w:eastAsia="Segoe UI" w:cs="Segoe UI" w:ascii="Segoe UI" w:hAnsi="Segoe UI"/>
          <w:color w:val="101820"/>
          <w:sz w:val="21"/>
        </w:rPr>
        <w:t xml:space="preserve"> gives a relative window when no dates are stored: today, yesterday, last-7-days, last-30-days, month-to-date, previous-month or year-to-date.</w:t>
      </w:r>
    </w:p>
    <w:p>
      <w:pPr>
        <w:pStyle w:val="Normal"/>
        <w:shd w:val="clear" w:color="auto" w:fill="EAF2FB"/>
        <w:spacing w:before="0" w:after="160"/>
        <w:ind w:left="170"/>
        <w:rPr/>
      </w:pPr>
      <w:r>
        <w:rPr>
          <w:rFonts w:eastAsia="Segoe UI" w:cs="Segoe UI" w:ascii="Segoe UI" w:hAnsi="Segoe UI"/>
          <w:color w:val="101820"/>
          <w:sz w:val="20"/>
        </w:rPr>
        <w:t>In the OOTB front end there is no screen for report schedules or for the history of generated files. Both exist in the API (</w:t>
      </w:r>
      <w:r>
        <w:rPr>
          <w:rFonts w:eastAsia="Consolas" w:cs="Consolas" w:ascii="Consolas" w:hAnsi="Consolas"/>
          <w:color w:val="101820"/>
          <w:sz w:val="18"/>
        </w:rPr>
        <w:t>/api/reports/schedules</w:t>
      </w:r>
      <w:r>
        <w:rPr>
          <w:rFonts w:eastAsia="Segoe UI" w:cs="Segoe UI" w:ascii="Segoe UI" w:hAnsi="Segoe UI"/>
          <w:color w:val="101820"/>
          <w:sz w:val="20"/>
        </w:rPr>
        <w:t xml:space="preserve">, </w:t>
      </w:r>
      <w:r>
        <w:rPr>
          <w:rFonts w:eastAsia="Consolas" w:cs="Consolas" w:ascii="Consolas" w:hAnsi="Consolas"/>
          <w:color w:val="101820"/>
          <w:sz w:val="18"/>
        </w:rPr>
        <w:t>/api/reports/generated</w:t>
      </w:r>
      <w:r>
        <w:rPr>
          <w:rFonts w:eastAsia="Segoe UI" w:cs="Segoe UI" w:ascii="Segoe UI" w:hAnsi="Segoe UI"/>
          <w:color w:val="101820"/>
          <w:sz w:val="20"/>
        </w:rPr>
        <w:t xml:space="preserve">, permission </w:t>
      </w:r>
      <w:r>
        <w:rPr>
          <w:rFonts w:eastAsia="Consolas" w:cs="Consolas" w:ascii="Consolas" w:hAnsi="Consolas"/>
          <w:color w:val="101820"/>
          <w:sz w:val="18"/>
        </w:rPr>
        <w:t>write:reports</w:t>
      </w:r>
      <w:r>
        <w:rPr>
          <w:rFonts w:eastAsia="Segoe UI" w:cs="Segoe UI" w:ascii="Segoe UI" w:hAnsi="Segoe UI"/>
          <w:color w:val="101820"/>
          <w:sz w:val="20"/>
        </w:rPr>
        <w:t xml:space="preserve"> to change schedules). Until a screen is added, a System Administrator creates schedules through the API; once created they appear in Master &gt; Schedules.</w:t>
      </w:r>
    </w:p>
    <w:p>
      <w:pPr>
        <w:pStyle w:val="Normal"/>
        <w:spacing w:lineRule="auto" w:line="276" w:before="0" w:after="120"/>
        <w:rPr/>
      </w:pPr>
      <w:r>
        <w:rPr>
          <w:rFonts w:eastAsia="Segoe UI" w:cs="Segoe UI" w:ascii="Segoe UI" w:hAnsi="Segoe UI"/>
          <w:color w:val="101820"/>
          <w:sz w:val="21"/>
        </w:rPr>
        <w:t xml:space="preserve">The separate job </w:t>
      </w:r>
      <w:r>
        <w:rPr>
          <w:rFonts w:eastAsia="Segoe UI" w:cs="Segoe UI" w:ascii="Segoe UI" w:hAnsi="Segoe UI"/>
          <w:b/>
          <w:color w:val="101820"/>
          <w:sz w:val="21"/>
        </w:rPr>
        <w:t>Daily reports</w:t>
      </w:r>
      <w:r>
        <w:rPr>
          <w:rFonts w:eastAsia="Segoe UI" w:cs="Segoe UI" w:ascii="Segoe UI" w:hAnsi="Segoe UI"/>
          <w:color w:val="101820"/>
          <w:sz w:val="21"/>
        </w:rPr>
        <w:t xml:space="preserve"> (Master &gt; Schedules, 05:00 Manila time) generates the Production Register, Collection Report and Claims Position every day into the generated-file history; it does not e-mail them.</w:t>
      </w:r>
      <w:r>
        <w:br w:type="page"/>
      </w:r>
    </w:p>
    <w:p>
      <w:pPr>
        <w:pStyle w:val="Heading1"/>
        <w:rPr/>
      </w:pPr>
      <w:bookmarkStart w:id="16" w:name="__RefHeading___Toc99323_4195859891"/>
      <w:bookmarkEnd w:id="16"/>
      <w:r>
        <w:rPr>
          <w:rFonts w:eastAsia="Segoe UI" w:cs="Segoe UI" w:ascii="Segoe UI" w:hAnsi="Segoe UI"/>
          <w:b/>
          <w:color w:val="0F4761"/>
          <w:sz w:val="32"/>
        </w:rPr>
        <w:t>5.  Operational reports</w:t>
      </w:r>
    </w:p>
    <w:p>
      <w:pPr>
        <w:pStyle w:val="Normal"/>
        <w:spacing w:lineRule="auto" w:line="276" w:before="0" w:after="120"/>
        <w:rPr/>
      </w:pPr>
      <w:r>
        <w:rPr>
          <w:rFonts w:eastAsia="Segoe UI" w:cs="Segoe UI" w:ascii="Segoe UI" w:hAnsi="Segoe UI"/>
          <w:color w:val="101820"/>
          <w:sz w:val="21"/>
        </w:rPr>
        <w:t>Operational reports follow the business from prospect to placement, policy, claim, renewal and remittance. Most offer the standard criteria Overall, Agent, Principal Insurer and Branch: Overall lists the rows, the others add a summary by that dimension. Agent is the policy owner (the account executive) and Branch is that user's branch.</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3489"/>
        <w:gridCol w:w="3489"/>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Production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Position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Claims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Retention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Renewal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Summary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Remittance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Statement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Broker Commission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Ageing</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Claims Ageing</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Conversion Funnel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Lead Conversion Funnel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Placement Pipeline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Response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Market Response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Cession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Reinsurance Cession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Co-insurance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Processing Team, Sales &amp; Marketing</w:t>
            </w:r>
          </w:p>
        </w:tc>
      </w:tr>
    </w:tbl>
    <w:p>
      <w:pPr>
        <w:pStyle w:val="Normal"/>
        <w:spacing w:before="0" w:after="80"/>
        <w:rPr/>
      </w:pPr>
      <w:r>
        <w:rPr/>
      </w:r>
    </w:p>
    <w:p>
      <w:pPr>
        <w:pStyle w:val="Heading2"/>
        <w:rPr/>
      </w:pPr>
      <w:bookmarkStart w:id="17" w:name="__RefHeading___Toc99325_4195859891"/>
      <w:bookmarkEnd w:id="17"/>
      <w:r>
        <w:rPr>
          <w:rFonts w:eastAsia="Segoe UI" w:cs="Segoe UI"/>
          <w:b/>
          <w:color w:val="0F4761"/>
          <w:sz w:val="26"/>
        </w:rPr>
        <w:t>5.1  Production Register</w:t>
      </w:r>
    </w:p>
    <w:p>
      <w:pPr>
        <w:pStyle w:val="Normal"/>
        <w:spacing w:lineRule="auto" w:line="276" w:before="0" w:after="120"/>
        <w:rPr/>
      </w:pPr>
      <w:r>
        <w:rPr>
          <w:rFonts w:eastAsia="Segoe UI" w:cs="Segoe UI" w:ascii="Segoe UI" w:hAnsi="Segoe UI"/>
          <w:color w:val="101820"/>
          <w:sz w:val="21"/>
        </w:rPr>
        <w:t>Policies incepted in the period with premium, commission, new business / renewal flag; grouped by agent, insurer or branch per Report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production-register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Production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Billing Mode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Issue Date, Inception, Expiry, Business Type, Client, Product, Insurer, Agent, Branch, Sum Insured, Gross Premium, Commission, Currency, Status, Billing Mode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count, Renewals count, Direct bill 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(Convert to policy, Issue policy from a placement slip, Record Issued Policy), policy bulk upload, renewal completion. Rows are selected on the inception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1242"/>
        <w:gridCol w:w="1124"/>
        <w:gridCol w:w="1743"/>
        <w:gridCol w:w="2253"/>
        <w:gridCol w:w="1133"/>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Inception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Business Type</w:t>
            </w:r>
          </w:p>
        </w:tc>
        <w:tc>
          <w:tcPr>
            <w:tcW w:w="1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Gross Premium</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49,161.47</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POL-2026-00027</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Gonzales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610.40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POL-2026-00054</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Himlayan Cold Storage Corp.</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980,902.89</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50,052.84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4,105,734,000.00; Gross Premium PHP 14,310,401.18; Commission PHP 1,765,752.54.</w:t>
      </w:r>
    </w:p>
    <w:p>
      <w:pPr>
        <w:pStyle w:val="Normal"/>
        <w:spacing w:lineRule="auto" w:line="276" w:before="0" w:after="120"/>
        <w:rPr/>
      </w:pPr>
      <w:r>
        <w:rPr>
          <w:rFonts w:eastAsia="Segoe UI" w:cs="Segoe UI" w:ascii="Segoe UI" w:hAnsi="Segoe UI"/>
          <w:color w:val="101820"/>
          <w:sz w:val="21"/>
        </w:rPr>
        <w:t>Summary figures returned: New business: 50; Renewals: 5; Direct bill: 5.</w:t>
      </w:r>
    </w:p>
    <w:p>
      <w:pPr>
        <w:pStyle w:val="Heading2"/>
        <w:rPr/>
      </w:pPr>
      <w:bookmarkStart w:id="18" w:name="__RefHeading___Toc99327_4195859891"/>
      <w:bookmarkEnd w:id="18"/>
      <w:r>
        <w:rPr>
          <w:rFonts w:eastAsia="Segoe UI" w:cs="Segoe UI"/>
          <w:b/>
          <w:color w:val="0F4761"/>
          <w:sz w:val="26"/>
        </w:rPr>
        <w:t>5.2  Claims Position</w:t>
      </w:r>
    </w:p>
    <w:p>
      <w:pPr>
        <w:pStyle w:val="Normal"/>
        <w:spacing w:lineRule="auto" w:line="276" w:before="0" w:after="120"/>
        <w:rPr/>
      </w:pPr>
      <w:r>
        <w:rPr>
          <w:rFonts w:eastAsia="Segoe UI" w:cs="Segoe UI" w:ascii="Segoe UI" w:hAnsi="Segoe UI"/>
          <w:color w:val="101820"/>
          <w:sz w:val="21"/>
        </w:rPr>
        <w:t>Claims reported in the period with estimate, approved and settled amounts, age and ageing bucket. Criteria: All, Open, Settled, Rejected, Aging (open claims by ageing bucket).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claims-position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Claims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Open, Settled, Rejected, Aging (default 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No., Policy No., Client, Insurer, Product, Agent, Loss Date, Reported, Loss Type, Status, Estimate, Approved, Settled, Age (days), 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Estimate, Approved, Settled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registration (Operations &gt; Claims), claim status changes, settlement. Rows are selected on the reported date. Open, settled and rejected follow the settings reports.claim_open_statuses, reports.claim_settled_statuses and reports.claim_rejected_statuses; buckets follow reports.claim_ageing_buckets.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All, 01 January 2026 to 30 September 2026, first rows of 7;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1520"/>
        <w:gridCol w:w="2767"/>
        <w:gridCol w:w="1036"/>
        <w:gridCol w:w="1134"/>
        <w:gridCol w:w="1037"/>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Claim No.</w:t>
            </w:r>
          </w:p>
        </w:tc>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27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Estimate</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Settled</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CLM-2026-00001</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72,500.00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POL-2026-00050</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in-review</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340,000.00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CLM-2026-00004</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POL-2026-00036</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28,750.00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CLM-2026-00008</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Estimate PHP 1,890,000.00; Approved PHP 1,097,750.00; Settled PHP 1,097,750.00.</w:t>
      </w:r>
    </w:p>
    <w:p>
      <w:pPr>
        <w:pStyle w:val="Heading2"/>
        <w:rPr/>
      </w:pPr>
      <w:bookmarkStart w:id="19" w:name="__RefHeading___Toc99329_4195859891"/>
      <w:bookmarkEnd w:id="19"/>
      <w:r>
        <w:rPr>
          <w:rFonts w:eastAsia="Segoe UI" w:cs="Segoe UI"/>
          <w:b/>
          <w:color w:val="0F4761"/>
          <w:sz w:val="26"/>
        </w:rPr>
        <w:t>5.3  Renewal Retention</w:t>
      </w:r>
    </w:p>
    <w:p>
      <w:pPr>
        <w:pStyle w:val="Normal"/>
        <w:spacing w:lineRule="auto" w:line="276" w:before="0" w:after="120"/>
        <w:rPr/>
      </w:pPr>
      <w:r>
        <w:rPr>
          <w:rFonts w:eastAsia="Segoe UI" w:cs="Segoe UI" w:ascii="Segoe UI" w:hAnsi="Segoe UI"/>
          <w:color w:val="101820"/>
          <w:sz w:val="21"/>
        </w:rPr>
        <w:t>Renewals due in the period with outcome (retained, lost, pending), old and new premium and the retention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renewal-retention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Renewal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Client, Insurer, Product, Agent, Branch, Due Date, Renewal Status, Outcome, Expiring Premium, Renewal Premium, Renewed Policy No.</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Premium, Renewal Premium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Retained, Lost, Pending, Retention rate (retained / (retained + lost))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policies (expiring and renewed),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 (renewal-pipeline job, Renewal Queue), renewal completion and lapse. Outcome Retained or Lost follows reports.renewal_retained_statuses and reports.renewal_lost_statuses; anything else is Pending.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6;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7"/>
        <w:gridCol w:w="1548"/>
        <w:gridCol w:w="1448"/>
        <w:gridCol w:w="1003"/>
        <w:gridCol w:w="1662"/>
        <w:gridCol w:w="1555"/>
      </w:tblGrid>
      <w:tr>
        <w:trPr>
          <w:tblHeader w:val="true"/>
        </w:trPr>
        <w:tc>
          <w:tcPr>
            <w:tcW w:w="17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4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Outcome</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Expiring Premium</w:t>
            </w:r>
          </w:p>
        </w:tc>
        <w:tc>
          <w:tcPr>
            <w:tcW w:w="1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Renewal Premium</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OLD-MC-2025-96274</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Dela Cruz</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 June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39,462.95</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39,977.30</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OLD-MC-2025-17813</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Noel Reyes</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 July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45,662.83</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45,557.19</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OLD-FI-2025-07528</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Paolo Samonte</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July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10,918.05</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11,245.09</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OLD-MC-2025-52877</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Maricel Samonte</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 August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Lost</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34,916.38</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Expiring Premium PHP 177,233.44; Renewal Premium PHP 147,346.77.</w:t>
      </w:r>
    </w:p>
    <w:p>
      <w:pPr>
        <w:pStyle w:val="Normal"/>
        <w:spacing w:lineRule="auto" w:line="276" w:before="0" w:after="120"/>
        <w:rPr/>
      </w:pPr>
      <w:r>
        <w:rPr>
          <w:rFonts w:eastAsia="Segoe UI" w:cs="Segoe UI" w:ascii="Segoe UI" w:hAnsi="Segoe UI"/>
          <w:color w:val="101820"/>
          <w:sz w:val="21"/>
        </w:rPr>
        <w:t>Summary figures returned: Retained: 5; Lost: 1; Pending: 0; Retention rate: 83.33%.</w:t>
      </w:r>
    </w:p>
    <w:p>
      <w:pPr>
        <w:pStyle w:val="Heading2"/>
        <w:rPr/>
      </w:pPr>
      <w:bookmarkStart w:id="20" w:name="__RefHeading___Toc99331_4195859891"/>
      <w:bookmarkEnd w:id="20"/>
      <w:r>
        <w:rPr>
          <w:rFonts w:eastAsia="Segoe UI" w:cs="Segoe UI"/>
          <w:b/>
          <w:color w:val="0F4761"/>
          <w:sz w:val="26"/>
        </w:rPr>
        <w:t>5.4  Remittance Summary</w:t>
      </w:r>
    </w:p>
    <w:p>
      <w:pPr>
        <w:pStyle w:val="Normal"/>
        <w:spacing w:lineRule="auto" w:line="276" w:before="0" w:after="120"/>
        <w:rPr/>
      </w:pPr>
      <w:r>
        <w:rPr>
          <w:rFonts w:eastAsia="Segoe UI" w:cs="Segoe UI" w:ascii="Segoe UI" w:hAnsi="Segoe UI"/>
          <w:color w:val="101820"/>
          <w:sz w:val="21"/>
        </w:rPr>
        <w:t>Premium remittances to insurers in the period: gross premium, commission retained and net due, by status.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Remittance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 Date, Insurer, Type, Period, Policies, Gross Premium, Commission, Net Due, Status, Settled,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Gross Premium, Commission, Net Due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remittance_lines, insurance_companies, users (preparer)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created on Accounts &gt; Remittance (Automated Processing, Bulk Processing, Agency Bill Processing, Direct Bill Processing), their approval and settlement. Agent and Branch are those of the user who prepared the remittance.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22;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9"/>
        <w:gridCol w:w="1071"/>
        <w:gridCol w:w="2614"/>
        <w:gridCol w:w="1122"/>
        <w:gridCol w:w="1327"/>
        <w:gridCol w:w="1361"/>
      </w:tblGrid>
      <w:tr>
        <w:trPr>
          <w:tblHeader w:val="true"/>
        </w:trPr>
        <w:tc>
          <w:tcPr>
            <w:tcW w:w="1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Remittance No.</w:t>
            </w:r>
          </w:p>
        </w:tc>
        <w:tc>
          <w:tcPr>
            <w:tcW w:w="10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Date</w:t>
            </w:r>
          </w:p>
        </w:tc>
        <w:tc>
          <w:tcPr>
            <w:tcW w:w="26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Policies</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Gross 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REM-2026-00008</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07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135,653.75</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16,485.78</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REM-2026-00016</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08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49,161.47</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7,165.00</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REM-2026-00004</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09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1,200,208.08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162,903.60</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REM-2026-00012</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09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87,722.08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10,340.52</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Gross Premium PHP 8,909,355.59; Commission PHP 1,211,723.12; Net Due PHP 6,441,739.56.</w:t>
      </w:r>
    </w:p>
    <w:p>
      <w:pPr>
        <w:pStyle w:val="Heading2"/>
        <w:rPr/>
      </w:pPr>
      <w:bookmarkStart w:id="21" w:name="__RefHeading___Toc99333_4195859891"/>
      <w:bookmarkEnd w:id="21"/>
      <w:r>
        <w:rPr>
          <w:rFonts w:eastAsia="Segoe UI" w:cs="Segoe UI"/>
          <w:b/>
          <w:color w:val="0F4761"/>
          <w:sz w:val="26"/>
        </w:rPr>
        <w:t>5.5  Broker Commission Statement</w:t>
      </w:r>
    </w:p>
    <w:p>
      <w:pPr>
        <w:pStyle w:val="Normal"/>
        <w:spacing w:lineRule="auto" w:line="276" w:before="0" w:after="120"/>
        <w:rPr/>
      </w:pPr>
      <w:r>
        <w:rPr>
          <w:rFonts w:eastAsia="Segoe UI" w:cs="Segoe UI" w:ascii="Segoe UI" w:hAnsi="Segoe UI"/>
          <w:color w:val="101820"/>
          <w:sz w:val="21"/>
        </w:rPr>
        <w:t>Commission accrued in the period per agent and policy: basis, rate, gross, withholding tax and net, with payment status.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Broker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 Branch, Policy No., Client, Insurer, Product, Period, Accrued, Basis, Rate, Commission, Withholding Tax, Net, Status, Paid, Billing Mode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Basis, Commission, Withholding Tax, Net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accrued at policy issue (one row per agent and policy); status and paid date change when the payout voucher is approved and paid (Accounts &gt; Disbursement &gt; Bulk Disburse).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28;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6"/>
        <w:gridCol w:w="1680"/>
        <w:gridCol w:w="1095"/>
        <w:gridCol w:w="906"/>
        <w:gridCol w:w="1362"/>
        <w:gridCol w:w="1764"/>
      </w:tblGrid>
      <w:tr>
        <w:trPr>
          <w:tblHeader w:val="true"/>
        </w:trPr>
        <w:tc>
          <w:tcPr>
            <w:tcW w:w="2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Agent</w:t>
            </w:r>
          </w:p>
        </w:tc>
        <w:tc>
          <w:tcPr>
            <w:tcW w:w="16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0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Basis</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c>
          <w:tcPr>
            <w:tcW w:w="17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Withholding Tax</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35,825.00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0.05</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1,791.25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89.56</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POL-2026-00032</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3,250.00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975.00</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48.75</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37,690.00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0.08</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2,826.75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282.68</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POL-2026-00006</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4,350.00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0.17</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761.25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38.06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Basis PHP 459,105.54; Commission PHP 59,791.94; Withholding Tax PHP 3,349.34; Net PHP 56,442.60.</w:t>
      </w:r>
    </w:p>
    <w:p>
      <w:pPr>
        <w:pStyle w:val="Heading2"/>
        <w:rPr/>
      </w:pPr>
      <w:bookmarkStart w:id="22" w:name="__RefHeading___Toc99335_4195859891"/>
      <w:bookmarkEnd w:id="22"/>
      <w:r>
        <w:rPr>
          <w:rFonts w:eastAsia="Segoe UI" w:cs="Segoe UI"/>
          <w:b/>
          <w:color w:val="0F4761"/>
          <w:sz w:val="26"/>
        </w:rPr>
        <w:t>5.6  Claims Ageing</w:t>
      </w:r>
    </w:p>
    <w:p>
      <w:pPr>
        <w:pStyle w:val="Normal"/>
        <w:spacing w:lineRule="auto" w:line="276" w:before="0" w:after="120"/>
        <w:rPr/>
      </w:pPr>
      <w:r>
        <w:rPr>
          <w:rFonts w:eastAsia="Segoe UI" w:cs="Segoe UI" w:ascii="Segoe UI" w:hAnsi="Segoe UI"/>
          <w:color w:val="101820"/>
          <w:sz w:val="21"/>
        </w:rPr>
        <w:t>Open claims by ageing bucket (optionally per insurer or agent) with estimate and approved amounts.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Claims 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Principal Insurer,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Agent, Ageing, Claims, Estimate, Approved, Average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Estimate, Approved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policies,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claims only (reports.claim_open_statuses), aged from the reported date to today's business date, bucketed by reports.claim_ageing_buckets.</w:t>
            </w:r>
          </w:p>
        </w:tc>
      </w:tr>
    </w:tbl>
    <w:p>
      <w:pPr>
        <w:pStyle w:val="Normal"/>
        <w:spacing w:before="0" w:after="80"/>
        <w:rPr/>
      </w:pPr>
      <w:r>
        <w:rPr/>
      </w:r>
    </w:p>
    <w:p>
      <w:pPr>
        <w:pStyle w:val="Heading2"/>
        <w:rPr/>
      </w:pPr>
      <w:bookmarkStart w:id="23" w:name="__RefHeading___Toc99337_4195859891"/>
      <w:bookmarkEnd w:id="23"/>
      <w:r>
        <w:rPr>
          <w:rFonts w:eastAsia="Segoe UI" w:cs="Segoe UI"/>
          <w:b/>
          <w:color w:val="0F4761"/>
          <w:sz w:val="26"/>
        </w:rPr>
        <w:t>5.7  Lead Conversion Funnel</w:t>
      </w:r>
    </w:p>
    <w:p>
      <w:pPr>
        <w:pStyle w:val="Normal"/>
        <w:spacing w:lineRule="auto" w:line="276" w:before="0" w:after="120"/>
        <w:rPr/>
      </w:pPr>
      <w:r>
        <w:rPr>
          <w:rFonts w:eastAsia="Segoe UI" w:cs="Segoe UI" w:ascii="Segoe UI" w:hAnsi="Segoe UI"/>
          <w:color w:val="101820"/>
          <w:sz w:val="21"/>
        </w:rPr>
        <w:t>Leads created in the period by stage with share and overall conversion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lead-conversion-funnel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Lead Conversion Funnel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Branch, Source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 Branch, Source, Stage, Leads, Share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Conversion rate (converted / all leads)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users, branches, products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created in the period (Prospects screen, leads bulk upload) and their current stage. Stage order follows reports.lead_funnel_stages.</w:t>
            </w:r>
          </w:p>
        </w:tc>
      </w:tr>
    </w:tbl>
    <w:p>
      <w:pPr>
        <w:pStyle w:val="Normal"/>
        <w:spacing w:before="0" w:after="80"/>
        <w:rPr/>
      </w:pPr>
      <w:r>
        <w:rPr/>
      </w:r>
    </w:p>
    <w:p>
      <w:pPr>
        <w:pStyle w:val="Heading2"/>
        <w:rPr/>
      </w:pPr>
      <w:bookmarkStart w:id="24" w:name="__RefHeading___Toc99339_4195859891"/>
      <w:bookmarkEnd w:id="24"/>
      <w:r>
        <w:rPr>
          <w:rFonts w:eastAsia="Segoe UI" w:cs="Segoe UI"/>
          <w:b/>
          <w:color w:val="0F4761"/>
          <w:sz w:val="26"/>
        </w:rPr>
        <w:t>5.8  Placement Pipeline</w:t>
      </w:r>
    </w:p>
    <w:p>
      <w:pPr>
        <w:pStyle w:val="Normal"/>
        <w:spacing w:lineRule="auto" w:line="276" w:before="0" w:after="120"/>
        <w:rPr/>
      </w:pPr>
      <w:r>
        <w:rPr>
          <w:rFonts w:eastAsia="Segoe UI" w:cs="Segoe UI" w:ascii="Segoe UI" w:hAnsi="Segoe UI"/>
          <w:color w:val="101820"/>
          <w:sz w:val="21"/>
        </w:rPr>
        <w:t>Broker slips and placement slips created in the period with status, lead insurer, sum insured, premium and age (open slips by age bucket).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placement-pipeline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Placement Pipeline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Slip Type, Status, Open by Age,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Slip, Slip No., Created, Status, Client / Insured, Product, LOB, Lead Insurer, Insurers, Agent, Sum Insured, Premium (best offer / gross), Age (days), Age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Premium (best offer / gross)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Placement slips, Open, Average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broker_slips, insurer_offers, placements, risk_participants,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 (broker slips) and placement slips created in the period. Age is frozen when a slip is closed, issued or cancelled. Open statuses and age buckets follow reports.placement_open_statuses and reports.placement_age_buckets.</w:t>
            </w:r>
          </w:p>
        </w:tc>
      </w:tr>
    </w:tbl>
    <w:p>
      <w:pPr>
        <w:pStyle w:val="Normal"/>
        <w:spacing w:before="0" w:after="80"/>
        <w:rPr/>
      </w:pPr>
      <w:r>
        <w:rPr/>
      </w:r>
    </w:p>
    <w:p>
      <w:pPr>
        <w:pStyle w:val="Heading2"/>
        <w:rPr/>
      </w:pPr>
      <w:bookmarkStart w:id="25" w:name="__RefHeading___Toc99341_4195859891"/>
      <w:bookmarkEnd w:id="25"/>
      <w:r>
        <w:rPr>
          <w:rFonts w:eastAsia="Segoe UI" w:cs="Segoe UI"/>
          <w:b/>
          <w:color w:val="0F4761"/>
          <w:sz w:val="26"/>
        </w:rPr>
        <w:t>5.9  Market Response</w:t>
      </w:r>
    </w:p>
    <w:p>
      <w:pPr>
        <w:pStyle w:val="Normal"/>
        <w:spacing w:lineRule="auto" w:line="276" w:before="0" w:after="120"/>
        <w:rPr/>
      </w:pPr>
      <w:r>
        <w:rPr>
          <w:rFonts w:eastAsia="Segoe UI" w:cs="Segoe UI" w:ascii="Segoe UI" w:hAnsi="Segoe UI"/>
          <w:color w:val="101820"/>
          <w:sz w:val="21"/>
        </w:rPr>
        <w:t>Insurers approached on broker slips in the period: offers, declines, pending, response rate, average response days, offers taken and hit ratio (offers taken / offers made).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market-response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Market Response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Line of Business,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LOB, Agent, Approached, Offers, Declined, Pending, Offers Taken, Response %, Hit Ratio %, Avg Response (days), Premium Offered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Approached, Offers, Declined, Pending, Offers Taken, Premium Offered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insurer_offers, broker_slips, insurance_companies,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approached on broker slips created in the period (Request for Quotation &gt; Submit / Add insurer) and their recorded answers (offered, declined, pending) and offer selection.</w:t>
            </w:r>
          </w:p>
        </w:tc>
      </w:tr>
    </w:tbl>
    <w:p>
      <w:pPr>
        <w:pStyle w:val="Normal"/>
        <w:spacing w:before="0" w:after="80"/>
        <w:rPr/>
      </w:pPr>
      <w:r>
        <w:rPr/>
      </w:r>
    </w:p>
    <w:p>
      <w:pPr>
        <w:pStyle w:val="Heading2"/>
        <w:rPr/>
      </w:pPr>
      <w:bookmarkStart w:id="26" w:name="__RefHeading___Toc99343_4195859891"/>
      <w:bookmarkEnd w:id="26"/>
      <w:r>
        <w:rPr>
          <w:rFonts w:eastAsia="Segoe UI" w:cs="Segoe UI"/>
          <w:b/>
          <w:color w:val="0F4761"/>
          <w:sz w:val="26"/>
        </w:rPr>
        <w:t>5.10  Reinsurance Cession Register</w:t>
      </w:r>
    </w:p>
    <w:p>
      <w:pPr>
        <w:pStyle w:val="Normal"/>
        <w:spacing w:lineRule="auto" w:line="276" w:before="0" w:after="120"/>
        <w:rPr/>
      </w:pPr>
      <w:r>
        <w:rPr>
          <w:rFonts w:eastAsia="Segoe UI" w:cs="Segoe UI" w:ascii="Segoe UI" w:hAnsi="Segoe UI"/>
          <w:color w:val="101820"/>
          <w:sz w:val="21"/>
        </w:rPr>
        <w:t>Cessions made in the period per treaty and policy: sum insured, ceded sum, ceded premium and share.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Reinsurance Cession 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Treaty, Reinsurer, Principal Insurer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Reinsurer, Type, Ceded On, Policy No., Client, Insurer, Sum Insured, Ceded Sum, Ceded Premium, Ceded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Ceded Sum, Ceded Premium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reinsurance_treaties, policies, clients, insurance_companies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recorded on Reinsurance &gt; Cession Tracking, selected on the cession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2"/>
        <w:gridCol w:w="1733"/>
        <w:gridCol w:w="1028"/>
        <w:gridCol w:w="1520"/>
        <w:gridCol w:w="1712"/>
        <w:gridCol w:w="1518"/>
      </w:tblGrid>
      <w:tr>
        <w:trPr>
          <w:tblHeader w:val="true"/>
        </w:trPr>
        <w:tc>
          <w:tcPr>
            <w:tcW w:w="1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Treaty</w:t>
            </w:r>
          </w:p>
        </w:tc>
        <w:tc>
          <w:tcPr>
            <w:tcW w:w="17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Reinsurer</w:t>
            </w:r>
          </w:p>
        </w:tc>
        <w:tc>
          <w:tcPr>
            <w:tcW w:w="10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Ceded On</w:t>
            </w:r>
          </w:p>
        </w:tc>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Sum Insured</w:t>
            </w:r>
          </w:p>
        </w:tc>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Ceded Sum</w:t>
            </w:r>
          </w:p>
        </w:tc>
      </w:tr>
      <w:tr>
        <w:trPr/>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Property Quota Share 2026</w:t>
            </w:r>
          </w:p>
        </w:tc>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Maharlika Reinsurance Corp.</w:t>
            </w:r>
          </w:p>
        </w:tc>
        <w:tc>
          <w:tcPr>
            <w:tcW w:w="10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July 2026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POL-2026-00051</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1,015,000,000.00</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304,500,000.00</w:t>
            </w:r>
          </w:p>
        </w:tc>
      </w:tr>
      <w:tr>
        <w:trPr/>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Property Quota Share 2026</w:t>
            </w:r>
          </w:p>
        </w:tc>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Maharlika Reinsurance Corp.</w:t>
            </w:r>
          </w:p>
        </w:tc>
        <w:tc>
          <w:tcPr>
            <w:tcW w:w="10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POL-2026-00046</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196,000,000.00</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58,800,000.00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1,211,000,000.00; Ceded Sum PHP 363,300,000.00; Ceded Premium PHP 662,084.30.</w:t>
      </w:r>
    </w:p>
    <w:p>
      <w:pPr>
        <w:pStyle w:val="Heading2"/>
        <w:rPr/>
      </w:pPr>
      <w:bookmarkStart w:id="27" w:name="__RefHeading___Toc99345_4195859891"/>
      <w:bookmarkEnd w:id="27"/>
      <w:r>
        <w:rPr>
          <w:rFonts w:eastAsia="Segoe UI" w:cs="Segoe UI"/>
          <w:b/>
          <w:color w:val="0F4761"/>
          <w:sz w:val="26"/>
        </w:rPr>
        <w:t>5.11  Co-insurance Register</w:t>
      </w:r>
    </w:p>
    <w:p>
      <w:pPr>
        <w:pStyle w:val="Normal"/>
        <w:spacing w:lineRule="auto" w:line="276" w:before="0" w:after="120"/>
        <w:rPr/>
      </w:pPr>
      <w:r>
        <w:rPr>
          <w:rFonts w:eastAsia="Segoe UI" w:cs="Segoe UI" w:ascii="Segoe UI" w:hAnsi="Segoe UI"/>
          <w:color w:val="101820"/>
          <w:sz w:val="21"/>
        </w:rPr>
        <w:t>Co-insured policies incepted in the period: every participating insurer with its role, share, premium, commission, premium taxes and premium due as booked on the bills.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coinsurance-register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Co-insurance 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Processing Team,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Co-insurer, Policy,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Inception, Client, Product, Lead Insurer, Insurer, Role, Share %, Sum Insured, Premium, Commission, Premium Taxes, Due to Insurer, Insurer Ref., Agent,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Premium, Commission, Premium Taxes, Due to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risk_participants, policies, receivable_participants, receivables, insurance_companies, clients,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Co-insured policies (more than one active participant) issued from placement slips or Record Issued Policy, selected on inception date. Amounts are those booked on the policy bills, else the participant row.</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19;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2960"/>
        <w:gridCol w:w="1134"/>
        <w:gridCol w:w="906"/>
        <w:gridCol w:w="1134"/>
        <w:gridCol w:w="1361"/>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29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Share %</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219,305.19</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25,851.30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131,583.12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15,510.78</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87,722.08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10,340.52</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POL-2026-00051</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664,760.36</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94,032.90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2,640,500,000.00; Premium PHP 5,724,755.84; Commission PHP 772,241.07; Premium Taxes PHP 1,143,638.68; Due to Insurer PHP 3,793,431.29.</w:t>
      </w:r>
      <w:r>
        <w:br w:type="page"/>
      </w:r>
    </w:p>
    <w:p>
      <w:pPr>
        <w:pStyle w:val="Heading1"/>
        <w:rPr/>
      </w:pPr>
      <w:bookmarkStart w:id="28" w:name="__RefHeading___Toc99347_4195859891"/>
      <w:bookmarkEnd w:id="28"/>
      <w:r>
        <w:rPr>
          <w:rFonts w:eastAsia="Segoe UI" w:cs="Segoe UI" w:ascii="Segoe UI" w:hAnsi="Segoe UI"/>
          <w:b/>
          <w:color w:val="0F4761"/>
          <w:sz w:val="32"/>
        </w:rPr>
        <w:t>6.  Financial reports</w:t>
      </w:r>
    </w:p>
    <w:p>
      <w:pPr>
        <w:pStyle w:val="Normal"/>
        <w:spacing w:lineRule="auto" w:line="276" w:before="0" w:after="120"/>
        <w:rPr/>
      </w:pPr>
      <w:r>
        <w:rPr>
          <w:rFonts w:eastAsia="Segoe UI" w:cs="Segoe UI" w:ascii="Segoe UI" w:hAnsi="Segoe UI"/>
          <w:color w:val="101820"/>
          <w:sz w:val="21"/>
        </w:rPr>
        <w:t xml:space="preserve">Financial reports read the receivables, receipts, vouchers and the general ledger. The ledger reports (Trial Balance, Trial Balance (Opening / Movement / Closing), General Ledger Detail, Income Statement, Balance Sheet) read posted journals only, except the Trial Balance, which reads the statuses in </w:t>
      </w:r>
      <w:r>
        <w:rPr>
          <w:rFonts w:eastAsia="Consolas" w:cs="Consolas" w:ascii="Consolas" w:hAnsi="Consolas"/>
          <w:color w:val="101820"/>
          <w:sz w:val="19"/>
        </w:rPr>
        <w:t>reports.trial_balance_statuses</w:t>
      </w:r>
      <w:r>
        <w:rPr>
          <w:rFonts w:eastAsia="Segoe UI" w:cs="Segoe UI" w:ascii="Segoe UI" w:hAnsi="Segoe UI"/>
          <w:color w:val="101820"/>
          <w:sz w:val="21"/>
        </w:rPr>
        <w:t>. Accounts &gt; Period End &gt; Financial Statements opens the same income statement, balance sheet, trial balance and GL detail.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3090"/>
        <w:gridCol w:w="3092"/>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0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 / Premium Receivable</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SOA/Premium Receivable</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Report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Collection Report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Receivables Ageing</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Receivable - Direct Bill</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Commission Receivable - Direct Bill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Receipts Register</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 Disbursement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Payables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Journal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Incentive Results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Due to Insurers by Co-insurer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Due to Insurers by Co-insurer</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Statement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Income Statement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 Sheet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Balance Sheet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(Opening / Movement / Closing)</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 Movement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General Ledger Detail</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General Ledger Detail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Aged Payables to Insurers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Aged Payables to Insurers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Status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Month-End Close Status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29" w:name="__RefHeading___Toc99349_4195859891"/>
      <w:bookmarkEnd w:id="29"/>
      <w:r>
        <w:rPr>
          <w:rFonts w:eastAsia="Segoe UI" w:cs="Segoe UI"/>
          <w:b/>
          <w:color w:val="0F4761"/>
          <w:sz w:val="26"/>
        </w:rPr>
        <w:t>6.1  SOA / Premium Receivable</w:t>
      </w:r>
    </w:p>
    <w:p>
      <w:pPr>
        <w:pStyle w:val="Normal"/>
        <w:spacing w:lineRule="auto" w:line="276" w:before="0" w:after="120"/>
        <w:rPr/>
      </w:pPr>
      <w:r>
        <w:rPr>
          <w:rFonts w:eastAsia="Segoe UI" w:cs="Segoe UI" w:ascii="Segoe UI" w:hAnsi="Segoe UI"/>
          <w:color w:val="101820"/>
          <w:sz w:val="21"/>
        </w:rPr>
        <w:t>Statement of account: premium bills issued in the period with amount, paid, balance, age and ageing bucket as of To Date.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premium-receivable-soa</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SOA/Premium Receivable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Bill No., Bill Date, Due Date, Policy No., Insurer, Agent, Branch, Amount, Paid, Balance,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Paid,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journal_vouchers (bill date),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raised at policy issue, endorsement and renewal (the bill date is the date of the booking journal), open items loaded at go-live; paid and balance move with official receipts. Ageing uses limits.receivable_ageing_buckets as of To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57;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8"/>
        <w:gridCol w:w="1518"/>
        <w:gridCol w:w="1706"/>
        <w:gridCol w:w="1707"/>
        <w:gridCol w:w="1036"/>
        <w:gridCol w:w="1037"/>
      </w:tblGrid>
      <w:tr>
        <w:trPr>
          <w:tblHeader w:val="true"/>
        </w:trPr>
        <w:tc>
          <w:tcPr>
            <w:tcW w:w="2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7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Date</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Paid</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Ana Ramos</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INV-2026-00025</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July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 August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46,063.53</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46,063.53</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Andrea Aguilar</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INV-2026-00021</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July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September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7,316.88</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7,316.88</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Angelica Evangelista</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INV-2026-00004</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04 September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November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42,307.03</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42,307.03</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Angelica Lim</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INV-2026-00022</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 September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January 2027</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3,757.50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3,757.50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PHP 10,683,995.70; Paid PHP 6,721,773.43; Balance PHP 3,962,222.27.</w:t>
      </w:r>
    </w:p>
    <w:p>
      <w:pPr>
        <w:pStyle w:val="Heading2"/>
        <w:rPr/>
      </w:pPr>
      <w:bookmarkStart w:id="30" w:name="__RefHeading___Toc99351_4195859891"/>
      <w:bookmarkEnd w:id="30"/>
      <w:r>
        <w:rPr>
          <w:rFonts w:eastAsia="Segoe UI" w:cs="Segoe UI"/>
          <w:b/>
          <w:color w:val="0F4761"/>
          <w:sz w:val="26"/>
        </w:rPr>
        <w:t>6.2  Collection Report</w:t>
      </w:r>
    </w:p>
    <w:p>
      <w:pPr>
        <w:pStyle w:val="Normal"/>
        <w:spacing w:lineRule="auto" w:line="276" w:before="0" w:after="120"/>
        <w:rPr/>
      </w:pPr>
      <w:r>
        <w:rPr>
          <w:rFonts w:eastAsia="Segoe UI" w:cs="Segoe UI" w:ascii="Segoe UI" w:hAnsi="Segoe UI"/>
          <w:color w:val="101820"/>
          <w:sz w:val="21"/>
        </w:rPr>
        <w:t>Bills due in the period with amount billed, collected (posted receipts up to To Date), balance and collection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Collection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No., Bill Date, Due Date, Policy No., Client, Insurer, Agent, Branch, Billed, Collected, Balance, Collection %,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Collected,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efficiency (collected / billed,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receipts,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Bills falling due in the period; Collected is the sum of posted official receipts on the bill received up to To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32;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36"/>
        <w:gridCol w:w="1654"/>
        <w:gridCol w:w="1928"/>
        <w:gridCol w:w="1245"/>
        <w:gridCol w:w="1247"/>
        <w:gridCol w:w="1003"/>
      </w:tblGrid>
      <w:tr>
        <w:trPr>
          <w:tblHeader w:val="true"/>
        </w:trPr>
        <w:tc>
          <w:tcPr>
            <w:tcW w:w="19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6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9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2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Billed</w:t>
            </w:r>
          </w:p>
        </w:tc>
        <w:tc>
          <w:tcPr>
            <w:tcW w:w="1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Collected</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INV-2026-00024</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June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Gonzales</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610.40</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INV-2026-00010</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June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47,817.13</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47,817.13</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INV-2026-00001</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July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INV-2026-00059</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04 July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2,235.71</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2,235.71</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Billed PHP 2,989,608.70; Collected PHP 2,543,696.72; Balance PHP 445,301.58.</w:t>
      </w:r>
    </w:p>
    <w:p>
      <w:pPr>
        <w:pStyle w:val="Normal"/>
        <w:spacing w:lineRule="auto" w:line="276" w:before="0" w:after="120"/>
        <w:rPr/>
      </w:pPr>
      <w:r>
        <w:rPr>
          <w:rFonts w:eastAsia="Segoe UI" w:cs="Segoe UI" w:ascii="Segoe UI" w:hAnsi="Segoe UI"/>
          <w:color w:val="101820"/>
          <w:sz w:val="21"/>
        </w:rPr>
        <w:t>Summary figures returned: Collection efficiency: 85.08%.</w:t>
      </w:r>
    </w:p>
    <w:p>
      <w:pPr>
        <w:pStyle w:val="Heading2"/>
        <w:rPr/>
      </w:pPr>
      <w:bookmarkStart w:id="31" w:name="__RefHeading___Toc99353_4195859891"/>
      <w:bookmarkEnd w:id="31"/>
      <w:r>
        <w:rPr>
          <w:rFonts w:eastAsia="Segoe UI" w:cs="Segoe UI"/>
          <w:b/>
          <w:color w:val="0F4761"/>
          <w:sz w:val="26"/>
        </w:rPr>
        <w:t>6.3  Receivables Ageing</w:t>
      </w:r>
    </w:p>
    <w:p>
      <w:pPr>
        <w:pStyle w:val="Normal"/>
        <w:spacing w:lineRule="auto" w:line="276" w:before="0" w:after="120"/>
        <w:rPr/>
      </w:pPr>
      <w:r>
        <w:rPr>
          <w:rFonts w:eastAsia="Segoe UI" w:cs="Segoe UI" w:ascii="Segoe UI" w:hAnsi="Segoe UI"/>
          <w:color w:val="101820"/>
          <w:sz w:val="21"/>
        </w:rPr>
        <w:t>Outstanding premium receivables as of To Date by ageing bucket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Receivables Ageing (definition screen: Accounts &gt; Collections &gt; Aging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Overall, Agent, Principal Insurer, Branch, Client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Bill No., Bill Date, Due Date, Policy No., Insurer, Agent, Branch, Amount, Paid, Balance,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Paid,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journal_vouchers,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premium bills (balance above zero, not written off) dated up to To Date, aged from the due date. Buckets: limits.receivable_ageing_buckets.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Ageing Bucket, 01 January 2026 to 30 September 2026, first rows of 12;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0"/>
        <w:gridCol w:w="1519"/>
        <w:gridCol w:w="1289"/>
        <w:gridCol w:w="1134"/>
        <w:gridCol w:w="975"/>
        <w:gridCol w:w="906"/>
      </w:tblGrid>
      <w:tr>
        <w:trPr>
          <w:tblHeader w:val="true"/>
        </w:trPr>
        <w:tc>
          <w:tcPr>
            <w:tcW w:w="31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2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c>
          <w:tcPr>
            <w:tcW w:w="9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 (days)</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Ageing</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Liwayway Printing and Packaging Corp.</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INV-2026-00055</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 July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342,819.14</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61-90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Jose Mendoza</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INV-2026-00005</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5,535.38</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Camille Bautista</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INV-2026-00030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300.40</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Tagumpay Construction Supply Inc.</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INV-2026-00049</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96,646.66</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PHP 5,012,253.80; Paid PHP 1,050,031.53; Balance PHP 3,962,222.27.</w:t>
      </w:r>
    </w:p>
    <w:p>
      <w:pPr>
        <w:pStyle w:val="Heading2"/>
        <w:rPr/>
      </w:pPr>
      <w:bookmarkStart w:id="32" w:name="__RefHeading___Toc99355_4195859891"/>
      <w:bookmarkEnd w:id="32"/>
      <w:r>
        <w:rPr>
          <w:rFonts w:eastAsia="Segoe UI" w:cs="Segoe UI"/>
          <w:b/>
          <w:color w:val="0F4761"/>
          <w:sz w:val="26"/>
        </w:rPr>
        <w:t>6.4  Commission Receivable - Direct Bill</w:t>
      </w:r>
    </w:p>
    <w:p>
      <w:pPr>
        <w:pStyle w:val="Normal"/>
        <w:spacing w:lineRule="auto" w:line="276" w:before="0" w:after="120"/>
        <w:rPr/>
      </w:pPr>
      <w:r>
        <w:rPr>
          <w:rFonts w:eastAsia="Segoe UI" w:cs="Segoe UI" w:ascii="Segoe UI" w:hAnsi="Segoe UI"/>
          <w:color w:val="101820"/>
          <w:sz w:val="21"/>
        </w:rPr>
        <w:t>Commission (with VAT) due from insurers on direct-bill policies, where the client pays the insurer: unbilled, on a debit note, partially collected or collected, with the outstanding share and ageing as of To Date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direct-bill-commission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Commission Receivable - Direct Bill (definition screen: Accounts &gt; Remittance &gt; Direct Bill Processing)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Principle Insurance, Outstanding, Overall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Policy No., Reference, Insured, Product, Booked, Debit Note, Due Date, Gross Premium, Commission, VAT, Total Due, Outstanding,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Gross Premium, Commission, VAT, Total Due, Outstanding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direct_bill_items, commission_debit_notes, policies, endorsements,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policies and endorsements (client pays the insurer) create commission items; Direct Bill Processing raises the commission debit note, and insurer collections reduce its balance. The Overall criterion lists items booked in the period; the other criteria list everything still outstanding at To Date.</w:t>
            </w:r>
          </w:p>
        </w:tc>
      </w:tr>
    </w:tbl>
    <w:p>
      <w:pPr>
        <w:pStyle w:val="Normal"/>
        <w:spacing w:before="0" w:after="80"/>
        <w:rPr/>
      </w:pPr>
      <w:r>
        <w:rPr/>
      </w:r>
    </w:p>
    <w:p>
      <w:pPr>
        <w:pStyle w:val="Heading2"/>
        <w:rPr/>
      </w:pPr>
      <w:bookmarkStart w:id="33" w:name="__RefHeading___Toc99357_4195859891"/>
      <w:bookmarkEnd w:id="33"/>
      <w:r>
        <w:rPr>
          <w:rFonts w:eastAsia="Segoe UI" w:cs="Segoe UI"/>
          <w:b/>
          <w:color w:val="0F4761"/>
          <w:sz w:val="26"/>
        </w:rPr>
        <w:t>6.5  Receipts Register</w:t>
      </w:r>
    </w:p>
    <w:p>
      <w:pPr>
        <w:pStyle w:val="Normal"/>
        <w:spacing w:lineRule="auto" w:line="276" w:before="0" w:after="120"/>
        <w:rPr/>
      </w:pPr>
      <w:r>
        <w:rPr>
          <w:rFonts w:eastAsia="Segoe UI" w:cs="Segoe UI" w:ascii="Segoe UI" w:hAnsi="Segoe UI"/>
          <w:color w:val="101820"/>
          <w:sz w:val="21"/>
        </w:rPr>
        <w:t>Official receipts received in the period with bill, policy, payment mode, bank and reference.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Receipts Register (definition screen: Accounts &gt; Receipts)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Payment Mode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No., Received, Bill No., Policy No., Client, Insurer, Agent, Branch, Mode, Bank, Reference, Amount,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receivables, policies, clients, products, insurance_companies, users, branches, banks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issued on Accounts &gt; Receipts, receipts bulk upload, verified premium payments and online payment links. Selected on the received date.</w:t>
            </w:r>
          </w:p>
        </w:tc>
      </w:tr>
    </w:tbl>
    <w:p>
      <w:pPr>
        <w:pStyle w:val="Normal"/>
        <w:spacing w:before="0" w:after="80"/>
        <w:rPr/>
      </w:pPr>
      <w:r>
        <w:rPr/>
      </w:r>
    </w:p>
    <w:p>
      <w:pPr>
        <w:pStyle w:val="Heading2"/>
        <w:rPr/>
      </w:pPr>
      <w:bookmarkStart w:id="34" w:name="__RefHeading___Toc99359_4195859891"/>
      <w:bookmarkEnd w:id="34"/>
      <w:r>
        <w:rPr>
          <w:rFonts w:eastAsia="Segoe UI" w:cs="Segoe UI"/>
          <w:b/>
          <w:color w:val="0F4761"/>
          <w:sz w:val="26"/>
        </w:rPr>
        <w:t>6.6  Payables / Disbursement Register</w:t>
      </w:r>
    </w:p>
    <w:p>
      <w:pPr>
        <w:pStyle w:val="Normal"/>
        <w:spacing w:lineRule="auto" w:line="276" w:before="0" w:after="120"/>
        <w:rPr/>
      </w:pPr>
      <w:r>
        <w:rPr>
          <w:rFonts w:eastAsia="Segoe UI" w:cs="Segoe UI" w:ascii="Segoe UI" w:hAnsi="Segoe UI"/>
          <w:color w:val="101820"/>
          <w:sz w:val="21"/>
        </w:rPr>
        <w:t>Payment vouchers raised in the period (insurers, agents, clients, vendors) with approval and payment dates.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Payables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Payee Type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Voucher No., Date, Payee Type, Payee, Purpose, Mode, Bank, Reference, Amount, Status, Approved, Paid,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 banks, users,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created on Accounts &gt; Disbursement (single, bulk upload, Bulk Disburse for referrers), with approval and payment dates. Agent, insurer and client columns are filled according to the payee type.</w:t>
            </w:r>
          </w:p>
        </w:tc>
      </w:tr>
    </w:tbl>
    <w:p>
      <w:pPr>
        <w:pStyle w:val="Normal"/>
        <w:spacing w:before="0" w:after="80"/>
        <w:rPr/>
      </w:pPr>
      <w:r>
        <w:rPr/>
      </w:r>
    </w:p>
    <w:p>
      <w:pPr>
        <w:pStyle w:val="Heading2"/>
        <w:rPr/>
      </w:pPr>
      <w:bookmarkStart w:id="35" w:name="__RefHeading___Toc99361_4195859891"/>
      <w:bookmarkEnd w:id="35"/>
      <w:r>
        <w:rPr>
          <w:rFonts w:eastAsia="Segoe UI" w:cs="Segoe UI"/>
          <w:b/>
          <w:color w:val="0F4761"/>
          <w:sz w:val="26"/>
        </w:rPr>
        <w:t>6.7  Journal Register</w:t>
      </w:r>
    </w:p>
    <w:p>
      <w:pPr>
        <w:pStyle w:val="Normal"/>
        <w:spacing w:lineRule="auto" w:line="276" w:before="0" w:after="120"/>
        <w:rPr/>
      </w:pPr>
      <w:r>
        <w:rPr>
          <w:rFonts w:eastAsia="Segoe UI" w:cs="Segoe UI" w:ascii="Segoe UI" w:hAnsi="Segoe UI"/>
          <w:color w:val="101820"/>
          <w:sz w:val="21"/>
        </w:rPr>
        <w:t>Journal voucher lines dated in the period with account, debit, credit and memo.</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Journal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JV No., JV Date, Description, Status, Account, Account Name, Debit, Credit, Memo,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journal dated in the period whatever its status (system journals from the posting rules, manual, correction and reversal JVs, recurring and close journals). Filter Status to restrict.</w:t>
            </w:r>
          </w:p>
        </w:tc>
      </w:tr>
    </w:tbl>
    <w:p>
      <w:pPr>
        <w:pStyle w:val="Normal"/>
        <w:spacing w:before="0" w:after="80"/>
        <w:rPr/>
      </w:pPr>
      <w:r>
        <w:rPr/>
      </w:r>
    </w:p>
    <w:p>
      <w:pPr>
        <w:pStyle w:val="Heading2"/>
        <w:rPr/>
      </w:pPr>
      <w:bookmarkStart w:id="36" w:name="__RefHeading___Toc99363_4195859891"/>
      <w:bookmarkEnd w:id="36"/>
      <w:r>
        <w:rPr>
          <w:rFonts w:eastAsia="Segoe UI" w:cs="Segoe UI"/>
          <w:b/>
          <w:color w:val="0F4761"/>
          <w:sz w:val="26"/>
        </w:rPr>
        <w:t>6.8  Trial Balance</w:t>
      </w:r>
    </w:p>
    <w:p>
      <w:pPr>
        <w:pStyle w:val="Normal"/>
        <w:spacing w:lineRule="auto" w:line="276" w:before="0" w:after="120"/>
        <w:rPr/>
      </w:pPr>
      <w:r>
        <w:rPr>
          <w:rFonts w:eastAsia="Segoe UI" w:cs="Segoe UI" w:ascii="Segoe UI" w:hAnsi="Segoe UI"/>
          <w:color w:val="101820"/>
          <w:sz w:val="21"/>
        </w:rPr>
        <w:t>Per account: opening balance before From Date, period debits and credits, and closing debit / credit balance as of To Date (approved and posted JVs).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trial-balance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Branch, Account, Account Name, Opening Balance, Debit,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 Debit,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Balanced (closing debit =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with a status in reports.trial_balance_statuses (approved, posted) dated up to To Date. Opening is everything before From Date. Does not read go-live opening balances (use Trial Balance (Opening / Movement / Closing) for that).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17;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2709"/>
        <w:gridCol w:w="1226"/>
        <w:gridCol w:w="1422"/>
        <w:gridCol w:w="1327"/>
        <w:gridCol w:w="1327"/>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27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2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Opening Balance</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Debit</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Credit</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Closing Debit</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1101001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on Hand</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Operating Account</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9,927,367.08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2,880,629.78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7,046,737.30</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1102002</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E-wallet Clearing (GCash)</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1202001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Premiums Receivable - Direct Clients</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10,683,995.70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6,689,954.68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3,994,041.02</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Opening Balance PHP 0.00; Debit PHP 23,967,498.75; Credit PHP 23,967,498.75; Closing Debit PHP 11,481,693.20; Closing Credit PHP 11,481,693.20.</w:t>
      </w:r>
    </w:p>
    <w:p>
      <w:pPr>
        <w:pStyle w:val="Normal"/>
        <w:spacing w:lineRule="auto" w:line="276" w:before="0" w:after="120"/>
        <w:rPr/>
      </w:pPr>
      <w:r>
        <w:rPr>
          <w:rFonts w:eastAsia="Segoe UI" w:cs="Segoe UI" w:ascii="Segoe UI" w:hAnsi="Segoe UI"/>
          <w:color w:val="101820"/>
          <w:sz w:val="21"/>
        </w:rPr>
        <w:t>Summary figures returned: Balanced: yes.</w:t>
      </w:r>
    </w:p>
    <w:p>
      <w:pPr>
        <w:pStyle w:val="Heading2"/>
        <w:rPr/>
      </w:pPr>
      <w:bookmarkStart w:id="37" w:name="__RefHeading___Toc99365_4195859891"/>
      <w:bookmarkEnd w:id="37"/>
      <w:r>
        <w:rPr>
          <w:rFonts w:eastAsia="Segoe UI" w:cs="Segoe UI"/>
          <w:b/>
          <w:color w:val="0F4761"/>
          <w:sz w:val="26"/>
        </w:rPr>
        <w:t>6.9  Incentive Results</w:t>
      </w:r>
    </w:p>
    <w:p>
      <w:pPr>
        <w:pStyle w:val="Normal"/>
        <w:spacing w:lineRule="auto" w:line="276" w:before="0" w:after="120"/>
        <w:rPr/>
      </w:pPr>
      <w:r>
        <w:rPr>
          <w:rFonts w:eastAsia="Segoe UI" w:cs="Segoe UI" w:ascii="Segoe UI" w:hAnsi="Segoe UI"/>
          <w:color w:val="101820"/>
          <w:sz w:val="21"/>
        </w:rPr>
        <w:t>Incentive programme results for programmes active in the period: target, achieved, achievement % and payout per agent.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incentive-results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Incentive Results (definition screen: incentive reports, /incentive/reports)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Program, Agent,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Programme, Metric, Period, Agent, Branch, Target, Achieved, Achievement %, Payout,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incentive_results, incentive_programs,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calculations of programmes active in the period (Accounts &gt; Incentive &gt; Calculations and Approvals).</w:t>
            </w:r>
          </w:p>
        </w:tc>
      </w:tr>
    </w:tbl>
    <w:p>
      <w:pPr>
        <w:pStyle w:val="Normal"/>
        <w:spacing w:before="0" w:after="80"/>
        <w:rPr/>
      </w:pPr>
      <w:r>
        <w:rPr/>
      </w:r>
    </w:p>
    <w:p>
      <w:pPr>
        <w:pStyle w:val="Heading2"/>
        <w:rPr/>
      </w:pPr>
      <w:bookmarkStart w:id="38" w:name="__RefHeading___Toc99367_4195859891"/>
      <w:bookmarkEnd w:id="38"/>
      <w:r>
        <w:rPr>
          <w:rFonts w:eastAsia="Segoe UI" w:cs="Segoe UI"/>
          <w:b/>
          <w:color w:val="0F4761"/>
          <w:sz w:val="26"/>
        </w:rPr>
        <w:t>6.10  Due to Insurers by Co-insurer</w:t>
      </w:r>
    </w:p>
    <w:p>
      <w:pPr>
        <w:pStyle w:val="Normal"/>
        <w:spacing w:lineRule="auto" w:line="276" w:before="0" w:after="120"/>
        <w:rPr/>
      </w:pPr>
      <w:r>
        <w:rPr>
          <w:rFonts w:eastAsia="Segoe UI" w:cs="Segoe UI" w:ascii="Segoe UI" w:hAnsi="Segoe UI"/>
          <w:color w:val="101820"/>
          <w:sz w:val="21"/>
        </w:rPr>
        <w:t>Premium due to each insurer on bills issued in the period (co-insured bills split per participant, net of that insurer's commission): due, collected from clients, remitted and still held for the insurer.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due-to-insurers-by-coinsurer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Due to Insurers by 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Co-insurer, Co-insurer and Policy, Placement (default 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Placement, Policy No., Bills, Premium, Commission, Due to Insurer, Collected, Remitted, Held for Insurer, Not yet Collected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Bills, Premium, Commission, Due to Insurer, Collected, Remitted, Held for Insurer, Not yet Collected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receivable_participants, receipt_applications, remittance_allocations, policies, insurance_companies, clients,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(per participant on co-insured bills), receipts applied to them (collected share, pro rata) and remittances to the insurers (remitted). Held for Insurer = collected minus remitted; Not yet Collected = due minus collected.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Co-insurer, 01 January 2026 to 30 September 2026, first rows of 7;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9"/>
        <w:gridCol w:w="907"/>
        <w:gridCol w:w="1327"/>
        <w:gridCol w:w="1361"/>
        <w:gridCol w:w="1353"/>
        <w:gridCol w:w="1327"/>
      </w:tblGrid>
      <w:tr>
        <w:trPr>
          <w:tblHeader w:val="true"/>
        </w:trPr>
        <w:tc>
          <w:tcPr>
            <w:tcW w:w="27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Bills</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c>
          <w:tcPr>
            <w:tcW w:w="1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to Insurer</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Collected</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4,278,573.68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637,329.26</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3,641,244.42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2,159,586.33</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3,340,738.42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453,769.25</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2,886,969.17</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2,012,887.88</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1,647,934.33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208,147.14</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1,439,787.19</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652,989.69</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509,785.83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70,773.85</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439,011.98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439,011.98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Premium PHP 10,683,995.70; Commission PHP 1,486,526.26; Due to Insurer PHP 9,197,469.44; Collected PHP 5,783,616.68; Remitted PHP 5,042,409.93; Held for Insurer PHP 741,206.75; Not yet Collected PHP 3,413,852.76.</w:t>
      </w:r>
    </w:p>
    <w:p>
      <w:pPr>
        <w:pStyle w:val="Heading2"/>
        <w:rPr/>
      </w:pPr>
      <w:bookmarkStart w:id="39" w:name="__RefHeading___Toc99369_4195859891"/>
      <w:bookmarkEnd w:id="39"/>
      <w:r>
        <w:rPr>
          <w:rFonts w:eastAsia="Segoe UI" w:cs="Segoe UI"/>
          <w:b/>
          <w:color w:val="0F4761"/>
          <w:sz w:val="26"/>
        </w:rPr>
        <w:t>6.11  Income Statement</w:t>
      </w:r>
    </w:p>
    <w:p>
      <w:pPr>
        <w:pStyle w:val="Normal"/>
        <w:spacing w:lineRule="auto" w:line="276" w:before="0" w:after="120"/>
        <w:rPr/>
      </w:pPr>
      <w:r>
        <w:rPr>
          <w:rFonts w:eastAsia="Segoe UI" w:cs="Segoe UI" w:ascii="Segoe UI" w:hAnsi="Segoe UI"/>
          <w:color w:val="101820"/>
          <w:sz w:val="21"/>
        </w:rPr>
        <w:t>Revenue and expenses for the period and fiscal year to date (from the fiscal year start of To Date), with the same periods of the prior year. Year-end closing entries are left out; net income is in the summary.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income-statement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Income Statement; Accounts &gt; Period End &gt; Financial Statements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Summary (default Detailed)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Account, Account Name, Current Period, Year to Date, Prior Year Period, Prior Year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income (period, year to date, prior period, prior year to date), Total income, Total expense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fiscal_years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on income and expense accounts. Year-end closing journals are left out so a closed year still shows its result.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Detailed, 01 January 2026 to 30 September 2026, first rows of 4;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60"/>
        <w:gridCol w:w="1002"/>
        <w:gridCol w:w="2578"/>
        <w:gridCol w:w="1441"/>
        <w:gridCol w:w="132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7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Statement Group</w:t>
            </w:r>
          </w:p>
        </w:tc>
        <w:tc>
          <w:tcPr>
            <w:tcW w:w="1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25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4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Current Period</w:t>
            </w:r>
          </w:p>
        </w:tc>
        <w:tc>
          <w:tcPr>
            <w:tcW w:w="1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to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Revenue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3201001</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Brokerage Commission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1,505,381.85</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1,505,381.85</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Other Income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3301001</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Interest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4,942.25</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4,942.25</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expense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Operating Expenses</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4401004</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Charges</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750.00</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expense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 Tax</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4601002</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Tax on Interest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988.46</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988.46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Net income: PHP 1,508,585.64; Net income year to date: PHP 1,508,585.64; Prior net income: PHP 0.00; Prior net income year to date: PHP 0.00; Total income: PHP 1,510,324.10; Total expense: PHP 1,738.46.</w:t>
      </w:r>
    </w:p>
    <w:p>
      <w:pPr>
        <w:pStyle w:val="Heading2"/>
        <w:rPr/>
      </w:pPr>
      <w:bookmarkStart w:id="40" w:name="__RefHeading___Toc99371_4195859891"/>
      <w:bookmarkEnd w:id="40"/>
      <w:r>
        <w:rPr>
          <w:rFonts w:eastAsia="Segoe UI" w:cs="Segoe UI"/>
          <w:b/>
          <w:color w:val="0F4761"/>
          <w:sz w:val="26"/>
        </w:rPr>
        <w:t>6.12  Balance Sheet</w:t>
      </w:r>
    </w:p>
    <w:p>
      <w:pPr>
        <w:pStyle w:val="Normal"/>
        <w:spacing w:lineRule="auto" w:line="276" w:before="0" w:after="120"/>
        <w:rPr/>
      </w:pPr>
      <w:r>
        <w:rPr>
          <w:rFonts w:eastAsia="Segoe UI" w:cs="Segoe UI" w:ascii="Segoe UI" w:hAnsi="Segoe UI"/>
          <w:color w:val="101820"/>
          <w:sz w:val="21"/>
        </w:rPr>
        <w:t>Assets, liabilities and equity as of To Date with the balances at the end of the previous fiscal year; income and expense not yet closed show as current year earnings. The summary checks assets = liabilities + equity.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balance-sheet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Balance Sheet; Accounts &gt; Period End &gt; Financial Statements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Summary (default Detailed)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Account, Account Name, Balance, Prior Year End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assets, Total liabilities, Total equity, Total liabilities and equity, Difference (must be 0), Prior year-end totals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fiscal_years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up to To Date. Income and expense not yet closed appear as one equity line, Current year earnings (not yet closed).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Detailed, 01 January 2026 to 30 September 2026, first rows of 14;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397"/>
        <w:gridCol w:w="1004"/>
        <w:gridCol w:w="3143"/>
        <w:gridCol w:w="1327"/>
        <w:gridCol w:w="123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3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Statement Group</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31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c>
          <w:tcPr>
            <w:tcW w:w="12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Prior Year End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1101001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on Hand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Operating Account</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7,046,737.30</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1102002</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E-wallet Clearing (GCash)</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1202001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Premiums Receivable - Direct Clients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3,994,041.02</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Total assets: PHP 11,479,954.74; Total liabilities: PHP 6,471,369.10; Total equity: PHP 5,008,585.64; Total liabilities and equity: PHP 11,479,954.74; Difference: PHP 0.00; Prior total assets: PHP 0.00; Prior total liabilities and equity: PHP 0.00.</w:t>
      </w:r>
    </w:p>
    <w:p>
      <w:pPr>
        <w:pStyle w:val="Heading2"/>
        <w:rPr/>
      </w:pPr>
      <w:bookmarkStart w:id="41" w:name="__RefHeading___Toc99373_4195859891"/>
      <w:bookmarkEnd w:id="41"/>
      <w:r>
        <w:rPr>
          <w:rFonts w:eastAsia="Segoe UI" w:cs="Segoe UI"/>
          <w:b/>
          <w:color w:val="0F4761"/>
          <w:sz w:val="26"/>
        </w:rPr>
        <w:t>6.13  Trial Balance (Opening / Movement / Closing)</w:t>
      </w:r>
    </w:p>
    <w:p>
      <w:pPr>
        <w:pStyle w:val="Normal"/>
        <w:spacing w:lineRule="auto" w:line="276" w:before="0" w:after="120"/>
        <w:rPr/>
      </w:pPr>
      <w:r>
        <w:rPr>
          <w:rFonts w:eastAsia="Segoe UI" w:cs="Segoe UI" w:ascii="Segoe UI" w:hAnsi="Segoe UI"/>
          <w:color w:val="101820"/>
          <w:sz w:val="21"/>
        </w:rPr>
        <w:t>Per account: opening balance at From Date (opening balances of the fiscal year plus earlier movements), debits and credits of the period and the closing balance at To Date, from posted journals.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trial-balance-ocm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 Movement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Account Type, Statement Group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Account Name, Type, Statement Group, Opening Debit, Opening Credit, Period Debit, Period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Debit, Opening Credit, Period Debit, Period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Balanced, Opening balanced, Net income (closing), Period net income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gl_accounts, journal_lines, journal_vouchers, opening_balances (through pe_balance_before)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opening balance at From Date includes the fiscal year opening balances (go-live load or year-end carry forward).</w:t>
            </w:r>
          </w:p>
        </w:tc>
      </w:tr>
    </w:tbl>
    <w:p>
      <w:pPr>
        <w:pStyle w:val="Normal"/>
        <w:spacing w:before="0" w:after="80"/>
        <w:rPr/>
      </w:pPr>
      <w:r>
        <w:rPr/>
      </w:r>
    </w:p>
    <w:p>
      <w:pPr>
        <w:pStyle w:val="Heading2"/>
        <w:rPr/>
      </w:pPr>
      <w:bookmarkStart w:id="42" w:name="__RefHeading___Toc99375_4195859891"/>
      <w:bookmarkEnd w:id="42"/>
      <w:r>
        <w:rPr>
          <w:rFonts w:eastAsia="Segoe UI" w:cs="Segoe UI"/>
          <w:b/>
          <w:color w:val="0F4761"/>
          <w:sz w:val="26"/>
        </w:rPr>
        <w:t>6.14  General Ledger Detail</w:t>
      </w:r>
    </w:p>
    <w:p>
      <w:pPr>
        <w:pStyle w:val="Normal"/>
        <w:spacing w:lineRule="auto" w:line="276" w:before="0" w:after="120"/>
        <w:rPr/>
      </w:pPr>
      <w:r>
        <w:rPr>
          <w:rFonts w:eastAsia="Segoe UI" w:cs="Segoe UI" w:ascii="Segoe UI" w:hAnsi="Segoe UI"/>
          <w:color w:val="101820"/>
          <w:sz w:val="21"/>
        </w:rPr>
        <w:t>Per account: the opening balance at From Date, every posted movement of the period with its journal, and the running (closing) balance.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General Ledger 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Overall (default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Account Name, Date, Period, Journal No., Description, Source, Opening Balance, Debit, Credit,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gl_accounts, journal_lines, journal_vouchers, opening_balances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of the period, with an opening balance line per account and a running balance.</w:t>
            </w:r>
          </w:p>
        </w:tc>
      </w:tr>
    </w:tbl>
    <w:p>
      <w:pPr>
        <w:pStyle w:val="Normal"/>
        <w:spacing w:before="0" w:after="80"/>
        <w:rPr/>
      </w:pPr>
      <w:r>
        <w:rPr/>
      </w:r>
    </w:p>
    <w:p>
      <w:pPr>
        <w:pStyle w:val="Heading2"/>
        <w:rPr/>
      </w:pPr>
      <w:bookmarkStart w:id="43" w:name="__RefHeading___Toc99377_4195859891"/>
      <w:bookmarkEnd w:id="43"/>
      <w:r>
        <w:rPr>
          <w:rFonts w:eastAsia="Segoe UI" w:cs="Segoe UI"/>
          <w:b/>
          <w:color w:val="0F4761"/>
          <w:sz w:val="26"/>
        </w:rPr>
        <w:t>6.15  Aged Payables to Insurers</w:t>
      </w:r>
    </w:p>
    <w:p>
      <w:pPr>
        <w:pStyle w:val="Normal"/>
        <w:spacing w:lineRule="auto" w:line="276" w:before="0" w:after="120"/>
        <w:rPr/>
      </w:pPr>
      <w:r>
        <w:rPr>
          <w:rFonts w:eastAsia="Segoe UI" w:cs="Segoe UI" w:ascii="Segoe UI" w:hAnsi="Segoe UI"/>
          <w:color w:val="101820"/>
          <w:sz w:val="21"/>
        </w:rPr>
        <w:t>Premiums payable to insurers not yet remitted (open payables) aged from the payable date as of To Date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aged-payables-insurers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Aged Payables to Insurers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Principal Insurer, Overall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Company (principal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No., Payable Date, Policy No., Insurer, Client, Amount, Outstanding, Age (days), Ageing Bucket,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Outstanding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invoice_lists,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lines to insurer payees entered on the Disbursement screen (invoice lists) that are open or in a voucher and still have an outstanding amount, aged from the date the line was created.</w:t>
            </w:r>
          </w:p>
        </w:tc>
      </w:tr>
    </w:tbl>
    <w:p>
      <w:pPr>
        <w:pStyle w:val="Normal"/>
        <w:spacing w:before="0" w:after="80"/>
        <w:rPr/>
      </w:pPr>
      <w:r>
        <w:rPr/>
      </w:r>
    </w:p>
    <w:p>
      <w:pPr>
        <w:pStyle w:val="Heading2"/>
        <w:rPr/>
      </w:pPr>
      <w:bookmarkStart w:id="44" w:name="__RefHeading___Toc99379_4195859891"/>
      <w:bookmarkEnd w:id="44"/>
      <w:r>
        <w:rPr>
          <w:rFonts w:eastAsia="Segoe UI" w:cs="Segoe UI"/>
          <w:b/>
          <w:color w:val="0F4761"/>
          <w:sz w:val="26"/>
        </w:rPr>
        <w:t>6.16  Month-End Close Status</w:t>
      </w:r>
    </w:p>
    <w:p>
      <w:pPr>
        <w:pStyle w:val="Normal"/>
        <w:spacing w:lineRule="auto" w:line="276" w:before="0" w:after="120"/>
        <w:rPr/>
      </w:pPr>
      <w:r>
        <w:rPr>
          <w:rFonts w:eastAsia="Segoe UI" w:cs="Segoe UI" w:ascii="Segoe UI" w:hAnsi="Segoe UI"/>
          <w:color w:val="101820"/>
          <w:sz w:val="21"/>
        </w:rPr>
        <w:t>Accounting periods overlapping the date range with their status, latest month-end close run, failed checks, generated journals and who prepared and approved the close.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month-end-close-status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Month-End Close Status; Accounts &gt; Period End &gt; Month-End Close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Fiscal Year, Period Status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 Period, No., Start, End, Period Status, Close Run, Run Status, Blocking Failures, Warnings, Journals, Prepared By, Prepared At, Approved By, Approved At, Closed At, Bank Recs Approved / Required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Blocking Failures, Warnings, Journals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accounting_periods, period_close_runs, period_close_run_checks, period_close_entries, bank_reconciliations, bank_account_links,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periods (Period Management) and month-end close runs (Month-End Close: execute, sign, submit, approve).</w:t>
            </w:r>
          </w:p>
        </w:tc>
      </w:tr>
    </w:tbl>
    <w:p>
      <w:pPr>
        <w:pStyle w:val="Normal"/>
        <w:spacing w:before="0" w:after="80"/>
        <w:rPr/>
      </w:pPr>
      <w:r>
        <w:rPr/>
      </w:r>
      <w:r>
        <w:br w:type="page"/>
      </w:r>
    </w:p>
    <w:p>
      <w:pPr>
        <w:pStyle w:val="Heading1"/>
        <w:rPr/>
      </w:pPr>
      <w:bookmarkStart w:id="45" w:name="__RefHeading___Toc99381_4195859891"/>
      <w:bookmarkEnd w:id="45"/>
      <w:r>
        <w:rPr>
          <w:rFonts w:eastAsia="Segoe UI" w:cs="Segoe UI" w:ascii="Segoe UI" w:hAnsi="Segoe UI"/>
          <w:b/>
          <w:color w:val="0F4761"/>
          <w:sz w:val="32"/>
        </w:rPr>
        <w:t>7.  Tax reports (BIR)</w:t>
      </w:r>
    </w:p>
    <w:p>
      <w:pPr>
        <w:pStyle w:val="Normal"/>
        <w:spacing w:lineRule="auto" w:line="276" w:before="0" w:after="120"/>
        <w:rPr/>
      </w:pPr>
      <w:r>
        <w:rPr>
          <w:rFonts w:eastAsia="Segoe UI" w:cs="Segoe UI" w:ascii="Segoe UI" w:hAnsi="Segoe UI"/>
          <w:color w:val="101820"/>
          <w:sz w:val="21"/>
        </w:rPr>
        <w:t>The BIR reports are working papers prepared from the ledger and the documents: they give the figures and the column layout of the BIR forms and alphalists. They do not produce the BIR DAT files or e-file anything; the CSV or Excel output is the input for the BIR validation module or eFPS preparation. All are under Accounts &gt; Tax and are restricted to Accounting.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53"/>
        <w:gridCol w:w="2518"/>
        <w:gridCol w:w="2842"/>
      </w:tblGrid>
      <w:tr>
        <w:trPr>
          <w:tblHeader w:val="true"/>
        </w:trPr>
        <w:tc>
          <w:tcPr>
            <w:tcW w:w="3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2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8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VAT Summary</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 Summary Alphalist of Withholding Taxes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SAWT</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 - Quarterly Alphalist of Payees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QAP</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Sales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Purchases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Purchases</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46" w:name="__RefHeading___Toc99383_4195859891"/>
      <w:bookmarkEnd w:id="46"/>
      <w:r>
        <w:rPr>
          <w:rFonts w:eastAsia="Segoe UI" w:cs="Segoe UI"/>
          <w:b/>
          <w:color w:val="0F4761"/>
          <w:sz w:val="26"/>
        </w:rPr>
        <w:t>7.1  VAT Summary</w:t>
      </w:r>
    </w:p>
    <w:p>
      <w:pPr>
        <w:pStyle w:val="Normal"/>
        <w:spacing w:lineRule="auto" w:line="276" w:before="0" w:after="120"/>
        <w:rPr/>
      </w:pPr>
      <w:r>
        <w:rPr>
          <w:rFonts w:eastAsia="Segoe UI" w:cs="Segoe UI" w:ascii="Segoe UI" w:hAnsi="Segoe UI"/>
          <w:color w:val="101820"/>
          <w:sz w:val="21"/>
        </w:rPr>
        <w:t>Vatable revenue (commission and fees), output VAT and input VAT per month or quarter from the ledger, with the net VAT payable (BIR 2550M / 2550Q working paper).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bir-vat-summary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VAT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Quarterly (default Monthly)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Quarter, Vatable Sales / Receipts, Output VAT, Input VAT, Net VAT Payable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Vatable Sales / Receipts, Output VAT, Input VAT, Net VAT Payable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on revenue accounts (account type income, statement group Revenue), the output VAT account (accounting.account.output_vat, default 2204003) and the input VAT account (accounting.account.input_vat, default 1301001). Period-close and year-end-close journals are excluded.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Monthly, 01 January 2026 to 30 September 2026, first rows of 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0"/>
        <w:gridCol w:w="3328"/>
        <w:gridCol w:w="1388"/>
        <w:gridCol w:w="1247"/>
        <w:gridCol w:w="2081"/>
      </w:tblGrid>
      <w:tr>
        <w:trPr>
          <w:tblHeader w:val="true"/>
        </w:trPr>
        <w:tc>
          <w:tcPr>
            <w:tcW w:w="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Vatable Sales / Receipts</w:t>
            </w:r>
          </w:p>
        </w:tc>
        <w:tc>
          <w:tcPr>
            <w:tcW w:w="13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Output VAT</w:t>
            </w:r>
          </w:p>
        </w:tc>
        <w:tc>
          <w:tcPr>
            <w:tcW w:w="1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Input VAT</w:t>
            </w:r>
          </w:p>
        </w:tc>
        <w:tc>
          <w:tcPr>
            <w:tcW w:w="20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Net VAT Payable</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217,804.86</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26,136.59</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26,136.59</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2026-06</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94,987.65</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11,398.52</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11,398.52</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2026-07</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357,702.42</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42,924.30</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42,924.30</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2026-08</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415,686.07</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49,882.33</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49,882.33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Vatable Sales / Receipts PHP 1,505,381.85; Output VAT PHP 180,645.85; Input VAT PHP 0.00; Net VAT Payable PHP 180,645.85.</w:t>
      </w:r>
    </w:p>
    <w:p>
      <w:pPr>
        <w:pStyle w:val="Heading2"/>
        <w:rPr/>
      </w:pPr>
      <w:bookmarkStart w:id="47" w:name="__RefHeading___Toc99385_4195859891"/>
      <w:bookmarkEnd w:id="47"/>
      <w:r>
        <w:rPr>
          <w:rFonts w:eastAsia="Segoe UI" w:cs="Segoe UI"/>
          <w:b/>
          <w:color w:val="0F4761"/>
          <w:sz w:val="26"/>
        </w:rPr>
        <w:t>7.2  SAWT - Summary Alphalist of Withholding Taxes</w:t>
      </w:r>
    </w:p>
    <w:p>
      <w:pPr>
        <w:pStyle w:val="Normal"/>
        <w:spacing w:lineRule="auto" w:line="276" w:before="0" w:after="120"/>
        <w:rPr/>
      </w:pPr>
      <w:r>
        <w:rPr>
          <w:rFonts w:eastAsia="Segoe UI" w:cs="Segoe UI" w:ascii="Segoe UI" w:hAnsi="Segoe UI"/>
          <w:color w:val="101820"/>
          <w:sz w:val="21"/>
        </w:rPr>
        <w:t>Creditable tax withheld from the broker by insurers (direct-bill commission collections) and clients (receipts) in the period, per payor and ATC, in the BIR SAWT column layout (CSV / Excel for the DAT file preparation).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bir-sawt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SAWT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 NO, TAXPAYER IDENTIFICATION NUMBER, CORPORATION (Registered Name), INDIVIDUAL (Last Name), First Name, Middle Name, ATC CODE, NATURE OF PAYMENT, RATE OF TAX, 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commission_debit_note_collections, commission_debit_notes, insurance_companies, receipt_lines, receipts,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Creditable withholding tax deducted by insurers when they pay a commission debit note (direct bill collections, with the BIR Form 2307 number) and by clients on receipt lines. ATC from bir.sawt_default_atc (default WC139).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Summary, 01 January 2026 to 30 September 2026, first rows of 2;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299"/>
        <w:gridCol w:w="2266"/>
        <w:gridCol w:w="908"/>
        <w:gridCol w:w="907"/>
        <w:gridCol w:w="172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SEQ NO</w:t>
            </w:r>
          </w:p>
        </w:tc>
        <w:tc>
          <w:tcPr>
            <w:tcW w:w="22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TAXPAYER IDENTIFICATION NUMBER</w:t>
            </w:r>
          </w:p>
        </w:tc>
        <w:tc>
          <w:tcPr>
            <w:tcW w:w="22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CORPORATION (Registered Name)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ATC CODE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RATE OF TAX</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INCOME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22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22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OF INCOME PAYMENT PHP 20,505.50; AMOUNT OF TAX WITHHELD PHP 2,050.55.</w:t>
      </w:r>
    </w:p>
    <w:p>
      <w:pPr>
        <w:pStyle w:val="Heading2"/>
        <w:rPr/>
      </w:pPr>
      <w:bookmarkStart w:id="48" w:name="__RefHeading___Toc99387_4195859891"/>
      <w:bookmarkEnd w:id="48"/>
      <w:r>
        <w:rPr>
          <w:rFonts w:eastAsia="Segoe UI" w:cs="Segoe UI"/>
          <w:b/>
          <w:color w:val="0F4761"/>
          <w:sz w:val="26"/>
        </w:rPr>
        <w:t>7.3  QAP - Quarterly Alphalist of Payees</w:t>
      </w:r>
    </w:p>
    <w:p>
      <w:pPr>
        <w:pStyle w:val="Normal"/>
        <w:spacing w:lineRule="auto" w:line="276" w:before="0" w:after="120"/>
        <w:rPr/>
      </w:pPr>
      <w:r>
        <w:rPr>
          <w:rFonts w:eastAsia="Segoe UI" w:cs="Segoe UI" w:ascii="Segoe UI" w:hAnsi="Segoe UI"/>
          <w:color w:val="101820"/>
          <w:sz w:val="21"/>
        </w:rPr>
        <w:t>Expanded withholding tax the broker withheld on payment vouchers in the period, per payee and ATC, in the BIR QAP (1601-EQ attachment) column layout.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bir-qap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QAP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 NO, TAXPAYER IDENTIFICATION NUMBER, CORPORATION (Registered Name), INDIVIDUAL (Last Name), First Name, Middle Name, ATC CODE, NATURE OF PAYMENT, RATE OF TAX, 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 commission_referrers, insurance_companies, clients, tax_codes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and paid payment vouchers with withholding tax (referrer payouts, suppliers). ATC per payee type from bir.atc_by_payee; nature of payment from the tax codes master.</w:t>
            </w:r>
          </w:p>
        </w:tc>
      </w:tr>
    </w:tbl>
    <w:p>
      <w:pPr>
        <w:pStyle w:val="Normal"/>
        <w:spacing w:before="0" w:after="80"/>
        <w:rPr/>
      </w:pPr>
      <w:r>
        <w:rPr/>
      </w:r>
    </w:p>
    <w:p>
      <w:pPr>
        <w:pStyle w:val="Heading2"/>
        <w:rPr/>
      </w:pPr>
      <w:bookmarkStart w:id="49" w:name="__RefHeading___Toc99389_4195859891"/>
      <w:bookmarkEnd w:id="49"/>
      <w:r>
        <w:rPr>
          <w:rFonts w:eastAsia="Segoe UI" w:cs="Segoe UI"/>
          <w:b/>
          <w:color w:val="0F4761"/>
          <w:sz w:val="26"/>
        </w:rPr>
        <w:t>7.4  SLSP - Summary List of Sales</w:t>
      </w:r>
    </w:p>
    <w:p>
      <w:pPr>
        <w:pStyle w:val="Normal"/>
        <w:spacing w:lineRule="auto" w:line="276" w:before="0" w:after="120"/>
        <w:rPr/>
      </w:pPr>
      <w:r>
        <w:rPr>
          <w:rFonts w:eastAsia="Segoe UI" w:cs="Segoe UI" w:ascii="Segoe UI" w:hAnsi="Segoe UI"/>
          <w:color w:val="101820"/>
          <w:sz w:val="21"/>
        </w:rPr>
        <w:t>Sales (commission and fees) and output tax per customer and month in the BIR Summary List of Sales layout; the customer of commission is the insurer of the policy.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bir-slsp-sales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Company (principal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TAXABLE MONTH, TAXPAYER IDENTIFICATION NUMBER, REGISTERED NAME, NAME OF CUSTOMER (Last, First, Middle), CUSTOMER'S ADDRESS, AMOUNT OF GROSS SALES, AMOUNT OF EXEMPT SALES, AMOUNT OF ZERO RATED SALES, AMOUNT OF TAXABLE SALES, AMOUNT OF OUTPUT TAX, AMOUNT OF GROSS TAXABLE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GROSS SALES, AMOUNT OF EXEMPT SALES, AMOUNT OF ZERO RATED SALES, AMOUNT OF TAXABLE SALES, AMOUNT OF OUTPUT TAX, AMOUNT OF GROSS TAXABLE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policies,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that carry output VAT: revenue and output tax per customer (the insurer of the policy for commission, else the client) and month.</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Summary, 01 January 2026 to 30 September 2026, first rows of 26;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837"/>
        <w:gridCol w:w="2027"/>
        <w:gridCol w:w="1337"/>
        <w:gridCol w:w="1170"/>
        <w:gridCol w:w="1639"/>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TAXABLE MONTH</w:t>
            </w:r>
          </w:p>
        </w:tc>
        <w:tc>
          <w:tcPr>
            <w:tcW w:w="18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TAXPAYER IDENTIFICATION NUMBER</w:t>
            </w:r>
          </w:p>
        </w:tc>
        <w:tc>
          <w:tcPr>
            <w:tcW w:w="20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REGISTERED NAME</w:t>
            </w:r>
          </w:p>
        </w:tc>
        <w:tc>
          <w:tcPr>
            <w:tcW w:w="13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TAXABLE SALES</w:t>
            </w:r>
          </w:p>
        </w:tc>
        <w:tc>
          <w:tcPr>
            <w:tcW w:w="1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OUTPUT TAX</w:t>
            </w:r>
          </w:p>
        </w:tc>
        <w:tc>
          <w:tcPr>
            <w:tcW w:w="16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GROSS TAXABLE SALES</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13,494.15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1,619.30</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15,113.45</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7,629.56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915.55</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8,545.11</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632-474-749-000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7,926.25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951.15</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8,877.40</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929-527-202-000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188,754.90</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22,650.59</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211,405.49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OF GROSS SALES PHP 1,505,381.85; AMOUNT OF EXEMPT SALES PHP 0.00; AMOUNT OF ZERO RATED SALES PHP 0.00; AMOUNT OF TAXABLE SALES PHP 1,505,381.85; AMOUNT OF OUTPUT TAX PHP 180,645.85; AMOUNT OF GROSS TAXABLE SALES PHP 1,686,027.70.</w:t>
      </w:r>
    </w:p>
    <w:p>
      <w:pPr>
        <w:pStyle w:val="Heading2"/>
        <w:rPr/>
      </w:pPr>
      <w:bookmarkStart w:id="50" w:name="__RefHeading___Toc99391_4195859891"/>
      <w:bookmarkEnd w:id="50"/>
      <w:r>
        <w:rPr>
          <w:rFonts w:eastAsia="Segoe UI" w:cs="Segoe UI"/>
          <w:b/>
          <w:color w:val="0F4761"/>
          <w:sz w:val="26"/>
        </w:rPr>
        <w:t>7.5  SLSP - Summary List of Purchases</w:t>
      </w:r>
    </w:p>
    <w:p>
      <w:pPr>
        <w:pStyle w:val="Normal"/>
        <w:spacing w:lineRule="auto" w:line="276" w:before="0" w:after="120"/>
        <w:rPr/>
      </w:pPr>
      <w:r>
        <w:rPr>
          <w:rFonts w:eastAsia="Segoe UI" w:cs="Segoe UI" w:ascii="Segoe UI" w:hAnsi="Segoe UI"/>
          <w:color w:val="101820"/>
          <w:sz w:val="21"/>
        </w:rPr>
        <w:t>Purchases and input tax per supplier and month in the BIR Summary List of Purchases layout, from the input VAT booked in the ledger.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bir-slsp-purchases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Purchases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TAXABLE MONTH, TAXPAYER IDENTIFICATION NUMBER, REGISTERED NAME, NAME OF SUPPLIER (Last, First, Middle), SUPPLIER'S ADDRESS, AMOUNT OF GROSS PURCHASE, AMOUNT OF EXEMPT PURCHASE, AMOUNT OF ZERO-RATED PURCHASE, AMOUNT OF TAXABLE PURCHASE, AMOUNT OF PURCHASE OF SERVICES, AMOUNT OF PURCHASE OF CAPITAL GOODS, AMOUNT OF PURCHASE OF GOODS OTHER THAN CAPITAL GOODS, AMOUNT OF INPUT TAX, AMOUNT OF GROSS TAXABLE PURCHASE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GROSS PURCHASE, AMOUNT OF EXEMPT PURCHASE, AMOUNT OF ZERO-RATED PURCHASE, AMOUNT OF TAXABLE PURCHASE, AMOUNT OF PURCHASE OF SERVICES, AMOUNT OF PURCHASE OF CAPITAL GOODS, AMOUNT OF PURCHASE OF GOODS OTHER THAN CAPITAL GOODS, AMOUNT OF INPUT TAX, AMOUNT OF GROSS TAXABLE PURCHASE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disbursements, commission_referrers, insurance_companies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on the input VAT account; the taxable purchase is the input tax divided by tax.vat_rate. Supplier from the payment voucher payee, else the journal description.</w:t>
            </w:r>
          </w:p>
        </w:tc>
      </w:tr>
    </w:tbl>
    <w:p>
      <w:pPr>
        <w:pStyle w:val="Normal"/>
        <w:spacing w:before="0" w:after="80"/>
        <w:rPr/>
      </w:pPr>
      <w:r>
        <w:rPr/>
      </w:r>
    </w:p>
    <w:p>
      <w:pPr>
        <w:pStyle w:val="Heading2"/>
        <w:rPr/>
      </w:pPr>
      <w:bookmarkStart w:id="51" w:name="__RefHeading___Toc99393_4195859891"/>
      <w:bookmarkEnd w:id="51"/>
      <w:r>
        <w:rPr>
          <w:rFonts w:eastAsia="Segoe UI" w:cs="Segoe UI"/>
          <w:b/>
          <w:color w:val="0F4761"/>
          <w:sz w:val="26"/>
        </w:rPr>
        <w:t>7.6  BIR Form 2307 (issued and received)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Tax &gt; BIR Form 2307.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read:period-end</w:t>
      </w:r>
      <w:r>
        <w:rPr>
          <w:rFonts w:eastAsia="Segoe UI" w:cs="Segoe UI" w:ascii="Segoe UI" w:hAnsi="Segoe UI"/>
          <w:color w:val="101820"/>
          <w:sz w:val="21"/>
        </w:rPr>
        <w:t xml:space="preserve"> (or </w:t>
      </w:r>
      <w:r>
        <w:rPr>
          <w:rFonts w:eastAsia="Consolas" w:cs="Consolas" w:ascii="Consolas" w:hAnsi="Consolas"/>
          <w:color w:val="101820"/>
          <w:sz w:val="19"/>
        </w:rPr>
        <w:t>read:journal-vouchers</w:t>
      </w:r>
      <w:r>
        <w:rPr>
          <w:rFonts w:eastAsia="Segoe UI" w:cs="Segoe UI" w:ascii="Segoe UI" w:hAnsi="Segoe UI"/>
          <w:color w:val="101820"/>
          <w:sz w:val="21"/>
        </w:rPr>
        <w:t xml:space="preserve">) to view; issuing and cancelling certificates need </w:t>
      </w:r>
      <w:r>
        <w:rPr>
          <w:rFonts w:eastAsia="Consolas" w:cs="Consolas" w:ascii="Consolas" w:hAnsi="Consolas"/>
          <w:color w:val="101820"/>
          <w:sz w:val="19"/>
        </w:rPr>
        <w:t>write:period-end</w:t>
      </w:r>
      <w:r>
        <w:rPr>
          <w:rFonts w:eastAsia="Segoe UI" w:cs="Segoe UI" w:ascii="Segoe UI" w:hAnsi="Segoe UI"/>
          <w:color w:val="101820"/>
          <w:sz w:val="21"/>
        </w:rPr>
        <w:t xml:space="preserve">. </w:t>
      </w:r>
      <w:r>
        <w:rPr>
          <w:rFonts w:eastAsia="Segoe UI" w:cs="Segoe UI" w:ascii="Segoe UI" w:hAnsi="Segoe UI"/>
          <w:b/>
          <w:color w:val="101820"/>
          <w:sz w:val="21"/>
        </w:rPr>
        <w:t>Used by:</w:t>
      </w:r>
      <w:r>
        <w:rPr>
          <w:rFonts w:eastAsia="Segoe UI" w:cs="Segoe UI" w:ascii="Segoe UI" w:hAnsi="Segoe UI"/>
          <w:color w:val="101820"/>
          <w:sz w:val="21"/>
        </w:rPr>
        <w:t xml:space="preserve"> Accounting.</w:t>
      </w:r>
    </w:p>
    <w:p>
      <w:pPr>
        <w:pStyle w:val="Normal"/>
        <w:spacing w:lineRule="auto" w:line="276" w:before="0" w:after="120"/>
        <w:rPr/>
      </w:pPr>
      <w:r>
        <w:rPr>
          <w:rFonts w:eastAsia="Segoe UI" w:cs="Segoe UI" w:ascii="Segoe UI" w:hAnsi="Segoe UI"/>
          <w:color w:val="101820"/>
          <w:sz w:val="21"/>
        </w:rPr>
        <w:t>The screen works per quarter and in two directions:</w:t>
      </w:r>
    </w:p>
    <w:p>
      <w:pPr>
        <w:pStyle w:val="Normal"/>
        <w:numPr>
          <w:ilvl w:val="0"/>
          <w:numId w:val="1"/>
        </w:numPr>
        <w:spacing w:before="0" w:after="60"/>
        <w:rPr/>
      </w:pPr>
      <w:r>
        <w:rPr>
          <w:rFonts w:eastAsia="Segoe UI" w:cs="Segoe UI" w:ascii="Segoe UI" w:hAnsi="Segoe UI"/>
          <w:b/>
          <w:color w:val="101820"/>
          <w:sz w:val="21"/>
        </w:rPr>
        <w:t>Issued</w:t>
      </w:r>
      <w:r>
        <w:rPr>
          <w:rFonts w:eastAsia="Segoe UI" w:cs="Segoe UI" w:ascii="Segoe UI" w:hAnsi="Segoe UI"/>
          <w:color w:val="101820"/>
          <w:sz w:val="21"/>
        </w:rPr>
        <w:t>: payees from whom the broker withheld tax on payment vouchers (agents, referrers, suppliers). The broker issues their Form 2307.</w:t>
      </w:r>
    </w:p>
    <w:p>
      <w:pPr>
        <w:pStyle w:val="Normal"/>
        <w:numPr>
          <w:ilvl w:val="0"/>
          <w:numId w:val="1"/>
        </w:numPr>
        <w:spacing w:before="0" w:after="60"/>
        <w:rPr/>
      </w:pPr>
      <w:r>
        <w:rPr>
          <w:rFonts w:eastAsia="Segoe UI" w:cs="Segoe UI" w:ascii="Segoe UI" w:hAnsi="Segoe UI"/>
          <w:b/>
          <w:color w:val="101820"/>
          <w:sz w:val="21"/>
        </w:rPr>
        <w:t>Received</w:t>
      </w:r>
      <w:r>
        <w:rPr>
          <w:rFonts w:eastAsia="Segoe UI" w:cs="Segoe UI" w:ascii="Segoe UI" w:hAnsi="Segoe UI"/>
          <w:color w:val="101820"/>
          <w:sz w:val="21"/>
        </w:rPr>
        <w:t>: payors who withheld tax from the broker (insurers paying commission debit notes, clients on receipts). The broker collects their Form 2307 and claims the credit (these lines also feed the SAWT).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2"/>
        <w:gridCol w:w="7211"/>
      </w:tblGrid>
      <w:tr>
        <w:trPr>
          <w:tblHeader w:val="true"/>
        </w:trPr>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w:t>
            </w:r>
          </w:p>
        </w:tc>
        <w:tc>
          <w:tcPr>
            <w:tcW w:w="72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Payees or payors with creditable withholding in the quarter: name, TIN, number of transactions, total income, total tax, ATCs, certificate number when issued.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Print</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Form 2307 data of one payee and quarter: per ATC the income of each month of the quarter, the total and the tax withheld.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Numbers the certificate with the CWT series and records it; issuing again returns the same certificate.</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Certificates</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of issued certificates (filter year, quarter, direction).</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Cancels an issued certificate so that a corrected one can be issued.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Settings used: </w:t>
      </w:r>
      <w:r>
        <w:rPr>
          <w:rFonts w:eastAsia="Consolas" w:cs="Consolas" w:ascii="Consolas" w:hAnsi="Consolas"/>
          <w:color w:val="101820"/>
          <w:sz w:val="19"/>
        </w:rPr>
        <w:t>bir.withholding_agent_tin</w:t>
      </w:r>
      <w:r>
        <w:rPr>
          <w:rFonts w:eastAsia="Segoe UI" w:cs="Segoe UI" w:ascii="Segoe UI" w:hAnsi="Segoe UI"/>
          <w:color w:val="101820"/>
          <w:sz w:val="21"/>
        </w:rPr>
        <w:t xml:space="preserve">, </w:t>
      </w:r>
      <w:r>
        <w:rPr>
          <w:rFonts w:eastAsia="Consolas" w:cs="Consolas" w:ascii="Consolas" w:hAnsi="Consolas"/>
          <w:color w:val="101820"/>
          <w:sz w:val="19"/>
        </w:rPr>
        <w:t>bir.registered_name</w:t>
      </w:r>
      <w:r>
        <w:rPr>
          <w:rFonts w:eastAsia="Segoe UI" w:cs="Segoe UI" w:ascii="Segoe UI" w:hAnsi="Segoe UI"/>
          <w:color w:val="101820"/>
          <w:sz w:val="21"/>
        </w:rPr>
        <w:t xml:space="preserve">, </w:t>
      </w:r>
      <w:r>
        <w:rPr>
          <w:rFonts w:eastAsia="Consolas" w:cs="Consolas" w:ascii="Consolas" w:hAnsi="Consolas"/>
          <w:color w:val="101820"/>
          <w:sz w:val="19"/>
        </w:rPr>
        <w:t>bir.registered_address</w:t>
      </w:r>
      <w:r>
        <w:rPr>
          <w:rFonts w:eastAsia="Segoe UI" w:cs="Segoe UI" w:ascii="Segoe UI" w:hAnsi="Segoe UI"/>
          <w:color w:val="101820"/>
          <w:sz w:val="21"/>
        </w:rPr>
        <w:t xml:space="preserve">, </w:t>
      </w:r>
      <w:r>
        <w:rPr>
          <w:rFonts w:eastAsia="Consolas" w:cs="Consolas" w:ascii="Consolas" w:hAnsi="Consolas"/>
          <w:color w:val="101820"/>
          <w:sz w:val="19"/>
        </w:rPr>
        <w:t>bir.zip_code</w:t>
      </w:r>
      <w:r>
        <w:rPr>
          <w:rFonts w:eastAsia="Segoe UI" w:cs="Segoe UI" w:ascii="Segoe UI" w:hAnsi="Segoe UI"/>
          <w:color w:val="101820"/>
          <w:sz w:val="21"/>
        </w:rPr>
        <w:t xml:space="preserve">, </w:t>
      </w:r>
      <w:r>
        <w:rPr>
          <w:rFonts w:eastAsia="Consolas" w:cs="Consolas" w:ascii="Consolas" w:hAnsi="Consolas"/>
          <w:color w:val="101820"/>
          <w:sz w:val="19"/>
        </w:rPr>
        <w:t>bir.atc_by_payee</w:t>
      </w:r>
      <w:r>
        <w:rPr>
          <w:rFonts w:eastAsia="Segoe UI" w:cs="Segoe UI" w:ascii="Segoe UI" w:hAnsi="Segoe UI"/>
          <w:color w:val="101820"/>
          <w:sz w:val="21"/>
        </w:rPr>
        <w:t xml:space="preserve">, </w:t>
      </w:r>
      <w:r>
        <w:rPr>
          <w:rFonts w:eastAsia="Consolas" w:cs="Consolas" w:ascii="Consolas" w:hAnsi="Consolas"/>
          <w:color w:val="101820"/>
          <w:sz w:val="19"/>
        </w:rPr>
        <w:t>bir.sawt_default_atc</w:t>
      </w:r>
      <w:r>
        <w:rPr>
          <w:rFonts w:eastAsia="Segoe UI" w:cs="Segoe UI" w:ascii="Segoe UI" w:hAnsi="Segoe UI"/>
          <w:color w:val="101820"/>
          <w:sz w:val="21"/>
        </w:rPr>
        <w:t xml:space="preserve">. Source tables: </w:t>
      </w:r>
      <w:r>
        <w:rPr>
          <w:rFonts w:eastAsia="Consolas" w:cs="Consolas" w:ascii="Consolas" w:hAnsi="Consolas"/>
          <w:color w:val="101820"/>
          <w:sz w:val="19"/>
        </w:rPr>
        <w:t>disbursements</w:t>
      </w:r>
      <w:r>
        <w:rPr>
          <w:rFonts w:eastAsia="Segoe UI" w:cs="Segoe UI" w:ascii="Segoe UI" w:hAnsi="Segoe UI"/>
          <w:color w:val="101820"/>
          <w:sz w:val="21"/>
        </w:rPr>
        <w:t xml:space="preserve">, </w:t>
      </w:r>
      <w:r>
        <w:rPr>
          <w:rFonts w:eastAsia="Consolas" w:cs="Consolas" w:ascii="Consolas" w:hAnsi="Consolas"/>
          <w:color w:val="101820"/>
          <w:sz w:val="19"/>
        </w:rPr>
        <w:t>commission_debit_note_collections</w:t>
      </w:r>
      <w:r>
        <w:rPr>
          <w:rFonts w:eastAsia="Segoe UI" w:cs="Segoe UI" w:ascii="Segoe UI" w:hAnsi="Segoe UI"/>
          <w:color w:val="101820"/>
          <w:sz w:val="21"/>
        </w:rPr>
        <w:t xml:space="preserve">, </w:t>
      </w:r>
      <w:r>
        <w:rPr>
          <w:rFonts w:eastAsia="Consolas" w:cs="Consolas" w:ascii="Consolas" w:hAnsi="Consolas"/>
          <w:color w:val="101820"/>
          <w:sz w:val="19"/>
        </w:rPr>
        <w:t>receipt_lines</w:t>
      </w:r>
      <w:r>
        <w:rPr>
          <w:rFonts w:eastAsia="Segoe UI" w:cs="Segoe UI" w:ascii="Segoe UI" w:hAnsi="Segoe UI"/>
          <w:color w:val="101820"/>
          <w:sz w:val="21"/>
        </w:rPr>
        <w:t xml:space="preserve">, </w:t>
      </w:r>
      <w:r>
        <w:rPr>
          <w:rFonts w:eastAsia="Consolas" w:cs="Consolas" w:ascii="Consolas" w:hAnsi="Consolas"/>
          <w:color w:val="101820"/>
          <w:sz w:val="19"/>
        </w:rPr>
        <w:t>tax_codes</w:t>
      </w:r>
      <w:r>
        <w:rPr>
          <w:rFonts w:eastAsia="Segoe UI" w:cs="Segoe UI" w:ascii="Segoe UI" w:hAnsi="Segoe UI"/>
          <w:color w:val="101820"/>
          <w:sz w:val="21"/>
        </w:rPr>
        <w:t xml:space="preserve">, </w:t>
      </w:r>
      <w:r>
        <w:rPr>
          <w:rFonts w:eastAsia="Consolas" w:cs="Consolas" w:ascii="Consolas" w:hAnsi="Consolas"/>
          <w:color w:val="101820"/>
          <w:sz w:val="19"/>
        </w:rPr>
        <w:t>bir_2307_certificates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Sample from the test system (direction Received, third quarter 2026):</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7"/>
        <w:gridCol w:w="1616"/>
        <w:gridCol w:w="1599"/>
        <w:gridCol w:w="1037"/>
        <w:gridCol w:w="1238"/>
        <w:gridCol w:w="906"/>
      </w:tblGrid>
      <w:tr>
        <w:trPr>
          <w:tblHeader w:val="true"/>
        </w:trPr>
        <w:tc>
          <w:tcPr>
            <w:tcW w:w="26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Payor</w:t>
            </w:r>
          </w:p>
        </w:tc>
        <w:tc>
          <w:tcPr>
            <w:tcW w:w="16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TIN</w:t>
            </w:r>
          </w:p>
        </w:tc>
        <w:tc>
          <w:tcPr>
            <w:tcW w:w="1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Transactions</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Income</w:t>
            </w:r>
          </w:p>
        </w:tc>
        <w:tc>
          <w:tcPr>
            <w:tcW w:w="12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 withheld</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ATC</w:t>
            </w:r>
          </w:p>
        </w:tc>
      </w:tr>
      <w:tr>
        <w:trPr/>
        <w:tc>
          <w:tcPr>
            <w:tcW w:w="2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12,956.70</w:t>
            </w:r>
          </w:p>
        </w:tc>
        <w:tc>
          <w:tcPr>
            <w:tcW w:w="12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r>
      <w:tr>
        <w:trPr/>
        <w:tc>
          <w:tcPr>
            <w:tcW w:w="2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7,548.80</w:t>
            </w:r>
          </w:p>
        </w:tc>
        <w:tc>
          <w:tcPr>
            <w:tcW w:w="12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r>
    </w:tbl>
    <w:p>
      <w:pPr>
        <w:pStyle w:val="Normal"/>
        <w:spacing w:before="0" w:after="80"/>
        <w:rPr/>
      </w:pPr>
      <w:r>
        <w:rPr/>
      </w:r>
    </w:p>
    <w:p>
      <w:pPr>
        <w:pStyle w:val="Heading2"/>
        <w:rPr/>
      </w:pPr>
      <w:bookmarkStart w:id="52" w:name="__RefHeading___Toc99395_4195859891"/>
      <w:bookmarkEnd w:id="52"/>
      <w:r>
        <w:rPr>
          <w:rFonts w:eastAsia="Segoe UI" w:cs="Segoe UI"/>
          <w:b/>
          <w:color w:val="0F4761"/>
          <w:sz w:val="26"/>
        </w:rPr>
        <w:t>7.7  Monthly and quarterly tax calendar</w:t>
      </w:r>
    </w:p>
    <w:p>
      <w:pPr>
        <w:pStyle w:val="Normal"/>
        <w:spacing w:lineRule="auto" w:line="276" w:before="0" w:after="120"/>
        <w:rPr/>
      </w:pPr>
      <w:r>
        <w:rPr>
          <w:rFonts w:eastAsia="Segoe UI" w:cs="Segoe UI" w:ascii="Segoe UI" w:hAnsi="Segoe UI"/>
          <w:color w:val="101820"/>
          <w:sz w:val="21"/>
        </w:rPr>
        <w:t>The table maps each report to the BIR return it supports. The filing deadlines are those of the BIR, not settings of the system; confirm them with the tax adviser.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62"/>
        <w:gridCol w:w="4202"/>
        <w:gridCol w:w="1750"/>
      </w:tblGrid>
      <w:tr>
        <w:trPr>
          <w:tblHeader w:val="true"/>
        </w:trPr>
        <w:tc>
          <w:tcPr>
            <w:tcW w:w="30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BIR return or attachment</w:t>
            </w:r>
          </w:p>
        </w:tc>
        <w:tc>
          <w:tcPr>
            <w:tcW w:w="4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 to run</w:t>
            </w:r>
          </w:p>
        </w:tc>
        <w:tc>
          <w:tcPr>
            <w:tcW w:w="17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Period to enter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2550M / 2550Q VAT return</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(Monthly or Quarterly)</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month or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(sales and purchases)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Sales; SLSP - Summary List of Purchases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1601-EQ with QAP</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 - Quarterly Alphalist of Payees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tax return with SAWT</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 Summary Alphalist of Withholding Taxes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to payees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direction Issued</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from insurers and clients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direction Received</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bl>
    <w:p>
      <w:pPr>
        <w:pStyle w:val="Normal"/>
        <w:spacing w:before="0" w:after="80"/>
        <w:rPr/>
      </w:pPr>
      <w:r>
        <w:rPr/>
      </w:r>
      <w:r>
        <w:br w:type="page"/>
      </w:r>
    </w:p>
    <w:p>
      <w:pPr>
        <w:pStyle w:val="Heading1"/>
        <w:rPr/>
      </w:pPr>
      <w:bookmarkStart w:id="53" w:name="__RefHeading___Toc99397_4195859891"/>
      <w:bookmarkEnd w:id="53"/>
      <w:r>
        <w:rPr>
          <w:rFonts w:eastAsia="Segoe UI" w:cs="Segoe UI" w:ascii="Segoe UI" w:hAnsi="Segoe UI"/>
          <w:b/>
          <w:color w:val="0F4761"/>
          <w:sz w:val="32"/>
        </w:rPr>
        <w:t>8.  Reconciliation reports</w:t>
      </w:r>
    </w:p>
    <w:p>
      <w:pPr>
        <w:pStyle w:val="Normal"/>
        <w:spacing w:lineRule="auto" w:line="276" w:before="0" w:after="120"/>
        <w:rPr/>
      </w:pPr>
      <w:r>
        <w:rPr>
          <w:rFonts w:eastAsia="Segoe UI" w:cs="Segoe UI" w:ascii="Segoe UI" w:hAnsi="Segoe UI"/>
          <w:color w:val="101820"/>
          <w:sz w:val="21"/>
        </w:rPr>
        <w:t xml:space="preserve">Reconciliation reports support the monthly bank reconciliation and the reconciliation of insurer statements. The bank reports read the bank statement lines, the matches and the book view </w:t>
      </w:r>
      <w:r>
        <w:rPr>
          <w:rFonts w:eastAsia="Consolas" w:cs="Consolas" w:ascii="Consolas" w:hAnsi="Consolas"/>
          <w:color w:val="101820"/>
          <w:sz w:val="19"/>
        </w:rPr>
        <w:t>bank_book_lines</w:t>
      </w:r>
      <w:r>
        <w:rPr>
          <w:rFonts w:eastAsia="Segoe UI" w:cs="Segoe UI" w:ascii="Segoe UI" w:hAnsi="Segoe UI"/>
          <w:color w:val="101820"/>
          <w:sz w:val="21"/>
        </w:rPr>
        <w:t xml:space="preserve"> (the cash GL lines of each bank account with the date they cleared). All are under Accounts &gt; Bank Reconciliation and restricted to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3"/>
        <w:gridCol w:w="3864"/>
        <w:gridCol w:w="2817"/>
      </w:tblGrid>
      <w:tr>
        <w:trPr>
          <w:tblHeader w:val="true"/>
        </w:trPr>
        <w:tc>
          <w:tcPr>
            <w:tcW w:w="2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8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8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Statement Report</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Outstanding Cheques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Outstanding Cheques</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Deposits in Transit</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Deposits in Transit</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Unmatched Bank Lines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Unmatched Bank Lines</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Book</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Bank Book</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54" w:name="__RefHeading___Toc99399_4195859891"/>
      <w:bookmarkEnd w:id="54"/>
      <w:r>
        <w:rPr>
          <w:rFonts w:eastAsia="Segoe UI" w:cs="Segoe UI"/>
          <w:b/>
          <w:color w:val="0F4761"/>
          <w:sz w:val="26"/>
        </w:rPr>
        <w:t>8.1  Bank Reconciliation Statement</w:t>
      </w:r>
    </w:p>
    <w:p>
      <w:pPr>
        <w:pStyle w:val="Normal"/>
        <w:spacing w:lineRule="auto" w:line="276" w:before="0" w:after="120"/>
        <w:rPr/>
      </w:pPr>
      <w:r>
        <w:rPr>
          <w:rFonts w:eastAsia="Segoe UI" w:cs="Segoe UI" w:ascii="Segoe UI" w:hAnsi="Segoe UI"/>
          <w:color w:val="101820"/>
          <w:sz w:val="21"/>
        </w:rPr>
        <w:t>Bank reconciliation runs with an as-of date in the range: balance per bank statement, deposits in transit, outstanding cheques and bank errors (adjusted bank balance); balance per books, bank credits and charges not yet booked and book errors (adjusted book balance); the difference must be zero to approve.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bank-reconciliation-statement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Statement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Status,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No., Bank Account, Account Name, GL Account, Period, As of, Status, Balance per Bank, Deposits in Transit, Outstanding Cheques, Bank Errors, Adjusted Bank Balance, Balance per Books, Bank Credits not Booked, Bank Charges not Booked, Book Errors, Adjusted Book Balance, Difference, Prepared By, Prepared At, Approved By, Approved At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Reconciled (approved runs), Not agreed (difference not zero)</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bank_reconciliations, bank_account_links,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runs (BRC numbers) prepared and approved on Accounts &gt; Bank Reconciliation &gt; Reconciliations, selected on the as-of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2"/>
        <w:gridCol w:w="1325"/>
        <w:gridCol w:w="907"/>
        <w:gridCol w:w="941"/>
        <w:gridCol w:w="1766"/>
        <w:gridCol w:w="2062"/>
      </w:tblGrid>
      <w:tr>
        <w:trPr>
          <w:tblHeader w:val="true"/>
        </w:trPr>
        <w:tc>
          <w:tcPr>
            <w:tcW w:w="20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Reconciliation No.</w:t>
            </w:r>
          </w:p>
        </w:tc>
        <w:tc>
          <w:tcPr>
            <w:tcW w:w="1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Bank Account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Period</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7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 per Bank</w:t>
            </w:r>
          </w:p>
        </w:tc>
        <w:tc>
          <w:tcPr>
            <w:tcW w:w="20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Deposits in Transit</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BRC-2026-00001</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4,966,477.84</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4,070.63</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BRC-2026-00002</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2026-06</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3,836,761.73</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BRC-2026-00003</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2026-07</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5,191,563.09</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BRC-2026-00004</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2026-08</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6,227,930.85</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Reconciled: 5; Not agreed: 0.</w:t>
      </w:r>
    </w:p>
    <w:p>
      <w:pPr>
        <w:pStyle w:val="Heading2"/>
        <w:rPr/>
      </w:pPr>
      <w:bookmarkStart w:id="55" w:name="__RefHeading___Toc99401_4195859891"/>
      <w:bookmarkEnd w:id="55"/>
      <w:r>
        <w:rPr>
          <w:rFonts w:eastAsia="Segoe UI" w:cs="Segoe UI"/>
          <w:b/>
          <w:color w:val="0F4761"/>
          <w:sz w:val="26"/>
        </w:rPr>
        <w:t>8.2  Outstanding Cheques</w:t>
      </w:r>
    </w:p>
    <w:p>
      <w:pPr>
        <w:pStyle w:val="Normal"/>
        <w:spacing w:lineRule="auto" w:line="276" w:before="0" w:after="120"/>
        <w:rPr/>
      </w:pPr>
      <w:r>
        <w:rPr>
          <w:rFonts w:eastAsia="Segoe UI" w:cs="Segoe UI" w:ascii="Segoe UI" w:hAnsi="Segoe UI"/>
          <w:color w:val="101820"/>
          <w:sz w:val="21"/>
        </w:rPr>
        <w:t>Payments recorded in the books (cheques, transfers) on or before To Date that have not cleared the bank as of To Date, aged; cheques older than bank_reconciliation.stale_cheque_days are stale.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bank-outstanding-cheques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Outstanding Cheques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Status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Cheque No., Payee, Description, Amount, Age (days),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Stale count, Stale 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bank_book_lines (view of the cash GL lines with their clearing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posted to a bank cash account (payment vouchers, other credits) on or before To Date not yet cleared by a bank statement match. Older than bank_reconciliation.stale_cheque_days (default 180) shows as Stale.</w:t>
            </w:r>
          </w:p>
        </w:tc>
      </w:tr>
    </w:tbl>
    <w:p>
      <w:pPr>
        <w:pStyle w:val="Normal"/>
        <w:spacing w:before="0" w:after="80"/>
        <w:rPr/>
      </w:pPr>
      <w:r>
        <w:rPr/>
      </w:r>
    </w:p>
    <w:p>
      <w:pPr>
        <w:pStyle w:val="Heading2"/>
        <w:rPr/>
      </w:pPr>
      <w:bookmarkStart w:id="56" w:name="__RefHeading___Toc99403_4195859891"/>
      <w:bookmarkEnd w:id="56"/>
      <w:r>
        <w:rPr>
          <w:rFonts w:eastAsia="Segoe UI" w:cs="Segoe UI"/>
          <w:b/>
          <w:color w:val="0F4761"/>
          <w:sz w:val="26"/>
        </w:rPr>
        <w:t>8.3  Deposits in Transit</w:t>
      </w:r>
    </w:p>
    <w:p>
      <w:pPr>
        <w:pStyle w:val="Normal"/>
        <w:spacing w:lineRule="auto" w:line="276" w:before="0" w:after="120"/>
        <w:rPr/>
      </w:pPr>
      <w:r>
        <w:rPr>
          <w:rFonts w:eastAsia="Segoe UI" w:cs="Segoe UI" w:ascii="Segoe UI" w:hAnsi="Segoe UI"/>
          <w:color w:val="101820"/>
          <w:sz w:val="21"/>
        </w:rPr>
        <w:t>Collections recorded in the books (official receipts, other debits to the bank account) on or before To Date that have not reached the bank statement as of To Date.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bank-deposits-in-transit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Deposits in Transit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Reference, Payer, Description, Amount,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bank_book_lines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and other debits to a bank cash account on or before To Date not yet matched to the bank statement.</w:t>
            </w:r>
          </w:p>
        </w:tc>
      </w:tr>
    </w:tbl>
    <w:p>
      <w:pPr>
        <w:pStyle w:val="Normal"/>
        <w:spacing w:before="0" w:after="80"/>
        <w:rPr/>
      </w:pPr>
      <w:r>
        <w:rPr/>
      </w:r>
    </w:p>
    <w:p>
      <w:pPr>
        <w:pStyle w:val="Heading2"/>
        <w:rPr/>
      </w:pPr>
      <w:bookmarkStart w:id="57" w:name="__RefHeading___Toc99405_4195859891"/>
      <w:bookmarkEnd w:id="57"/>
      <w:r>
        <w:rPr>
          <w:rFonts w:eastAsia="Segoe UI" w:cs="Segoe UI"/>
          <w:b/>
          <w:color w:val="0F4761"/>
          <w:sz w:val="26"/>
        </w:rPr>
        <w:t>8.4  Unmatched Bank Lines</w:t>
      </w:r>
    </w:p>
    <w:p>
      <w:pPr>
        <w:pStyle w:val="Normal"/>
        <w:spacing w:lineRule="auto" w:line="276" w:before="0" w:after="120"/>
        <w:rPr/>
      </w:pPr>
      <w:r>
        <w:rPr>
          <w:rFonts w:eastAsia="Segoe UI" w:cs="Segoe UI" w:ascii="Segoe UI" w:hAnsi="Segoe UI"/>
          <w:color w:val="101820"/>
          <w:sz w:val="21"/>
        </w:rPr>
        <w:t>Bank statement lines dated in the range that are not matched to the books as of To Date, with the suggested bank transaction type (bank charges, interest, returned cheques, direct credits).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bank-unmatched-lines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Unmatched Bank 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Suggested Type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Statement No., Date, Value Date, Description, Reference, Debit, Credit, Net, Suggested Type, Status,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 Net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bank_statement_lines, bank_statements, bank_account_links, bank_transaction_types, bank_rec_matches, bank_rec_match_items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manually entered bank statement lines not matched (or matched after To Date), with the suggested bank transaction type.</w:t>
            </w:r>
          </w:p>
        </w:tc>
      </w:tr>
    </w:tbl>
    <w:p>
      <w:pPr>
        <w:pStyle w:val="Normal"/>
        <w:spacing w:before="0" w:after="80"/>
        <w:rPr/>
      </w:pPr>
      <w:r>
        <w:rPr/>
      </w:r>
    </w:p>
    <w:p>
      <w:pPr>
        <w:pStyle w:val="Heading2"/>
        <w:rPr/>
      </w:pPr>
      <w:bookmarkStart w:id="58" w:name="__RefHeading___Toc99407_4195859891"/>
      <w:bookmarkEnd w:id="58"/>
      <w:r>
        <w:rPr>
          <w:rFonts w:eastAsia="Segoe UI" w:cs="Segoe UI"/>
          <w:b/>
          <w:color w:val="0F4761"/>
          <w:sz w:val="26"/>
        </w:rPr>
        <w:t>8.5  Bank Book</w:t>
      </w:r>
    </w:p>
    <w:p>
      <w:pPr>
        <w:pStyle w:val="Normal"/>
        <w:spacing w:lineRule="auto" w:line="276" w:before="0" w:after="120"/>
        <w:rPr/>
      </w:pPr>
      <w:r>
        <w:rPr>
          <w:rFonts w:eastAsia="Segoe UI" w:cs="Segoe UI" w:ascii="Segoe UI" w:hAnsi="Segoe UI"/>
          <w:color w:val="101820"/>
          <w:sz w:val="21"/>
        </w:rPr>
        <w:t>GL detail of each bank account's cash-in-bank account: opening balance at From Date, every posted receipt, payment and journal with its source document, the running balance and whether it has cleared the bank.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bank-book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Bank Book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Overall (default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Cheque No., Payee / Payer, Description, Opening Balance, Debit, Credit, Balance, Reconciled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bank_account_links, bank_book_lines, opening_balances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posted receipt, payment and journal on the cash account linked to each bank account, with a running balance and whether it has cleared.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Bank Account, 01 January 2026 to 30 September 2026, first rows of 78;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45"/>
        <w:gridCol w:w="1374"/>
        <w:gridCol w:w="1422"/>
        <w:gridCol w:w="1424"/>
        <w:gridCol w:w="2515"/>
        <w:gridCol w:w="1133"/>
      </w:tblGrid>
      <w:tr>
        <w:trPr>
          <w:tblHeader w:val="true"/>
        </w:trPr>
        <w:tc>
          <w:tcPr>
            <w:tcW w:w="1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Bank Account</w:t>
            </w:r>
          </w:p>
        </w:tc>
        <w:tc>
          <w:tcPr>
            <w:tcW w:w="13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Date</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Journal No.</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 No.</w:t>
            </w:r>
          </w:p>
        </w:tc>
        <w:tc>
          <w:tcPr>
            <w:tcW w:w="25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Payee / Payer</w:t>
            </w:r>
          </w:p>
        </w:tc>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Debit</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January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JV-2026-00063</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OR-2026-00001</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JV-2026-00105</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OR-2026-00043</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Himlayan Cold Storage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980,902.89</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JV-2026-00101</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OR-2026-00039</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Silangan Retail Holdings Inc.</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438,610.39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Debit PHP 6,427,367.08; Credit PHP 2,880,629.78.</w:t>
      </w:r>
    </w:p>
    <w:p>
      <w:pPr>
        <w:pStyle w:val="Normal"/>
        <w:spacing w:lineRule="auto" w:line="276" w:before="0" w:after="120"/>
        <w:rPr/>
      </w:pPr>
      <w:r>
        <w:rPr>
          <w:rFonts w:eastAsia="Segoe UI" w:cs="Segoe UI" w:ascii="Segoe UI" w:hAnsi="Segoe UI"/>
          <w:color w:val="101820"/>
          <w:sz w:val="21"/>
        </w:rPr>
        <w:t>Summary figures returned: Closing balance: PHP 3,546,737.30.</w:t>
      </w:r>
    </w:p>
    <w:p>
      <w:pPr>
        <w:pStyle w:val="Heading2"/>
        <w:rPr/>
      </w:pPr>
      <w:bookmarkStart w:id="59" w:name="__RefHeading___Toc99409_4195859891"/>
      <w:bookmarkEnd w:id="59"/>
      <w:r>
        <w:rPr>
          <w:rFonts w:eastAsia="Segoe UI" w:cs="Segoe UI"/>
          <w:b/>
          <w:color w:val="0F4761"/>
          <w:sz w:val="26"/>
        </w:rPr>
        <w:t>8.6  Bank Reconciliation Statement (PDF and preview)</w:t>
      </w:r>
    </w:p>
    <w:p>
      <w:pPr>
        <w:pStyle w:val="Normal"/>
        <w:spacing w:lineRule="auto" w:line="276" w:before="0" w:after="120"/>
        <w:rPr/>
      </w:pPr>
      <w:r>
        <w:rPr>
          <w:rFonts w:eastAsia="Segoe UI" w:cs="Segoe UI" w:ascii="Segoe UI" w:hAnsi="Segoe UI"/>
          <w:color w:val="101820"/>
          <w:sz w:val="21"/>
        </w:rPr>
        <w:t>Besides the catalogue report, each reconciliation run prints as a PDF from Accounts &gt; Bank Reconciliation &gt; Reconciliations &gt; Reconciliation statement (</w:t>
      </w:r>
      <w:r>
        <w:rPr>
          <w:rFonts w:eastAsia="Consolas" w:cs="Consolas" w:ascii="Consolas" w:hAnsi="Consolas"/>
          <w:color w:val="101820"/>
          <w:sz w:val="19"/>
        </w:rPr>
        <w:t>/api/bank-reconciliation/reconciliations/:id/pdf</w:t>
      </w:r>
      <w:r>
        <w:rPr>
          <w:rFonts w:eastAsia="Segoe UI" w:cs="Segoe UI" w:ascii="Segoe UI" w:hAnsi="Segoe UI"/>
          <w:color w:val="101820"/>
          <w:sz w:val="21"/>
        </w:rPr>
        <w:t>), and the workspace shows a statement as of any date without a run (</w:t>
      </w:r>
      <w:r>
        <w:rPr>
          <w:rFonts w:eastAsia="Consolas" w:cs="Consolas" w:ascii="Consolas" w:hAnsi="Consolas"/>
          <w:color w:val="101820"/>
          <w:sz w:val="19"/>
        </w:rPr>
        <w:t>/api/bank-reconciliation/statement-preview</w:t>
      </w:r>
      <w:r>
        <w:rPr>
          <w:rFonts w:eastAsia="Segoe UI" w:cs="Segoe UI" w:ascii="Segoe UI" w:hAnsi="Segoe UI"/>
          <w:color w:val="101820"/>
          <w:sz w:val="21"/>
        </w:rPr>
        <w:t xml:space="preserve">). Permission </w:t>
      </w:r>
      <w:r>
        <w:rPr>
          <w:rFonts w:eastAsia="Consolas" w:cs="Consolas" w:ascii="Consolas" w:hAnsi="Consolas"/>
          <w:color w:val="101820"/>
          <w:sz w:val="19"/>
        </w:rPr>
        <w:t>read:bank-reconciliation</w:t>
      </w:r>
      <w:r>
        <w:rPr>
          <w:rFonts w:eastAsia="Segoe UI" w:cs="Segoe UI" w:ascii="Segoe UI" w:hAnsi="Segoe UI"/>
          <w:color w:val="101820"/>
          <w:sz w:val="21"/>
        </w:rPr>
        <w:t>.</w:t>
      </w:r>
    </w:p>
    <w:p>
      <w:pPr>
        <w:pStyle w:val="Heading2"/>
        <w:rPr/>
      </w:pPr>
      <w:bookmarkStart w:id="60" w:name="__RefHeading___Toc99411_4195859891"/>
      <w:bookmarkEnd w:id="60"/>
      <w:r>
        <w:rPr>
          <w:rFonts w:eastAsia="Segoe UI" w:cs="Segoe UI"/>
          <w:b/>
          <w:color w:val="0F4761"/>
          <w:sz w:val="26"/>
        </w:rPr>
        <w:t>8.7  Insurer statement differences report</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Insurer Reconciliation &gt; Insurer Statements &gt; (statement) &gt; Differences report.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read:remittance</w:t>
      </w:r>
      <w:r>
        <w:rPr>
          <w:rFonts w:eastAsia="Segoe UI" w:cs="Segoe UI" w:ascii="Segoe UI" w:hAnsi="Segoe UI"/>
          <w:color w:val="101820"/>
          <w:sz w:val="21"/>
        </w:rPr>
        <w:t xml:space="preserve">. </w:t>
      </w:r>
      <w:r>
        <w:rPr>
          <w:rFonts w:eastAsia="Segoe UI" w:cs="Segoe UI" w:ascii="Segoe UI" w:hAnsi="Segoe UI"/>
          <w:b/>
          <w:color w:val="101820"/>
          <w:sz w:val="21"/>
        </w:rPr>
        <w:t>Outputs:</w:t>
      </w:r>
      <w:r>
        <w:rPr>
          <w:rFonts w:eastAsia="Segoe UI" w:cs="Segoe UI" w:ascii="Segoe UI" w:hAnsi="Segoe UI"/>
          <w:color w:val="101820"/>
          <w:sz w:val="21"/>
        </w:rPr>
        <w:t xml:space="preserve"> Excel (reconciliation and summary sheets, default), CSV, PDF.</w:t>
      </w:r>
    </w:p>
    <w:p>
      <w:pPr>
        <w:pStyle w:val="Normal"/>
        <w:spacing w:lineRule="auto" w:line="276" w:before="0" w:after="120"/>
        <w:rPr/>
      </w:pPr>
      <w:r>
        <w:rPr>
          <w:rFonts w:eastAsia="Segoe UI" w:cs="Segoe UI" w:ascii="Segoe UI" w:hAnsi="Segoe UI"/>
          <w:color w:val="101820"/>
          <w:sz w:val="21"/>
        </w:rPr>
        <w:t>After an insurer's statement (premium remittance confirmation or commission statement) is imported and matched, the differences report lists every line with the insurer's and the broker's figures side by side.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4"/>
      </w:tblGrid>
      <w:tr>
        <w:trPr>
          <w:tblHeader w:val="true"/>
        </w:trPr>
        <w:tc>
          <w:tcPr>
            <w:tcW w:w="9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r>
      <w:tr>
        <w:trPr/>
        <w:tc>
          <w:tcPr>
            <w:tcW w:w="9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Policy No, Insured, Date, Reference, Status, Insurer gross premium, Broker gross premium, Premium difference, Insurer commission, Broker commission, Commission difference, Insurer amount paid, Broker amount, Amount difference, Broker record, Resolution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Source tables: </w:t>
      </w:r>
      <w:r>
        <w:rPr>
          <w:rFonts w:eastAsia="Consolas" w:cs="Consolas" w:ascii="Consolas" w:hAnsi="Consolas"/>
          <w:color w:val="101820"/>
          <w:sz w:val="19"/>
        </w:rPr>
        <w:t>insurer_statements</w:t>
      </w:r>
      <w:r>
        <w:rPr>
          <w:rFonts w:eastAsia="Segoe UI" w:cs="Segoe UI" w:ascii="Segoe UI" w:hAnsi="Segoe UI"/>
          <w:color w:val="101820"/>
          <w:sz w:val="21"/>
        </w:rPr>
        <w:t xml:space="preserve">, </w:t>
      </w:r>
      <w:r>
        <w:rPr>
          <w:rFonts w:eastAsia="Consolas" w:cs="Consolas" w:ascii="Consolas" w:hAnsi="Consolas"/>
          <w:color w:val="101820"/>
          <w:sz w:val="19"/>
        </w:rPr>
        <w:t>insurer_statement_lines</w:t>
      </w:r>
      <w:r>
        <w:rPr>
          <w:rFonts w:eastAsia="Segoe UI" w:cs="Segoe UI" w:ascii="Segoe UI" w:hAnsi="Segoe UI"/>
          <w:color w:val="101820"/>
          <w:sz w:val="21"/>
        </w:rPr>
        <w:t xml:space="preserve">, </w:t>
      </w:r>
      <w:r>
        <w:rPr>
          <w:rFonts w:eastAsia="Consolas" w:cs="Consolas" w:ascii="Consolas" w:hAnsi="Consolas"/>
          <w:color w:val="101820"/>
          <w:sz w:val="19"/>
        </w:rPr>
        <w:t>insurer_statement_resolutions</w:t>
      </w:r>
      <w:r>
        <w:rPr>
          <w:rFonts w:eastAsia="Segoe UI" w:cs="Segoe UI" w:ascii="Segoe UI" w:hAnsi="Segoe UI"/>
          <w:color w:val="101820"/>
          <w:sz w:val="21"/>
        </w:rPr>
        <w:t xml:space="preserve">, </w:t>
      </w:r>
      <w:r>
        <w:rPr>
          <w:rFonts w:eastAsia="Consolas" w:cs="Consolas" w:ascii="Consolas" w:hAnsi="Consolas"/>
          <w:color w:val="101820"/>
          <w:sz w:val="19"/>
        </w:rPr>
        <w:t>remittance_lines</w:t>
      </w:r>
      <w:r>
        <w:rPr>
          <w:rFonts w:eastAsia="Segoe UI" w:cs="Segoe UI" w:ascii="Segoe UI" w:hAnsi="Segoe UI"/>
          <w:color w:val="101820"/>
          <w:sz w:val="21"/>
        </w:rPr>
        <w:t xml:space="preserve">, </w:t>
      </w:r>
      <w:r>
        <w:rPr>
          <w:rFonts w:eastAsia="Consolas" w:cs="Consolas" w:ascii="Consolas" w:hAnsi="Consolas"/>
          <w:color w:val="101820"/>
          <w:sz w:val="19"/>
        </w:rPr>
        <w:t>commission_debit_notes</w:t>
      </w:r>
      <w:r>
        <w:rPr>
          <w:rFonts w:eastAsia="Segoe UI" w:cs="Segoe UI" w:ascii="Segoe UI" w:hAnsi="Segoe UI"/>
          <w:color w:val="101820"/>
          <w:sz w:val="21"/>
        </w:rPr>
        <w:t>. Fed by the statement import (Batch Processes document) and the resolutions entered on the screen.</w:t>
      </w:r>
    </w:p>
    <w:p>
      <w:pPr>
        <w:pStyle w:val="Heading2"/>
        <w:rPr/>
      </w:pPr>
      <w:bookmarkStart w:id="61" w:name="__RefHeading___Toc99413_4195859891"/>
      <w:bookmarkEnd w:id="61"/>
      <w:r>
        <w:rPr>
          <w:rFonts w:eastAsia="Segoe UI" w:cs="Segoe UI"/>
          <w:b/>
          <w:color w:val="0F4761"/>
          <w:sz w:val="26"/>
        </w:rPr>
        <w:t>8.8  Remittance Ageing (premium held for insurers)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Credit Control &gt; Remittance Ageing.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read:collections</w:t>
      </w:r>
      <w:r>
        <w:rPr>
          <w:rFonts w:eastAsia="Segoe UI" w:cs="Segoe UI" w:ascii="Segoe UI" w:hAnsi="Segoe UI"/>
          <w:color w:val="101820"/>
          <w:sz w:val="21"/>
        </w:rPr>
        <w:t xml:space="preserve"> or </w:t>
      </w:r>
      <w:r>
        <w:rPr>
          <w:rFonts w:eastAsia="Consolas" w:cs="Consolas" w:ascii="Consolas" w:hAnsi="Consolas"/>
          <w:color w:val="101820"/>
          <w:sz w:val="19"/>
        </w:rPr>
        <w:t>read:remittance</w:t>
      </w:r>
      <w:r>
        <w:rPr>
          <w:rFonts w:eastAsia="Segoe UI" w:cs="Segoe UI" w:ascii="Segoe UI" w:hAnsi="Segoe UI"/>
          <w:color w:val="101820"/>
          <w:sz w:val="21"/>
        </w:rPr>
        <w:t xml:space="preserve">. </w:t>
      </w:r>
      <w:r>
        <w:rPr>
          <w:rFonts w:eastAsia="Segoe UI" w:cs="Segoe UI" w:ascii="Segoe UI" w:hAnsi="Segoe UI"/>
          <w:b/>
          <w:color w:val="101820"/>
          <w:sz w:val="21"/>
        </w:rPr>
        <w:t>Outputs:</w:t>
      </w:r>
      <w:r>
        <w:rPr>
          <w:rFonts w:eastAsia="Segoe UI" w:cs="Segoe UI" w:ascii="Segoe UI" w:hAnsi="Segoe UI"/>
          <w:color w:val="101820"/>
          <w:sz w:val="21"/>
        </w:rPr>
        <w:t xml:space="preserve"> screen, Excel, CSV (</w:t>
      </w:r>
      <w:r>
        <w:rPr>
          <w:rFonts w:eastAsia="Consolas" w:cs="Consolas" w:ascii="Consolas" w:hAnsi="Consolas"/>
          <w:color w:val="101820"/>
          <w:sz w:val="19"/>
        </w:rPr>
        <w:t>format=xlsx</w:t>
      </w:r>
      <w:r>
        <w:rPr>
          <w:rFonts w:eastAsia="Segoe UI" w:cs="Segoe UI" w:ascii="Segoe UI" w:hAnsi="Segoe UI"/>
          <w:color w:val="101820"/>
          <w:sz w:val="21"/>
        </w:rPr>
        <w:t xml:space="preserve"> or </w:t>
      </w:r>
      <w:r>
        <w:rPr>
          <w:rFonts w:eastAsia="Consolas" w:cs="Consolas" w:ascii="Consolas" w:hAnsi="Consolas"/>
          <w:color w:val="101820"/>
          <w:sz w:val="19"/>
        </w:rPr>
        <w:t>csv</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Premium collected from clients and not yet remitted to the insurer, aged on the insurer's remittance terms (the insurer master field Remittance Terms, days after collection). Filters: insurer, as-of date, overdue only.</w:t>
      </w:r>
    </w:p>
    <w:p>
      <w:pPr>
        <w:pStyle w:val="Heading2"/>
        <w:rPr/>
      </w:pPr>
      <w:bookmarkStart w:id="62" w:name="__RefHeading___Toc99415_4195859891"/>
      <w:bookmarkEnd w:id="62"/>
      <w:r>
        <w:rPr>
          <w:rFonts w:eastAsia="Segoe UI" w:cs="Segoe UI"/>
          <w:b/>
          <w:color w:val="0F4761"/>
          <w:sz w:val="26"/>
        </w:rPr>
        <w:t>8.9  Remittance and reinsurance reconciliation screens</w:t>
      </w:r>
    </w:p>
    <w:p>
      <w:pPr>
        <w:pStyle w:val="Normal"/>
        <w:numPr>
          <w:ilvl w:val="0"/>
          <w:numId w:val="1"/>
        </w:numPr>
        <w:spacing w:before="0" w:after="60"/>
        <w:rPr/>
      </w:pPr>
      <w:r>
        <w:rPr>
          <w:rFonts w:eastAsia="Segoe UI" w:cs="Segoe UI" w:ascii="Segoe UI" w:hAnsi="Segoe UI"/>
          <w:color w:val="101820"/>
          <w:sz w:val="21"/>
        </w:rPr>
        <w:t>Accounts &gt; Remittance &gt; Reconciliation: imports bank transactions (Remittance_Bank_Transactions_Template) and matches them to remittances.</w:t>
      </w:r>
    </w:p>
    <w:p>
      <w:pPr>
        <w:pStyle w:val="Normal"/>
        <w:numPr>
          <w:ilvl w:val="0"/>
          <w:numId w:val="1"/>
        </w:numPr>
        <w:spacing w:before="0" w:after="60"/>
        <w:rPr/>
      </w:pPr>
      <w:r>
        <w:rPr>
          <w:rFonts w:eastAsia="Segoe UI" w:cs="Segoe UI" w:ascii="Segoe UI" w:hAnsi="Segoe UI"/>
          <w:color w:val="101820"/>
          <w:sz w:val="21"/>
        </w:rPr>
        <w:t>Reinsurance &gt; Reconciliation: premium and claims bordereaux by period (see chapter 10).</w:t>
      </w:r>
      <w:r>
        <w:br w:type="page"/>
      </w:r>
    </w:p>
    <w:p>
      <w:pPr>
        <w:pStyle w:val="Heading1"/>
        <w:rPr/>
      </w:pPr>
      <w:bookmarkStart w:id="63" w:name="__RefHeading___Toc99417_4195859891"/>
      <w:bookmarkEnd w:id="63"/>
      <w:r>
        <w:rPr>
          <w:rFonts w:eastAsia="Segoe UI" w:cs="Segoe UI" w:ascii="Segoe UI" w:hAnsi="Segoe UI"/>
          <w:b/>
          <w:color w:val="0F4761"/>
          <w:sz w:val="32"/>
        </w:rPr>
        <w:t>9.  Management reports</w:t>
      </w:r>
    </w:p>
    <w:p>
      <w:pPr>
        <w:pStyle w:val="Normal"/>
        <w:spacing w:lineRule="auto" w:line="276" w:before="0" w:after="120"/>
        <w:rPr/>
      </w:pPr>
      <w:r>
        <w:rPr>
          <w:rFonts w:eastAsia="Segoe UI" w:cs="Segoe UI" w:ascii="Segoe UI" w:hAnsi="Segoe UI"/>
          <w:color w:val="101820"/>
          <w:sz w:val="21"/>
        </w:rPr>
        <w:t>Management reports summarise production for the executive view. Chapter 9 also covers the dashboards, which are screens with figures and charts rather than catalogue reports.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3277"/>
        <w:gridCol w:w="3279"/>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2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by Product / Month / Insurer</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Premium by Product / Month / Insurer</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vs Renewals</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New Business vs Renewals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bl>
    <w:p>
      <w:pPr>
        <w:pStyle w:val="Normal"/>
        <w:spacing w:before="0" w:after="80"/>
        <w:rPr/>
      </w:pPr>
      <w:r>
        <w:rPr/>
      </w:r>
    </w:p>
    <w:p>
      <w:pPr>
        <w:pStyle w:val="Heading2"/>
        <w:rPr/>
      </w:pPr>
      <w:bookmarkStart w:id="64" w:name="__RefHeading___Toc99419_4195859891"/>
      <w:bookmarkEnd w:id="64"/>
      <w:r>
        <w:rPr>
          <w:rFonts w:eastAsia="Segoe UI" w:cs="Segoe UI"/>
          <w:b/>
          <w:color w:val="0F4761"/>
          <w:sz w:val="26"/>
        </w:rPr>
        <w:t>9.1  Management catalogue reports</w:t>
      </w:r>
    </w:p>
    <w:p>
      <w:pPr>
        <w:pStyle w:val="Heading3"/>
        <w:rPr/>
      </w:pPr>
      <w:r>
        <w:rPr>
          <w:rFonts w:eastAsia="Segoe UI" w:cs="Segoe UI"/>
          <w:b/>
          <w:color w:val="0F4761"/>
          <w:sz w:val="23"/>
        </w:rPr>
        <w:t>9.1.1  Premium by Product / Month / Insurer</w:t>
      </w:r>
    </w:p>
    <w:p>
      <w:pPr>
        <w:pStyle w:val="Normal"/>
        <w:spacing w:lineRule="auto" w:line="276" w:before="0" w:after="120"/>
        <w:rPr/>
      </w:pPr>
      <w:r>
        <w:rPr>
          <w:rFonts w:eastAsia="Segoe UI" w:cs="Segoe UI" w:ascii="Segoe UI" w:hAnsi="Segoe UI"/>
          <w:color w:val="101820"/>
          <w:sz w:val="21"/>
        </w:rPr>
        <w:t>Policy count, sum insured, premium and commission by month, product and insurer (criteria picks the dimension).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premium-by-product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Premium by Product / Month / Insurer (definition screen: Dashboard &gt; Executive Dashboard &gt; 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Product, Month, Principal Insurer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Product, Insurer, Policies, 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products, insurance_companies, users, branches,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rows as the Production Register (policies by inception date), summed by month, product and insurer.</w:t>
            </w:r>
          </w:p>
        </w:tc>
      </w:tr>
    </w:tbl>
    <w:p>
      <w:pPr>
        <w:pStyle w:val="Normal"/>
        <w:spacing w:before="0" w:after="80"/>
        <w:rPr/>
      </w:pPr>
      <w:r>
        <w:rPr/>
      </w:r>
    </w:p>
    <w:p>
      <w:pPr>
        <w:pStyle w:val="Heading3"/>
        <w:rPr/>
      </w:pPr>
      <w:r>
        <w:rPr>
          <w:rFonts w:eastAsia="Segoe UI" w:cs="Segoe UI"/>
          <w:b/>
          <w:color w:val="0F4761"/>
          <w:sz w:val="23"/>
        </w:rPr>
        <w:t>9.1.2  New Business vs Renewals</w:t>
      </w:r>
    </w:p>
    <w:p>
      <w:pPr>
        <w:pStyle w:val="Normal"/>
        <w:spacing w:lineRule="auto" w:line="276" w:before="0" w:after="120"/>
        <w:rPr/>
      </w:pPr>
      <w:r>
        <w:rPr>
          <w:rFonts w:eastAsia="Segoe UI" w:cs="Segoe UI" w:ascii="Segoe UI" w:hAnsi="Segoe UI"/>
          <w:color w:val="101820"/>
          <w:sz w:val="21"/>
        </w:rPr>
        <w:t>Policies and premium split into new business and renewals per month (or per agent).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new-vs-renewal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New Business vs Renewals (definition screen: Dashboard &gt; Executive Dashboard &gt; 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Business Type,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Agent, Business Type, Policies,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products, insurance_companies, users, branches,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rows as the Production Register; a policy is a renewal when it was renewed from an earlier policy.</w:t>
            </w:r>
          </w:p>
        </w:tc>
      </w:tr>
    </w:tbl>
    <w:p>
      <w:pPr>
        <w:pStyle w:val="Normal"/>
        <w:spacing w:before="0" w:after="80"/>
        <w:rPr/>
      </w:pPr>
      <w:r>
        <w:rPr/>
      </w:r>
    </w:p>
    <w:p>
      <w:pPr>
        <w:pStyle w:val="Heading2"/>
        <w:rPr/>
      </w:pPr>
      <w:bookmarkStart w:id="65" w:name="__RefHeading___Toc99421_4195859891"/>
      <w:bookmarkEnd w:id="65"/>
      <w:r>
        <w:rPr>
          <w:rFonts w:eastAsia="Segoe UI" w:cs="Segoe UI"/>
          <w:b/>
          <w:color w:val="0F4761"/>
          <w:sz w:val="26"/>
        </w:rPr>
        <w:t>9.2  Dashboards</w:t>
      </w:r>
    </w:p>
    <w:p>
      <w:pPr>
        <w:pStyle w:val="Normal"/>
        <w:spacing w:lineRule="auto" w:line="276" w:before="0" w:after="120"/>
        <w:rPr/>
      </w:pPr>
      <w:r>
        <w:rPr>
          <w:rFonts w:eastAsia="Segoe UI" w:cs="Segoe UI" w:ascii="Segoe UI" w:hAnsi="Segoe UI"/>
          <w:color w:val="101820"/>
          <w:sz w:val="21"/>
        </w:rPr>
        <w:t>Dashboards are screens with figures and charts. They read live data each time they open and have no file output, except the Claims Dashboard export.</w:t>
      </w:r>
    </w:p>
    <w:p>
      <w:pPr>
        <w:pStyle w:val="Heading3"/>
        <w:rPr/>
      </w:pPr>
      <w:r>
        <w:rPr>
          <w:rFonts w:eastAsia="Segoe UI" w:cs="Segoe UI"/>
          <w:b/>
          <w:color w:val="0F4761"/>
          <w:sz w:val="23"/>
        </w:rPr>
        <w:t>9.2.1  Executive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Executive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read:reports</w:t>
      </w:r>
      <w:r>
        <w:rPr>
          <w:rFonts w:eastAsia="Segoe UI" w:cs="Segoe UI" w:ascii="Segoe UI" w:hAnsi="Segoe UI"/>
          <w:color w:val="101820"/>
          <w:sz w:val="21"/>
        </w:rPr>
        <w:t xml:space="preserve">. </w:t>
      </w:r>
      <w:r>
        <w:rPr>
          <w:rFonts w:eastAsia="Segoe UI" w:cs="Segoe UI" w:ascii="Segoe UI" w:hAnsi="Segoe UI"/>
          <w:b/>
          <w:color w:val="101820"/>
          <w:sz w:val="21"/>
        </w:rPr>
        <w:t>Period:</w:t>
      </w:r>
      <w:r>
        <w:rPr>
          <w:rFonts w:eastAsia="Segoe UI" w:cs="Segoe UI" w:ascii="Segoe UI" w:hAnsi="Segoe UI"/>
          <w:color w:val="101820"/>
          <w:sz w:val="21"/>
        </w:rPr>
        <w:t xml:space="preserve"> month, quarter or year.</w:t>
      </w:r>
    </w:p>
    <w:p>
      <w:pPr>
        <w:pStyle w:val="Normal"/>
        <w:spacing w:lineRule="auto" w:line="276" w:before="0" w:after="120"/>
        <w:rPr/>
      </w:pPr>
      <w:r>
        <w:rPr>
          <w:rFonts w:eastAsia="Segoe UI" w:cs="Segoe UI" w:ascii="Segoe UI" w:hAnsi="Segoe UI"/>
          <w:color w:val="101820"/>
          <w:sz w:val="21"/>
        </w:rPr>
        <w:t xml:space="preserve">KPIs with target and achievement: total revenue (premium), active policies, new business, claims ratio, retention rate and customer satisfaction (shows "No survey data captured": the system holds no survey data). Charts: premium by product, monthly trend, regions, products, agents. Targets come from the setting </w:t>
      </w:r>
      <w:r>
        <w:rPr>
          <w:rFonts w:eastAsia="Consolas" w:cs="Consolas" w:ascii="Consolas" w:hAnsi="Consolas"/>
          <w:color w:val="101820"/>
          <w:sz w:val="19"/>
        </w:rPr>
        <w:t>dashboard.targets</w:t>
      </w:r>
      <w:r>
        <w:rPr>
          <w:rFonts w:eastAsia="Segoe UI" w:cs="Segoe UI" w:ascii="Segoe UI" w:hAnsi="Segoe UI"/>
          <w:color w:val="101820"/>
          <w:sz w:val="21"/>
        </w:rPr>
        <w:t xml:space="preserve"> (OOTB: total revenue PHP 5,000,000.00, active policies 250, new business PHP 2,000,000.00, claims ratio 70, retention rate 90, customer satisfaction 95).</w:t>
      </w:r>
    </w:p>
    <w:p>
      <w:pPr>
        <w:pStyle w:val="Normal"/>
        <w:spacing w:lineRule="auto" w:line="276" w:before="0" w:after="120"/>
        <w:rPr/>
      </w:pPr>
      <w:r>
        <w:rPr>
          <w:rFonts w:eastAsia="Segoe UI" w:cs="Segoe UI" w:ascii="Segoe UI" w:hAnsi="Segoe UI"/>
          <w:color w:val="101820"/>
          <w:sz w:val="21"/>
        </w:rPr>
        <w:t>Test system, period year: total revenue PHP 15,204,363.59 against a target of PHP 5,000,000.00 (304.1%); active policies 68 against 250; claims ratio 7 against 70; retention rate 85.7 against 90.</w:t>
      </w:r>
    </w:p>
    <w:p>
      <w:pPr>
        <w:pStyle w:val="Heading3"/>
        <w:rPr/>
      </w:pPr>
      <w:r>
        <w:rPr>
          <w:rFonts w:eastAsia="Segoe UI" w:cs="Segoe UI"/>
          <w:b/>
          <w:color w:val="0F4761"/>
          <w:sz w:val="23"/>
        </w:rPr>
        <w:t>9.2.2  Sales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Sales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read:leads</w:t>
      </w:r>
      <w:r>
        <w:rPr>
          <w:rFonts w:eastAsia="Segoe UI" w:cs="Segoe UI" w:ascii="Segoe UI" w:hAnsi="Segoe UI"/>
          <w:color w:val="101820"/>
          <w:sz w:val="21"/>
        </w:rPr>
        <w:t xml:space="preserve"> or </w:t>
      </w:r>
      <w:r>
        <w:rPr>
          <w:rFonts w:eastAsia="Consolas" w:cs="Consolas" w:ascii="Consolas" w:hAnsi="Consolas"/>
          <w:color w:val="101820"/>
          <w:sz w:val="19"/>
        </w:rPr>
        <w:t>read:quotations</w:t>
      </w:r>
      <w:r>
        <w:rPr>
          <w:rFonts w:eastAsia="Segoe UI" w:cs="Segoe UI" w:ascii="Segoe UI" w:hAnsi="Segoe UI"/>
          <w:color w:val="101820"/>
          <w:sz w:val="21"/>
        </w:rPr>
        <w:t>. Prospects, new and converted prospects, quotations, quoted premium, policies, premium, prospect and quotation conversion rates, pipeline by stage, figures by sales person, premium by product, monthly trend, for a month, quarter, year or a date range. Roles limited to their own book (Sales &amp; Marketing) see only their own figures; others see the whole book or pick one sales person.</w:t>
      </w:r>
    </w:p>
    <w:p>
      <w:pPr>
        <w:pStyle w:val="Normal"/>
        <w:spacing w:lineRule="auto" w:line="276" w:before="0" w:after="120"/>
        <w:rPr/>
      </w:pPr>
      <w:r>
        <w:rPr>
          <w:rFonts w:eastAsia="Segoe UI" w:cs="Segoe UI" w:ascii="Segoe UI" w:hAnsi="Segoe UI"/>
          <w:color w:val="101820"/>
          <w:sz w:val="21"/>
        </w:rPr>
        <w:t>Test system, year to date: 61 prospects, 72 quotations (quoted premium PHP 15,252,579.67), 68 policies, premium PHP 15,204,363.59, prospect conversion 88.5%, quotation conversion 91.7%, pipeline 2 quotations worth PHP 105,322.24.</w:t>
      </w:r>
    </w:p>
    <w:p>
      <w:pPr>
        <w:pStyle w:val="Normal"/>
        <w:spacing w:lineRule="auto" w:line="276" w:before="0" w:after="120"/>
        <w:rPr/>
      </w:pPr>
      <w:r>
        <w:rPr>
          <w:rFonts w:eastAsia="Segoe UI" w:cs="Segoe UI" w:ascii="Segoe UI" w:hAnsi="Segoe UI"/>
          <w:color w:val="101820"/>
          <w:sz w:val="21"/>
        </w:rPr>
        <w:t xml:space="preserve">The Operations &gt; Home page (Account Executive) uses </w:t>
      </w:r>
      <w:r>
        <w:rPr>
          <w:rFonts w:eastAsia="Consolas" w:cs="Consolas" w:ascii="Consolas" w:hAnsi="Consolas"/>
          <w:color w:val="101820"/>
          <w:sz w:val="19"/>
        </w:rPr>
        <w:t>/api/agent/get-dashboard-details</w:t>
      </w:r>
      <w:r>
        <w:rPr>
          <w:rFonts w:eastAsia="Segoe UI" w:cs="Segoe UI" w:ascii="Segoe UI" w:hAnsi="Segoe UI"/>
          <w:color w:val="101820"/>
          <w:sz w:val="21"/>
        </w:rPr>
        <w:t xml:space="preserve">: own funnel, premium this month, renewals due within </w:t>
      </w:r>
      <w:r>
        <w:rPr>
          <w:rFonts w:eastAsia="Consolas" w:cs="Consolas" w:ascii="Consolas" w:hAnsi="Consolas"/>
          <w:color w:val="101820"/>
          <w:sz w:val="19"/>
        </w:rPr>
        <w:t>dashboard.renewals_due_days</w:t>
      </w:r>
      <w:r>
        <w:rPr>
          <w:rFonts w:eastAsia="Segoe UI" w:cs="Segoe UI" w:ascii="Segoe UI" w:hAnsi="Segoe UI"/>
          <w:color w:val="101820"/>
          <w:sz w:val="21"/>
        </w:rPr>
        <w:t xml:space="preserve"> (60), recent quotations and expiring policies.</w:t>
      </w:r>
    </w:p>
    <w:p>
      <w:pPr>
        <w:pStyle w:val="Heading3"/>
        <w:rPr/>
      </w:pPr>
      <w:r>
        <w:rPr>
          <w:rFonts w:eastAsia="Segoe UI" w:cs="Segoe UI"/>
          <w:b/>
          <w:color w:val="0F4761"/>
          <w:sz w:val="23"/>
        </w:rPr>
        <w:t>9.2.3  Processing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Processing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read:quotations</w:t>
      </w:r>
      <w:r>
        <w:rPr>
          <w:rFonts w:eastAsia="Segoe UI" w:cs="Segoe UI" w:ascii="Segoe UI" w:hAnsi="Segoe UI"/>
          <w:color w:val="101820"/>
          <w:sz w:val="21"/>
        </w:rPr>
        <w:t xml:space="preserve">. New and older submissions, average cycle time, data-quality alerts (duplicate submission, missing dates, missing LOB), the cases awaiting the customer or the insurer with priority (high from </w:t>
      </w:r>
      <w:r>
        <w:rPr>
          <w:rFonts w:eastAsia="Consolas" w:cs="Consolas" w:ascii="Consolas" w:hAnsi="Consolas"/>
          <w:color w:val="101820"/>
          <w:sz w:val="19"/>
        </w:rPr>
        <w:t>dashboard.high_sum_insured</w:t>
      </w:r>
      <w:r>
        <w:rPr>
          <w:rFonts w:eastAsia="Segoe UI" w:cs="Segoe UI" w:ascii="Segoe UI" w:hAnsi="Segoe UI"/>
          <w:color w:val="101820"/>
          <w:sz w:val="21"/>
        </w:rPr>
        <w:t>, PHP 5,000,000.00), and volume by LOB.</w:t>
      </w:r>
    </w:p>
    <w:p>
      <w:pPr>
        <w:pStyle w:val="Heading3"/>
        <w:rPr/>
      </w:pPr>
      <w:r>
        <w:rPr>
          <w:rFonts w:eastAsia="Segoe UI" w:cs="Segoe UI"/>
          <w:b/>
          <w:color w:val="0F4761"/>
          <w:sz w:val="23"/>
        </w:rPr>
        <w:t>9.2.4  Claims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Claims Dashboard (and Operations &gt; Claims &gt; Claims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read:claims</w:t>
      </w:r>
      <w:r>
        <w:rPr>
          <w:rFonts w:eastAsia="Segoe UI" w:cs="Segoe UI" w:ascii="Segoe UI" w:hAnsi="Segoe UI"/>
          <w:color w:val="101820"/>
          <w:sz w:val="21"/>
        </w:rPr>
        <w:t>. Total claims, settled amount, average days to settle, claims and estimates by status. Test system: 8 claims, PHP 1,097,750.00 settled, 29.75 days on average to settle. The operations version (</w:t>
      </w:r>
      <w:r>
        <w:rPr>
          <w:rFonts w:eastAsia="Consolas" w:cs="Consolas" w:ascii="Consolas" w:hAnsi="Consolas"/>
          <w:color w:val="101820"/>
          <w:sz w:val="19"/>
        </w:rPr>
        <w:t>/api/claims/report</w:t>
      </w:r>
      <w:r>
        <w:rPr>
          <w:rFonts w:eastAsia="Segoe UI" w:cs="Segoe UI" w:ascii="Segoe UI" w:hAnsi="Segoe UI"/>
          <w:color w:val="101820"/>
          <w:sz w:val="21"/>
        </w:rPr>
        <w:t xml:space="preserve">, permission </w:t>
      </w:r>
      <w:r>
        <w:rPr>
          <w:rFonts w:eastAsia="Consolas" w:cs="Consolas" w:ascii="Consolas" w:hAnsi="Consolas"/>
          <w:color w:val="101820"/>
          <w:sz w:val="19"/>
        </w:rPr>
        <w:t>read:claims</w:t>
      </w:r>
      <w:r>
        <w:rPr>
          <w:rFonts w:eastAsia="Segoe UI" w:cs="Segoe UI" w:ascii="Segoe UI" w:hAnsi="Segoe UI"/>
          <w:color w:val="101820"/>
          <w:sz w:val="21"/>
        </w:rPr>
        <w:t xml:space="preserve"> or </w:t>
      </w:r>
      <w:r>
        <w:rPr>
          <w:rFonts w:eastAsia="Consolas" w:cs="Consolas" w:ascii="Consolas" w:hAnsi="Consolas"/>
          <w:color w:val="101820"/>
          <w:sz w:val="19"/>
        </w:rPr>
        <w:t>read:reports</w:t>
      </w:r>
      <w:r>
        <w:rPr>
          <w:rFonts w:eastAsia="Segoe UI" w:cs="Segoe UI" w:ascii="Segoe UI" w:hAnsi="Segoe UI"/>
          <w:color w:val="101820"/>
          <w:sz w:val="21"/>
        </w:rPr>
        <w:t>) adds breakdowns, ageing and detailed rows and downloads them as Excel.</w:t>
      </w:r>
    </w:p>
    <w:p>
      <w:pPr>
        <w:pStyle w:val="Heading3"/>
        <w:rPr/>
      </w:pPr>
      <w:r>
        <w:rPr>
          <w:rFonts w:eastAsia="Segoe UI" w:cs="Segoe UI"/>
          <w:b/>
          <w:color w:val="0F4761"/>
          <w:sz w:val="23"/>
        </w:rPr>
        <w:t>9.2.5  Commission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Commission &gt; Commission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read:commission</w:t>
      </w:r>
      <w:r>
        <w:rPr>
          <w:rFonts w:eastAsia="Segoe UI" w:cs="Segoe UI" w:ascii="Segoe UI" w:hAnsi="Segoe UI"/>
          <w:color w:val="101820"/>
          <w:sz w:val="21"/>
        </w:rPr>
        <w:t xml:space="preserve"> or </w:t>
      </w:r>
      <w:r>
        <w:rPr>
          <w:rFonts w:eastAsia="Consolas" w:cs="Consolas" w:ascii="Consolas" w:hAnsi="Consolas"/>
          <w:color w:val="101820"/>
          <w:sz w:val="19"/>
        </w:rPr>
        <w:t>read:quotations</w:t>
      </w:r>
      <w:r>
        <w:rPr>
          <w:rFonts w:eastAsia="Segoe UI" w:cs="Segoe UI" w:ascii="Segoe UI" w:hAnsi="Segoe UI"/>
          <w:color w:val="101820"/>
          <w:sz w:val="21"/>
        </w:rPr>
        <w:t>. Brokerage income, sub-agent commission (comsub) gross, net margin and margin %, outstanding payable, withholding tax withheld and paid, comsub by referrer and by product, brokerage by insurer, payout lines by status (Accrued, Eligible, Approved, Paid), clawbacks and monthly trend.</w:t>
      </w:r>
    </w:p>
    <w:p>
      <w:pPr>
        <w:pStyle w:val="Heading3"/>
        <w:rPr/>
      </w:pPr>
      <w:r>
        <w:rPr>
          <w:rFonts w:eastAsia="Segoe UI" w:cs="Segoe UI"/>
          <w:b/>
          <w:color w:val="0F4761"/>
          <w:sz w:val="23"/>
        </w:rPr>
        <w:t>9.2.6  Collections dashboard and ageing</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Collections.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read:collections</w:t>
      </w:r>
      <w:r>
        <w:rPr>
          <w:rFonts w:eastAsia="Segoe UI" w:cs="Segoe UI" w:ascii="Segoe UI" w:hAnsi="Segoe UI"/>
          <w:color w:val="101820"/>
          <w:sz w:val="21"/>
        </w:rPr>
        <w:t xml:space="preserve"> or </w:t>
      </w:r>
      <w:r>
        <w:rPr>
          <w:rFonts w:eastAsia="Consolas" w:cs="Consolas" w:ascii="Consolas" w:hAnsi="Consolas"/>
          <w:color w:val="101820"/>
          <w:sz w:val="19"/>
        </w:rPr>
        <w:t>read:receipts</w:t>
      </w:r>
      <w:r>
        <w:rPr>
          <w:rFonts w:eastAsia="Segoe UI" w:cs="Segoe UI" w:ascii="Segoe UI" w:hAnsi="Segoe UI"/>
          <w:color w:val="101820"/>
          <w:sz w:val="21"/>
        </w:rPr>
        <w:t>. KPIs: total outstanding, items, overdue count and amount, committed, escalated, collected this month, and items by status. The Aging report on the same screen gives bucket totals and percentages (current, 1-30, 31-60, 61-90, over 90) with the open items. Test system: outstanding PHP 4,251,087.52 on 18 items, of which PHP 445,301.58 overdue.</w:t>
      </w:r>
    </w:p>
    <w:p>
      <w:pPr>
        <w:pStyle w:val="Heading3"/>
        <w:rPr/>
      </w:pPr>
      <w:r>
        <w:rPr>
          <w:rFonts w:eastAsia="Segoe UI" w:cs="Segoe UI"/>
          <w:b/>
          <w:color w:val="0F4761"/>
          <w:sz w:val="23"/>
        </w:rPr>
        <w:t>9.2.7  Renewal performance and retention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Operations &gt; Renewals &gt; Performance and Retention Analytics; Renewal Queue (counters); At-Risk Policies.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read:renewals</w:t>
      </w:r>
      <w:r>
        <w:rPr>
          <w:rFonts w:eastAsia="Segoe UI" w:cs="Segoe UI" w:ascii="Segoe UI" w:hAnsi="Segoe UI"/>
          <w:color w:val="101820"/>
          <w:sz w:val="21"/>
        </w:rPr>
        <w:t xml:space="preserve">. Renewal rate, premium retention, cycle time, by product, by agent and monthly trend; at-risk renewals with risk score, factors and recommended actions (weights and bands in the </w:t>
      </w:r>
      <w:r>
        <w:rPr>
          <w:rFonts w:eastAsia="Consolas" w:cs="Consolas" w:ascii="Consolas" w:hAnsi="Consolas"/>
          <w:color w:val="101820"/>
          <w:sz w:val="19"/>
        </w:rPr>
        <w:t>renewals.risk_*</w:t>
      </w:r>
      <w:r>
        <w:rPr>
          <w:rFonts w:eastAsia="Segoe UI" w:cs="Segoe UI" w:ascii="Segoe UI" w:hAnsi="Segoe UI"/>
          <w:color w:val="101820"/>
          <w:sz w:val="21"/>
        </w:rPr>
        <w:t xml:space="preserve"> settings).</w:t>
      </w:r>
    </w:p>
    <w:p>
      <w:pPr>
        <w:pStyle w:val="Heading3"/>
        <w:rPr/>
      </w:pPr>
      <w:r>
        <w:rPr>
          <w:rFonts w:eastAsia="Segoe UI" w:cs="Segoe UI"/>
          <w:b/>
          <w:color w:val="0F4761"/>
          <w:sz w:val="23"/>
        </w:rPr>
        <w:t>9.2.8  Remittance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Remittance &gt;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read:remittance</w:t>
      </w:r>
      <w:r>
        <w:rPr>
          <w:rFonts w:eastAsia="Segoe UI" w:cs="Segoe UI" w:ascii="Segoe UI" w:hAnsi="Segoe UI"/>
          <w:color w:val="101820"/>
          <w:sz w:val="21"/>
        </w:rPr>
        <w:t>. KPIs with targets (settlement efficiency, payment success rate, average processing time, exception rate), top insurers, monthly trend and status distribution.</w:t>
      </w:r>
    </w:p>
    <w:p>
      <w:pPr>
        <w:pStyle w:val="Heading3"/>
        <w:rPr/>
      </w:pPr>
      <w:r>
        <w:rPr>
          <w:rFonts w:eastAsia="Segoe UI" w:cs="Segoe UI"/>
          <w:b/>
          <w:color w:val="0F4761"/>
          <w:sz w:val="23"/>
        </w:rPr>
        <w:t>9.2.9  Reinsurance Treaty Dashboard and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Reinsurance &gt; Treaty Dashboard; Reinsurance &gt;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read:reinsurance</w:t>
      </w:r>
      <w:r>
        <w:rPr>
          <w:rFonts w:eastAsia="Segoe UI" w:cs="Segoe UI" w:ascii="Segoe UI" w:hAnsi="Segoe UI"/>
          <w:color w:val="101820"/>
          <w:sz w:val="21"/>
        </w:rPr>
        <w:t>. Treaty utilisation, loss-ratio trend (gross and net by month), retention and cession, recovery performance and catastrophe exposure.</w:t>
      </w:r>
    </w:p>
    <w:p>
      <w:pPr>
        <w:pStyle w:val="Heading3"/>
        <w:rPr/>
      </w:pPr>
      <w:r>
        <w:rPr>
          <w:rFonts w:eastAsia="Segoe UI" w:cs="Segoe UI"/>
          <w:b/>
          <w:color w:val="0F4761"/>
          <w:sz w:val="23"/>
        </w:rPr>
        <w:t>9.2.10  Product Configurator Dashboard and Product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Product Configurator &gt; Dashboard; Product Configurator &gt; Product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read:products</w:t>
      </w:r>
      <w:r>
        <w:rPr>
          <w:rFonts w:eastAsia="Segoe UI" w:cs="Segoe UI" w:ascii="Segoe UI" w:hAnsi="Segoe UI"/>
          <w:color w:val="101820"/>
          <w:sz w:val="21"/>
        </w:rPr>
        <w:t>. Template counts, categories, components, recent and expiring templates; top products, performance trend and category breakdown from issued policies and claims.</w:t>
      </w:r>
      <w:r>
        <w:br w:type="page"/>
      </w:r>
    </w:p>
    <w:p>
      <w:pPr>
        <w:pStyle w:val="Heading1"/>
        <w:rPr/>
      </w:pPr>
      <w:bookmarkStart w:id="66" w:name="__RefHeading___Toc99423_4195859891"/>
      <w:bookmarkEnd w:id="66"/>
      <w:r>
        <w:rPr>
          <w:rFonts w:eastAsia="Segoe UI" w:cs="Segoe UI" w:ascii="Segoe UI" w:hAnsi="Segoe UI"/>
          <w:b/>
          <w:color w:val="0F4761"/>
          <w:sz w:val="32"/>
        </w:rPr>
        <w:t>10.  Module exports and printed registers</w:t>
      </w:r>
    </w:p>
    <w:p>
      <w:pPr>
        <w:pStyle w:val="Normal"/>
        <w:spacing w:lineRule="auto" w:line="276" w:before="0" w:after="120"/>
        <w:rPr/>
      </w:pPr>
      <w:r>
        <w:rPr>
          <w:rFonts w:eastAsia="Segoe UI" w:cs="Segoe UI" w:ascii="Segoe UI" w:hAnsi="Segoe UI"/>
          <w:color w:val="101820"/>
          <w:sz w:val="21"/>
        </w:rPr>
        <w:t>These outputs are produced on the module screens. They are not in the report catalogue, so the catalogue role check and the report schedules do not apply to them.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9"/>
        <w:gridCol w:w="2089"/>
        <w:gridCol w:w="1521"/>
        <w:gridCol w:w="2088"/>
        <w:gridCol w:w="2088"/>
      </w:tblGrid>
      <w:tr>
        <w:trPr>
          <w:tblHeader w:val="true"/>
        </w:trPr>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Output</w:t>
            </w:r>
          </w:p>
        </w:tc>
        <w:tc>
          <w:tcPr>
            <w:tcW w:w="20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Menu</w:t>
            </w:r>
          </w:p>
        </w:tc>
        <w:tc>
          <w:tcPr>
            <w:tcW w:w="15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Format</w:t>
            </w:r>
          </w:p>
        </w:tc>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Permission</w:t>
            </w:r>
          </w:p>
        </w:tc>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Content</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dashboard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Claims &gt; Claims Dashboard &gt; Export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read:claims</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read:reports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Detailed claim rows for a start and end date.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by criteria</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API only: </w:t>
            </w:r>
            <w:r>
              <w:rPr>
                <w:rFonts w:eastAsia="Consolas" w:cs="Consolas" w:ascii="Consolas" w:hAnsi="Consolas"/>
                <w:color w:val="101820"/>
                <w:kern w:val="0"/>
                <w:sz w:val="14"/>
                <w:szCs w:val="24"/>
                <w:lang w:val="en-US" w:eastAsia="ja-JP" w:bidi="ar-SA"/>
              </w:rPr>
              <w:t>/api/claims/reports/criteria</w:t>
            </w:r>
            <w:r>
              <w:rPr>
                <w:rFonts w:eastAsia="Segoe UI" w:cs="Segoe UI" w:ascii="Segoe UI" w:hAnsi="Segoe UI"/>
                <w:color w:val="101820"/>
                <w:kern w:val="0"/>
                <w:sz w:val="16"/>
                <w:szCs w:val="24"/>
                <w:lang w:val="en-US" w:eastAsia="ja-JP" w:bidi="ar-SA"/>
              </w:rPr>
              <w:t xml:space="preserve"> (the menu entry Reports &gt; Operational Reports &gt; Claims opens the catalogue Claims Position)</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JSON)</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read:claims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All, Open, Settled, Rejected or Aging.</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Prospects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read:leads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of a status or quotation-status category.</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entries export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Accounting Query &gt; Export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read:journal-vouchers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read:receipts</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read:disbursements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Entries matching the search filters (dates, account, reference).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batch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Renewals &gt; Renewal Batch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read:renewals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Policies of the batch with notice and quote status.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statement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Remittance &gt; Statements &gt; Generate</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 (optionally e-mailed as a link)</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read:remittance</w:t>
            </w:r>
            <w:r>
              <w:rPr>
                <w:rFonts w:eastAsia="Segoe UI" w:cs="Segoe UI" w:ascii="Segoe UI" w:hAnsi="Segoe UI"/>
                <w:color w:val="101820"/>
                <w:kern w:val="0"/>
                <w:sz w:val="16"/>
                <w:szCs w:val="24"/>
                <w:lang w:val="en-US" w:eastAsia="ja-JP" w:bidi="ar-SA"/>
              </w:rPr>
              <w:t xml:space="preserve"> / </w:t>
            </w:r>
            <w:r>
              <w:rPr>
                <w:rFonts w:eastAsia="Consolas" w:cs="Consolas" w:ascii="Consolas" w:hAnsi="Consolas"/>
                <w:color w:val="101820"/>
                <w:kern w:val="0"/>
                <w:sz w:val="14"/>
                <w:szCs w:val="24"/>
                <w:lang w:val="en-US" w:eastAsia="ja-JP" w:bidi="ar-SA"/>
              </w:rPr>
              <w:t>write:remittance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Transaction Date, Remittance No, Policy Number, Insured Name, Insurer, Premium, Commission, Taxes, Net Amount, Status for a period and insurers.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bordereaux</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&gt; Treaty Dashboard &gt; Generate Report &gt; Bordereau; Reinsurance &gt; Reconciliation</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read:reinsurance</w:t>
            </w:r>
            <w:r>
              <w:rPr>
                <w:rFonts w:eastAsia="Segoe UI" w:cs="Segoe UI" w:ascii="Segoe UI" w:hAnsi="Segoe UI"/>
                <w:color w:val="101820"/>
                <w:kern w:val="0"/>
                <w:sz w:val="16"/>
                <w:szCs w:val="24"/>
                <w:lang w:val="en-US" w:eastAsia="ja-JP" w:bidi="ar-SA"/>
              </w:rPr>
              <w:t xml:space="preserve"> / </w:t>
            </w:r>
            <w:r>
              <w:rPr>
                <w:rFonts w:eastAsia="Consolas" w:cs="Consolas" w:ascii="Consolas" w:hAnsi="Consolas"/>
                <w:color w:val="101820"/>
                <w:kern w:val="0"/>
                <w:sz w:val="14"/>
                <w:szCs w:val="24"/>
                <w:lang w:val="en-US" w:eastAsia="ja-JP" w:bidi="ar-SA"/>
              </w:rPr>
              <w:t>write:reinsurance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bordereau (confirmed cessions) or claims bordereau (recoveries) for a period.</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reports</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&gt; Treaty Dashboard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write:reinsurance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Templates Monthly Premium Bordereau (RPT001), Quarterly Claims Report (RPT002), Annual Treaty Performance (RPT003), IC Quarterly Submission (RPT004).</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reports</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reports screen (address /incentive/reports; no menu entry)</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write:incentive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Templates Monthly Payout Summary, Agent Payout Details, Target Achievement Report, Top Performers, Program Effectiveness.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statement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Incentive &gt; Statement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read:incentive</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read:profile</w:t>
            </w:r>
            <w:r>
              <w:rPr>
                <w:rFonts w:eastAsia="Segoe UI" w:cs="Segoe UI" w:ascii="Segoe UI" w:hAnsi="Segoe UI"/>
                <w:color w:val="101820"/>
                <w:kern w:val="0"/>
                <w:sz w:val="16"/>
                <w:szCs w:val="24"/>
                <w:lang w:val="en-US" w:eastAsia="ja-JP" w:bidi="ar-SA"/>
              </w:rPr>
              <w:t xml:space="preserve"> (own statement)</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 agent's incentive statement for a period.</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Official receipts print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Receipts &gt; Bulk print / Print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 one receipt per page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read:receipts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receipt, or a customer code and date range.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vouchers print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Disbursement &gt; Bulk print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 one voucher per page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read:disbursements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voucher, or a customer code and date range.</w:t>
            </w:r>
          </w:p>
        </w:tc>
      </w:tr>
    </w:tbl>
    <w:p>
      <w:pPr>
        <w:pStyle w:val="Normal"/>
        <w:spacing w:before="0" w:after="80"/>
        <w:rPr/>
      </w:pPr>
      <w:r>
        <w:rPr/>
      </w:r>
    </w:p>
    <w:p>
      <w:pPr>
        <w:pStyle w:val="Heading2"/>
        <w:rPr/>
      </w:pPr>
      <w:bookmarkStart w:id="67" w:name="__RefHeading___Toc99425_4195859891"/>
      <w:bookmarkEnd w:id="67"/>
      <w:r>
        <w:rPr>
          <w:rFonts w:eastAsia="Segoe UI" w:cs="Segoe UI"/>
          <w:b/>
          <w:color w:val="0F4761"/>
          <w:sz w:val="26"/>
        </w:rPr>
        <w:t>10.1  Regulatory outputs (Insurance Commission)</w:t>
      </w:r>
    </w:p>
    <w:p>
      <w:pPr>
        <w:pStyle w:val="Normal"/>
        <w:spacing w:lineRule="auto" w:line="276" w:before="0" w:after="120"/>
        <w:rPr/>
      </w:pPr>
      <w:r>
        <w:rPr>
          <w:rFonts w:eastAsia="Segoe UI" w:cs="Segoe UI" w:ascii="Segoe UI" w:hAnsi="Segoe UI"/>
          <w:color w:val="101820"/>
          <w:sz w:val="21"/>
        </w:rPr>
        <w:t xml:space="preserve">The OOTB system has no Insurance Commission statement in the prescribed IC format. The reinsurance report template </w:t>
      </w:r>
      <w:r>
        <w:rPr>
          <w:rFonts w:eastAsia="Segoe UI" w:cs="Segoe UI" w:ascii="Segoe UI" w:hAnsi="Segoe UI"/>
          <w:b/>
          <w:color w:val="101820"/>
          <w:sz w:val="21"/>
        </w:rPr>
        <w:t>IC Quarterly Submission</w:t>
      </w:r>
      <w:r>
        <w:rPr>
          <w:rFonts w:eastAsia="Segoe UI" w:cs="Segoe UI" w:ascii="Segoe UI" w:hAnsi="Segoe UI"/>
          <w:color w:val="101820"/>
          <w:sz w:val="21"/>
        </w:rPr>
        <w:t xml:space="preserve"> (RPT004, type Regulatory) exists, but the generator treats every template that is not of type Premium or Claims the same way: it writes the list of treaties (treaty number, name, type, LOB, status, dates, premium ceded, claims recovered, utilisation, security rating) as CSV, without a period filter. Treat it as a working list, not as a filing.</w:t>
      </w:r>
    </w:p>
    <w:p>
      <w:pPr>
        <w:pStyle w:val="Normal"/>
        <w:spacing w:lineRule="auto" w:line="276" w:before="0" w:after="120"/>
        <w:rPr/>
      </w:pPr>
      <w:r>
        <w:rPr>
          <w:rFonts w:eastAsia="Segoe UI" w:cs="Segoe UI" w:ascii="Segoe UI" w:hAnsi="Segoe UI"/>
          <w:color w:val="101820"/>
          <w:sz w:val="21"/>
        </w:rPr>
        <w:t>For the broker's own statutory reporting, the Income Statement, Balance Sheet, Trial Balance (Opening / Movement / Closing) and the production, claims and remittance registers give the figures an IC or audit schedule needs; the schedules themselves are prepared outside the system.</w:t>
      </w:r>
      <w:r>
        <w:br w:type="page"/>
      </w:r>
    </w:p>
    <w:p>
      <w:pPr>
        <w:pStyle w:val="Heading1"/>
        <w:rPr/>
      </w:pPr>
      <w:bookmarkStart w:id="68" w:name="__RefHeading___Toc99427_4195859891"/>
      <w:bookmarkEnd w:id="68"/>
      <w:r>
        <w:rPr>
          <w:rFonts w:eastAsia="Segoe UI" w:cs="Segoe UI" w:ascii="Segoe UI" w:hAnsi="Segoe UI"/>
          <w:b/>
          <w:color w:val="0F4761"/>
          <w:sz w:val="32"/>
        </w:rPr>
        <w:t>11.  Report settings and administration</w:t>
      </w:r>
    </w:p>
    <w:p>
      <w:pPr>
        <w:pStyle w:val="Heading2"/>
        <w:rPr/>
      </w:pPr>
      <w:bookmarkStart w:id="69" w:name="__RefHeading___Toc99429_4195859891"/>
      <w:bookmarkEnd w:id="69"/>
      <w:r>
        <w:rPr>
          <w:rFonts w:eastAsia="Segoe UI" w:cs="Segoe UI"/>
          <w:b/>
          <w:color w:val="0F4761"/>
          <w:sz w:val="26"/>
        </w:rPr>
        <w:t>11.1  Settings</w:t>
      </w:r>
    </w:p>
    <w:p>
      <w:pPr>
        <w:pStyle w:val="Normal"/>
        <w:spacing w:lineRule="auto" w:line="276" w:before="0" w:after="120"/>
        <w:rPr/>
      </w:pPr>
      <w:r>
        <w:rPr>
          <w:rFonts w:eastAsia="Segoe UI" w:cs="Segoe UI" w:ascii="Segoe UI" w:hAnsi="Segoe UI"/>
          <w:color w:val="101820"/>
          <w:sz w:val="21"/>
        </w:rPr>
        <w:t>All settings are on Master &gt; Configuration, area Reports &amp; Dashboards, unless shown otherwise.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 value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reports.default_format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format when none is chosen.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reports.default_page_size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Rows per page 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reports.default_range_days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covered when a run has no From Date.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reports.max_rows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50000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Maximum rows written to a file.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reports.download_link_ttl_hours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Validity of download links.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reports.retention_days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files are deleted after this many days.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reports.pdf_page_size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 page size (A4 or LETTER).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reports.email_subject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reports.email_body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Communication Templates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 e-mail.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reports.claim_ageing_buckets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30, 60, 90, 180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ageing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reports.claim_open_statuses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in-review, pending-approval, approved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reports.claim_settled_statuses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settled, closed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Settled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reports.claim_rejected_statuses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reports.renewal_retained_statuses</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reports.renewal_lost_statuses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renewed / lapsed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outcome.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reports.lead_funnel_stages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contacted, qualified, quoted, converted, lost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Funnel order.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reports.placement_age_buckets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7, 14, 30, 60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reports.placement_open_statuses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submitted, responses-in, sent, bound, declined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slips.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reports.trial_balance_statuses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posted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in the Trial Balance.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limits.receivable_ageing_buckets</w:t>
            </w:r>
            <w:r>
              <w:rPr>
                <w:rFonts w:eastAsia="Segoe UI" w:cs="Segoe UI" w:ascii="Segoe UI" w:hAnsi="Segoe UI"/>
                <w:color w:val="101820"/>
                <w:kern w:val="0"/>
                <w:sz w:val="18"/>
                <w:szCs w:val="24"/>
                <w:lang w:val="en-US" w:eastAsia="ja-JP" w:bidi="ar-SA"/>
              </w:rPr>
              <w:t xml:space="preserve"> (area Security &amp; Access, Limits)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30, 60, 90, 120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 and payable ageing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bank_reconciliation.stale_cheque_days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Stale cheque threshold.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accounting.account.output_vat</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accounting.account.input_vat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2204003 / 1301001</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accounts read by the tax reports.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bir.sawt_default_atc</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bir.atc_by_payee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WC139, per payee type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ATC on the alphalists.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dashboard.targets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dashboard.renewals_due_days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dashboard.high_sum_insured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chapter 9</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targets and windows.</w:t>
            </w:r>
          </w:p>
        </w:tc>
      </w:tr>
    </w:tbl>
    <w:p>
      <w:pPr>
        <w:pStyle w:val="Normal"/>
        <w:spacing w:before="0" w:after="80"/>
        <w:rPr/>
      </w:pPr>
      <w:r>
        <w:rPr/>
      </w:r>
    </w:p>
    <w:p>
      <w:pPr>
        <w:pStyle w:val="Heading2"/>
        <w:rPr/>
      </w:pPr>
      <w:bookmarkStart w:id="70" w:name="__RefHeading___Toc99431_4195859891"/>
      <w:bookmarkEnd w:id="70"/>
      <w:r>
        <w:rPr>
          <w:rFonts w:eastAsia="Segoe UI" w:cs="Segoe UI"/>
          <w:b/>
          <w:color w:val="0F4761"/>
          <w:sz w:val="26"/>
        </w:rPr>
        <w:t>11.2  Adding or changing a report</w:t>
      </w:r>
    </w:p>
    <w:p>
      <w:pPr>
        <w:pStyle w:val="Normal"/>
        <w:spacing w:lineRule="auto" w:line="276" w:before="0" w:after="120"/>
        <w:rPr/>
      </w:pPr>
      <w:r>
        <w:rPr>
          <w:rFonts w:eastAsia="Segoe UI" w:cs="Segoe UI" w:ascii="Segoe UI" w:hAnsi="Segoe UI"/>
          <w:color w:val="101820"/>
          <w:sz w:val="21"/>
        </w:rPr>
        <w:t xml:space="preserve">Reports are configuration plus a query. To add one, the support team writes the base query in </w:t>
      </w:r>
      <w:r>
        <w:rPr>
          <w:rFonts w:eastAsia="Consolas" w:cs="Consolas" w:ascii="Consolas" w:hAnsi="Consolas"/>
          <w:color w:val="101820"/>
          <w:sz w:val="19"/>
        </w:rPr>
        <w:t>backend/src/modules/reports/queries.js</w:t>
      </w:r>
      <w:r>
        <w:rPr>
          <w:rFonts w:eastAsia="Segoe UI" w:cs="Segoe UI" w:ascii="Segoe UI" w:hAnsi="Segoe UI"/>
          <w:color w:val="101820"/>
          <w:sz w:val="21"/>
        </w:rPr>
        <w:t xml:space="preserve"> (period as </w:t>
      </w:r>
      <w:r>
        <w:rPr>
          <w:rFonts w:eastAsia="Consolas" w:cs="Consolas" w:ascii="Consolas" w:hAnsi="Consolas"/>
          <w:color w:val="101820"/>
          <w:sz w:val="19"/>
        </w:rPr>
        <w:t>$1</w:t>
      </w:r>
      <w:r>
        <w:rPr>
          <w:rFonts w:eastAsia="Segoe UI" w:cs="Segoe UI" w:ascii="Segoe UI" w:hAnsi="Segoe UI"/>
          <w:color w:val="101820"/>
          <w:sz w:val="21"/>
        </w:rPr>
        <w:t xml:space="preserve"> and </w:t>
      </w:r>
      <w:r>
        <w:rPr>
          <w:rFonts w:eastAsia="Consolas" w:cs="Consolas" w:ascii="Consolas" w:hAnsi="Consolas"/>
          <w:color w:val="101820"/>
          <w:sz w:val="19"/>
        </w:rPr>
        <w:t>$2</w:t>
      </w:r>
      <w:r>
        <w:rPr>
          <w:rFonts w:eastAsia="Segoe UI" w:cs="Segoe UI" w:ascii="Segoe UI" w:hAnsi="Segoe UI"/>
          <w:color w:val="101820"/>
          <w:sz w:val="21"/>
        </w:rPr>
        <w:t xml:space="preserve">, the standard dimension columns for filtering), adds a </w:t>
      </w:r>
      <w:r>
        <w:rPr>
          <w:rFonts w:eastAsia="Consolas" w:cs="Consolas" w:ascii="Consolas" w:hAnsi="Consolas"/>
          <w:color w:val="101820"/>
          <w:sz w:val="19"/>
        </w:rPr>
        <w:t>report_definitions</w:t>
      </w:r>
      <w:r>
        <w:rPr>
          <w:rFonts w:eastAsia="Segoe UI" w:cs="Segoe UI" w:ascii="Segoe UI" w:hAnsi="Segoe UI"/>
          <w:color w:val="101820"/>
          <w:sz w:val="21"/>
        </w:rPr>
        <w:t xml:space="preserve"> row in a migration or seed (code, name, category, screen, query name, parameters, default columns with types, roles), and adds a test in </w:t>
      </w:r>
      <w:r>
        <w:rPr>
          <w:rFonts w:eastAsia="Consolas" w:cs="Consolas" w:ascii="Consolas" w:hAnsi="Consolas"/>
          <w:color w:val="101820"/>
          <w:sz w:val="19"/>
        </w:rPr>
        <w:t>backend/test/reports.test.js</w:t>
      </w:r>
      <w:r>
        <w:rPr>
          <w:rFonts w:eastAsia="Segoe UI" w:cs="Segoe UI" w:ascii="Segoe UI" w:hAnsi="Segoe UI"/>
          <w:color w:val="101820"/>
          <w:sz w:val="21"/>
        </w:rPr>
        <w:t xml:space="preserve">. The catalogue test fails when a definition names a query that does not exist. To hide a report, set its </w:t>
      </w:r>
      <w:r>
        <w:rPr>
          <w:rFonts w:eastAsia="Consolas" w:cs="Consolas" w:ascii="Consolas" w:hAnsi="Consolas"/>
          <w:color w:val="101820"/>
          <w:sz w:val="19"/>
        </w:rPr>
        <w:t>status</w:t>
      </w:r>
      <w:r>
        <w:rPr>
          <w:rFonts w:eastAsia="Segoe UI" w:cs="Segoe UI" w:ascii="Segoe UI" w:hAnsi="Segoe UI"/>
          <w:color w:val="101820"/>
          <w:sz w:val="21"/>
        </w:rPr>
        <w:t xml:space="preserve"> to anything other than </w:t>
      </w:r>
      <w:r>
        <w:rPr>
          <w:rFonts w:eastAsia="Consolas" w:cs="Consolas" w:ascii="Consolas" w:hAnsi="Consolas"/>
          <w:color w:val="101820"/>
          <w:sz w:val="19"/>
        </w:rPr>
        <w:t>active</w:t>
      </w:r>
      <w:r>
        <w:rPr>
          <w:rFonts w:eastAsia="Segoe UI" w:cs="Segoe UI" w:ascii="Segoe UI" w:hAnsi="Segoe UI"/>
          <w:color w:val="101820"/>
          <w:sz w:val="21"/>
        </w:rPr>
        <w:t xml:space="preserve">; to change who sees it, change its </w:t>
      </w:r>
      <w:r>
        <w:rPr>
          <w:rFonts w:eastAsia="Consolas" w:cs="Consolas" w:ascii="Consolas" w:hAnsi="Consolas"/>
          <w:color w:val="101820"/>
          <w:sz w:val="19"/>
        </w:rPr>
        <w:t>roles</w:t>
      </w:r>
      <w:r>
        <w:rPr>
          <w:rFonts w:eastAsia="Segoe UI" w:cs="Segoe UI" w:ascii="Segoe UI" w:hAnsi="Segoe UI"/>
          <w:color w:val="101820"/>
          <w:sz w:val="21"/>
        </w:rPr>
        <w:t xml:space="preserve"> or </w:t>
      </w:r>
      <w:r>
        <w:rPr>
          <w:rFonts w:eastAsia="Consolas" w:cs="Consolas" w:ascii="Consolas" w:hAnsi="Consolas"/>
          <w:color w:val="101820"/>
          <w:sz w:val="19"/>
        </w:rPr>
        <w:t>permission</w:t>
      </w:r>
      <w:r>
        <w:rPr>
          <w:rFonts w:eastAsia="Segoe UI" w:cs="Segoe UI" w:ascii="Segoe UI" w:hAnsi="Segoe UI"/>
          <w:color w:val="101820"/>
          <w:sz w:val="21"/>
        </w:rPr>
        <w:t>.</w:t>
      </w:r>
    </w:p>
    <w:p>
      <w:pPr>
        <w:pStyle w:val="Heading2"/>
        <w:rPr/>
      </w:pPr>
      <w:bookmarkStart w:id="71" w:name="__RefHeading___Toc99433_4195859891"/>
      <w:bookmarkEnd w:id="71"/>
      <w:r>
        <w:rPr>
          <w:rFonts w:eastAsia="Segoe UI" w:cs="Segoe UI"/>
          <w:b/>
          <w:color w:val="0F4761"/>
          <w:sz w:val="26"/>
        </w:rPr>
        <w:t>11.3  Troubleshooting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Symptom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does not see a report in All 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user needs </w:t>
            </w: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when the report lists roles, one of them.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X has no query named 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definition and </w:t>
            </w:r>
            <w:r>
              <w:rPr>
                <w:rFonts w:eastAsia="Consolas" w:cs="Consolas" w:ascii="Consolas" w:hAnsi="Consolas"/>
                <w:color w:val="101820"/>
                <w:kern w:val="0"/>
                <w:sz w:val="16"/>
                <w:szCs w:val="24"/>
                <w:lang w:val="en-US" w:eastAsia="ja-JP" w:bidi="ar-SA"/>
              </w:rPr>
              <w:t>queries.js</w:t>
            </w:r>
            <w:r>
              <w:rPr>
                <w:rFonts w:eastAsia="Segoe UI" w:cs="Segoe UI" w:ascii="Segoe UI" w:hAnsi="Segoe UI"/>
                <w:color w:val="101820"/>
                <w:kern w:val="0"/>
                <w:sz w:val="18"/>
                <w:szCs w:val="24"/>
                <w:lang w:val="en-US" w:eastAsia="ja-JP" w:bidi="ar-SA"/>
              </w:rPr>
              <w:t xml:space="preserve"> disagree; correct </w:t>
            </w:r>
            <w:r>
              <w:rPr>
                <w:rFonts w:eastAsia="Consolas" w:cs="Consolas" w:ascii="Consolas" w:hAnsi="Consolas"/>
                <w:color w:val="101820"/>
                <w:kern w:val="0"/>
                <w:sz w:val="16"/>
                <w:szCs w:val="24"/>
                <w:lang w:val="en-US" w:eastAsia="ja-JP" w:bidi="ar-SA"/>
              </w:rPr>
              <w:t>query_name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download link says it has expired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Links last 72 hours; the file stays in </w:t>
            </w:r>
            <w:r>
              <w:rPr>
                <w:rFonts w:eastAsia="Consolas" w:cs="Consolas" w:ascii="Consolas" w:hAnsi="Consolas"/>
                <w:color w:val="101820"/>
                <w:kern w:val="0"/>
                <w:sz w:val="16"/>
                <w:szCs w:val="24"/>
                <w:lang w:val="en-US" w:eastAsia="ja-JP" w:bidi="ar-SA"/>
              </w:rPr>
              <w:t>generated_reports</w:t>
            </w:r>
            <w:r>
              <w:rPr>
                <w:rFonts w:eastAsia="Segoe UI" w:cs="Segoe UI" w:ascii="Segoe UI" w:hAnsi="Segoe UI"/>
                <w:color w:val="101820"/>
                <w:kern w:val="0"/>
                <w:sz w:val="18"/>
                <w:szCs w:val="24"/>
                <w:lang w:val="en-US" w:eastAsia="ja-JP" w:bidi="ar-SA"/>
              </w:rPr>
              <w:t xml:space="preserve"> for 90 days. Generate again or sign a new link.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scheduled report did not arrive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Schedules &gt; Run history of job </w:t>
            </w:r>
            <w:r>
              <w:rPr>
                <w:rFonts w:eastAsia="Consolas" w:cs="Consolas" w:ascii="Consolas" w:hAnsi="Consolas"/>
                <w:color w:val="101820"/>
                <w:kern w:val="0"/>
                <w:sz w:val="16"/>
                <w:szCs w:val="24"/>
                <w:lang w:val="en-US" w:eastAsia="ja-JP" w:bidi="ar-SA"/>
              </w:rPr>
              <w:t>report-&lt;id&gt;</w:t>
            </w:r>
            <w:r>
              <w:rPr>
                <w:rFonts w:eastAsia="Segoe UI" w:cs="Segoe UI" w:ascii="Segoe UI" w:hAnsi="Segoe UI"/>
                <w:color w:val="101820"/>
                <w:kern w:val="0"/>
                <w:sz w:val="18"/>
                <w:szCs w:val="24"/>
                <w:lang w:val="en-US" w:eastAsia="ja-JP" w:bidi="ar-SA"/>
              </w:rPr>
              <w:t xml:space="preserve">, then Master &gt; E-mail Outbox. E-mail leaves only when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is on and SMTP is configured.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and Trial Balance (Opening / Movement / Closing) differ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first reads approved and posted journals and no opening balances; the second reads posted journals and the fiscal-year opening balances.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looks one day off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Ageing uses the business date in Asia/Manila. Check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r>
        <w:br w:type="page"/>
      </w:r>
    </w:p>
    <w:p>
      <w:pPr>
        <w:pStyle w:val="Heading1"/>
        <w:rPr/>
      </w:pPr>
      <w:bookmarkStart w:id="72" w:name="__RefHeading___Toc99435_4195859891"/>
      <w:bookmarkEnd w:id="72"/>
      <w:r>
        <w:rPr>
          <w:rFonts w:eastAsia="Segoe UI" w:cs="Segoe UI" w:ascii="Segoe UI" w:hAnsi="Segoe UI"/>
          <w:b/>
          <w:color w:val="0F4761"/>
          <w:sz w:val="32"/>
        </w:rPr>
        <w:t>12.  Gaps and observations</w:t>
      </w:r>
    </w:p>
    <w:p>
      <w:pPr>
        <w:pStyle w:val="Normal"/>
        <w:spacing w:lineRule="auto" w:line="276" w:before="0" w:after="120"/>
        <w:rPr/>
      </w:pPr>
      <w:r>
        <w:rPr>
          <w:rFonts w:eastAsia="Segoe UI" w:cs="Segoe UI" w:ascii="Segoe UI" w:hAnsi="Segoe UI"/>
          <w:color w:val="101820"/>
          <w:sz w:val="21"/>
        </w:rPr>
        <w:t>The following points were found while preparing this book. They are recorded so that the broker and the support team can decide on them; none of them stops the reports from running.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25"/>
        <w:gridCol w:w="2659"/>
        <w:gridCol w:w="272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2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27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front-end screen for report schedules and for the generated-file history (API only).</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cannot set up e-mailed reports themselves.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screens for report schedules and generated reports, or have the administrator create schedules through the API.</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 e-mails carry a download link, not the file.</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Recipients need the link within 72 hours.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Keep </w:t>
            </w:r>
            <w:r>
              <w:rPr>
                <w:rFonts w:eastAsia="Consolas" w:cs="Consolas" w:ascii="Consolas" w:hAnsi="Consolas"/>
                <w:color w:val="101820"/>
                <w:kern w:val="0"/>
                <w:sz w:val="16"/>
                <w:szCs w:val="24"/>
                <w:lang w:val="en-US" w:eastAsia="ja-JP" w:bidi="ar-SA"/>
              </w:rPr>
              <w:t>reports.download_link_ttl_hours</w:t>
            </w:r>
            <w:r>
              <w:rPr>
                <w:rFonts w:eastAsia="Segoe UI" w:cs="Segoe UI" w:ascii="Segoe UI" w:hAnsi="Segoe UI"/>
                <w:color w:val="101820"/>
                <w:kern w:val="0"/>
                <w:sz w:val="18"/>
                <w:szCs w:val="24"/>
                <w:lang w:val="en-US" w:eastAsia="ja-JP" w:bidi="ar-SA"/>
              </w:rPr>
              <w:t xml:space="preserve"> in line with how recipients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Insurance Commission report in the prescribed format; the IC Quarterly Submission template writes the treaty list.</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returns are prepared outside the system.</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Specify the IC schedules required and add them as catalogue reports.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report templates (Daily Remittance Summary, Monthly Commission Analysis) produce the same statement CSV; the sections, pivots and PDF / Excel formats in the templates are not applied. Remittance statement templates STM-001 (PDF) and STM-002 (Excel) also produce CSV.</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 differs from the template description.</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catalogue Remittance Summary for formatted output, or extend the generator.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report templates are not filtered by period.</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run lists all confirmed cessions, recoveries or treaties.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 the CSV, or use the bordereau screen, which takes a period.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Trial Balance report does not include go-live opening balances.</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differs from Trial Balance (Opening / Movement / Closing) in the year of go-live.</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Trial Balance (Opening / Movement / Closing) for statutory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BIR reports are working papers; no DAT file is produced.</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DAT file is prepared with the BIR tools from the CSV / Excel output.</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in the OOTB 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report definition of the Trial Balance names the screen "Trail Balance" (and the route </w:t>
            </w:r>
            <w:r>
              <w:rPr>
                <w:rFonts w:eastAsia="Consolas" w:cs="Consolas" w:ascii="Consolas" w:hAnsi="Consolas"/>
                <w:color w:val="101820"/>
                <w:kern w:val="0"/>
                <w:sz w:val="16"/>
                <w:szCs w:val="24"/>
                <w:lang w:val="en-US" w:eastAsia="ja-JP" w:bidi="ar-SA"/>
              </w:rPr>
              <w:t>/reports/financialreports/trailbalance</w:t>
            </w:r>
            <w:r>
              <w:rPr>
                <w:rFonts w:eastAsia="Segoe UI" w:cs="Segoe UI" w:ascii="Segoe UI" w:hAnsi="Segoe UI"/>
                <w:color w:val="101820"/>
                <w:kern w:val="0"/>
                <w:sz w:val="18"/>
                <w:szCs w:val="24"/>
                <w:lang w:val="en-US" w:eastAsia="ja-JP" w:bidi="ar-SA"/>
              </w:rPr>
              <w:t>); the menu shows "Trial Balance".</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Cosmetic.</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screen text in the definition.</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73" w:name="__RefHeading___Toc99437_4195859891"/>
      <w:bookmarkStart w:id="74" w:name="_Toc233203395"/>
      <w:bookmarkEnd w:id="73"/>
      <w:r>
        <w:rPr>
          <w:rStyle w:val="BookTitle"/>
          <w:bCs w:val="false"/>
          <w:i w:val="false"/>
          <w:iCs w:val="false"/>
          <w:spacing w:val="0"/>
        </w:rPr>
        <w:t>13.  Document Sign-Off</w:t>
      </w:r>
      <w:bookmarkEnd w:id="7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2026-10-03T20:24:13Z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