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Maintenance, support and SLA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Maintenance, support and SLA</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AMC and Service Levels</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AMC and Service Levels</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AMC</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CAB</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advisory board</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DR</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Disaster recovery</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KPI</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Key performance indicator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L1/L2/L3</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Support levels 1, 2 and 3</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time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RCA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Root-cause analysis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SLA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Service level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template</w:t>
      </w:r>
    </w:p>
    <w:p>
      <w:pPr>
        <w:shd w:val="clear" w:color="auto" w:fill="EAF2FB"/>
        <w:spacing w:after="160"/>
        <w:ind w:left="170"/>
      </w:pPr>
      <w:r>
        <w:rPr>
          <w:rFonts w:ascii="Segoe UI" w:hAnsi="Segoe UI" w:cs="Segoe UI" w:eastAsia="Segoe UI"/>
          <w:color w:val="101820"/>
          <w:sz w:val="20"/>
        </w:rPr>
        <w:t>Template for discussion; subject to review by the parties' legal counsel.</w:t>
      </w:r>
    </w:p>
    <w:p>
      <w:pPr>
        <w:spacing w:after="120" w:line="276" w:lineRule="auto"/>
      </w:pPr>
      <w:r>
        <w:rPr>
          <w:rFonts w:ascii="Segoe UI" w:hAnsi="Segoe UI" w:cs="Segoe UI" w:eastAsia="Segoe UI"/>
          <w:color w:val="101820"/>
          <w:sz w:val="21"/>
        </w:rPr>
        <w:t xml:space="preserve">This Annual Maintenance and Support Agreement and Service Level Agreement (the </w:t>
      </w:r>
      <w:r>
        <w:rPr>
          <w:rFonts w:ascii="Segoe UI" w:hAnsi="Segoe UI" w:cs="Segoe UI" w:eastAsia="Segoe UI"/>
          <w:b/>
          <w:color w:val="101820"/>
          <w:sz w:val="21"/>
        </w:rPr>
        <w:t>Support Agreement</w:t>
      </w:r>
      <w:r>
        <w:rPr>
          <w:rFonts w:ascii="Segoe UI" w:hAnsi="Segoe UI" w:cs="Segoe UI" w:eastAsia="Segoe UI"/>
          <w:color w:val="101820"/>
          <w:sz w:val="21"/>
        </w:rPr>
        <w:t xml:space="preserve">) sets the maintenance, support and service levels for iNXT BrokerVerse OOTB. For a perpetual licence, it is the AMC and is paid by the AMC fee. For a subscription, the support and service levels are included in the subscription fee and the AMC fee clause does not apply. It forms part of the Master Services Agreement (the </w:t>
      </w:r>
      <w:r>
        <w:rPr>
          <w:rFonts w:ascii="Segoe UI" w:hAnsi="Segoe UI" w:cs="Segoe UI" w:eastAsia="Segoe UI"/>
          <w:b/>
          <w:color w:val="101820"/>
          <w:sz w:val="21"/>
        </w:rPr>
        <w:t>MSA</w:t>
      </w:r>
      <w:r>
        <w:rPr>
          <w:rFonts w:ascii="Segoe UI" w:hAnsi="Segoe UI" w:cs="Segoe UI" w:eastAsia="Segoe UI"/>
          <w:color w:val="101820"/>
          <w:sz w:val="21"/>
        </w:rPr>
        <w:t>) between iorta TechNXT Corp. (</w:t>
      </w:r>
      <w:r>
        <w:rPr>
          <w:rFonts w:ascii="Segoe UI" w:hAnsi="Segoe UI" w:cs="Segoe UI" w:eastAsia="Segoe UI"/>
          <w:b/>
          <w:color w:val="101820"/>
          <w:sz w:val="21"/>
        </w:rPr>
        <w:t>iorta TechNXT</w:t>
      </w:r>
      <w:r>
        <w:rPr>
          <w:rFonts w:ascii="Segoe UI" w:hAnsi="Segoe UI" w:cs="Segoe UI" w:eastAsia="Segoe UI"/>
          <w:color w:val="101820"/>
          <w:sz w:val="21"/>
        </w:rPr>
        <w:t xml:space="preserve">) and [Client legal name] (the </w:t>
      </w:r>
      <w:r>
        <w:rPr>
          <w:rFonts w:ascii="Segoe UI" w:hAnsi="Segoe UI" w:cs="Segoe UI" w:eastAsia="Segoe UI"/>
          <w:b/>
          <w:color w:val="101820"/>
          <w:sz w:val="21"/>
        </w:rPr>
        <w:t>Client</w:t>
      </w:r>
      <w:r>
        <w:rPr>
          <w:rFonts w:ascii="Segoe UI" w:hAnsi="Segoe UI" w:cs="Segoe UI" w:eastAsia="Segoe UI"/>
          <w:color w:val="101820"/>
          <w:sz w:val="21"/>
        </w:rPr>
        <w:t>) when an Order Form names it. Text in [square brackets] is a placeholder or an option.</w:t>
      </w:r>
    </w:p>
    <w:p>
      <w:pPr>
        <w:pStyle w:val="Heading1"/>
        <w:pageBreakBefore/>
      </w:pPr>
      <w:r>
        <w:rPr>
          <w:rFonts w:ascii="Segoe UI" w:hAnsi="Segoe UI" w:cs="Segoe UI" w:eastAsia="Segoe UI"/>
          <w:b/>
          <w:color w:val="0F4761"/>
          <w:sz w:val="32"/>
        </w:rPr>
        <w:t>4.  Agreement and scope</w:t>
      </w:r>
    </w:p>
    <w:p>
      <w:pPr>
        <w:pStyle w:val="Heading2"/>
      </w:pPr>
      <w:r>
        <w:rPr>
          <w:rFonts w:ascii="Segoe UI" w:hAnsi="Segoe UI" w:cs="Segoe UI" w:eastAsia="Segoe UI"/>
          <w:b/>
          <w:color w:val="0F4761"/>
          <w:sz w:val="26"/>
        </w:rPr>
        <w:t>4.1  Parties and documents</w:t>
      </w:r>
    </w:p>
    <w:p>
      <w:pPr>
        <w:spacing w:after="120" w:line="276" w:lineRule="auto"/>
      </w:pPr>
      <w:r>
        <w:rPr>
          <w:rFonts w:ascii="Segoe UI" w:hAnsi="Segoe UI" w:cs="Segoe UI" w:eastAsia="Segoe UI"/>
          <w:color w:val="101820"/>
          <w:sz w:val="21"/>
        </w:rPr>
        <w:t>This Support Agreement is made on [date] under the MSA dated [date] and Order Form no. [number]. Capitalised terms have the meaning given in the MSA. The service levels are based on the iorta TechNXT Production Support Approach and Standards. Support under this Support Agreement takes over from the implementation team on the date stated in the signed Hypercare Exit and Handover to Support Certificate. The Customer Responsibilities and RACI Annex sets out who does what in support.</w:t>
      </w:r>
    </w:p>
    <w:p>
      <w:pPr>
        <w:pStyle w:val="Heading2"/>
      </w:pPr>
      <w:r>
        <w:rPr>
          <w:rFonts w:ascii="Segoe UI" w:hAnsi="Segoe UI" w:cs="Segoe UI" w:eastAsia="Segoe UI"/>
          <w:b/>
          <w:color w:val="0F4761"/>
          <w:sz w:val="26"/>
        </w:rPr>
        <w:t>4.2  Maintenance</w:t>
      </w:r>
    </w:p>
    <w:p>
      <w:pPr>
        <w:spacing w:after="120" w:line="276" w:lineRule="auto"/>
      </w:pPr>
      <w:r>
        <w:rPr>
          <w:rFonts w:ascii="Segoe UI" w:hAnsi="Segoe UI" w:cs="Segoe UI" w:eastAsia="Segoe UI"/>
          <w:color w:val="101820"/>
          <w:sz w:val="21"/>
        </w:rPr>
        <w:t>While this Support Agreement is in force and paid, iorta TechNXT provides:</w:t>
      </w:r>
    </w:p>
    <w:p>
      <w:pPr>
        <w:spacing w:after="60"/>
        <w:numPr>
          <w:ilvl w:val="0"/>
          <w:numId w:val="4"/>
        </w:numPr>
      </w:pPr>
      <w:r>
        <w:rPr>
          <w:rFonts w:ascii="Segoe UI" w:hAnsi="Segoe UI" w:cs="Segoe UI" w:eastAsia="Segoe UI"/>
          <w:color w:val="101820"/>
          <w:sz w:val="21"/>
        </w:rPr>
        <w:t>correction of defects in the OOTB product, by workaround, configuration or data correction, or code fix and release;</w:t>
      </w:r>
    </w:p>
    <w:p>
      <w:pPr>
        <w:spacing w:after="60"/>
        <w:numPr>
          <w:ilvl w:val="0"/>
          <w:numId w:val="4"/>
        </w:numPr>
      </w:pPr>
      <w:r>
        <w:rPr>
          <w:rFonts w:ascii="Segoe UI" w:hAnsi="Segoe UI" w:cs="Segoe UI" w:eastAsia="Segoe UI"/>
          <w:color w:val="101820"/>
          <w:sz w:val="21"/>
        </w:rPr>
        <w:t>updates and releases of the OOTB version made available to all customers, with release notes;</w:t>
      </w:r>
    </w:p>
    <w:p>
      <w:pPr>
        <w:spacing w:after="60"/>
        <w:numPr>
          <w:ilvl w:val="0"/>
          <w:numId w:val="4"/>
        </w:numPr>
      </w:pPr>
      <w:r>
        <w:rPr>
          <w:rFonts w:ascii="Segoe UI" w:hAnsi="Segoe UI" w:cs="Segoe UI" w:eastAsia="Segoe UI"/>
          <w:color w:val="101820"/>
          <w:sz w:val="21"/>
        </w:rPr>
        <w:t>regulatory form updates released for all customers (for example changes to BIR working papers delivered in the product);</w:t>
      </w:r>
    </w:p>
    <w:p>
      <w:pPr>
        <w:spacing w:after="60"/>
        <w:numPr>
          <w:ilvl w:val="0"/>
          <w:numId w:val="4"/>
        </w:numPr>
      </w:pPr>
      <w:r>
        <w:rPr>
          <w:rFonts w:ascii="Segoe UI" w:hAnsi="Segoe UI" w:cs="Segoe UI" w:eastAsia="Segoe UI"/>
          <w:color w:val="101820"/>
          <w:sz w:val="21"/>
        </w:rPr>
        <w:t>security patches of the application and its dependencies;</w:t>
      </w:r>
    </w:p>
    <w:p>
      <w:pPr>
        <w:spacing w:after="60"/>
        <w:numPr>
          <w:ilvl w:val="0"/>
          <w:numId w:val="4"/>
        </w:numPr>
      </w:pPr>
      <w:r>
        <w:rPr>
          <w:rFonts w:ascii="Segoe UI" w:hAnsi="Segoe UI" w:cs="Segoe UI" w:eastAsia="Segoe UI"/>
          <w:color w:val="101820"/>
          <w:sz w:val="21"/>
        </w:rPr>
        <w:t>support of the current release and the two previous planned releases.</w:t>
      </w:r>
    </w:p>
    <w:p>
      <w:pPr>
        <w:pStyle w:val="Heading2"/>
      </w:pPr>
      <w:r>
        <w:rPr>
          <w:rFonts w:ascii="Segoe UI" w:hAnsi="Segoe UI" w:cs="Segoe UI" w:eastAsia="Segoe UI"/>
          <w:b/>
          <w:color w:val="0F4761"/>
          <w:sz w:val="26"/>
        </w:rPr>
        <w:t>4.3  Support</w:t>
      </w:r>
    </w:p>
    <w:p>
      <w:pPr>
        <w:spacing w:after="60"/>
        <w:numPr>
          <w:ilvl w:val="0"/>
          <w:numId w:val="5"/>
        </w:numPr>
      </w:pPr>
      <w:r>
        <w:rPr>
          <w:rFonts w:ascii="Segoe UI" w:hAnsi="Segoe UI" w:cs="Segoe UI" w:eastAsia="Segoe UI"/>
          <w:color w:val="101820"/>
          <w:sz w:val="21"/>
        </w:rPr>
        <w:t>A service desk: a support portal or mailbox for all tickets and a telephone line for P1.</w:t>
      </w:r>
    </w:p>
    <w:p>
      <w:pPr>
        <w:spacing w:after="60"/>
        <w:numPr>
          <w:ilvl w:val="0"/>
          <w:numId w:val="5"/>
        </w:numPr>
      </w:pPr>
      <w:r>
        <w:rPr>
          <w:rFonts w:ascii="Segoe UI" w:hAnsi="Segoe UI" w:cs="Segoe UI" w:eastAsia="Segoe UI"/>
          <w:color w:val="101820"/>
          <w:sz w:val="21"/>
        </w:rPr>
        <w:t>Level 2 application support: triage, reproduction, analysis, configuration and data corrections under change control, workarounds, known-error records and release coordination.</w:t>
      </w:r>
    </w:p>
    <w:p>
      <w:pPr>
        <w:spacing w:after="60"/>
        <w:numPr>
          <w:ilvl w:val="0"/>
          <w:numId w:val="5"/>
        </w:numPr>
      </w:pPr>
      <w:r>
        <w:rPr>
          <w:rFonts w:ascii="Segoe UI" w:hAnsi="Segoe UI" w:cs="Segoe UI" w:eastAsia="Segoe UI"/>
          <w:color w:val="101820"/>
          <w:sz w:val="21"/>
        </w:rPr>
        <w:t>Level 3 engineering: code defects, database corrections by script, performance, infrastructure where iorta TechNXT hosts, security incidents, root-cause analysis, fixes and releases.</w:t>
      </w:r>
    </w:p>
    <w:p>
      <w:pPr>
        <w:spacing w:after="60"/>
        <w:numPr>
          <w:ilvl w:val="0"/>
          <w:numId w:val="5"/>
        </w:numPr>
      </w:pPr>
      <w:r>
        <w:rPr>
          <w:rFonts w:ascii="Segoe UI" w:hAnsi="Segoe UI" w:cs="Segoe UI" w:eastAsia="Segoe UI"/>
          <w:color w:val="101820"/>
          <w:sz w:val="21"/>
        </w:rPr>
        <w:t>A monthly service report and a monthly service review.</w:t>
      </w:r>
    </w:p>
    <w:p>
      <w:pPr>
        <w:pStyle w:val="Heading2"/>
      </w:pPr>
      <w:r>
        <w:rPr>
          <w:rFonts w:ascii="Segoe UI" w:hAnsi="Segoe UI" w:cs="Segoe UI" w:eastAsia="Segoe UI"/>
          <w:b/>
          <w:color w:val="0F4761"/>
          <w:sz w:val="26"/>
        </w:rPr>
        <w:t>4.4  Support levels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65"/>
        <w:gridCol w:w="4042"/>
      </w:tblGrid>
      <w:tr>
        <w:trPr>
          <w:tblHeader w:val="true"/>
        </w:trPr>
        <w:tc>
          <w:tcPr>
            <w:tcW w:type="dxa" w:w="907"/>
            <w:shd w:val="clear" w:color="auto" w:fill="DCE9F7"/>
          </w:tcPr>
          <w:p>
            <w:pPr>
              <w:spacing w:after="20"/>
            </w:pPr>
            <w:r>
              <w:rPr>
                <w:rFonts w:ascii="Segoe UI" w:hAnsi="Segoe UI" w:cs="Segoe UI" w:eastAsia="Segoe UI"/>
                <w:b/>
                <w:color w:val="0F4761"/>
                <w:sz w:val="18"/>
              </w:rPr>
              <w:t>Level</w:t>
            </w:r>
          </w:p>
        </w:tc>
        <w:tc>
          <w:tcPr>
            <w:tcW w:type="dxa" w:w="4065"/>
            <w:shd w:val="clear" w:color="auto" w:fill="DCE9F7"/>
          </w:tcPr>
          <w:p>
            <w:pPr>
              <w:spacing w:after="20"/>
            </w:pPr>
            <w:r>
              <w:rPr>
                <w:rFonts w:ascii="Segoe UI" w:hAnsi="Segoe UI" w:cs="Segoe UI" w:eastAsia="Segoe UI"/>
                <w:b/>
                <w:color w:val="0F4761"/>
                <w:sz w:val="18"/>
              </w:rPr>
              <w:t>Who</w:t>
            </w:r>
          </w:p>
        </w:tc>
        <w:tc>
          <w:tcPr>
            <w:tcW w:type="dxa" w:w="4042"/>
            <w:shd w:val="clear" w:color="auto" w:fill="DCE9F7"/>
          </w:tcPr>
          <w:p>
            <w:pPr>
              <w:spacing w:after="20"/>
            </w:pPr>
            <w:r>
              <w:rPr>
                <w:rFonts w:ascii="Segoe UI" w:hAnsi="Segoe UI" w:cs="Segoe UI" w:eastAsia="Segoe UI"/>
                <w:b/>
                <w:color w:val="0F4761"/>
                <w:sz w:val="18"/>
              </w:rPr>
              <w:t>Scope</w:t>
            </w:r>
          </w:p>
        </w:tc>
      </w:tr>
      <w:tr>
        <w:tc>
          <w:tcPr>
            <w:tcW w:type="dxa" w:w="907"/>
          </w:tcPr>
          <w:p>
            <w:pPr>
              <w:spacing w:after="20"/>
            </w:pPr>
            <w:r>
              <w:rPr>
                <w:rFonts w:ascii="Segoe UI" w:hAnsi="Segoe UI" w:cs="Segoe UI" w:eastAsia="Segoe UI"/>
                <w:color w:val="101820"/>
                <w:sz w:val="18"/>
              </w:rPr>
              <w:t>L1</w:t>
            </w:r>
          </w:p>
        </w:tc>
        <w:tc>
          <w:tcPr>
            <w:tcW w:type="dxa" w:w="4065"/>
          </w:tcPr>
          <w:p>
            <w:pPr>
              <w:spacing w:after="20"/>
            </w:pPr>
            <w:r>
              <w:rPr>
                <w:rFonts w:ascii="Segoe UI" w:hAnsi="Segoe UI" w:cs="Segoe UI" w:eastAsia="Segoe UI"/>
                <w:color w:val="101820"/>
                <w:sz w:val="18"/>
              </w:rPr>
              <w:t>Client super users (one trained key user per team) and the Client System Administrator</w:t>
            </w:r>
          </w:p>
        </w:tc>
        <w:tc>
          <w:tcPr>
            <w:tcW w:type="dxa" w:w="4042"/>
          </w:tcPr>
          <w:p>
            <w:pPr>
              <w:spacing w:after="20"/>
            </w:pPr>
            <w:r>
              <w:rPr>
                <w:rFonts w:ascii="Segoe UI" w:hAnsi="Segoe UI" w:cs="Segoe UI" w:eastAsia="Segoe UI"/>
                <w:color w:val="101820"/>
                <w:sz w:val="18"/>
              </w:rPr>
              <w:t>How-to questions; checks that a role, setting or master record is not the cause; user and password resets; logging tickets with evidence</w:t>
            </w:r>
          </w:p>
        </w:tc>
      </w:tr>
      <w:tr>
        <w:tc>
          <w:tcPr>
            <w:tcW w:type="dxa" w:w="907"/>
          </w:tcPr>
          <w:p>
            <w:pPr>
              <w:spacing w:after="20"/>
            </w:pPr>
            <w:r>
              <w:rPr>
                <w:rFonts w:ascii="Segoe UI" w:hAnsi="Segoe UI" w:cs="Segoe UI" w:eastAsia="Segoe UI"/>
                <w:color w:val="101820"/>
                <w:sz w:val="18"/>
              </w:rPr>
              <w:t>L2</w:t>
            </w:r>
          </w:p>
        </w:tc>
        <w:tc>
          <w:tcPr>
            <w:tcW w:type="dxa" w:w="4065"/>
          </w:tcPr>
          <w:p>
            <w:pPr>
              <w:spacing w:after="20"/>
            </w:pPr>
            <w:r>
              <w:rPr>
                <w:rFonts w:ascii="Segoe UI" w:hAnsi="Segoe UI" w:cs="Segoe UI" w:eastAsia="Segoe UI"/>
                <w:color w:val="101820"/>
                <w:sz w:val="18"/>
              </w:rPr>
              <w:t>iorta TechNXT application support</w:t>
            </w:r>
          </w:p>
        </w:tc>
        <w:tc>
          <w:tcPr>
            <w:tcW w:type="dxa" w:w="4042"/>
          </w:tcPr>
          <w:p>
            <w:pPr>
              <w:spacing w:after="20"/>
            </w:pPr>
            <w:r>
              <w:rPr>
                <w:rFonts w:ascii="Segoe UI" w:hAnsi="Segoe UI" w:cs="Segoe UI" w:eastAsia="Segoe UI"/>
                <w:color w:val="101820"/>
                <w:sz w:val="18"/>
              </w:rPr>
              <w:t>As in the Support clause</w:t>
            </w:r>
          </w:p>
        </w:tc>
      </w:tr>
      <w:tr>
        <w:tc>
          <w:tcPr>
            <w:tcW w:type="dxa" w:w="907"/>
          </w:tcPr>
          <w:p>
            <w:pPr>
              <w:spacing w:after="20"/>
            </w:pPr>
            <w:r>
              <w:rPr>
                <w:rFonts w:ascii="Segoe UI" w:hAnsi="Segoe UI" w:cs="Segoe UI" w:eastAsia="Segoe UI"/>
                <w:color w:val="101820"/>
                <w:sz w:val="18"/>
              </w:rPr>
              <w:t>L3</w:t>
            </w:r>
          </w:p>
        </w:tc>
        <w:tc>
          <w:tcPr>
            <w:tcW w:type="dxa" w:w="4065"/>
          </w:tcPr>
          <w:p>
            <w:pPr>
              <w:spacing w:after="20"/>
            </w:pPr>
            <w:r>
              <w:rPr>
                <w:rFonts w:ascii="Segoe UI" w:hAnsi="Segoe UI" w:cs="Segoe UI" w:eastAsia="Segoe UI"/>
                <w:color w:val="101820"/>
                <w:sz w:val="18"/>
              </w:rPr>
              <w:t>iorta TechNXT engineering and DevOps</w:t>
            </w:r>
          </w:p>
        </w:tc>
        <w:tc>
          <w:tcPr>
            <w:tcW w:type="dxa" w:w="4042"/>
          </w:tcPr>
          <w:p>
            <w:pPr>
              <w:spacing w:after="20"/>
            </w:pPr>
            <w:r>
              <w:rPr>
                <w:rFonts w:ascii="Segoe UI" w:hAnsi="Segoe UI" w:cs="Segoe UI" w:eastAsia="Segoe UI"/>
                <w:color w:val="101820"/>
                <w:sz w:val="18"/>
              </w:rPr>
              <w:t>As in the Support clause</w:t>
            </w:r>
          </w:p>
        </w:tc>
      </w:tr>
    </w:tbl>
    <w:p>
      <w:pPr>
        <w:spacing w:after="80"/>
      </w:pPr>
    </w:p>
    <w:p>
      <w:pPr>
        <w:spacing w:after="120" w:line="276" w:lineRule="auto"/>
      </w:pPr>
      <w:r>
        <w:rPr>
          <w:rFonts w:ascii="Segoe UI" w:hAnsi="Segoe UI" w:cs="Segoe UI" w:eastAsia="Segoe UI"/>
          <w:color w:val="101820"/>
          <w:sz w:val="21"/>
        </w:rPr>
        <w:t>Only named L1 contacts of the Client raise tickets (up to [5] contacts, named in Annex A).</w:t>
      </w:r>
    </w:p>
    <w:p>
      <w:pPr>
        <w:pStyle w:val="Heading1"/>
        <w:pageBreakBefore/>
      </w:pPr>
      <w:r>
        <w:rPr>
          <w:rFonts w:ascii="Segoe UI" w:hAnsi="Segoe UI" w:cs="Segoe UI" w:eastAsia="Segoe UI"/>
          <w:b/>
          <w:color w:val="0F4761"/>
          <w:sz w:val="32"/>
        </w:rPr>
        <w:t>5.  Fees</w:t>
      </w:r>
    </w:p>
    <w:p>
      <w:pPr>
        <w:pStyle w:val="Heading2"/>
      </w:pPr>
      <w:r>
        <w:rPr>
          <w:rFonts w:ascii="Segoe UI" w:hAnsi="Segoe UI" w:cs="Segoe UI" w:eastAsia="Segoe UI"/>
          <w:b/>
          <w:color w:val="0F4761"/>
          <w:sz w:val="26"/>
        </w:rPr>
        <w:t>5.1  AMC fee (perpetual licence)</w:t>
      </w:r>
    </w:p>
    <w:p>
      <w:pPr>
        <w:spacing w:after="60"/>
        <w:numPr>
          <w:ilvl w:val="0"/>
          <w:numId w:val="6"/>
        </w:numPr>
      </w:pPr>
      <w:r>
        <w:rPr>
          <w:rFonts w:ascii="Segoe UI" w:hAnsi="Segoe UI" w:cs="Segoe UI" w:eastAsia="Segoe UI"/>
          <w:color w:val="101820"/>
          <w:sz w:val="21"/>
        </w:rPr>
        <w:t>The AMC fee is 22% of the Licence Fee a year.</w:t>
      </w:r>
    </w:p>
    <w:p>
      <w:pPr>
        <w:spacing w:after="60"/>
        <w:numPr>
          <w:ilvl w:val="0"/>
          <w:numId w:val="6"/>
        </w:numPr>
      </w:pPr>
      <w:r>
        <w:rPr>
          <w:rFonts w:ascii="Segoe UI" w:hAnsi="Segoe UI" w:cs="Segoe UI" w:eastAsia="Segoe UI"/>
          <w:color w:val="101820"/>
          <w:sz w:val="21"/>
        </w:rPr>
        <w:t>The first 12 months from Go-Live are the warranty period, during which maintenance and support are provided at no charge. The AMC starts on the first day of Year 2.</w:t>
      </w:r>
    </w:p>
    <w:p>
      <w:pPr>
        <w:spacing w:after="60"/>
        <w:numPr>
          <w:ilvl w:val="0"/>
          <w:numId w:val="6"/>
        </w:numPr>
      </w:pPr>
      <w:r>
        <w:rPr>
          <w:rFonts w:ascii="Segoe UI" w:hAnsi="Segoe UI" w:cs="Segoe UI" w:eastAsia="Segoe UI"/>
          <w:color w:val="101820"/>
          <w:sz w:val="21"/>
        </w:rPr>
        <w:t>The AMC fee is invoiced yearly in advance at the start of each AMC year and is payable within 30 days.</w:t>
      </w:r>
    </w:p>
    <w:p>
      <w:pPr>
        <w:spacing w:after="60"/>
        <w:numPr>
          <w:ilvl w:val="0"/>
          <w:numId w:val="6"/>
        </w:numPr>
      </w:pPr>
      <w:r>
        <w:rPr>
          <w:rFonts w:ascii="Segoe UI" w:hAnsi="Segoe UI" w:cs="Segoe UI" w:eastAsia="Segoe UI"/>
          <w:color w:val="101820"/>
          <w:sz w:val="21"/>
        </w:rPr>
        <w:t>The AMC fee increases by 5% at each anniversary of the AMC start.</w:t>
      </w:r>
    </w:p>
    <w:p>
      <w:pPr>
        <w:spacing w:after="60"/>
        <w:numPr>
          <w:ilvl w:val="0"/>
          <w:numId w:val="6"/>
        </w:numPr>
      </w:pPr>
      <w:r>
        <w:rPr>
          <w:rFonts w:ascii="Segoe UI" w:hAnsi="Segoe UI" w:cs="Segoe UI" w:eastAsia="Segoe UI"/>
          <w:color w:val="101820"/>
          <w:sz w:val="21"/>
        </w:rPr>
        <w:t>The AMC covers all Licensed Users. Additional users add AMC from the later of their licence date and the AMC start, prorated to the next AMC anniversary.</w:t>
      </w:r>
    </w:p>
    <w:p>
      <w:pPr>
        <w:pStyle w:val="Heading2"/>
      </w:pPr>
      <w:r>
        <w:rPr>
          <w:rFonts w:ascii="Segoe UI" w:hAnsi="Segoe UI" w:cs="Segoe UI" w:eastAsia="Segoe UI"/>
          <w:b/>
          <w:color w:val="0F4761"/>
          <w:sz w:val="26"/>
        </w:rPr>
        <w:t>5.2  Subscription</w:t>
      </w:r>
    </w:p>
    <w:p>
      <w:pPr>
        <w:spacing w:after="120" w:line="276" w:lineRule="auto"/>
      </w:pPr>
      <w:r>
        <w:rPr>
          <w:rFonts w:ascii="Segoe UI" w:hAnsi="Segoe UI" w:cs="Segoe UI" w:eastAsia="Segoe UI"/>
          <w:color w:val="101820"/>
          <w:sz w:val="21"/>
        </w:rPr>
        <w:t>For a subscription, the services of this Support Agreement are included in the monthly subscription fee.</w:t>
      </w:r>
    </w:p>
    <w:p>
      <w:pPr>
        <w:pStyle w:val="Heading2"/>
      </w:pPr>
      <w:r>
        <w:rPr>
          <w:rFonts w:ascii="Segoe UI" w:hAnsi="Segoe UI" w:cs="Segoe UI" w:eastAsia="Segoe UI"/>
          <w:b/>
          <w:color w:val="0F4761"/>
          <w:sz w:val="26"/>
        </w:rPr>
        <w:t>5.3  Extended P1 support (optional)</w:t>
      </w:r>
    </w:p>
    <w:p>
      <w:pPr>
        <w:spacing w:after="120" w:line="276" w:lineRule="auto"/>
      </w:pPr>
      <w:r>
        <w:rPr>
          <w:rFonts w:ascii="Segoe UI" w:hAnsi="Segoe UI" w:cs="Segoe UI" w:eastAsia="Segoe UI"/>
          <w:color w:val="101820"/>
          <w:sz w:val="21"/>
        </w:rPr>
        <w:t>24x7 support for P1 incidents (called 24x7 Severity 1 support in the Order Form and the price book) is an option stated in the Order Form, priced yearly by size (Year 1 list prices: Small PHP 240,000.00; Medium PHP 480,000.00; Large PHP 900,000.00; Enterprise PHP 1,500,000.00), invoiced yearly in advance and increasing 5% a year.</w:t>
      </w:r>
    </w:p>
    <w:p>
      <w:pPr>
        <w:pStyle w:val="Heading2"/>
      </w:pPr>
      <w:r>
        <w:rPr>
          <w:rFonts w:ascii="Segoe UI" w:hAnsi="Segoe UI" w:cs="Segoe UI" w:eastAsia="Segoe UI"/>
          <w:b/>
          <w:color w:val="0F4761"/>
          <w:sz w:val="26"/>
        </w:rPr>
        <w:t>5.4  Work outside this Support Agreement</w:t>
      </w:r>
    </w:p>
    <w:p>
      <w:pPr>
        <w:spacing w:after="120" w:line="276" w:lineRule="auto"/>
      </w:pPr>
      <w:r>
        <w:rPr>
          <w:rFonts w:ascii="Segoe UI" w:hAnsi="Segoe UI" w:cs="Segoe UI" w:eastAsia="Segoe UI"/>
          <w:color w:val="101820"/>
          <w:sz w:val="21"/>
        </w:rPr>
        <w:t>Work in the Exclusions chapter is charged at the day rates of the Order Form, through the Change Request Procedure where it changes the product.</w:t>
      </w:r>
    </w:p>
    <w:p>
      <w:pPr>
        <w:pStyle w:val="Heading1"/>
        <w:pageBreakBefore/>
      </w:pPr>
      <w:r>
        <w:rPr>
          <w:rFonts w:ascii="Segoe UI" w:hAnsi="Segoe UI" w:cs="Segoe UI" w:eastAsia="Segoe UI"/>
          <w:b/>
          <w:color w:val="0F4761"/>
          <w:sz w:val="32"/>
        </w:rPr>
        <w:t>6.  Service hours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04"/>
        <w:gridCol w:w="4006"/>
        <w:gridCol w:w="2504"/>
      </w:tblGrid>
      <w:tr>
        <w:trPr>
          <w:tblHeader w:val="true"/>
        </w:trPr>
        <w:tc>
          <w:tcPr>
            <w:tcW w:type="dxa" w:w="2504"/>
            <w:shd w:val="clear" w:color="auto" w:fill="DCE9F7"/>
          </w:tcPr>
          <w:p>
            <w:pPr>
              <w:spacing w:after="20"/>
            </w:pPr>
            <w:r>
              <w:rPr>
                <w:rFonts w:ascii="Segoe UI" w:hAnsi="Segoe UI" w:cs="Segoe UI" w:eastAsia="Segoe UI"/>
                <w:b/>
                <w:color w:val="0F4761"/>
                <w:sz w:val="18"/>
              </w:rPr>
              <w:t>Service</w:t>
            </w:r>
          </w:p>
        </w:tc>
        <w:tc>
          <w:tcPr>
            <w:tcW w:type="dxa" w:w="4006"/>
            <w:shd w:val="clear" w:color="auto" w:fill="DCE9F7"/>
          </w:tcPr>
          <w:p>
            <w:pPr>
              <w:spacing w:after="20"/>
            </w:pPr>
            <w:r>
              <w:rPr>
                <w:rFonts w:ascii="Segoe UI" w:hAnsi="Segoe UI" w:cs="Segoe UI" w:eastAsia="Segoe UI"/>
                <w:b/>
                <w:color w:val="0F4761"/>
                <w:sz w:val="18"/>
              </w:rPr>
              <w:t>Hours</w:t>
            </w:r>
          </w:p>
        </w:tc>
        <w:tc>
          <w:tcPr>
            <w:tcW w:type="dxa" w:w="2504"/>
            <w:shd w:val="clear" w:color="auto" w:fill="DCE9F7"/>
          </w:tcPr>
          <w:p>
            <w:pPr>
              <w:spacing w:after="20"/>
            </w:pPr>
            <w:r>
              <w:rPr>
                <w:rFonts w:ascii="Segoe UI" w:hAnsi="Segoe UI" w:cs="Segoe UI" w:eastAsia="Segoe UI"/>
                <w:b/>
                <w:color w:val="0F4761"/>
                <w:sz w:val="18"/>
              </w:rPr>
              <w:t>Covers</w:t>
            </w:r>
          </w:p>
        </w:tc>
      </w:tr>
      <w:tr>
        <w:tc>
          <w:tcPr>
            <w:tcW w:type="dxa" w:w="2504"/>
          </w:tcPr>
          <w:p>
            <w:pPr>
              <w:spacing w:after="20"/>
            </w:pPr>
            <w:r>
              <w:rPr>
                <w:rFonts w:ascii="Segoe UI" w:hAnsi="Segoe UI" w:cs="Segoe UI" w:eastAsia="Segoe UI"/>
                <w:color w:val="101820"/>
                <w:sz w:val="18"/>
              </w:rPr>
              <w:t>Standard support</w:t>
            </w:r>
          </w:p>
        </w:tc>
        <w:tc>
          <w:tcPr>
            <w:tcW w:type="dxa" w:w="4006"/>
          </w:tcPr>
          <w:p>
            <w:pPr>
              <w:spacing w:after="20"/>
            </w:pPr>
            <w:r>
              <w:rPr>
                <w:rFonts w:ascii="Segoe UI" w:hAnsi="Segoe UI" w:cs="Segoe UI" w:eastAsia="Segoe UI"/>
                <w:color w:val="101820"/>
                <w:sz w:val="18"/>
              </w:rPr>
              <w:t>08:00 to 18:00 PHT, Monday to Friday, except Philippine regular holidays</w:t>
            </w:r>
          </w:p>
        </w:tc>
        <w:tc>
          <w:tcPr>
            <w:tcW w:type="dxa" w:w="2504"/>
          </w:tcPr>
          <w:p>
            <w:pPr>
              <w:spacing w:after="20"/>
            </w:pPr>
            <w:r>
              <w:rPr>
                <w:rFonts w:ascii="Segoe UI" w:hAnsi="Segoe UI" w:cs="Segoe UI" w:eastAsia="Segoe UI"/>
                <w:color w:val="101820"/>
                <w:sz w:val="18"/>
              </w:rPr>
              <w:t>All severities</w:t>
            </w:r>
          </w:p>
        </w:tc>
      </w:tr>
      <w:tr>
        <w:tc>
          <w:tcPr>
            <w:tcW w:type="dxa" w:w="2504"/>
          </w:tcPr>
          <w:p>
            <w:pPr>
              <w:spacing w:after="20"/>
            </w:pPr>
            <w:r>
              <w:rPr>
                <w:rFonts w:ascii="Segoe UI" w:hAnsi="Segoe UI" w:cs="Segoe UI" w:eastAsia="Segoe UI"/>
                <w:color w:val="101820"/>
                <w:sz w:val="18"/>
              </w:rPr>
              <w:t>Extended P1 support (optional)</w:t>
            </w:r>
          </w:p>
        </w:tc>
        <w:tc>
          <w:tcPr>
            <w:tcW w:type="dxa" w:w="4006"/>
          </w:tcPr>
          <w:p>
            <w:pPr>
              <w:spacing w:after="20"/>
            </w:pPr>
            <w:r>
              <w:rPr>
                <w:rFonts w:ascii="Segoe UI" w:hAnsi="Segoe UI" w:cs="Segoe UI" w:eastAsia="Segoe UI"/>
                <w:color w:val="101820"/>
                <w:sz w:val="18"/>
              </w:rPr>
              <w:t>24 hours a day, 7 days a week</w:t>
            </w:r>
          </w:p>
        </w:tc>
        <w:tc>
          <w:tcPr>
            <w:tcW w:type="dxa" w:w="2504"/>
          </w:tcPr>
          <w:p>
            <w:pPr>
              <w:spacing w:after="20"/>
            </w:pPr>
            <w:r>
              <w:rPr>
                <w:rFonts w:ascii="Segoe UI" w:hAnsi="Segoe UI" w:cs="Segoe UI" w:eastAsia="Segoe UI"/>
                <w:color w:val="101820"/>
                <w:sz w:val="18"/>
              </w:rPr>
              <w:t>P1 only, reported by telephone</w:t>
            </w:r>
          </w:p>
        </w:tc>
      </w:tr>
      <w:tr>
        <w:tc>
          <w:tcPr>
            <w:tcW w:type="dxa" w:w="2504"/>
          </w:tcPr>
          <w:p>
            <w:pPr>
              <w:spacing w:after="20"/>
            </w:pPr>
            <w:r>
              <w:rPr>
                <w:rFonts w:ascii="Segoe UI" w:hAnsi="Segoe UI" w:cs="Segoe UI" w:eastAsia="Segoe UI"/>
                <w:color w:val="101820"/>
                <w:sz w:val="18"/>
              </w:rPr>
              <w:t>Planned maintenance window</w:t>
            </w:r>
          </w:p>
        </w:tc>
        <w:tc>
          <w:tcPr>
            <w:tcW w:type="dxa" w:w="4006"/>
          </w:tcPr>
          <w:p>
            <w:pPr>
              <w:spacing w:after="20"/>
            </w:pPr>
            <w:r>
              <w:rPr>
                <w:rFonts w:ascii="Segoe UI" w:hAnsi="Segoe UI" w:cs="Segoe UI" w:eastAsia="Segoe UI"/>
                <w:color w:val="101820"/>
                <w:sz w:val="18"/>
              </w:rPr>
              <w:t>Agreed with the Client; default Saturday 20:00 to Sunday 06:00 PHT</w:t>
            </w:r>
          </w:p>
        </w:tc>
        <w:tc>
          <w:tcPr>
            <w:tcW w:type="dxa" w:w="2504"/>
          </w:tcPr>
          <w:p>
            <w:pPr>
              <w:spacing w:after="20"/>
            </w:pPr>
            <w:r>
              <w:rPr>
                <w:rFonts w:ascii="Segoe UI" w:hAnsi="Segoe UI" w:cs="Segoe UI" w:eastAsia="Segoe UI"/>
                <w:color w:val="101820"/>
                <w:sz w:val="18"/>
              </w:rPr>
              <w:t>Releases, patching, DR drills</w:t>
            </w:r>
          </w:p>
        </w:tc>
      </w:tr>
    </w:tbl>
    <w:p>
      <w:pPr>
        <w:spacing w:after="80"/>
      </w:pPr>
    </w:p>
    <w:p>
      <w:pPr>
        <w:spacing w:after="120" w:line="276" w:lineRule="auto"/>
      </w:pPr>
      <w:r>
        <w:rPr>
          <w:rFonts w:ascii="Segoe UI" w:hAnsi="Segoe UI" w:cs="Segoe UI" w:eastAsia="Segoe UI"/>
          <w:color w:val="101820"/>
          <w:sz w:val="21"/>
        </w:rPr>
        <w:t>Targets count service hours only. With the extended P1 option, P1 targets count elapsed time.</w:t>
      </w:r>
    </w:p>
    <w:p>
      <w:pPr>
        <w:pStyle w:val="Heading1"/>
        <w:pageBreakBefore/>
      </w:pPr>
      <w:r>
        <w:rPr>
          <w:rFonts w:ascii="Segoe UI" w:hAnsi="Segoe UI" w:cs="Segoe UI" w:eastAsia="Segoe UI"/>
          <w:b/>
          <w:color w:val="0F4761"/>
          <w:sz w:val="32"/>
        </w:rPr>
        <w:t>7.  Severity levels and targets</w:t>
      </w:r>
    </w:p>
    <w:p>
      <w:pPr>
        <w:pStyle w:val="Heading2"/>
      </w:pPr>
      <w:r>
        <w:rPr>
          <w:rFonts w:ascii="Segoe UI" w:hAnsi="Segoe UI" w:cs="Segoe UI" w:eastAsia="Segoe UI"/>
          <w:b/>
          <w:color w:val="0F4761"/>
          <w:sz w:val="26"/>
        </w:rPr>
        <w:t>7.1  Definitions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23"/>
        <w:gridCol w:w="3953"/>
        <w:gridCol w:w="3939"/>
      </w:tblGrid>
      <w:tr>
        <w:trPr>
          <w:tblHeader w:val="true"/>
        </w:trPr>
        <w:tc>
          <w:tcPr>
            <w:tcW w:type="dxa" w:w="1123"/>
            <w:shd w:val="clear" w:color="auto" w:fill="DCE9F7"/>
          </w:tcPr>
          <w:p>
            <w:pPr>
              <w:spacing w:after="20"/>
            </w:pPr>
            <w:r>
              <w:rPr>
                <w:rFonts w:ascii="Segoe UI" w:hAnsi="Segoe UI" w:cs="Segoe UI" w:eastAsia="Segoe UI"/>
                <w:b/>
                <w:color w:val="0F4761"/>
                <w:sz w:val="18"/>
              </w:rPr>
              <w:t>Severity</w:t>
            </w:r>
          </w:p>
        </w:tc>
        <w:tc>
          <w:tcPr>
            <w:tcW w:type="dxa" w:w="3953"/>
            <w:shd w:val="clear" w:color="auto" w:fill="DCE9F7"/>
          </w:tcPr>
          <w:p>
            <w:pPr>
              <w:spacing w:after="20"/>
            </w:pPr>
            <w:r>
              <w:rPr>
                <w:rFonts w:ascii="Segoe UI" w:hAnsi="Segoe UI" w:cs="Segoe UI" w:eastAsia="Segoe UI"/>
                <w:b/>
                <w:color w:val="0F4761"/>
                <w:sz w:val="18"/>
              </w:rPr>
              <w:t>Meaning</w:t>
            </w:r>
          </w:p>
        </w:tc>
        <w:tc>
          <w:tcPr>
            <w:tcW w:type="dxa" w:w="3939"/>
            <w:shd w:val="clear" w:color="auto" w:fill="DCE9F7"/>
          </w:tcPr>
          <w:p>
            <w:pPr>
              <w:spacing w:after="20"/>
            </w:pPr>
            <w:r>
              <w:rPr>
                <w:rFonts w:ascii="Segoe UI" w:hAnsi="Segoe UI" w:cs="Segoe UI" w:eastAsia="Segoe UI"/>
                <w:b/>
                <w:color w:val="0F4761"/>
                <w:sz w:val="18"/>
              </w:rPr>
              <w:t>Examples</w:t>
            </w:r>
          </w:p>
        </w:tc>
      </w:tr>
      <w:tr>
        <w:tc>
          <w:tcPr>
            <w:tcW w:type="dxa" w:w="1123"/>
          </w:tcPr>
          <w:p>
            <w:pPr>
              <w:spacing w:after="20"/>
            </w:pPr>
            <w:r>
              <w:rPr>
                <w:rFonts w:ascii="Segoe UI" w:hAnsi="Segoe UI" w:cs="Segoe UI" w:eastAsia="Segoe UI"/>
                <w:color w:val="101820"/>
                <w:sz w:val="18"/>
              </w:rPr>
              <w:t>P1 Critical</w:t>
            </w:r>
          </w:p>
        </w:tc>
        <w:tc>
          <w:tcPr>
            <w:tcW w:type="dxa" w:w="3953"/>
          </w:tcPr>
          <w:p>
            <w:pPr>
              <w:spacing w:after="20"/>
            </w:pPr>
            <w:r>
              <w:rPr>
                <w:rFonts w:ascii="Segoe UI" w:hAnsi="Segoe UI" w:cs="Segoe UI" w:eastAsia="Segoe UI"/>
                <w:color w:val="101820"/>
                <w:sz w:val="18"/>
              </w:rPr>
              <w:t>Production down or a core process stopped for all users; wrong financial postings or data exposed; no workaround</w:t>
            </w:r>
          </w:p>
        </w:tc>
        <w:tc>
          <w:tcPr>
            <w:tcW w:type="dxa" w:w="3939"/>
          </w:tcPr>
          <w:p>
            <w:pPr>
              <w:spacing w:after="20"/>
            </w:pPr>
            <w:r>
              <w:rPr>
                <w:rFonts w:ascii="Segoe UI" w:hAnsi="Segoe UI" w:cs="Segoe UI" w:eastAsia="Segoe UI"/>
                <w:color w:val="101820"/>
                <w:sz w:val="18"/>
              </w:rPr>
              <w:t>Nobody can sign in; official receipts cannot be issued; journals post wrong amounts; personal data visible to the wrong users</w:t>
            </w:r>
          </w:p>
        </w:tc>
      </w:tr>
      <w:tr>
        <w:tc>
          <w:tcPr>
            <w:tcW w:type="dxa" w:w="1123"/>
          </w:tcPr>
          <w:p>
            <w:pPr>
              <w:spacing w:after="20"/>
            </w:pPr>
            <w:r>
              <w:rPr>
                <w:rFonts w:ascii="Segoe UI" w:hAnsi="Segoe UI" w:cs="Segoe UI" w:eastAsia="Segoe UI"/>
                <w:color w:val="101820"/>
                <w:sz w:val="18"/>
              </w:rPr>
              <w:t>P2 High</w:t>
            </w:r>
          </w:p>
        </w:tc>
        <w:tc>
          <w:tcPr>
            <w:tcW w:type="dxa" w:w="3953"/>
          </w:tcPr>
          <w:p>
            <w:pPr>
              <w:spacing w:after="20"/>
            </w:pPr>
            <w:r>
              <w:rPr>
                <w:rFonts w:ascii="Segoe UI" w:hAnsi="Segoe UI" w:cs="Segoe UI" w:eastAsia="Segoe UI"/>
                <w:color w:val="101820"/>
                <w:sz w:val="18"/>
              </w:rPr>
              <w:t>A core process stopped for one team or one branch, or seriously degraded, with no acceptable workaround</w:t>
            </w:r>
          </w:p>
        </w:tc>
        <w:tc>
          <w:tcPr>
            <w:tcW w:type="dxa" w:w="3939"/>
          </w:tcPr>
          <w:p>
            <w:pPr>
              <w:spacing w:after="20"/>
            </w:pPr>
            <w:r>
              <w:rPr>
                <w:rFonts w:ascii="Segoe UI" w:hAnsi="Segoe UI" w:cs="Segoe UI" w:eastAsia="Segoe UI"/>
                <w:color w:val="101820"/>
                <w:sz w:val="18"/>
              </w:rPr>
              <w:t>Month-end close run fails; bank statement import refused for a valid file; remittance cannot be approved; scheduled jobs not running</w:t>
            </w:r>
          </w:p>
        </w:tc>
      </w:tr>
      <w:tr>
        <w:tc>
          <w:tcPr>
            <w:tcW w:type="dxa" w:w="1123"/>
          </w:tcPr>
          <w:p>
            <w:pPr>
              <w:spacing w:after="20"/>
            </w:pPr>
            <w:r>
              <w:rPr>
                <w:rFonts w:ascii="Segoe UI" w:hAnsi="Segoe UI" w:cs="Segoe UI" w:eastAsia="Segoe UI"/>
                <w:color w:val="101820"/>
                <w:sz w:val="18"/>
              </w:rPr>
              <w:t>P3 Medium</w:t>
            </w:r>
          </w:p>
        </w:tc>
        <w:tc>
          <w:tcPr>
            <w:tcW w:type="dxa" w:w="3953"/>
          </w:tcPr>
          <w:p>
            <w:pPr>
              <w:spacing w:after="20"/>
            </w:pPr>
            <w:r>
              <w:rPr>
                <w:rFonts w:ascii="Segoe UI" w:hAnsi="Segoe UI" w:cs="Segoe UI" w:eastAsia="Segoe UI"/>
                <w:color w:val="101820"/>
                <w:sz w:val="18"/>
              </w:rPr>
              <w:t>A function fails or gives a wrong result and a workaround exists</w:t>
            </w:r>
          </w:p>
        </w:tc>
        <w:tc>
          <w:tcPr>
            <w:tcW w:type="dxa" w:w="3939"/>
          </w:tcPr>
          <w:p>
            <w:pPr>
              <w:spacing w:after="20"/>
            </w:pPr>
            <w:r>
              <w:rPr>
                <w:rFonts w:ascii="Segoe UI" w:hAnsi="Segoe UI" w:cs="Segoe UI" w:eastAsia="Segoe UI"/>
                <w:color w:val="101820"/>
                <w:sz w:val="18"/>
              </w:rPr>
              <w:t>One report column wrong; an upload rejects one valid row; a PDF layout problem</w:t>
            </w:r>
          </w:p>
        </w:tc>
      </w:tr>
      <w:tr>
        <w:tc>
          <w:tcPr>
            <w:tcW w:type="dxa" w:w="1123"/>
          </w:tcPr>
          <w:p>
            <w:pPr>
              <w:spacing w:after="20"/>
            </w:pPr>
            <w:r>
              <w:rPr>
                <w:rFonts w:ascii="Segoe UI" w:hAnsi="Segoe UI" w:cs="Segoe UI" w:eastAsia="Segoe UI"/>
                <w:color w:val="101820"/>
                <w:sz w:val="18"/>
              </w:rPr>
              <w:t>P4 Low</w:t>
            </w:r>
          </w:p>
        </w:tc>
        <w:tc>
          <w:tcPr>
            <w:tcW w:type="dxa" w:w="3953"/>
          </w:tcPr>
          <w:p>
            <w:pPr>
              <w:spacing w:after="20"/>
            </w:pPr>
            <w:r>
              <w:rPr>
                <w:rFonts w:ascii="Segoe UI" w:hAnsi="Segoe UI" w:cs="Segoe UI" w:eastAsia="Segoe UI"/>
                <w:color w:val="101820"/>
                <w:sz w:val="18"/>
              </w:rPr>
              <w:t>Question, cosmetic issue, documentation, or request for change</w:t>
            </w:r>
          </w:p>
        </w:tc>
        <w:tc>
          <w:tcPr>
            <w:tcW w:type="dxa" w:w="3939"/>
          </w:tcPr>
          <w:p>
            <w:pPr>
              <w:spacing w:after="20"/>
            </w:pPr>
            <w:r>
              <w:rPr>
                <w:rFonts w:ascii="Segoe UI" w:hAnsi="Segoe UI" w:cs="Segoe UI" w:eastAsia="Segoe UI"/>
                <w:color w:val="101820"/>
                <w:sz w:val="18"/>
              </w:rPr>
              <w:t>Wording, layout, how-to question, new report request</w:t>
            </w:r>
          </w:p>
        </w:tc>
      </w:tr>
    </w:tbl>
    <w:p>
      <w:pPr>
        <w:spacing w:after="80"/>
      </w:pPr>
    </w:p>
    <w:p>
      <w:pPr>
        <w:spacing w:after="120" w:line="276" w:lineRule="auto"/>
      </w:pPr>
      <w:r>
        <w:rPr>
          <w:rFonts w:ascii="Segoe UI" w:hAnsi="Segoe UI" w:cs="Segoe UI" w:eastAsia="Segoe UI"/>
          <w:color w:val="101820"/>
          <w:sz w:val="21"/>
        </w:rPr>
        <w:t>The Client proposes the severity when raising the ticket. iorta TechNXT confirms or changes it at triage, with the reason. The Client may ask for a review through the escalation matrix.</w:t>
      </w:r>
    </w:p>
    <w:p>
      <w:pPr>
        <w:pStyle w:val="Heading2"/>
      </w:pPr>
      <w:r>
        <w:rPr>
          <w:rFonts w:ascii="Segoe UI" w:hAnsi="Segoe UI" w:cs="Segoe UI" w:eastAsia="Segoe UI"/>
          <w:b/>
          <w:color w:val="0F4761"/>
          <w:sz w:val="26"/>
        </w:rPr>
        <w:t>7.2  Targets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23"/>
        <w:gridCol w:w="1123"/>
        <w:gridCol w:w="1515"/>
        <w:gridCol w:w="2037"/>
        <w:gridCol w:w="3217"/>
      </w:tblGrid>
      <w:tr>
        <w:trPr>
          <w:tblHeader w:val="true"/>
        </w:trPr>
        <w:tc>
          <w:tcPr>
            <w:tcW w:type="dxa" w:w="1123"/>
            <w:shd w:val="clear" w:color="auto" w:fill="DCE9F7"/>
          </w:tcPr>
          <w:p>
            <w:pPr>
              <w:spacing w:after="20"/>
            </w:pPr>
            <w:r>
              <w:rPr>
                <w:rFonts w:ascii="Segoe UI" w:hAnsi="Segoe UI" w:cs="Segoe UI" w:eastAsia="Segoe UI"/>
                <w:b/>
                <w:color w:val="0F4761"/>
                <w:sz w:val="16"/>
              </w:rPr>
              <w:t>Severity</w:t>
            </w:r>
          </w:p>
        </w:tc>
        <w:tc>
          <w:tcPr>
            <w:tcW w:type="dxa" w:w="1123"/>
            <w:shd w:val="clear" w:color="auto" w:fill="DCE9F7"/>
          </w:tcPr>
          <w:p>
            <w:pPr>
              <w:spacing w:after="20"/>
            </w:pPr>
            <w:r>
              <w:rPr>
                <w:rFonts w:ascii="Segoe UI" w:hAnsi="Segoe UI" w:cs="Segoe UI" w:eastAsia="Segoe UI"/>
                <w:b/>
                <w:color w:val="0F4761"/>
                <w:sz w:val="16"/>
              </w:rPr>
              <w:t>First response</w:t>
            </w:r>
          </w:p>
        </w:tc>
        <w:tc>
          <w:tcPr>
            <w:tcW w:type="dxa" w:w="1515"/>
            <w:shd w:val="clear" w:color="auto" w:fill="DCE9F7"/>
          </w:tcPr>
          <w:p>
            <w:pPr>
              <w:spacing w:after="20"/>
            </w:pPr>
            <w:r>
              <w:rPr>
                <w:rFonts w:ascii="Segoe UI" w:hAnsi="Segoe UI" w:cs="Segoe UI" w:eastAsia="Segoe UI"/>
                <w:b/>
                <w:color w:val="0F4761"/>
                <w:sz w:val="16"/>
              </w:rPr>
              <w:t>Update frequency</w:t>
            </w:r>
          </w:p>
        </w:tc>
        <w:tc>
          <w:tcPr>
            <w:tcW w:type="dxa" w:w="2037"/>
            <w:shd w:val="clear" w:color="auto" w:fill="DCE9F7"/>
          </w:tcPr>
          <w:p>
            <w:pPr>
              <w:spacing w:after="20"/>
            </w:pPr>
            <w:r>
              <w:rPr>
                <w:rFonts w:ascii="Segoe UI" w:hAnsi="Segoe UI" w:cs="Segoe UI" w:eastAsia="Segoe UI"/>
                <w:b/>
                <w:color w:val="0F4761"/>
                <w:sz w:val="16"/>
              </w:rPr>
              <w:t>Restore service or workaround</w:t>
            </w:r>
          </w:p>
        </w:tc>
        <w:tc>
          <w:tcPr>
            <w:tcW w:type="dxa" w:w="3217"/>
            <w:shd w:val="clear" w:color="auto" w:fill="DCE9F7"/>
          </w:tcPr>
          <w:p>
            <w:pPr>
              <w:spacing w:after="20"/>
            </w:pPr>
            <w:r>
              <w:rPr>
                <w:rFonts w:ascii="Segoe UI" w:hAnsi="Segoe UI" w:cs="Segoe UI" w:eastAsia="Segoe UI"/>
                <w:b/>
                <w:color w:val="0F4761"/>
                <w:sz w:val="16"/>
              </w:rPr>
              <w:t>Permanent fix</w:t>
            </w:r>
          </w:p>
        </w:tc>
      </w:tr>
      <w:tr>
        <w:tc>
          <w:tcPr>
            <w:tcW w:type="dxa" w:w="1123"/>
          </w:tcPr>
          <w:p>
            <w:pPr>
              <w:spacing w:after="20"/>
            </w:pPr>
            <w:r>
              <w:rPr>
                <w:rFonts w:ascii="Segoe UI" w:hAnsi="Segoe UI" w:cs="Segoe UI" w:eastAsia="Segoe UI"/>
                <w:color w:val="101820"/>
                <w:sz w:val="16"/>
              </w:rPr>
              <w:t>P1</w:t>
            </w:r>
          </w:p>
        </w:tc>
        <w:tc>
          <w:tcPr>
            <w:tcW w:type="dxa" w:w="1123"/>
          </w:tcPr>
          <w:p>
            <w:pPr>
              <w:spacing w:after="20"/>
            </w:pPr>
            <w:r>
              <w:rPr>
                <w:rFonts w:ascii="Segoe UI" w:hAnsi="Segoe UI" w:cs="Segoe UI" w:eastAsia="Segoe UI"/>
                <w:color w:val="101820"/>
                <w:sz w:val="16"/>
              </w:rPr>
              <w:t>30 minutes</w:t>
            </w:r>
          </w:p>
        </w:tc>
        <w:tc>
          <w:tcPr>
            <w:tcW w:type="dxa" w:w="1515"/>
          </w:tcPr>
          <w:p>
            <w:pPr>
              <w:spacing w:after="20"/>
            </w:pPr>
            <w:r>
              <w:rPr>
                <w:rFonts w:ascii="Segoe UI" w:hAnsi="Segoe UI" w:cs="Segoe UI" w:eastAsia="Segoe UI"/>
                <w:color w:val="101820"/>
                <w:sz w:val="16"/>
              </w:rPr>
              <w:t>Every hour</w:t>
            </w:r>
          </w:p>
        </w:tc>
        <w:tc>
          <w:tcPr>
            <w:tcW w:type="dxa" w:w="2037"/>
          </w:tcPr>
          <w:p>
            <w:pPr>
              <w:spacing w:after="20"/>
            </w:pPr>
            <w:r>
              <w:rPr>
                <w:rFonts w:ascii="Segoe UI" w:hAnsi="Segoe UI" w:cs="Segoe UI" w:eastAsia="Segoe UI"/>
                <w:color w:val="101820"/>
                <w:sz w:val="16"/>
              </w:rPr>
              <w:t>4 service hours</w:t>
            </w:r>
          </w:p>
        </w:tc>
        <w:tc>
          <w:tcPr>
            <w:tcW w:type="dxa" w:w="3217"/>
          </w:tcPr>
          <w:p>
            <w:pPr>
              <w:spacing w:after="20"/>
            </w:pPr>
            <w:r>
              <w:rPr>
                <w:rFonts w:ascii="Segoe UI" w:hAnsi="Segoe UI" w:cs="Segoe UI" w:eastAsia="Segoe UI"/>
                <w:color w:val="101820"/>
                <w:sz w:val="16"/>
              </w:rPr>
              <w:t>Root cause in 5 Business Days; fix in the next emergency or planned release</w:t>
            </w:r>
          </w:p>
        </w:tc>
      </w:tr>
      <w:tr>
        <w:tc>
          <w:tcPr>
            <w:tcW w:type="dxa" w:w="1123"/>
          </w:tcPr>
          <w:p>
            <w:pPr>
              <w:spacing w:after="20"/>
            </w:pPr>
            <w:r>
              <w:rPr>
                <w:rFonts w:ascii="Segoe UI" w:hAnsi="Segoe UI" w:cs="Segoe UI" w:eastAsia="Segoe UI"/>
                <w:color w:val="101820"/>
                <w:sz w:val="16"/>
              </w:rPr>
              <w:t>P2</w:t>
            </w:r>
          </w:p>
        </w:tc>
        <w:tc>
          <w:tcPr>
            <w:tcW w:type="dxa" w:w="1123"/>
          </w:tcPr>
          <w:p>
            <w:pPr>
              <w:spacing w:after="20"/>
            </w:pPr>
            <w:r>
              <w:rPr>
                <w:rFonts w:ascii="Segoe UI" w:hAnsi="Segoe UI" w:cs="Segoe UI" w:eastAsia="Segoe UI"/>
                <w:color w:val="101820"/>
                <w:sz w:val="16"/>
              </w:rPr>
              <w:t>2 service hours</w:t>
            </w:r>
          </w:p>
        </w:tc>
        <w:tc>
          <w:tcPr>
            <w:tcW w:type="dxa" w:w="1515"/>
          </w:tcPr>
          <w:p>
            <w:pPr>
              <w:spacing w:after="20"/>
            </w:pPr>
            <w:r>
              <w:rPr>
                <w:rFonts w:ascii="Segoe UI" w:hAnsi="Segoe UI" w:cs="Segoe UI" w:eastAsia="Segoe UI"/>
                <w:color w:val="101820"/>
                <w:sz w:val="16"/>
              </w:rPr>
              <w:t>Every 4 service hours</w:t>
            </w:r>
          </w:p>
        </w:tc>
        <w:tc>
          <w:tcPr>
            <w:tcW w:type="dxa" w:w="2037"/>
          </w:tcPr>
          <w:p>
            <w:pPr>
              <w:spacing w:after="20"/>
            </w:pPr>
            <w:r>
              <w:rPr>
                <w:rFonts w:ascii="Segoe UI" w:hAnsi="Segoe UI" w:cs="Segoe UI" w:eastAsia="Segoe UI"/>
                <w:color w:val="101820"/>
                <w:sz w:val="16"/>
              </w:rPr>
              <w:t>2 Business Days</w:t>
            </w:r>
          </w:p>
        </w:tc>
        <w:tc>
          <w:tcPr>
            <w:tcW w:type="dxa" w:w="3217"/>
          </w:tcPr>
          <w:p>
            <w:pPr>
              <w:spacing w:after="20"/>
            </w:pPr>
            <w:r>
              <w:rPr>
                <w:rFonts w:ascii="Segoe UI" w:hAnsi="Segoe UI" w:cs="Segoe UI" w:eastAsia="Segoe UI"/>
                <w:color w:val="101820"/>
                <w:sz w:val="16"/>
              </w:rPr>
              <w:t>Next planned release</w:t>
            </w:r>
          </w:p>
        </w:tc>
      </w:tr>
      <w:tr>
        <w:tc>
          <w:tcPr>
            <w:tcW w:type="dxa" w:w="1123"/>
          </w:tcPr>
          <w:p>
            <w:pPr>
              <w:spacing w:after="20"/>
            </w:pPr>
            <w:r>
              <w:rPr>
                <w:rFonts w:ascii="Segoe UI" w:hAnsi="Segoe UI" w:cs="Segoe UI" w:eastAsia="Segoe UI"/>
                <w:color w:val="101820"/>
                <w:sz w:val="16"/>
              </w:rPr>
              <w:t>P3</w:t>
            </w:r>
          </w:p>
        </w:tc>
        <w:tc>
          <w:tcPr>
            <w:tcW w:type="dxa" w:w="1123"/>
          </w:tcPr>
          <w:p>
            <w:pPr>
              <w:spacing w:after="20"/>
            </w:pPr>
            <w:r>
              <w:rPr>
                <w:rFonts w:ascii="Segoe UI" w:hAnsi="Segoe UI" w:cs="Segoe UI" w:eastAsia="Segoe UI"/>
                <w:color w:val="101820"/>
                <w:sz w:val="16"/>
              </w:rPr>
              <w:t>1 Business Day</w:t>
            </w:r>
          </w:p>
        </w:tc>
        <w:tc>
          <w:tcPr>
            <w:tcW w:type="dxa" w:w="1515"/>
          </w:tcPr>
          <w:p>
            <w:pPr>
              <w:spacing w:after="20"/>
            </w:pPr>
            <w:r>
              <w:rPr>
                <w:rFonts w:ascii="Segoe UI" w:hAnsi="Segoe UI" w:cs="Segoe UI" w:eastAsia="Segoe UI"/>
                <w:color w:val="101820"/>
                <w:sz w:val="16"/>
              </w:rPr>
              <w:t>Every 3 Business Days</w:t>
            </w:r>
          </w:p>
        </w:tc>
        <w:tc>
          <w:tcPr>
            <w:tcW w:type="dxa" w:w="2037"/>
          </w:tcPr>
          <w:p>
            <w:pPr>
              <w:spacing w:after="20"/>
            </w:pPr>
            <w:r>
              <w:rPr>
                <w:rFonts w:ascii="Segoe UI" w:hAnsi="Segoe UI" w:cs="Segoe UI" w:eastAsia="Segoe UI"/>
                <w:color w:val="101820"/>
                <w:sz w:val="16"/>
              </w:rPr>
              <w:t>5 Business Days</w:t>
            </w:r>
          </w:p>
        </w:tc>
        <w:tc>
          <w:tcPr>
            <w:tcW w:type="dxa" w:w="3217"/>
          </w:tcPr>
          <w:p>
            <w:pPr>
              <w:spacing w:after="20"/>
            </w:pPr>
            <w:r>
              <w:rPr>
                <w:rFonts w:ascii="Segoe UI" w:hAnsi="Segoe UI" w:cs="Segoe UI" w:eastAsia="Segoe UI"/>
                <w:color w:val="101820"/>
                <w:sz w:val="16"/>
              </w:rPr>
              <w:t>Planned release as agreed</w:t>
            </w:r>
          </w:p>
        </w:tc>
      </w:tr>
      <w:tr>
        <w:tc>
          <w:tcPr>
            <w:tcW w:type="dxa" w:w="1123"/>
          </w:tcPr>
          <w:p>
            <w:pPr>
              <w:spacing w:after="20"/>
            </w:pPr>
            <w:r>
              <w:rPr>
                <w:rFonts w:ascii="Segoe UI" w:hAnsi="Segoe UI" w:cs="Segoe UI" w:eastAsia="Segoe UI"/>
                <w:color w:val="101820"/>
                <w:sz w:val="16"/>
              </w:rPr>
              <w:t>P4</w:t>
            </w:r>
          </w:p>
        </w:tc>
        <w:tc>
          <w:tcPr>
            <w:tcW w:type="dxa" w:w="1123"/>
          </w:tcPr>
          <w:p>
            <w:pPr>
              <w:spacing w:after="20"/>
            </w:pPr>
            <w:r>
              <w:rPr>
                <w:rFonts w:ascii="Segoe UI" w:hAnsi="Segoe UI" w:cs="Segoe UI" w:eastAsia="Segoe UI"/>
                <w:color w:val="101820"/>
                <w:sz w:val="16"/>
              </w:rPr>
              <w:t>2 Business Days</w:t>
            </w:r>
          </w:p>
        </w:tc>
        <w:tc>
          <w:tcPr>
            <w:tcW w:type="dxa" w:w="1515"/>
          </w:tcPr>
          <w:p>
            <w:pPr>
              <w:spacing w:after="20"/>
            </w:pPr>
            <w:r>
              <w:rPr>
                <w:rFonts w:ascii="Segoe UI" w:hAnsi="Segoe UI" w:cs="Segoe UI" w:eastAsia="Segoe UI"/>
                <w:color w:val="101820"/>
                <w:sz w:val="16"/>
              </w:rPr>
              <w:t>Weekly</w:t>
            </w:r>
          </w:p>
        </w:tc>
        <w:tc>
          <w:tcPr>
            <w:tcW w:type="dxa" w:w="2037"/>
          </w:tcPr>
          <w:p>
            <w:pPr>
              <w:spacing w:after="20"/>
            </w:pPr>
            <w:r>
              <w:rPr>
                <w:rFonts w:ascii="Segoe UI" w:hAnsi="Segoe UI" w:cs="Segoe UI" w:eastAsia="Segoe UI"/>
                <w:color w:val="101820"/>
                <w:sz w:val="16"/>
              </w:rPr>
              <w:t>Not applicable</w:t>
            </w:r>
          </w:p>
        </w:tc>
        <w:tc>
          <w:tcPr>
            <w:tcW w:type="dxa" w:w="3217"/>
          </w:tcPr>
          <w:p>
            <w:pPr>
              <w:spacing w:after="20"/>
            </w:pPr>
            <w:r>
              <w:rPr>
                <w:rFonts w:ascii="Segoe UI" w:hAnsi="Segoe UI" w:cs="Segoe UI" w:eastAsia="Segoe UI"/>
                <w:color w:val="101820"/>
                <w:sz w:val="16"/>
              </w:rPr>
              <w:t>Planned with the Client or handled as a change request</w:t>
            </w:r>
          </w:p>
        </w:tc>
      </w:tr>
    </w:tbl>
    <w:p>
      <w:pPr>
        <w:spacing w:after="80"/>
      </w:pPr>
    </w:p>
    <w:p>
      <w:pPr>
        <w:pStyle w:val="Heading2"/>
      </w:pPr>
      <w:r>
        <w:rPr>
          <w:rFonts w:ascii="Segoe UI" w:hAnsi="Segoe UI" w:cs="Segoe UI" w:eastAsia="Segoe UI"/>
          <w:b/>
          <w:color w:val="0F4761"/>
          <w:sz w:val="26"/>
        </w:rPr>
        <w:t>7.3  Clock rules</w:t>
      </w:r>
    </w:p>
    <w:p>
      <w:pPr>
        <w:spacing w:after="60"/>
        <w:numPr>
          <w:ilvl w:val="0"/>
          <w:numId w:val="7"/>
        </w:numPr>
      </w:pPr>
      <w:r>
        <w:rPr>
          <w:rFonts w:ascii="Segoe UI" w:hAnsi="Segoe UI" w:cs="Segoe UI" w:eastAsia="Segoe UI"/>
          <w:color w:val="101820"/>
          <w:sz w:val="21"/>
        </w:rPr>
        <w:t>The clock starts when the ticket is logged with the minimum content in the Service desk chapter.</w:t>
      </w:r>
    </w:p>
    <w:p>
      <w:pPr>
        <w:spacing w:after="60"/>
        <w:numPr>
          <w:ilvl w:val="0"/>
          <w:numId w:val="7"/>
        </w:numPr>
      </w:pPr>
      <w:r>
        <w:rPr>
          <w:rFonts w:ascii="Segoe UI" w:hAnsi="Segoe UI" w:cs="Segoe UI" w:eastAsia="Segoe UI"/>
          <w:color w:val="101820"/>
          <w:sz w:val="21"/>
        </w:rPr>
        <w:t>The clock stops while the ticket waits for the Client (status Awaiting customer).</w:t>
      </w:r>
    </w:p>
    <w:p>
      <w:pPr>
        <w:spacing w:after="60"/>
        <w:numPr>
          <w:ilvl w:val="0"/>
          <w:numId w:val="7"/>
        </w:numPr>
      </w:pPr>
      <w:r>
        <w:rPr>
          <w:rFonts w:ascii="Segoe UI" w:hAnsi="Segoe UI" w:cs="Segoe UI" w:eastAsia="Segoe UI"/>
          <w:color w:val="101820"/>
          <w:sz w:val="21"/>
        </w:rPr>
        <w:t>The clock ends when a workaround or a fix is provided.</w:t>
      </w:r>
    </w:p>
    <w:p>
      <w:pPr>
        <w:spacing w:after="60"/>
        <w:numPr>
          <w:ilvl w:val="0"/>
          <w:numId w:val="7"/>
        </w:numPr>
      </w:pPr>
      <w:r>
        <w:rPr>
          <w:rFonts w:ascii="Segoe UI" w:hAnsi="Segoe UI" w:cs="Segoe UI" w:eastAsia="Segoe UI"/>
          <w:color w:val="101820"/>
          <w:sz w:val="21"/>
        </w:rPr>
        <w:t>A ticket counts as met when both its response and restore targets are met.</w:t>
      </w:r>
    </w:p>
    <w:p>
      <w:pPr>
        <w:pStyle w:val="Heading1"/>
        <w:pageBreakBefore/>
      </w:pPr>
      <w:r>
        <w:rPr>
          <w:rFonts w:ascii="Segoe UI" w:hAnsi="Segoe UI" w:cs="Segoe UI" w:eastAsia="Segoe UI"/>
          <w:b/>
          <w:color w:val="0F4761"/>
          <w:sz w:val="32"/>
        </w:rPr>
        <w:t>8.  Service desk and tickets</w:t>
      </w:r>
    </w:p>
    <w:p>
      <w:pPr>
        <w:pStyle w:val="Heading2"/>
      </w:pPr>
      <w:r>
        <w:rPr>
          <w:rFonts w:ascii="Segoe UI" w:hAnsi="Segoe UI" w:cs="Segoe UI" w:eastAsia="Segoe UI"/>
          <w:b/>
          <w:color w:val="0F4761"/>
          <w:sz w:val="26"/>
        </w:rPr>
        <w:t>8.1  Minimum content of a ticket</w:t>
      </w:r>
    </w:p>
    <w:p>
      <w:pPr>
        <w:spacing w:after="60"/>
        <w:numPr>
          <w:ilvl w:val="0"/>
          <w:numId w:val="8"/>
        </w:numPr>
      </w:pPr>
      <w:r>
        <w:rPr>
          <w:rFonts w:ascii="Segoe UI" w:hAnsi="Segoe UI" w:cs="Segoe UI" w:eastAsia="Segoe UI"/>
          <w:color w:val="101820"/>
          <w:sz w:val="21"/>
        </w:rPr>
        <w:t>The screen (menu path) and the record number.</w:t>
      </w:r>
    </w:p>
    <w:p>
      <w:pPr>
        <w:spacing w:after="60"/>
        <w:numPr>
          <w:ilvl w:val="0"/>
          <w:numId w:val="8"/>
        </w:numPr>
      </w:pPr>
      <w:r>
        <w:rPr>
          <w:rFonts w:ascii="Segoe UI" w:hAnsi="Segoe UI" w:cs="Segoe UI" w:eastAsia="Segoe UI"/>
          <w:color w:val="101820"/>
          <w:sz w:val="21"/>
        </w:rPr>
        <w:t>The date and time, to the minute.</w:t>
      </w:r>
    </w:p>
    <w:p>
      <w:pPr>
        <w:spacing w:after="60"/>
        <w:numPr>
          <w:ilvl w:val="0"/>
          <w:numId w:val="8"/>
        </w:numPr>
      </w:pPr>
      <w:r>
        <w:rPr>
          <w:rFonts w:ascii="Segoe UI" w:hAnsi="Segoe UI" w:cs="Segoe UI" w:eastAsia="Segoe UI"/>
          <w:color w:val="101820"/>
          <w:sz w:val="21"/>
        </w:rPr>
        <w:t>The request ID shown in the error message, if any.</w:t>
      </w:r>
    </w:p>
    <w:p>
      <w:pPr>
        <w:spacing w:after="60"/>
        <w:numPr>
          <w:ilvl w:val="0"/>
          <w:numId w:val="8"/>
        </w:numPr>
      </w:pPr>
      <w:r>
        <w:rPr>
          <w:rFonts w:ascii="Segoe UI" w:hAnsi="Segoe UI" w:cs="Segoe UI" w:eastAsia="Segoe UI"/>
          <w:color w:val="101820"/>
          <w:sz w:val="21"/>
        </w:rPr>
        <w:t>What was done, what happened and what was expected.</w:t>
      </w:r>
    </w:p>
    <w:p>
      <w:pPr>
        <w:spacing w:after="60"/>
        <w:numPr>
          <w:ilvl w:val="0"/>
          <w:numId w:val="8"/>
        </w:numPr>
      </w:pPr>
      <w:r>
        <w:rPr>
          <w:rFonts w:ascii="Segoe UI" w:hAnsi="Segoe UI" w:cs="Segoe UI" w:eastAsia="Segoe UI"/>
          <w:color w:val="101820"/>
          <w:sz w:val="21"/>
        </w:rPr>
        <w:t>A screenshot, with client personal data covered.</w:t>
      </w:r>
    </w:p>
    <w:p>
      <w:pPr>
        <w:spacing w:after="60"/>
        <w:numPr>
          <w:ilvl w:val="0"/>
          <w:numId w:val="8"/>
        </w:numPr>
      </w:pPr>
      <w:r>
        <w:rPr>
          <w:rFonts w:ascii="Segoe UI" w:hAnsi="Segoe UI" w:cs="Segoe UI" w:eastAsia="Segoe UI"/>
          <w:color w:val="101820"/>
          <w:sz w:val="21"/>
        </w:rPr>
        <w:t>The username (never the password) and the role.</w:t>
      </w:r>
    </w:p>
    <w:p>
      <w:pPr>
        <w:spacing w:after="60"/>
        <w:numPr>
          <w:ilvl w:val="0"/>
          <w:numId w:val="8"/>
        </w:numPr>
      </w:pPr>
      <w:r>
        <w:rPr>
          <w:rFonts w:ascii="Segoe UI" w:hAnsi="Segoe UI" w:cs="Segoe UI" w:eastAsia="Segoe UI"/>
          <w:color w:val="101820"/>
          <w:sz w:val="21"/>
        </w:rPr>
        <w:t>How many users are affected and whether work can continue.</w:t>
      </w:r>
    </w:p>
    <w:p>
      <w:pPr>
        <w:spacing w:after="120" w:line="276" w:lineRule="auto"/>
      </w:pPr>
      <w:r>
        <w:rPr>
          <w:rFonts w:ascii="Segoe UI" w:hAnsi="Segoe UI" w:cs="Segoe UI" w:eastAsia="Segoe UI"/>
          <w:color w:val="101820"/>
          <w:sz w:val="21"/>
        </w:rPr>
        <w:t>Passwords, two-step codes, environment settings and full client ID numbers are never sent in a ticket.</w:t>
      </w:r>
    </w:p>
    <w:p>
      <w:pPr>
        <w:pStyle w:val="Heading2"/>
      </w:pPr>
      <w:r>
        <w:rPr>
          <w:rFonts w:ascii="Segoe UI" w:hAnsi="Segoe UI" w:cs="Segoe UI" w:eastAsia="Segoe UI"/>
          <w:b/>
          <w:color w:val="0F4761"/>
          <w:sz w:val="26"/>
        </w:rPr>
        <w:t>8.2  Ticket statuses</w:t>
      </w:r>
    </w:p>
    <w:p>
      <w:pPr>
        <w:spacing w:after="120" w:line="276" w:lineRule="auto"/>
      </w:pPr>
      <w:r>
        <w:rPr>
          <w:rFonts w:ascii="Segoe UI" w:hAnsi="Segoe UI" w:cs="Segoe UI" w:eastAsia="Segoe UI"/>
          <w:color w:val="101820"/>
          <w:sz w:val="21"/>
        </w:rPr>
        <w:t>New, Acknowledged, In progress, Awaiting customer, Workaround provided, Resolved, Closed, Reopened. A resolved ticket closes when the Client confirms, or automatically 5 Business Days after Resolved without a reply. The Client may reopen a ticket within 5 Business Days of Resolved.</w:t>
      </w:r>
    </w:p>
    <w:p>
      <w:pPr>
        <w:pStyle w:val="Heading1"/>
        <w:pageBreakBefore/>
      </w:pPr>
      <w:r>
        <w:rPr>
          <w:rFonts w:ascii="Segoe UI" w:hAnsi="Segoe UI" w:cs="Segoe UI" w:eastAsia="Segoe UI"/>
          <w:b/>
          <w:color w:val="0F4761"/>
          <w:sz w:val="32"/>
        </w:rPr>
        <w:t>9.  Escalation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26"/>
        <w:gridCol w:w="2963"/>
        <w:gridCol w:w="3026"/>
      </w:tblGrid>
      <w:tr>
        <w:trPr>
          <w:tblHeader w:val="true"/>
        </w:trPr>
        <w:tc>
          <w:tcPr>
            <w:tcW w:type="dxa" w:w="3026"/>
            <w:shd w:val="clear" w:color="auto" w:fill="DCE9F7"/>
          </w:tcPr>
          <w:p>
            <w:pPr>
              <w:spacing w:after="20"/>
            </w:pPr>
            <w:r>
              <w:rPr>
                <w:rFonts w:ascii="Segoe UI" w:hAnsi="Segoe UI" w:cs="Segoe UI" w:eastAsia="Segoe UI"/>
                <w:b/>
                <w:color w:val="0F4761"/>
                <w:sz w:val="18"/>
              </w:rPr>
              <w:t>Trigger</w:t>
            </w:r>
          </w:p>
        </w:tc>
        <w:tc>
          <w:tcPr>
            <w:tcW w:type="dxa" w:w="2963"/>
            <w:shd w:val="clear" w:color="auto" w:fill="DCE9F7"/>
          </w:tcPr>
          <w:p>
            <w:pPr>
              <w:spacing w:after="20"/>
            </w:pPr>
            <w:r>
              <w:rPr>
                <w:rFonts w:ascii="Segoe UI" w:hAnsi="Segoe UI" w:cs="Segoe UI" w:eastAsia="Segoe UI"/>
                <w:b/>
                <w:color w:val="0F4761"/>
                <w:sz w:val="18"/>
              </w:rPr>
              <w:t>Client side</w:t>
            </w:r>
          </w:p>
        </w:tc>
        <w:tc>
          <w:tcPr>
            <w:tcW w:type="dxa" w:w="3026"/>
            <w:shd w:val="clear" w:color="auto" w:fill="DCE9F7"/>
          </w:tcPr>
          <w:p>
            <w:pPr>
              <w:spacing w:after="20"/>
            </w:pPr>
            <w:r>
              <w:rPr>
                <w:rFonts w:ascii="Segoe UI" w:hAnsi="Segoe UI" w:cs="Segoe UI" w:eastAsia="Segoe UI"/>
                <w:b/>
                <w:color w:val="0F4761"/>
                <w:sz w:val="18"/>
              </w:rPr>
              <w:t>iorta TechNXT side</w:t>
            </w:r>
          </w:p>
        </w:tc>
      </w:tr>
      <w:tr>
        <w:tc>
          <w:tcPr>
            <w:tcW w:type="dxa" w:w="3026"/>
          </w:tcPr>
          <w:p>
            <w:pPr>
              <w:spacing w:after="20"/>
            </w:pPr>
            <w:r>
              <w:rPr>
                <w:rFonts w:ascii="Segoe UI" w:hAnsi="Segoe UI" w:cs="Segoe UI" w:eastAsia="Segoe UI"/>
                <w:color w:val="101820"/>
                <w:sz w:val="18"/>
              </w:rPr>
              <w:t>P1 logged</w:t>
            </w:r>
          </w:p>
        </w:tc>
        <w:tc>
          <w:tcPr>
            <w:tcW w:type="dxa" w:w="2963"/>
          </w:tcPr>
          <w:p>
            <w:pPr>
              <w:spacing w:after="20"/>
            </w:pPr>
            <w:r>
              <w:rPr>
                <w:rFonts w:ascii="Segoe UI" w:hAnsi="Segoe UI" w:cs="Segoe UI" w:eastAsia="Segoe UI"/>
                <w:color w:val="101820"/>
                <w:sz w:val="18"/>
              </w:rPr>
              <w:t>System Administrator informs the Client IT head</w:t>
            </w:r>
          </w:p>
        </w:tc>
        <w:tc>
          <w:tcPr>
            <w:tcW w:type="dxa" w:w="3026"/>
          </w:tcPr>
          <w:p>
            <w:pPr>
              <w:spacing w:after="20"/>
            </w:pPr>
            <w:r>
              <w:rPr>
                <w:rFonts w:ascii="Segoe UI" w:hAnsi="Segoe UI" w:cs="Segoe UI" w:eastAsia="Segoe UI"/>
                <w:color w:val="101820"/>
                <w:sz w:val="18"/>
              </w:rPr>
              <w:t>L2 lead and L3 on-call engaged at once; support manager informed</w:t>
            </w:r>
          </w:p>
        </w:tc>
      </w:tr>
      <w:tr>
        <w:tc>
          <w:tcPr>
            <w:tcW w:type="dxa" w:w="3026"/>
          </w:tcPr>
          <w:p>
            <w:pPr>
              <w:spacing w:after="20"/>
            </w:pPr>
            <w:r>
              <w:rPr>
                <w:rFonts w:ascii="Segoe UI" w:hAnsi="Segoe UI" w:cs="Segoe UI" w:eastAsia="Segoe UI"/>
                <w:color w:val="101820"/>
                <w:sz w:val="18"/>
              </w:rPr>
              <w:t>P1 without response in 30 minutes, or no workaround in 2 hours</w:t>
            </w:r>
          </w:p>
        </w:tc>
        <w:tc>
          <w:tcPr>
            <w:tcW w:type="dxa" w:w="2963"/>
          </w:tcPr>
          <w:p>
            <w:pPr>
              <w:spacing w:after="20"/>
            </w:pPr>
            <w:r>
              <w:rPr>
                <w:rFonts w:ascii="Segoe UI" w:hAnsi="Segoe UI" w:cs="Segoe UI" w:eastAsia="Segoe UI"/>
                <w:color w:val="101820"/>
                <w:sz w:val="18"/>
              </w:rPr>
              <w:t>IT head calls the support manager</w:t>
            </w:r>
          </w:p>
        </w:tc>
        <w:tc>
          <w:tcPr>
            <w:tcW w:type="dxa" w:w="3026"/>
          </w:tcPr>
          <w:p>
            <w:pPr>
              <w:spacing w:after="20"/>
            </w:pPr>
            <w:r>
              <w:rPr>
                <w:rFonts w:ascii="Segoe UI" w:hAnsi="Segoe UI" w:cs="Segoe UI" w:eastAsia="Segoe UI"/>
                <w:color w:val="101820"/>
                <w:sz w:val="18"/>
              </w:rPr>
              <w:t>Support manager engages the engineering lead and the DevOps lead</w:t>
            </w:r>
          </w:p>
        </w:tc>
      </w:tr>
      <w:tr>
        <w:tc>
          <w:tcPr>
            <w:tcW w:type="dxa" w:w="3026"/>
          </w:tcPr>
          <w:p>
            <w:pPr>
              <w:spacing w:after="20"/>
            </w:pPr>
            <w:r>
              <w:rPr>
                <w:rFonts w:ascii="Segoe UI" w:hAnsi="Segoe UI" w:cs="Segoe UI" w:eastAsia="Segoe UI"/>
                <w:color w:val="101820"/>
                <w:sz w:val="18"/>
              </w:rPr>
              <w:t>P1 not restored in 4 hours</w:t>
            </w:r>
          </w:p>
        </w:tc>
        <w:tc>
          <w:tcPr>
            <w:tcW w:type="dxa" w:w="2963"/>
          </w:tcPr>
          <w:p>
            <w:pPr>
              <w:spacing w:after="20"/>
            </w:pPr>
            <w:r>
              <w:rPr>
                <w:rFonts w:ascii="Segoe UI" w:hAnsi="Segoe UI" w:cs="Segoe UI" w:eastAsia="Segoe UI"/>
                <w:color w:val="101820"/>
                <w:sz w:val="18"/>
              </w:rPr>
              <w:t>Sponsor informed</w:t>
            </w:r>
          </w:p>
        </w:tc>
        <w:tc>
          <w:tcPr>
            <w:tcW w:type="dxa" w:w="3026"/>
          </w:tcPr>
          <w:p>
            <w:pPr>
              <w:spacing w:after="20"/>
            </w:pPr>
            <w:r>
              <w:rPr>
                <w:rFonts w:ascii="Segoe UI" w:hAnsi="Segoe UI" w:cs="Segoe UI" w:eastAsia="Segoe UI"/>
                <w:color w:val="101820"/>
                <w:sz w:val="18"/>
              </w:rPr>
              <w:t>Account manager and head of delivery informed; hourly calls</w:t>
            </w:r>
          </w:p>
        </w:tc>
      </w:tr>
      <w:tr>
        <w:tc>
          <w:tcPr>
            <w:tcW w:type="dxa" w:w="3026"/>
          </w:tcPr>
          <w:p>
            <w:pPr>
              <w:spacing w:after="20"/>
            </w:pPr>
            <w:r>
              <w:rPr>
                <w:rFonts w:ascii="Segoe UI" w:hAnsi="Segoe UI" w:cs="Segoe UI" w:eastAsia="Segoe UI"/>
                <w:color w:val="101820"/>
                <w:sz w:val="18"/>
              </w:rPr>
              <w:t>P2 without response in 2 service hours</w:t>
            </w:r>
          </w:p>
        </w:tc>
        <w:tc>
          <w:tcPr>
            <w:tcW w:type="dxa" w:w="2963"/>
          </w:tcPr>
          <w:p>
            <w:pPr>
              <w:spacing w:after="20"/>
            </w:pPr>
            <w:r>
              <w:rPr>
                <w:rFonts w:ascii="Segoe UI" w:hAnsi="Segoe UI" w:cs="Segoe UI" w:eastAsia="Segoe UI"/>
                <w:color w:val="101820"/>
                <w:sz w:val="18"/>
              </w:rPr>
              <w:t>System Administrator calls the L2 lead</w:t>
            </w:r>
          </w:p>
        </w:tc>
        <w:tc>
          <w:tcPr>
            <w:tcW w:type="dxa" w:w="3026"/>
          </w:tcPr>
          <w:p>
            <w:pPr>
              <w:spacing w:after="20"/>
            </w:pPr>
            <w:r>
              <w:rPr>
                <w:rFonts w:ascii="Segoe UI" w:hAnsi="Segoe UI" w:cs="Segoe UI" w:eastAsia="Segoe UI"/>
                <w:color w:val="101820"/>
                <w:sz w:val="18"/>
              </w:rPr>
              <w:t>L2 lead assigns and reports</w:t>
            </w:r>
          </w:p>
        </w:tc>
      </w:tr>
      <w:tr>
        <w:tc>
          <w:tcPr>
            <w:tcW w:type="dxa" w:w="3026"/>
          </w:tcPr>
          <w:p>
            <w:pPr>
              <w:spacing w:after="20"/>
            </w:pPr>
            <w:r>
              <w:rPr>
                <w:rFonts w:ascii="Segoe UI" w:hAnsi="Segoe UI" w:cs="Segoe UI" w:eastAsia="Segoe UI"/>
                <w:color w:val="101820"/>
                <w:sz w:val="18"/>
              </w:rPr>
              <w:t>P2 not restored in 2 Business Days</w:t>
            </w:r>
          </w:p>
        </w:tc>
        <w:tc>
          <w:tcPr>
            <w:tcW w:type="dxa" w:w="2963"/>
          </w:tcPr>
          <w:p>
            <w:pPr>
              <w:spacing w:after="20"/>
            </w:pPr>
            <w:r>
              <w:rPr>
                <w:rFonts w:ascii="Segoe UI" w:hAnsi="Segoe UI" w:cs="Segoe UI" w:eastAsia="Segoe UI"/>
                <w:color w:val="101820"/>
                <w:sz w:val="18"/>
              </w:rPr>
              <w:t>IT head informed</w:t>
            </w:r>
          </w:p>
        </w:tc>
        <w:tc>
          <w:tcPr>
            <w:tcW w:type="dxa" w:w="3026"/>
          </w:tcPr>
          <w:p>
            <w:pPr>
              <w:spacing w:after="20"/>
            </w:pPr>
            <w:r>
              <w:rPr>
                <w:rFonts w:ascii="Segoe UI" w:hAnsi="Segoe UI" w:cs="Segoe UI" w:eastAsia="Segoe UI"/>
                <w:color w:val="101820"/>
                <w:sz w:val="18"/>
              </w:rPr>
              <w:t>Support manager informed; plan sent to the Client</w:t>
            </w:r>
          </w:p>
        </w:tc>
      </w:tr>
      <w:tr>
        <w:tc>
          <w:tcPr>
            <w:tcW w:type="dxa" w:w="3026"/>
          </w:tcPr>
          <w:p>
            <w:pPr>
              <w:spacing w:after="20"/>
            </w:pPr>
            <w:r>
              <w:rPr>
                <w:rFonts w:ascii="Segoe UI" w:hAnsi="Segoe UI" w:cs="Segoe UI" w:eastAsia="Segoe UI"/>
                <w:color w:val="101820"/>
                <w:sz w:val="18"/>
              </w:rPr>
              <w:t>Disagreement on severity or closure</w:t>
            </w:r>
          </w:p>
        </w:tc>
        <w:tc>
          <w:tcPr>
            <w:tcW w:type="dxa" w:w="2963"/>
          </w:tcPr>
          <w:p>
            <w:pPr>
              <w:spacing w:after="20"/>
            </w:pPr>
            <w:r>
              <w:rPr>
                <w:rFonts w:ascii="Segoe UI" w:hAnsi="Segoe UI" w:cs="Segoe UI" w:eastAsia="Segoe UI"/>
                <w:color w:val="101820"/>
                <w:sz w:val="18"/>
              </w:rPr>
              <w:t>IT head</w:t>
            </w:r>
          </w:p>
        </w:tc>
        <w:tc>
          <w:tcPr>
            <w:tcW w:type="dxa" w:w="3026"/>
          </w:tcPr>
          <w:p>
            <w:pPr>
              <w:spacing w:after="20"/>
            </w:pPr>
            <w:r>
              <w:rPr>
                <w:rFonts w:ascii="Segoe UI" w:hAnsi="Segoe UI" w:cs="Segoe UI" w:eastAsia="Segoe UI"/>
                <w:color w:val="101820"/>
                <w:sz w:val="18"/>
              </w:rPr>
              <w:t>Support manager, then account manager</w:t>
            </w:r>
          </w:p>
        </w:tc>
      </w:tr>
      <w:tr>
        <w:tc>
          <w:tcPr>
            <w:tcW w:type="dxa" w:w="3026"/>
          </w:tcPr>
          <w:p>
            <w:pPr>
              <w:spacing w:after="20"/>
            </w:pPr>
            <w:r>
              <w:rPr>
                <w:rFonts w:ascii="Segoe UI" w:hAnsi="Segoe UI" w:cs="Segoe UI" w:eastAsia="Segoe UI"/>
                <w:color w:val="101820"/>
                <w:sz w:val="18"/>
              </w:rPr>
              <w:t>Repeated incidents (3 or more of one cause in a month)</w:t>
            </w:r>
          </w:p>
        </w:tc>
        <w:tc>
          <w:tcPr>
            <w:tcW w:type="dxa" w:w="2963"/>
          </w:tcPr>
          <w:p>
            <w:pPr>
              <w:spacing w:after="20"/>
            </w:pPr>
            <w:r>
              <w:rPr>
                <w:rFonts w:ascii="Segoe UI" w:hAnsi="Segoe UI" w:cs="Segoe UI" w:eastAsia="Segoe UI"/>
                <w:color w:val="101820"/>
                <w:sz w:val="18"/>
              </w:rPr>
              <w:t>Raised in the monthly service review</w:t>
            </w:r>
          </w:p>
        </w:tc>
        <w:tc>
          <w:tcPr>
            <w:tcW w:type="dxa" w:w="3026"/>
          </w:tcPr>
          <w:p>
            <w:pPr>
              <w:spacing w:after="20"/>
            </w:pPr>
            <w:r>
              <w:rPr>
                <w:rFonts w:ascii="Segoe UI" w:hAnsi="Segoe UI" w:cs="Segoe UI" w:eastAsia="Segoe UI"/>
                <w:color w:val="101820"/>
                <w:sz w:val="18"/>
              </w:rPr>
              <w:t>Problem record opened</w:t>
            </w:r>
          </w:p>
        </w:tc>
      </w:tr>
    </w:tbl>
    <w:p>
      <w:pPr>
        <w:spacing w:after="80"/>
      </w:pPr>
    </w:p>
    <w:p>
      <w:pPr>
        <w:spacing w:after="120" w:line="276" w:lineRule="auto"/>
      </w:pPr>
      <w:r>
        <w:rPr>
          <w:rFonts w:ascii="Segoe UI" w:hAnsi="Segoe UI" w:cs="Segoe UI" w:eastAsia="Segoe UI"/>
          <w:color w:val="101820"/>
          <w:sz w:val="21"/>
        </w:rPr>
        <w:t>Names and telephone numbers of each role are listed in Annex A and kept up to date by both Parties.</w:t>
      </w:r>
    </w:p>
    <w:p>
      <w:pPr>
        <w:pStyle w:val="Heading1"/>
        <w:pageBreakBefore/>
      </w:pPr>
      <w:r>
        <w:rPr>
          <w:rFonts w:ascii="Segoe UI" w:hAnsi="Segoe UI" w:cs="Segoe UI" w:eastAsia="Segoe UI"/>
          <w:b/>
          <w:color w:val="0F4761"/>
          <w:sz w:val="32"/>
        </w:rPr>
        <w:t>10.  Service credits</w:t>
      </w:r>
    </w:p>
    <w:p>
      <w:pPr>
        <w:pStyle w:val="Heading2"/>
      </w:pPr>
      <w:r>
        <w:rPr>
          <w:rFonts w:ascii="Segoe UI" w:hAnsi="Segoe UI" w:cs="Segoe UI" w:eastAsia="Segoe UI"/>
          <w:b/>
          <w:color w:val="0F4761"/>
          <w:sz w:val="26"/>
        </w:rPr>
        <w:t>10.1  Credits</w:t>
      </w:r>
    </w:p>
    <w:p>
      <w:pPr>
        <w:spacing w:after="120" w:line="276" w:lineRule="auto"/>
      </w:pPr>
      <w:r>
        <w:rPr>
          <w:rFonts w:ascii="Segoe UI" w:hAnsi="Segoe UI" w:cs="Segoe UI" w:eastAsia="Segoe UI"/>
          <w:color w:val="101820"/>
          <w:sz w:val="21"/>
        </w:rPr>
        <w:t>If iorta TechNXT misses a target in a calendar month for reasons within its control, the Client is entitled to the following service credits, calculated on the monthly fee of the affected service (one twelfth of the yearly AMC fee, or the monthly subscription fee):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6979"/>
        <w:gridCol w:w="2035"/>
      </w:tblGrid>
      <w:tr>
        <w:trPr>
          <w:tblHeader w:val="true"/>
        </w:trPr>
        <w:tc>
          <w:tcPr>
            <w:tcW w:type="dxa" w:w="6979"/>
            <w:shd w:val="clear" w:color="auto" w:fill="DCE9F7"/>
          </w:tcPr>
          <w:p>
            <w:pPr>
              <w:spacing w:after="20"/>
            </w:pPr>
            <w:r>
              <w:rPr>
                <w:rFonts w:ascii="Segoe UI" w:hAnsi="Segoe UI" w:cs="Segoe UI" w:eastAsia="Segoe UI"/>
                <w:b/>
                <w:color w:val="0F4761"/>
                <w:sz w:val="18"/>
              </w:rPr>
              <w:t>Event in the month</w:t>
            </w:r>
          </w:p>
        </w:tc>
        <w:tc>
          <w:tcPr>
            <w:tcW w:type="dxa" w:w="2035"/>
            <w:shd w:val="clear" w:color="auto" w:fill="DCE9F7"/>
          </w:tcPr>
          <w:p>
            <w:pPr>
              <w:spacing w:after="20"/>
            </w:pPr>
            <w:r>
              <w:rPr>
                <w:rFonts w:ascii="Segoe UI" w:hAnsi="Segoe UI" w:cs="Segoe UI" w:eastAsia="Segoe UI"/>
                <w:b/>
                <w:color w:val="0F4761"/>
                <w:sz w:val="18"/>
              </w:rPr>
              <w:t>Service credit</w:t>
            </w:r>
          </w:p>
        </w:tc>
      </w:tr>
      <w:tr>
        <w:tc>
          <w:tcPr>
            <w:tcW w:type="dxa" w:w="6979"/>
          </w:tcPr>
          <w:p>
            <w:pPr>
              <w:spacing w:after="20"/>
            </w:pPr>
            <w:r>
              <w:rPr>
                <w:rFonts w:ascii="Segoe UI" w:hAnsi="Segoe UI" w:cs="Segoe UI" w:eastAsia="Segoe UI"/>
                <w:color w:val="101820"/>
                <w:sz w:val="18"/>
              </w:rPr>
              <w:t>Each P1 ticket whose restore target is missed</w:t>
            </w:r>
          </w:p>
        </w:tc>
        <w:tc>
          <w:tcPr>
            <w:tcW w:type="dxa" w:w="2035"/>
          </w:tcPr>
          <w:p>
            <w:pPr>
              <w:spacing w:after="20"/>
            </w:pPr>
            <w:r>
              <w:rPr>
                <w:rFonts w:ascii="Segoe UI" w:hAnsi="Segoe UI" w:cs="Segoe UI" w:eastAsia="Segoe UI"/>
                <w:color w:val="101820"/>
                <w:sz w:val="18"/>
              </w:rPr>
              <w:t>[5%]</w:t>
            </w:r>
          </w:p>
        </w:tc>
      </w:tr>
      <w:tr>
        <w:tc>
          <w:tcPr>
            <w:tcW w:type="dxa" w:w="6979"/>
          </w:tcPr>
          <w:p>
            <w:pPr>
              <w:spacing w:after="20"/>
            </w:pPr>
            <w:r>
              <w:rPr>
                <w:rFonts w:ascii="Segoe UI" w:hAnsi="Segoe UI" w:cs="Segoe UI" w:eastAsia="Segoe UI"/>
                <w:color w:val="101820"/>
                <w:sz w:val="18"/>
              </w:rPr>
              <w:t>Each P2 ticket whose restore target is missed</w:t>
            </w:r>
          </w:p>
        </w:tc>
        <w:tc>
          <w:tcPr>
            <w:tcW w:type="dxa" w:w="2035"/>
          </w:tcPr>
          <w:p>
            <w:pPr>
              <w:spacing w:after="20"/>
            </w:pPr>
            <w:r>
              <w:rPr>
                <w:rFonts w:ascii="Segoe UI" w:hAnsi="Segoe UI" w:cs="Segoe UI" w:eastAsia="Segoe UI"/>
                <w:color w:val="101820"/>
                <w:sz w:val="18"/>
              </w:rPr>
              <w:t>[2%]</w:t>
            </w:r>
          </w:p>
        </w:tc>
      </w:tr>
      <w:tr>
        <w:tc>
          <w:tcPr>
            <w:tcW w:type="dxa" w:w="6979"/>
          </w:tcPr>
          <w:p>
            <w:pPr>
              <w:spacing w:after="20"/>
            </w:pPr>
            <w:r>
              <w:rPr>
                <w:rFonts w:ascii="Segoe UI" w:hAnsi="Segoe UI" w:cs="Segoe UI" w:eastAsia="Segoe UI"/>
                <w:color w:val="101820"/>
                <w:sz w:val="18"/>
              </w:rPr>
              <w:t>Response SLA below 95% of tickets</w:t>
            </w:r>
          </w:p>
        </w:tc>
        <w:tc>
          <w:tcPr>
            <w:tcW w:type="dxa" w:w="2035"/>
          </w:tcPr>
          <w:p>
            <w:pPr>
              <w:spacing w:after="20"/>
            </w:pPr>
            <w:r>
              <w:rPr>
                <w:rFonts w:ascii="Segoe UI" w:hAnsi="Segoe UI" w:cs="Segoe UI" w:eastAsia="Segoe UI"/>
                <w:color w:val="101820"/>
                <w:sz w:val="18"/>
              </w:rPr>
              <w:t>[2%]</w:t>
            </w:r>
          </w:p>
        </w:tc>
      </w:tr>
      <w:tr>
        <w:tc>
          <w:tcPr>
            <w:tcW w:type="dxa" w:w="6979"/>
          </w:tcPr>
          <w:p>
            <w:pPr>
              <w:spacing w:after="20"/>
            </w:pPr>
            <w:r>
              <w:rPr>
                <w:rFonts w:ascii="Segoe UI" w:hAnsi="Segoe UI" w:cs="Segoe UI" w:eastAsia="Segoe UI"/>
                <w:color w:val="101820"/>
                <w:sz w:val="18"/>
              </w:rPr>
              <w:t>Restore SLA below 90% of tickets (P1: below 100%)</w:t>
            </w:r>
          </w:p>
        </w:tc>
        <w:tc>
          <w:tcPr>
            <w:tcW w:type="dxa" w:w="2035"/>
          </w:tcPr>
          <w:p>
            <w:pPr>
              <w:spacing w:after="20"/>
            </w:pPr>
            <w:r>
              <w:rPr>
                <w:rFonts w:ascii="Segoe UI" w:hAnsi="Segoe UI" w:cs="Segoe UI" w:eastAsia="Segoe UI"/>
                <w:color w:val="101820"/>
                <w:sz w:val="18"/>
              </w:rPr>
              <w:t>[3%]</w:t>
            </w:r>
          </w:p>
        </w:tc>
      </w:tr>
    </w:tbl>
    <w:p>
      <w:pPr>
        <w:spacing w:after="80"/>
      </w:pPr>
    </w:p>
    <w:p>
      <w:pPr>
        <w:spacing w:after="120" w:line="276" w:lineRule="auto"/>
      </w:pPr>
      <w:r>
        <w:rPr>
          <w:rFonts w:ascii="Segoe UI" w:hAnsi="Segoe UI" w:cs="Segoe UI" w:eastAsia="Segoe UI"/>
          <w:color w:val="101820"/>
          <w:sz w:val="21"/>
        </w:rPr>
        <w:t>Availability credits for hosting are in the Hosting and Infrastructure Services Agreement.</w:t>
      </w:r>
    </w:p>
    <w:p>
      <w:pPr>
        <w:pStyle w:val="Heading2"/>
      </w:pPr>
      <w:r>
        <w:rPr>
          <w:rFonts w:ascii="Segoe UI" w:hAnsi="Segoe UI" w:cs="Segoe UI" w:eastAsia="Segoe UI"/>
          <w:b/>
          <w:color w:val="0F4761"/>
          <w:sz w:val="26"/>
        </w:rPr>
        <w:t>10.2  Rules</w:t>
      </w:r>
    </w:p>
    <w:p>
      <w:pPr>
        <w:spacing w:after="60"/>
        <w:numPr>
          <w:ilvl w:val="0"/>
          <w:numId w:val="9"/>
        </w:numPr>
      </w:pPr>
      <w:r>
        <w:rPr>
          <w:rFonts w:ascii="Segoe UI" w:hAnsi="Segoe UI" w:cs="Segoe UI" w:eastAsia="Segoe UI"/>
          <w:color w:val="101820"/>
          <w:sz w:val="21"/>
        </w:rPr>
        <w:t>Service credits in a month are capped at [10%] of the monthly fee of the affected service.</w:t>
      </w:r>
    </w:p>
    <w:p>
      <w:pPr>
        <w:spacing w:after="60"/>
        <w:numPr>
          <w:ilvl w:val="0"/>
          <w:numId w:val="9"/>
        </w:numPr>
      </w:pPr>
      <w:r>
        <w:rPr>
          <w:rFonts w:ascii="Segoe UI" w:hAnsi="Segoe UI" w:cs="Segoe UI" w:eastAsia="Segoe UI"/>
          <w:color w:val="101820"/>
          <w:sz w:val="21"/>
        </w:rPr>
        <w:t>The Client claims a credit in writing within 30 days of the monthly service report. Approved credits are deducted from the next invoice. Credits are not paid in cash.</w:t>
      </w:r>
    </w:p>
    <w:p>
      <w:pPr>
        <w:spacing w:after="60"/>
        <w:numPr>
          <w:ilvl w:val="0"/>
          <w:numId w:val="9"/>
        </w:numPr>
      </w:pPr>
      <w:r>
        <w:rPr>
          <w:rFonts w:ascii="Segoe UI" w:hAnsi="Segoe UI" w:cs="Segoe UI" w:eastAsia="Segoe UI"/>
          <w:color w:val="101820"/>
          <w:sz w:val="21"/>
        </w:rPr>
        <w:t>No credit is due for a miss caused by: the Client or its third parties; a cause in the Exclusions chapter; planned maintenance; force majeure; a ticket that did not have the minimum content; or the Client's delay in giving access, information or approval.</w:t>
      </w:r>
    </w:p>
    <w:p>
      <w:pPr>
        <w:spacing w:after="60"/>
        <w:numPr>
          <w:ilvl w:val="0"/>
          <w:numId w:val="9"/>
        </w:numPr>
      </w:pPr>
      <w:r>
        <w:rPr>
          <w:rFonts w:ascii="Segoe UI" w:hAnsi="Segoe UI" w:cs="Segoe UI" w:eastAsia="Segoe UI"/>
          <w:color w:val="101820"/>
          <w:sz w:val="21"/>
        </w:rPr>
        <w:t>Service credits are the Client's sole financial remedy for missed service levels, except that if P1 restore targets are missed in 3 consecutive months, the Client may terminate this Support Agreement (and the Subscription, if any) for cause under the MSA.</w:t>
      </w:r>
    </w:p>
    <w:p>
      <w:pPr>
        <w:pStyle w:val="Heading1"/>
        <w:pageBreakBefore/>
      </w:pPr>
      <w:r>
        <w:rPr>
          <w:rFonts w:ascii="Segoe UI" w:hAnsi="Segoe UI" w:cs="Segoe UI" w:eastAsia="Segoe UI"/>
          <w:b/>
          <w:color w:val="0F4761"/>
          <w:sz w:val="32"/>
        </w:rPr>
        <w:t>11.  Reporting and reviews</w:t>
      </w:r>
    </w:p>
    <w:p>
      <w:pPr>
        <w:pStyle w:val="Heading2"/>
      </w:pPr>
      <w:r>
        <w:rPr>
          <w:rFonts w:ascii="Segoe UI" w:hAnsi="Segoe UI" w:cs="Segoe UI" w:eastAsia="Segoe UI"/>
          <w:b/>
          <w:color w:val="0F4761"/>
          <w:sz w:val="26"/>
        </w:rPr>
        <w:t>11.1  Monthly service report</w:t>
      </w:r>
    </w:p>
    <w:p>
      <w:pPr>
        <w:spacing w:after="120" w:line="276" w:lineRule="auto"/>
      </w:pPr>
      <w:r>
        <w:rPr>
          <w:rFonts w:ascii="Segoe UI" w:hAnsi="Segoe UI" w:cs="Segoe UI" w:eastAsia="Segoe UI"/>
          <w:color w:val="101820"/>
          <w:sz w:val="21"/>
        </w:rPr>
        <w:t>Sent by the 10th Business Day of each month:</w:t>
      </w:r>
    </w:p>
    <w:p>
      <w:pPr>
        <w:spacing w:after="60"/>
        <w:numPr>
          <w:ilvl w:val="0"/>
          <w:numId w:val="3"/>
        </w:numPr>
      </w:pPr>
      <w:r>
        <w:rPr>
          <w:rFonts w:ascii="Segoe UI" w:hAnsi="Segoe UI" w:cs="Segoe UI" w:eastAsia="Segoe UI"/>
          <w:color w:val="101820"/>
          <w:sz w:val="21"/>
        </w:rPr>
        <w:t>tickets opened, resolved and open, by severity, category and module;</w:t>
      </w:r>
    </w:p>
    <w:p>
      <w:pPr>
        <w:spacing w:after="60"/>
        <w:numPr>
          <w:ilvl w:val="0"/>
          <w:numId w:val="3"/>
        </w:numPr>
      </w:pPr>
      <w:r>
        <w:rPr>
          <w:rFonts w:ascii="Segoe UI" w:hAnsi="Segoe UI" w:cs="Segoe UI" w:eastAsia="Segoe UI"/>
          <w:color w:val="101820"/>
          <w:sz w:val="21"/>
        </w:rPr>
        <w:t>SLA performance per severity, with the tickets that missed a target and why;</w:t>
      </w:r>
    </w:p>
    <w:p>
      <w:pPr>
        <w:spacing w:after="60"/>
        <w:numPr>
          <w:ilvl w:val="0"/>
          <w:numId w:val="3"/>
        </w:numPr>
      </w:pPr>
      <w:r>
        <w:rPr>
          <w:rFonts w:ascii="Segoe UI" w:hAnsi="Segoe UI" w:cs="Segoe UI" w:eastAsia="Segoe UI"/>
          <w:color w:val="101820"/>
          <w:sz w:val="21"/>
        </w:rPr>
        <w:t>P1 and P2 incidents with their RCA status;</w:t>
      </w:r>
    </w:p>
    <w:p>
      <w:pPr>
        <w:spacing w:after="60"/>
        <w:numPr>
          <w:ilvl w:val="0"/>
          <w:numId w:val="3"/>
        </w:numPr>
      </w:pPr>
      <w:r>
        <w:rPr>
          <w:rFonts w:ascii="Segoe UI" w:hAnsi="Segoe UI" w:cs="Segoe UI" w:eastAsia="Segoe UI"/>
          <w:color w:val="101820"/>
          <w:sz w:val="21"/>
        </w:rPr>
        <w:t>problems and known errors opened and closed;</w:t>
      </w:r>
    </w:p>
    <w:p>
      <w:pPr>
        <w:spacing w:after="60"/>
        <w:numPr>
          <w:ilvl w:val="0"/>
          <w:numId w:val="3"/>
        </w:numPr>
      </w:pPr>
      <w:r>
        <w:rPr>
          <w:rFonts w:ascii="Segoe UI" w:hAnsi="Segoe UI" w:cs="Segoe UI" w:eastAsia="Segoe UI"/>
          <w:color w:val="101820"/>
          <w:sz w:val="21"/>
        </w:rPr>
        <w:t>changes and releases made; failed or rolled-back changes;</w:t>
      </w:r>
    </w:p>
    <w:p>
      <w:pPr>
        <w:spacing w:after="60"/>
        <w:numPr>
          <w:ilvl w:val="0"/>
          <w:numId w:val="3"/>
        </w:numPr>
      </w:pPr>
      <w:r>
        <w:rPr>
          <w:rFonts w:ascii="Segoe UI" w:hAnsi="Segoe UI" w:cs="Segoe UI" w:eastAsia="Segoe UI"/>
          <w:color w:val="101820"/>
          <w:sz w:val="21"/>
        </w:rPr>
        <w:t>availability of production in the month and planned downtime (where iorta TechNXT hosts);</w:t>
      </w:r>
    </w:p>
    <w:p>
      <w:pPr>
        <w:spacing w:after="60"/>
        <w:numPr>
          <w:ilvl w:val="0"/>
          <w:numId w:val="3"/>
        </w:numPr>
      </w:pPr>
      <w:r>
        <w:rPr>
          <w:rFonts w:ascii="Segoe UI" w:hAnsi="Segoe UI" w:cs="Segoe UI" w:eastAsia="Segoe UI"/>
          <w:color w:val="101820"/>
          <w:sz w:val="21"/>
        </w:rPr>
        <w:t>monitoring and backup verification results; DR drill results when held;</w:t>
      </w:r>
    </w:p>
    <w:p>
      <w:pPr>
        <w:spacing w:after="60"/>
        <w:numPr>
          <w:ilvl w:val="0"/>
          <w:numId w:val="3"/>
        </w:numPr>
      </w:pPr>
      <w:r>
        <w:rPr>
          <w:rFonts w:ascii="Segoe UI" w:hAnsi="Segoe UI" w:cs="Segoe UI" w:eastAsia="Segoe UI"/>
          <w:color w:val="101820"/>
          <w:sz w:val="21"/>
        </w:rPr>
        <w:t>security events and access review results;</w:t>
      </w:r>
    </w:p>
    <w:p>
      <w:pPr>
        <w:spacing w:after="60"/>
        <w:numPr>
          <w:ilvl w:val="0"/>
          <w:numId w:val="3"/>
        </w:numPr>
      </w:pPr>
      <w:r>
        <w:rPr>
          <w:rFonts w:ascii="Segoe UI" w:hAnsi="Segoe UI" w:cs="Segoe UI" w:eastAsia="Segoe UI"/>
          <w:color w:val="101820"/>
          <w:sz w:val="21"/>
        </w:rPr>
        <w:t>trends, risks and recommendations, including training needs seen in the tickets.</w:t>
      </w:r>
    </w:p>
    <w:p>
      <w:pPr>
        <w:pStyle w:val="Heading2"/>
      </w:pPr>
      <w:r>
        <w:rPr>
          <w:rFonts w:ascii="Segoe UI" w:hAnsi="Segoe UI" w:cs="Segoe UI" w:eastAsia="Segoe UI"/>
          <w:b/>
          <w:color w:val="0F4761"/>
          <w:sz w:val="26"/>
        </w:rPr>
        <w:t>11.2  KPIs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81"/>
        <w:gridCol w:w="4284"/>
        <w:gridCol w:w="1249"/>
      </w:tblGrid>
      <w:tr>
        <w:trPr>
          <w:tblHeader w:val="true"/>
        </w:trPr>
        <w:tc>
          <w:tcPr>
            <w:tcW w:type="dxa" w:w="3481"/>
            <w:shd w:val="clear" w:color="auto" w:fill="DCE9F7"/>
          </w:tcPr>
          <w:p>
            <w:pPr>
              <w:spacing w:after="20"/>
            </w:pPr>
            <w:r>
              <w:rPr>
                <w:rFonts w:ascii="Segoe UI" w:hAnsi="Segoe UI" w:cs="Segoe UI" w:eastAsia="Segoe UI"/>
                <w:b/>
                <w:color w:val="0F4761"/>
                <w:sz w:val="18"/>
              </w:rPr>
              <w:t>KPI</w:t>
            </w:r>
          </w:p>
        </w:tc>
        <w:tc>
          <w:tcPr>
            <w:tcW w:type="dxa" w:w="4284"/>
            <w:shd w:val="clear" w:color="auto" w:fill="DCE9F7"/>
          </w:tcPr>
          <w:p>
            <w:pPr>
              <w:spacing w:after="20"/>
            </w:pPr>
            <w:r>
              <w:rPr>
                <w:rFonts w:ascii="Segoe UI" w:hAnsi="Segoe UI" w:cs="Segoe UI" w:eastAsia="Segoe UI"/>
                <w:b/>
                <w:color w:val="0F4761"/>
                <w:sz w:val="18"/>
              </w:rPr>
              <w:t>Definition</w:t>
            </w:r>
          </w:p>
        </w:tc>
        <w:tc>
          <w:tcPr>
            <w:tcW w:type="dxa" w:w="1249"/>
            <w:shd w:val="clear" w:color="auto" w:fill="DCE9F7"/>
          </w:tcPr>
          <w:p>
            <w:pPr>
              <w:spacing w:after="20"/>
            </w:pPr>
            <w:r>
              <w:rPr>
                <w:rFonts w:ascii="Segoe UI" w:hAnsi="Segoe UI" w:cs="Segoe UI" w:eastAsia="Segoe UI"/>
                <w:b/>
                <w:color w:val="0F4761"/>
                <w:sz w:val="18"/>
              </w:rPr>
              <w:t>Target</w:t>
            </w:r>
          </w:p>
        </w:tc>
      </w:tr>
      <w:tr>
        <w:tc>
          <w:tcPr>
            <w:tcW w:type="dxa" w:w="3481"/>
          </w:tcPr>
          <w:p>
            <w:pPr>
              <w:spacing w:after="20"/>
            </w:pPr>
            <w:r>
              <w:rPr>
                <w:rFonts w:ascii="Segoe UI" w:hAnsi="Segoe UI" w:cs="Segoe UI" w:eastAsia="Segoe UI"/>
                <w:color w:val="101820"/>
                <w:sz w:val="18"/>
              </w:rPr>
              <w:t>Response SLA</w:t>
            </w:r>
          </w:p>
        </w:tc>
        <w:tc>
          <w:tcPr>
            <w:tcW w:type="dxa" w:w="4284"/>
          </w:tcPr>
          <w:p>
            <w:pPr>
              <w:spacing w:after="20"/>
            </w:pPr>
            <w:r>
              <w:rPr>
                <w:rFonts w:ascii="Segoe UI" w:hAnsi="Segoe UI" w:cs="Segoe UI" w:eastAsia="Segoe UI"/>
                <w:color w:val="101820"/>
                <w:sz w:val="18"/>
              </w:rPr>
              <w:t>Tickets responded to within target / tickets</w:t>
            </w:r>
          </w:p>
        </w:tc>
        <w:tc>
          <w:tcPr>
            <w:tcW w:type="dxa" w:w="1249"/>
          </w:tcPr>
          <w:p>
            <w:pPr>
              <w:spacing w:after="20"/>
            </w:pPr>
            <w:r>
              <w:rPr>
                <w:rFonts w:ascii="Segoe UI" w:hAnsi="Segoe UI" w:cs="Segoe UI" w:eastAsia="Segoe UI"/>
                <w:color w:val="101820"/>
                <w:sz w:val="18"/>
              </w:rPr>
              <w:t>95%</w:t>
            </w:r>
          </w:p>
        </w:tc>
      </w:tr>
      <w:tr>
        <w:tc>
          <w:tcPr>
            <w:tcW w:type="dxa" w:w="3481"/>
          </w:tcPr>
          <w:p>
            <w:pPr>
              <w:spacing w:after="20"/>
            </w:pPr>
            <w:r>
              <w:rPr>
                <w:rFonts w:ascii="Segoe UI" w:hAnsi="Segoe UI" w:cs="Segoe UI" w:eastAsia="Segoe UI"/>
                <w:color w:val="101820"/>
                <w:sz w:val="18"/>
              </w:rPr>
              <w:t>Restore SLA</w:t>
            </w:r>
          </w:p>
        </w:tc>
        <w:tc>
          <w:tcPr>
            <w:tcW w:type="dxa" w:w="4284"/>
          </w:tcPr>
          <w:p>
            <w:pPr>
              <w:spacing w:after="20"/>
            </w:pPr>
            <w:r>
              <w:rPr>
                <w:rFonts w:ascii="Segoe UI" w:hAnsi="Segoe UI" w:cs="Segoe UI" w:eastAsia="Segoe UI"/>
                <w:color w:val="101820"/>
                <w:sz w:val="18"/>
              </w:rPr>
              <w:t>Tickets restored within target / tickets</w:t>
            </w:r>
          </w:p>
        </w:tc>
        <w:tc>
          <w:tcPr>
            <w:tcW w:type="dxa" w:w="1249"/>
          </w:tcPr>
          <w:p>
            <w:pPr>
              <w:spacing w:after="20"/>
            </w:pPr>
            <w:r>
              <w:rPr>
                <w:rFonts w:ascii="Segoe UI" w:hAnsi="Segoe UI" w:cs="Segoe UI" w:eastAsia="Segoe UI"/>
                <w:color w:val="101820"/>
                <w:sz w:val="18"/>
              </w:rPr>
              <w:t>90% (P1: 100%)</w:t>
            </w:r>
          </w:p>
        </w:tc>
      </w:tr>
      <w:tr>
        <w:tc>
          <w:tcPr>
            <w:tcW w:type="dxa" w:w="3481"/>
          </w:tcPr>
          <w:p>
            <w:pPr>
              <w:spacing w:after="20"/>
            </w:pPr>
            <w:r>
              <w:rPr>
                <w:rFonts w:ascii="Segoe UI" w:hAnsi="Segoe UI" w:cs="Segoe UI" w:eastAsia="Segoe UI"/>
                <w:color w:val="101820"/>
                <w:sz w:val="18"/>
              </w:rPr>
              <w:t>Availability (when iorta TechNXT hosts)</w:t>
            </w:r>
          </w:p>
        </w:tc>
        <w:tc>
          <w:tcPr>
            <w:tcW w:type="dxa" w:w="4284"/>
          </w:tcPr>
          <w:p>
            <w:pPr>
              <w:spacing w:after="20"/>
            </w:pPr>
            <w:r>
              <w:rPr>
                <w:rFonts w:ascii="Segoe UI" w:hAnsi="Segoe UI" w:cs="Segoe UI" w:eastAsia="Segoe UI"/>
                <w:color w:val="101820"/>
                <w:sz w:val="18"/>
              </w:rPr>
              <w:t>Minutes production was available in service hours / minutes in service hours, excluding planned maintenance</w:t>
            </w:r>
          </w:p>
        </w:tc>
        <w:tc>
          <w:tcPr>
            <w:tcW w:type="dxa" w:w="1249"/>
          </w:tcPr>
          <w:p>
            <w:pPr>
              <w:spacing w:after="20"/>
            </w:pPr>
            <w:r>
              <w:rPr>
                <w:rFonts w:ascii="Segoe UI" w:hAnsi="Segoe UI" w:cs="Segoe UI" w:eastAsia="Segoe UI"/>
                <w:color w:val="101820"/>
                <w:sz w:val="18"/>
              </w:rPr>
              <w:t>99.5%</w:t>
            </w:r>
          </w:p>
        </w:tc>
      </w:tr>
      <w:tr>
        <w:tc>
          <w:tcPr>
            <w:tcW w:type="dxa" w:w="3481"/>
          </w:tcPr>
          <w:p>
            <w:pPr>
              <w:spacing w:after="20"/>
            </w:pPr>
            <w:r>
              <w:rPr>
                <w:rFonts w:ascii="Segoe UI" w:hAnsi="Segoe UI" w:cs="Segoe UI" w:eastAsia="Segoe UI"/>
                <w:color w:val="101820"/>
                <w:sz w:val="18"/>
              </w:rPr>
              <w:t>Reopen rate</w:t>
            </w:r>
          </w:p>
        </w:tc>
        <w:tc>
          <w:tcPr>
            <w:tcW w:type="dxa" w:w="4284"/>
          </w:tcPr>
          <w:p>
            <w:pPr>
              <w:spacing w:after="20"/>
            </w:pPr>
            <w:r>
              <w:rPr>
                <w:rFonts w:ascii="Segoe UI" w:hAnsi="Segoe UI" w:cs="Segoe UI" w:eastAsia="Segoe UI"/>
                <w:color w:val="101820"/>
                <w:sz w:val="18"/>
              </w:rPr>
              <w:t>Tickets reopened / tickets resolved</w:t>
            </w:r>
          </w:p>
        </w:tc>
        <w:tc>
          <w:tcPr>
            <w:tcW w:type="dxa" w:w="1249"/>
          </w:tcPr>
          <w:p>
            <w:pPr>
              <w:spacing w:after="20"/>
            </w:pPr>
            <w:r>
              <w:rPr>
                <w:rFonts w:ascii="Segoe UI" w:hAnsi="Segoe UI" w:cs="Segoe UI" w:eastAsia="Segoe UI"/>
                <w:color w:val="101820"/>
                <w:sz w:val="18"/>
              </w:rPr>
              <w:t>Below 5%</w:t>
            </w:r>
          </w:p>
        </w:tc>
      </w:tr>
      <w:tr>
        <w:tc>
          <w:tcPr>
            <w:tcW w:type="dxa" w:w="3481"/>
          </w:tcPr>
          <w:p>
            <w:pPr>
              <w:spacing w:after="20"/>
            </w:pPr>
            <w:r>
              <w:rPr>
                <w:rFonts w:ascii="Segoe UI" w:hAnsi="Segoe UI" w:cs="Segoe UI" w:eastAsia="Segoe UI"/>
                <w:color w:val="101820"/>
                <w:sz w:val="18"/>
              </w:rPr>
              <w:t>Backlog age</w:t>
            </w:r>
          </w:p>
        </w:tc>
        <w:tc>
          <w:tcPr>
            <w:tcW w:type="dxa" w:w="4284"/>
          </w:tcPr>
          <w:p>
            <w:pPr>
              <w:spacing w:after="20"/>
            </w:pPr>
            <w:r>
              <w:rPr>
                <w:rFonts w:ascii="Segoe UI" w:hAnsi="Segoe UI" w:cs="Segoe UI" w:eastAsia="Segoe UI"/>
                <w:color w:val="101820"/>
                <w:sz w:val="18"/>
              </w:rPr>
              <w:t>Open P3 tickets older than 30 days</w:t>
            </w:r>
          </w:p>
        </w:tc>
        <w:tc>
          <w:tcPr>
            <w:tcW w:type="dxa" w:w="1249"/>
          </w:tcPr>
          <w:p>
            <w:pPr>
              <w:spacing w:after="20"/>
            </w:pPr>
            <w:r>
              <w:rPr>
                <w:rFonts w:ascii="Segoe UI" w:hAnsi="Segoe UI" w:cs="Segoe UI" w:eastAsia="Segoe UI"/>
                <w:color w:val="101820"/>
                <w:sz w:val="18"/>
              </w:rPr>
              <w:t>0</w:t>
            </w:r>
          </w:p>
        </w:tc>
      </w:tr>
      <w:tr>
        <w:tc>
          <w:tcPr>
            <w:tcW w:type="dxa" w:w="3481"/>
          </w:tcPr>
          <w:p>
            <w:pPr>
              <w:spacing w:after="20"/>
            </w:pPr>
            <w:r>
              <w:rPr>
                <w:rFonts w:ascii="Segoe UI" w:hAnsi="Segoe UI" w:cs="Segoe UI" w:eastAsia="Segoe UI"/>
                <w:color w:val="101820"/>
                <w:sz w:val="18"/>
              </w:rPr>
              <w:t>RCA on time</w:t>
            </w:r>
          </w:p>
        </w:tc>
        <w:tc>
          <w:tcPr>
            <w:tcW w:type="dxa" w:w="4284"/>
          </w:tcPr>
          <w:p>
            <w:pPr>
              <w:spacing w:after="20"/>
            </w:pPr>
            <w:r>
              <w:rPr>
                <w:rFonts w:ascii="Segoe UI" w:hAnsi="Segoe UI" w:cs="Segoe UI" w:eastAsia="Segoe UI"/>
                <w:color w:val="101820"/>
                <w:sz w:val="18"/>
              </w:rPr>
              <w:t>P1 RCA reports delivered within 5 Business Days</w:t>
            </w:r>
          </w:p>
        </w:tc>
        <w:tc>
          <w:tcPr>
            <w:tcW w:type="dxa" w:w="1249"/>
          </w:tcPr>
          <w:p>
            <w:pPr>
              <w:spacing w:after="20"/>
            </w:pPr>
            <w:r>
              <w:rPr>
                <w:rFonts w:ascii="Segoe UI" w:hAnsi="Segoe UI" w:cs="Segoe UI" w:eastAsia="Segoe UI"/>
                <w:color w:val="101820"/>
                <w:sz w:val="18"/>
              </w:rPr>
              <w:t>100%</w:t>
            </w:r>
          </w:p>
        </w:tc>
      </w:tr>
      <w:tr>
        <w:tc>
          <w:tcPr>
            <w:tcW w:type="dxa" w:w="3481"/>
          </w:tcPr>
          <w:p>
            <w:pPr>
              <w:spacing w:after="20"/>
            </w:pPr>
            <w:r>
              <w:rPr>
                <w:rFonts w:ascii="Segoe UI" w:hAnsi="Segoe UI" w:cs="Segoe UI" w:eastAsia="Segoe UI"/>
                <w:color w:val="101820"/>
                <w:sz w:val="18"/>
              </w:rPr>
              <w:t>Change success</w:t>
            </w:r>
          </w:p>
        </w:tc>
        <w:tc>
          <w:tcPr>
            <w:tcW w:type="dxa" w:w="4284"/>
          </w:tcPr>
          <w:p>
            <w:pPr>
              <w:spacing w:after="20"/>
            </w:pPr>
            <w:r>
              <w:rPr>
                <w:rFonts w:ascii="Segoe UI" w:hAnsi="Segoe UI" w:cs="Segoe UI" w:eastAsia="Segoe UI"/>
                <w:color w:val="101820"/>
                <w:sz w:val="18"/>
              </w:rPr>
              <w:t>Changes without rollback or incident / changes</w:t>
            </w:r>
          </w:p>
        </w:tc>
        <w:tc>
          <w:tcPr>
            <w:tcW w:type="dxa" w:w="1249"/>
          </w:tcPr>
          <w:p>
            <w:pPr>
              <w:spacing w:after="20"/>
            </w:pPr>
            <w:r>
              <w:rPr>
                <w:rFonts w:ascii="Segoe UI" w:hAnsi="Segoe UI" w:cs="Segoe UI" w:eastAsia="Segoe UI"/>
                <w:color w:val="101820"/>
                <w:sz w:val="18"/>
              </w:rPr>
              <w:t>95%</w:t>
            </w:r>
          </w:p>
        </w:tc>
      </w:tr>
    </w:tbl>
    <w:p>
      <w:pPr>
        <w:spacing w:after="80"/>
      </w:pPr>
    </w:p>
    <w:p>
      <w:pPr>
        <w:pStyle w:val="Heading2"/>
      </w:pPr>
      <w:r>
        <w:rPr>
          <w:rFonts w:ascii="Segoe UI" w:hAnsi="Segoe UI" w:cs="Segoe UI" w:eastAsia="Segoe UI"/>
          <w:b/>
          <w:color w:val="0F4761"/>
          <w:sz w:val="26"/>
        </w:rPr>
        <w:t>11.3  Service review</w:t>
      </w:r>
    </w:p>
    <w:p>
      <w:pPr>
        <w:spacing w:after="120" w:line="276" w:lineRule="auto"/>
      </w:pPr>
      <w:r>
        <w:rPr>
          <w:rFonts w:ascii="Segoe UI" w:hAnsi="Segoe UI" w:cs="Segoe UI" w:eastAsia="Segoe UI"/>
          <w:color w:val="101820"/>
          <w:sz w:val="21"/>
        </w:rPr>
        <w:t>A monthly service review with the Client IT head and System Administrator discusses the report, open problems, planned releases and the Client's upcoming business events. A yearly review agrees improvements and the release plan for the next year.</w:t>
      </w:r>
    </w:p>
    <w:p>
      <w:pPr>
        <w:pStyle w:val="Heading1"/>
        <w:pageBreakBefore/>
      </w:pPr>
      <w:r>
        <w:rPr>
          <w:rFonts w:ascii="Segoe UI" w:hAnsi="Segoe UI" w:cs="Segoe UI" w:eastAsia="Segoe UI"/>
          <w:b/>
          <w:color w:val="0F4761"/>
          <w:sz w:val="32"/>
        </w:rPr>
        <w:t>12.  Releases and changes</w:t>
      </w:r>
    </w:p>
    <w:p>
      <w:pPr>
        <w:spacing w:after="60"/>
        <w:numPr>
          <w:ilvl w:val="0"/>
          <w:numId w:val="10"/>
        </w:numPr>
      </w:pPr>
      <w:r>
        <w:rPr>
          <w:rFonts w:ascii="Segoe UI" w:hAnsi="Segoe UI" w:cs="Segoe UI" w:eastAsia="Segoe UI"/>
          <w:color w:val="101820"/>
          <w:sz w:val="21"/>
        </w:rPr>
        <w:t>iorta TechNXT publishes planned releases with release notes at least [10] Business Days before deployment to UAT.</w:t>
      </w:r>
    </w:p>
    <w:p>
      <w:pPr>
        <w:spacing w:after="60"/>
        <w:numPr>
          <w:ilvl w:val="0"/>
          <w:numId w:val="10"/>
        </w:numPr>
      </w:pPr>
      <w:r>
        <w:rPr>
          <w:rFonts w:ascii="Segoe UI" w:hAnsi="Segoe UI" w:cs="Segoe UI" w:eastAsia="Segoe UI"/>
          <w:color w:val="101820"/>
          <w:sz w:val="21"/>
        </w:rPr>
        <w:t>The Client tests each release in UAT and approves it for production within the agreed time. Releases with database changes are preceded by a snapshot.</w:t>
      </w:r>
    </w:p>
    <w:p>
      <w:pPr>
        <w:spacing w:after="60"/>
        <w:numPr>
          <w:ilvl w:val="0"/>
          <w:numId w:val="10"/>
        </w:numPr>
      </w:pPr>
      <w:r>
        <w:rPr>
          <w:rFonts w:ascii="Segoe UI" w:hAnsi="Segoe UI" w:cs="Segoe UI" w:eastAsia="Segoe UI"/>
          <w:color w:val="101820"/>
          <w:sz w:val="21"/>
        </w:rPr>
        <w:t>Emergency fixes for P1 incidents may be deployed with the approval of the Client IT head, confirmed in writing afterwards.</w:t>
      </w:r>
    </w:p>
    <w:p>
      <w:pPr>
        <w:spacing w:after="60"/>
        <w:numPr>
          <w:ilvl w:val="0"/>
          <w:numId w:val="10"/>
        </w:numPr>
      </w:pPr>
      <w:r>
        <w:rPr>
          <w:rFonts w:ascii="Segoe UI" w:hAnsi="Segoe UI" w:cs="Segoe UI" w:eastAsia="Segoe UI"/>
          <w:color w:val="101820"/>
          <w:sz w:val="21"/>
        </w:rPr>
        <w:t>Configuration changes in production and data corrections are made under change control with the Client change owner's approval.</w:t>
      </w:r>
    </w:p>
    <w:p>
      <w:pPr>
        <w:spacing w:after="60"/>
        <w:numPr>
          <w:ilvl w:val="0"/>
          <w:numId w:val="10"/>
        </w:numPr>
      </w:pPr>
      <w:r>
        <w:rPr>
          <w:rFonts w:ascii="Segoe UI" w:hAnsi="Segoe UI" w:cs="Segoe UI" w:eastAsia="Segoe UI"/>
          <w:color w:val="101820"/>
          <w:sz w:val="21"/>
        </w:rPr>
        <w:t>Where the Client hosts, the Client deploys releases under iorta TechNXT's guidance, and the targets for defects that need a release depend on the Client's deployment.</w:t>
      </w:r>
    </w:p>
    <w:p>
      <w:pPr>
        <w:pStyle w:val="Heading1"/>
        <w:pageBreakBefore/>
      </w:pPr>
      <w:r>
        <w:rPr>
          <w:rFonts w:ascii="Segoe UI" w:hAnsi="Segoe UI" w:cs="Segoe UI" w:eastAsia="Segoe UI"/>
          <w:b/>
          <w:color w:val="0F4761"/>
          <w:sz w:val="32"/>
        </w:rPr>
        <w:t>13.  Security incidents and personal data breaches</w:t>
      </w:r>
    </w:p>
    <w:p>
      <w:pPr>
        <w:spacing w:after="60"/>
        <w:numPr>
          <w:ilvl w:val="0"/>
          <w:numId w:val="11"/>
        </w:numPr>
      </w:pPr>
      <w:r>
        <w:rPr>
          <w:rFonts w:ascii="Segoe UI" w:hAnsi="Segoe UI" w:cs="Segoe UI" w:eastAsia="Segoe UI"/>
          <w:color w:val="101820"/>
          <w:sz w:val="21"/>
        </w:rPr>
        <w:t>A suspected security incident is handled as a P1.</w:t>
      </w:r>
    </w:p>
    <w:p>
      <w:pPr>
        <w:spacing w:after="60"/>
        <w:numPr>
          <w:ilvl w:val="0"/>
          <w:numId w:val="11"/>
        </w:numPr>
      </w:pPr>
      <w:r>
        <w:rPr>
          <w:rFonts w:ascii="Segoe UI" w:hAnsi="Segoe UI" w:cs="Segoe UI" w:eastAsia="Segoe UI"/>
          <w:color w:val="101820"/>
          <w:sz w:val="21"/>
        </w:rPr>
        <w:t>iorta TechNXT informs the Client DPO and System Administrator of a suspected personal data breach without undue delay, and within the period in the Data Processing Agreement, so that the Client can notify the National Privacy Commission and the affected data subjects within 72 hours of knowledge where NPC rules require.</w:t>
      </w:r>
    </w:p>
    <w:p>
      <w:pPr>
        <w:spacing w:after="60"/>
        <w:numPr>
          <w:ilvl w:val="0"/>
          <w:numId w:val="11"/>
        </w:numPr>
      </w:pPr>
      <w:r>
        <w:rPr>
          <w:rFonts w:ascii="Segoe UI" w:hAnsi="Segoe UI" w:cs="Segoe UI" w:eastAsia="Segoe UI"/>
          <w:color w:val="101820"/>
          <w:sz w:val="21"/>
        </w:rPr>
        <w:t>iorta TechNXT supports the Client with the facts (what, when, which records, which users, containment) and with the evidence for the NPC.</w:t>
      </w:r>
    </w:p>
    <w:p>
      <w:pPr>
        <w:pStyle w:val="Heading1"/>
        <w:pageBreakBefore/>
      </w:pPr>
      <w:r>
        <w:rPr>
          <w:rFonts w:ascii="Segoe UI" w:hAnsi="Segoe UI" w:cs="Segoe UI" w:eastAsia="Segoe UI"/>
          <w:b/>
          <w:color w:val="0F4761"/>
          <w:sz w:val="32"/>
        </w:rPr>
        <w:t>14.  Exclusions</w:t>
      </w:r>
    </w:p>
    <w:p>
      <w:pPr>
        <w:spacing w:after="120" w:line="276" w:lineRule="auto"/>
      </w:pPr>
      <w:r>
        <w:rPr>
          <w:rFonts w:ascii="Segoe UI" w:hAnsi="Segoe UI" w:cs="Segoe UI" w:eastAsia="Segoe UI"/>
          <w:color w:val="101820"/>
          <w:sz w:val="21"/>
        </w:rPr>
        <w:t>The following are outside this Support Agreement and are handled as change requests or separate services:</w:t>
      </w:r>
    </w:p>
    <w:p>
      <w:pPr>
        <w:spacing w:after="60"/>
        <w:numPr>
          <w:ilvl w:val="0"/>
          <w:numId w:val="12"/>
        </w:numPr>
      </w:pPr>
      <w:r>
        <w:rPr>
          <w:rFonts w:ascii="Segoe UI" w:hAnsi="Segoe UI" w:cs="Segoe UI" w:eastAsia="Segoe UI"/>
          <w:color w:val="101820"/>
          <w:sz w:val="21"/>
        </w:rPr>
        <w:t>New features, new reports, new printed documents and customisation.</w:t>
      </w:r>
    </w:p>
    <w:p>
      <w:pPr>
        <w:spacing w:after="60"/>
        <w:numPr>
          <w:ilvl w:val="0"/>
          <w:numId w:val="12"/>
        </w:numPr>
      </w:pPr>
      <w:r>
        <w:rPr>
          <w:rFonts w:ascii="Segoe UI" w:hAnsi="Segoe UI" w:cs="Segoe UI" w:eastAsia="Segoe UI"/>
          <w:color w:val="101820"/>
          <w:sz w:val="21"/>
        </w:rPr>
        <w:t>New integrations, or changes caused by a third party (insurer, bank, payment gateway, e-mail provider) changing its interface.</w:t>
      </w:r>
    </w:p>
    <w:p>
      <w:pPr>
        <w:spacing w:after="60"/>
        <w:numPr>
          <w:ilvl w:val="0"/>
          <w:numId w:val="12"/>
        </w:numPr>
      </w:pPr>
      <w:r>
        <w:rPr>
          <w:rFonts w:ascii="Segoe UI" w:hAnsi="Segoe UI" w:cs="Segoe UI" w:eastAsia="Segoe UI"/>
          <w:color w:val="101820"/>
          <w:sz w:val="21"/>
        </w:rPr>
        <w:t>Data entry, data cleansing and bulk data work for the Client's business.</w:t>
      </w:r>
    </w:p>
    <w:p>
      <w:pPr>
        <w:spacing w:after="60"/>
        <w:numPr>
          <w:ilvl w:val="0"/>
          <w:numId w:val="12"/>
        </w:numPr>
      </w:pPr>
      <w:r>
        <w:rPr>
          <w:rFonts w:ascii="Segoe UI" w:hAnsi="Segoe UI" w:cs="Segoe UI" w:eastAsia="Segoe UI"/>
          <w:color w:val="101820"/>
          <w:sz w:val="21"/>
        </w:rPr>
        <w:t>Business configuration done on the Client's behalf beyond [8] hours a month.</w:t>
      </w:r>
    </w:p>
    <w:p>
      <w:pPr>
        <w:spacing w:after="60"/>
        <w:numPr>
          <w:ilvl w:val="0"/>
          <w:numId w:val="12"/>
        </w:numPr>
      </w:pPr>
      <w:r>
        <w:rPr>
          <w:rFonts w:ascii="Segoe UI" w:hAnsi="Segoe UI" w:cs="Segoe UI" w:eastAsia="Segoe UI"/>
          <w:color w:val="101820"/>
          <w:sz w:val="21"/>
        </w:rPr>
        <w:t>Training of new users beyond [one] refresher session a year.</w:t>
      </w:r>
    </w:p>
    <w:p>
      <w:pPr>
        <w:spacing w:after="60"/>
        <w:numPr>
          <w:ilvl w:val="0"/>
          <w:numId w:val="12"/>
        </w:numPr>
      </w:pPr>
      <w:r>
        <w:rPr>
          <w:rFonts w:ascii="Segoe UI" w:hAnsi="Segoe UI" w:cs="Segoe UI" w:eastAsia="Segoe UI"/>
          <w:color w:val="101820"/>
          <w:sz w:val="21"/>
        </w:rPr>
        <w:t>Issues caused by changes the Client made outside the change process, or by the Client's network, devices or browsers.</w:t>
      </w:r>
    </w:p>
    <w:p>
      <w:pPr>
        <w:spacing w:after="60"/>
        <w:numPr>
          <w:ilvl w:val="0"/>
          <w:numId w:val="12"/>
        </w:numPr>
      </w:pPr>
      <w:r>
        <w:rPr>
          <w:rFonts w:ascii="Segoe UI" w:hAnsi="Segoe UI" w:cs="Segoe UI" w:eastAsia="Segoe UI"/>
          <w:color w:val="101820"/>
          <w:sz w:val="21"/>
        </w:rPr>
        <w:t>Filing of BIR, IC, NPC or AMLC returns and reports; tax, legal and audit advice.</w:t>
      </w:r>
    </w:p>
    <w:p>
      <w:pPr>
        <w:spacing w:after="60"/>
        <w:numPr>
          <w:ilvl w:val="0"/>
          <w:numId w:val="12"/>
        </w:numPr>
      </w:pPr>
      <w:r>
        <w:rPr>
          <w:rFonts w:ascii="Segoe UI" w:hAnsi="Segoe UI" w:cs="Segoe UI" w:eastAsia="Segoe UI"/>
          <w:color w:val="101820"/>
          <w:sz w:val="21"/>
        </w:rPr>
        <w:t>Recovery of data deleted by the Client's users beyond what the backups hold.</w:t>
      </w:r>
    </w:p>
    <w:p>
      <w:pPr>
        <w:spacing w:after="60"/>
        <w:numPr>
          <w:ilvl w:val="0"/>
          <w:numId w:val="12"/>
        </w:numPr>
      </w:pPr>
      <w:r>
        <w:rPr>
          <w:rFonts w:ascii="Segoe UI" w:hAnsi="Segoe UI" w:cs="Segoe UI" w:eastAsia="Segoe UI"/>
          <w:color w:val="101820"/>
          <w:sz w:val="21"/>
        </w:rPr>
        <w:t>Support of releases more than two planned releases behind the current one.</w:t>
      </w:r>
    </w:p>
    <w:p>
      <w:pPr>
        <w:spacing w:after="60"/>
        <w:numPr>
          <w:ilvl w:val="0"/>
          <w:numId w:val="12"/>
        </w:numPr>
      </w:pPr>
      <w:r>
        <w:rPr>
          <w:rFonts w:ascii="Segoe UI" w:hAnsi="Segoe UI" w:cs="Segoe UI" w:eastAsia="Segoe UI"/>
          <w:color w:val="101820"/>
          <w:sz w:val="21"/>
        </w:rPr>
        <w:t>Support of customised code that has not been merged into the product line.</w:t>
      </w:r>
    </w:p>
    <w:p>
      <w:pPr>
        <w:spacing w:after="60"/>
        <w:numPr>
          <w:ilvl w:val="0"/>
          <w:numId w:val="12"/>
        </w:numPr>
      </w:pPr>
      <w:r>
        <w:rPr>
          <w:rFonts w:ascii="Segoe UI" w:hAnsi="Segoe UI" w:cs="Segoe UI" w:eastAsia="Segoe UI"/>
          <w:color w:val="101820"/>
          <w:sz w:val="21"/>
        </w:rPr>
        <w:t>Infrastructure, operating system and database support where the Client hosts.</w:t>
      </w:r>
    </w:p>
    <w:p>
      <w:pPr>
        <w:pStyle w:val="Heading1"/>
        <w:pageBreakBefore/>
      </w:pPr>
      <w:r>
        <w:rPr>
          <w:rFonts w:ascii="Segoe UI" w:hAnsi="Segoe UI" w:cs="Segoe UI" w:eastAsia="Segoe UI"/>
          <w:b/>
          <w:color w:val="0F4761"/>
          <w:sz w:val="32"/>
        </w:rPr>
        <w:t>15.  Client obligations</w:t>
      </w:r>
    </w:p>
    <w:p>
      <w:pPr>
        <w:spacing w:after="60"/>
        <w:numPr>
          <w:ilvl w:val="0"/>
          <w:numId w:val="13"/>
        </w:numPr>
      </w:pPr>
      <w:r>
        <w:rPr>
          <w:rFonts w:ascii="Segoe UI" w:hAnsi="Segoe UI" w:cs="Segoe UI" w:eastAsia="Segoe UI"/>
          <w:color w:val="101820"/>
          <w:sz w:val="21"/>
        </w:rPr>
        <w:t>Named L1 super users (one per team) and a System Administrator, trained and available in service hours.</w:t>
      </w:r>
    </w:p>
    <w:p>
      <w:pPr>
        <w:spacing w:after="60"/>
        <w:numPr>
          <w:ilvl w:val="0"/>
          <w:numId w:val="13"/>
        </w:numPr>
      </w:pPr>
      <w:r>
        <w:rPr>
          <w:rFonts w:ascii="Segoe UI" w:hAnsi="Segoe UI" w:cs="Segoe UI" w:eastAsia="Segoe UI"/>
          <w:color w:val="101820"/>
          <w:sz w:val="21"/>
        </w:rPr>
        <w:t>A change owner and an IT head for escalations and change decisions; a DPO for privacy matters.</w:t>
      </w:r>
    </w:p>
    <w:p>
      <w:pPr>
        <w:spacing w:after="60"/>
        <w:numPr>
          <w:ilvl w:val="0"/>
          <w:numId w:val="13"/>
        </w:numPr>
      </w:pPr>
      <w:r>
        <w:rPr>
          <w:rFonts w:ascii="Segoe UI" w:hAnsi="Segoe UI" w:cs="Segoe UI" w:eastAsia="Segoe UI"/>
          <w:color w:val="101820"/>
          <w:sz w:val="21"/>
        </w:rPr>
        <w:t>Tickets with the minimum content.</w:t>
      </w:r>
    </w:p>
    <w:p>
      <w:pPr>
        <w:spacing w:after="60"/>
        <w:numPr>
          <w:ilvl w:val="0"/>
          <w:numId w:val="13"/>
        </w:numPr>
      </w:pPr>
      <w:r>
        <w:rPr>
          <w:rFonts w:ascii="Segoe UI" w:hAnsi="Segoe UI" w:cs="Segoe UI" w:eastAsia="Segoe UI"/>
          <w:color w:val="101820"/>
          <w:sz w:val="21"/>
        </w:rPr>
        <w:t>Access to the people who can reproduce the issue and test the fix.</w:t>
      </w:r>
    </w:p>
    <w:p>
      <w:pPr>
        <w:spacing w:after="60"/>
        <w:numPr>
          <w:ilvl w:val="0"/>
          <w:numId w:val="13"/>
        </w:numPr>
      </w:pPr>
      <w:r>
        <w:rPr>
          <w:rFonts w:ascii="Segoe UI" w:hAnsi="Segoe UI" w:cs="Segoe UI" w:eastAsia="Segoe UI"/>
          <w:color w:val="101820"/>
          <w:sz w:val="21"/>
        </w:rPr>
        <w:t>Testers for releases in UAT, and approval within the agreed time.</w:t>
      </w:r>
    </w:p>
    <w:p>
      <w:pPr>
        <w:spacing w:after="60"/>
        <w:numPr>
          <w:ilvl w:val="0"/>
          <w:numId w:val="13"/>
        </w:numPr>
      </w:pPr>
      <w:r>
        <w:rPr>
          <w:rFonts w:ascii="Segoe UI" w:hAnsi="Segoe UI" w:cs="Segoe UI" w:eastAsia="Segoe UI"/>
          <w:color w:val="101820"/>
          <w:sz w:val="21"/>
        </w:rPr>
        <w:t>Notice of business events that affect support: month-end and year-end dates, BIR filing dates, peak renewal periods, new branches or large data loads.</w:t>
      </w:r>
    </w:p>
    <w:p>
      <w:pPr>
        <w:spacing w:after="60"/>
        <w:numPr>
          <w:ilvl w:val="0"/>
          <w:numId w:val="13"/>
        </w:numPr>
      </w:pPr>
      <w:r>
        <w:rPr>
          <w:rFonts w:ascii="Segoe UI" w:hAnsi="Segoe UI" w:cs="Segoe UI" w:eastAsia="Segoe UI"/>
          <w:color w:val="101820"/>
          <w:sz w:val="21"/>
        </w:rPr>
        <w:t>Credentials, contracts and support contacts of third parties the Client owns.</w:t>
      </w:r>
    </w:p>
    <w:p>
      <w:pPr>
        <w:spacing w:after="60"/>
        <w:numPr>
          <w:ilvl w:val="0"/>
          <w:numId w:val="13"/>
        </w:numPr>
      </w:pPr>
      <w:r>
        <w:rPr>
          <w:rFonts w:ascii="Segoe UI" w:hAnsi="Segoe UI" w:cs="Segoe UI" w:eastAsia="Segoe UI"/>
          <w:color w:val="101820"/>
          <w:sz w:val="21"/>
        </w:rPr>
        <w:t>Supported browsers (current Chrome, Edge or Firefox) and a working network.</w:t>
      </w:r>
    </w:p>
    <w:p>
      <w:pPr>
        <w:pStyle w:val="Heading1"/>
        <w:pageBreakBefore/>
      </w:pPr>
      <w:r>
        <w:rPr>
          <w:rFonts w:ascii="Segoe UI" w:hAnsi="Segoe UI" w:cs="Segoe UI" w:eastAsia="Segoe UI"/>
          <w:b/>
          <w:color w:val="0F4761"/>
          <w:sz w:val="32"/>
        </w:rPr>
        <w:t>16.  Term and termination</w:t>
      </w:r>
    </w:p>
    <w:p>
      <w:pPr>
        <w:spacing w:after="60"/>
        <w:numPr>
          <w:ilvl w:val="0"/>
          <w:numId w:val="14"/>
        </w:numPr>
      </w:pPr>
      <w:r>
        <w:rPr>
          <w:rFonts w:ascii="Segoe UI" w:hAnsi="Segoe UI" w:cs="Segoe UI" w:eastAsia="Segoe UI"/>
          <w:color w:val="101820"/>
          <w:sz w:val="21"/>
        </w:rPr>
        <w:t>For a perpetual licence, this Support Agreement starts at Go-Live (warranty period), the AMC starts on the first day of Year 2, and it renews automatically each year unless either Party gives 90 days' written notice before the AMC anniversary.</w:t>
      </w:r>
    </w:p>
    <w:p>
      <w:pPr>
        <w:spacing w:after="60"/>
        <w:numPr>
          <w:ilvl w:val="0"/>
          <w:numId w:val="14"/>
        </w:numPr>
      </w:pPr>
      <w:r>
        <w:rPr>
          <w:rFonts w:ascii="Segoe UI" w:hAnsi="Segoe UI" w:cs="Segoe UI" w:eastAsia="Segoe UI"/>
          <w:color w:val="101820"/>
          <w:sz w:val="21"/>
        </w:rPr>
        <w:t>For a subscription, it lasts for the Subscription Term.</w:t>
      </w:r>
    </w:p>
    <w:p>
      <w:pPr>
        <w:spacing w:after="60"/>
        <w:numPr>
          <w:ilvl w:val="0"/>
          <w:numId w:val="14"/>
        </w:numPr>
      </w:pPr>
      <w:r>
        <w:rPr>
          <w:rFonts w:ascii="Segoe UI" w:hAnsi="Segoe UI" w:cs="Segoe UI" w:eastAsia="Segoe UI"/>
          <w:color w:val="101820"/>
          <w:sz w:val="21"/>
        </w:rPr>
        <w:t>Either Party may terminate for cause under the MSA. AMC fees paid in advance are refunded pro rata only if the Client terminates for iorta TechNXT's uncured material breach.</w:t>
      </w:r>
    </w:p>
    <w:p>
      <w:pPr>
        <w:spacing w:after="60"/>
        <w:numPr>
          <w:ilvl w:val="0"/>
          <w:numId w:val="14"/>
        </w:numPr>
      </w:pPr>
      <w:r>
        <w:rPr>
          <w:rFonts w:ascii="Segoe UI" w:hAnsi="Segoe UI" w:cs="Segoe UI" w:eastAsia="Segoe UI"/>
          <w:color w:val="101820"/>
          <w:sz w:val="21"/>
        </w:rPr>
        <w:t>Reinstatement of a lapsed AMC is governed by the Perpetual Software Licence Agreement.</w:t>
      </w:r>
    </w:p>
    <w:p>
      <w:pPr>
        <w:pStyle w:val="Heading1"/>
        <w:pageBreakBefore/>
      </w:pPr>
      <w:r>
        <w:rPr>
          <w:rFonts w:ascii="Segoe UI" w:hAnsi="Segoe UI" w:cs="Segoe UI" w:eastAsia="Segoe UI"/>
          <w:b/>
          <w:color w:val="0F4761"/>
          <w:sz w:val="32"/>
        </w:rPr>
        <w:t>17.  Signatures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For iorta TechNXT Corp.</w:t>
            </w:r>
          </w:p>
        </w:tc>
        <w:tc>
          <w:tcPr>
            <w:tcW w:type="dxa" w:w="4507"/>
            <w:shd w:val="clear" w:color="auto" w:fill="DCE9F7"/>
          </w:tcPr>
          <w:p>
            <w:pPr>
              <w:spacing w:after="20"/>
            </w:pPr>
            <w:r>
              <w:rPr>
                <w:rFonts w:ascii="Segoe UI" w:hAnsi="Segoe UI" w:cs="Segoe UI" w:eastAsia="Segoe UI"/>
                <w:b/>
                <w:color w:val="0F4761"/>
                <w:sz w:val="18"/>
              </w:rPr>
              <w:t>For [Client legal name]</w:t>
            </w:r>
          </w:p>
        </w:tc>
      </w:tr>
      <w:tr>
        <w:tc>
          <w:tcPr>
            <w:tcW w:type="dxa" w:w="4507"/>
          </w:tcPr>
          <w:p>
            <w:pPr>
              <w:spacing w:after="20"/>
            </w:pPr>
            <w:r>
              <w:rPr>
                <w:rFonts w:ascii="Segoe UI" w:hAnsi="Segoe UI" w:cs="Segoe UI" w:eastAsia="Segoe UI"/>
                <w:color w:val="101820"/>
                <w:sz w:val="18"/>
              </w:rPr>
              <w:t>Signature: ____________________</w:t>
            </w:r>
          </w:p>
        </w:tc>
        <w:tc>
          <w:tcPr>
            <w:tcW w:type="dxa" w:w="4507"/>
          </w:tcPr>
          <w:p>
            <w:pPr>
              <w:spacing w:after="20"/>
            </w:pPr>
            <w:r>
              <w:rPr>
                <w:rFonts w:ascii="Segoe UI" w:hAnsi="Segoe UI" w:cs="Segoe UI" w:eastAsia="Segoe UI"/>
                <w:color w:val="101820"/>
                <w:sz w:val="18"/>
              </w:rPr>
              <w:t>Signature: ____________________</w:t>
            </w:r>
          </w:p>
        </w:tc>
      </w:tr>
      <w:tr>
        <w:tc>
          <w:tcPr>
            <w:tcW w:type="dxa" w:w="4507"/>
          </w:tcPr>
          <w:p>
            <w:pPr>
              <w:spacing w:after="20"/>
            </w:pPr>
            <w:r>
              <w:rPr>
                <w:rFonts w:ascii="Segoe UI" w:hAnsi="Segoe UI" w:cs="Segoe UI" w:eastAsia="Segoe UI"/>
                <w:color w:val="101820"/>
                <w:sz w:val="18"/>
              </w:rPr>
              <w:t>Name: [name]</w:t>
            </w:r>
          </w:p>
        </w:tc>
        <w:tc>
          <w:tcPr>
            <w:tcW w:type="dxa" w:w="4507"/>
          </w:tcPr>
          <w:p>
            <w:pPr>
              <w:spacing w:after="20"/>
            </w:pPr>
            <w:r>
              <w:rPr>
                <w:rFonts w:ascii="Segoe UI" w:hAnsi="Segoe UI" w:cs="Segoe UI" w:eastAsia="Segoe UI"/>
                <w:color w:val="101820"/>
                <w:sz w:val="18"/>
              </w:rPr>
              <w:t>Name: [name]</w:t>
            </w:r>
          </w:p>
        </w:tc>
      </w:tr>
      <w:tr>
        <w:tc>
          <w:tcPr>
            <w:tcW w:type="dxa" w:w="4507"/>
          </w:tcPr>
          <w:p>
            <w:pPr>
              <w:spacing w:after="20"/>
            </w:pPr>
            <w:r>
              <w:rPr>
                <w:rFonts w:ascii="Segoe UI" w:hAnsi="Segoe UI" w:cs="Segoe UI" w:eastAsia="Segoe UI"/>
                <w:color w:val="101820"/>
                <w:sz w:val="18"/>
              </w:rPr>
              <w:t>Title: [title]</w:t>
            </w:r>
          </w:p>
        </w:tc>
        <w:tc>
          <w:tcPr>
            <w:tcW w:type="dxa" w:w="4507"/>
          </w:tcPr>
          <w:p>
            <w:pPr>
              <w:spacing w:after="20"/>
            </w:pPr>
            <w:r>
              <w:rPr>
                <w:rFonts w:ascii="Segoe UI" w:hAnsi="Segoe UI" w:cs="Segoe UI" w:eastAsia="Segoe UI"/>
                <w:color w:val="101820"/>
                <w:sz w:val="18"/>
              </w:rPr>
              <w:t>Title: [title]</w:t>
            </w:r>
          </w:p>
        </w:tc>
      </w:tr>
      <w:tr>
        <w:tc>
          <w:tcPr>
            <w:tcW w:type="dxa" w:w="4507"/>
          </w:tcPr>
          <w:p>
            <w:pPr>
              <w:spacing w:after="20"/>
            </w:pPr>
            <w:r>
              <w:rPr>
                <w:rFonts w:ascii="Segoe UI" w:hAnsi="Segoe UI" w:cs="Segoe UI" w:eastAsia="Segoe UI"/>
                <w:color w:val="101820"/>
                <w:sz w:val="18"/>
              </w:rPr>
              <w:t>Date: [date]</w:t>
            </w:r>
          </w:p>
        </w:tc>
        <w:tc>
          <w:tcPr>
            <w:tcW w:type="dxa" w:w="4507"/>
          </w:tcPr>
          <w:p>
            <w:pPr>
              <w:spacing w:after="20"/>
            </w:pPr>
            <w:r>
              <w:rPr>
                <w:rFonts w:ascii="Segoe UI" w:hAnsi="Segoe UI" w:cs="Segoe UI" w:eastAsia="Segoe UI"/>
                <w:color w:val="101820"/>
                <w:sz w:val="18"/>
              </w:rPr>
              <w:t>Date: [date]</w:t>
            </w:r>
          </w:p>
        </w:tc>
      </w:tr>
    </w:tbl>
    <w:p>
      <w:pPr>
        <w:spacing w:after="80"/>
      </w:pPr>
    </w:p>
    <w:p>
      <w:pPr>
        <w:pStyle w:val="Heading1"/>
        <w:pageBreakBefore/>
      </w:pPr>
      <w:r>
        <w:rPr>
          <w:rFonts w:ascii="Segoe UI" w:hAnsi="Segoe UI" w:cs="Segoe UI" w:eastAsia="Segoe UI"/>
          <w:b/>
          <w:color w:val="0F4761"/>
          <w:sz w:val="32"/>
        </w:rPr>
        <w:t>18.  Annex A: contacts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658"/>
        <w:gridCol w:w="1502"/>
        <w:gridCol w:w="2196"/>
        <w:gridCol w:w="1618"/>
        <w:gridCol w:w="1040"/>
      </w:tblGrid>
      <w:tr>
        <w:trPr>
          <w:tblHeader w:val="true"/>
        </w:trPr>
        <w:tc>
          <w:tcPr>
            <w:tcW w:type="dxa" w:w="2658"/>
            <w:shd w:val="clear" w:color="auto" w:fill="DCE9F7"/>
          </w:tcPr>
          <w:p>
            <w:pPr>
              <w:spacing w:after="20"/>
            </w:pPr>
            <w:r>
              <w:rPr>
                <w:rFonts w:ascii="Segoe UI" w:hAnsi="Segoe UI" w:cs="Segoe UI" w:eastAsia="Segoe UI"/>
                <w:b/>
                <w:color w:val="0F4761"/>
                <w:sz w:val="16"/>
              </w:rPr>
              <w:t>Role</w:t>
            </w:r>
          </w:p>
        </w:tc>
        <w:tc>
          <w:tcPr>
            <w:tcW w:type="dxa" w:w="1502"/>
            <w:shd w:val="clear" w:color="auto" w:fill="DCE9F7"/>
          </w:tcPr>
          <w:p>
            <w:pPr>
              <w:spacing w:after="20"/>
            </w:pPr>
            <w:r>
              <w:rPr>
                <w:rFonts w:ascii="Segoe UI" w:hAnsi="Segoe UI" w:cs="Segoe UI" w:eastAsia="Segoe UI"/>
                <w:b/>
                <w:color w:val="0F4761"/>
                <w:sz w:val="16"/>
              </w:rPr>
              <w:t>Party</w:t>
            </w:r>
          </w:p>
        </w:tc>
        <w:tc>
          <w:tcPr>
            <w:tcW w:type="dxa" w:w="2196"/>
            <w:shd w:val="clear" w:color="auto" w:fill="DCE9F7"/>
          </w:tcPr>
          <w:p>
            <w:pPr>
              <w:spacing w:after="20"/>
            </w:pPr>
            <w:r>
              <w:rPr>
                <w:rFonts w:ascii="Segoe UI" w:hAnsi="Segoe UI" w:cs="Segoe UI" w:eastAsia="Segoe UI"/>
                <w:b/>
                <w:color w:val="0F4761"/>
                <w:sz w:val="16"/>
              </w:rPr>
              <w:t>Name</w:t>
            </w:r>
          </w:p>
        </w:tc>
        <w:tc>
          <w:tcPr>
            <w:tcW w:type="dxa" w:w="1618"/>
            <w:shd w:val="clear" w:color="auto" w:fill="DCE9F7"/>
          </w:tcPr>
          <w:p>
            <w:pPr>
              <w:spacing w:after="20"/>
            </w:pPr>
            <w:r>
              <w:rPr>
                <w:rFonts w:ascii="Segoe UI" w:hAnsi="Segoe UI" w:cs="Segoe UI" w:eastAsia="Segoe UI"/>
                <w:b/>
                <w:color w:val="0F4761"/>
                <w:sz w:val="16"/>
              </w:rPr>
              <w:t>Telephone</w:t>
            </w:r>
          </w:p>
        </w:tc>
        <w:tc>
          <w:tcPr>
            <w:tcW w:type="dxa" w:w="1040"/>
            <w:shd w:val="clear" w:color="auto" w:fill="DCE9F7"/>
          </w:tcPr>
          <w:p>
            <w:pPr>
              <w:spacing w:after="20"/>
            </w:pPr>
            <w:r>
              <w:rPr>
                <w:rFonts w:ascii="Segoe UI" w:hAnsi="Segoe UI" w:cs="Segoe UI" w:eastAsia="Segoe UI"/>
                <w:b/>
                <w:color w:val="0F4761"/>
                <w:sz w:val="16"/>
              </w:rPr>
              <w:t>E-mail</w:t>
            </w:r>
          </w:p>
        </w:tc>
      </w:tr>
      <w:tr>
        <w:tc>
          <w:tcPr>
            <w:tcW w:type="dxa" w:w="2658"/>
          </w:tcPr>
          <w:p>
            <w:pPr>
              <w:spacing w:after="20"/>
            </w:pPr>
            <w:r>
              <w:rPr>
                <w:rFonts w:ascii="Segoe UI" w:hAnsi="Segoe UI" w:cs="Segoe UI" w:eastAsia="Segoe UI"/>
                <w:color w:val="101820"/>
                <w:sz w:val="16"/>
              </w:rPr>
              <w:t>Service desk</w:t>
            </w:r>
          </w:p>
        </w:tc>
        <w:tc>
          <w:tcPr>
            <w:tcW w:type="dxa" w:w="1502"/>
          </w:tcPr>
          <w:p>
            <w:pPr>
              <w:spacing w:after="20"/>
            </w:pPr>
            <w:r>
              <w:rPr>
                <w:rFonts w:ascii="Segoe UI" w:hAnsi="Segoe UI" w:cs="Segoe UI" w:eastAsia="Segoe UI"/>
                <w:color w:val="101820"/>
                <w:sz w:val="16"/>
              </w:rPr>
              <w:t>iorta TechNXT</w:t>
            </w:r>
          </w:p>
        </w:tc>
        <w:tc>
          <w:tcPr>
            <w:tcW w:type="dxa" w:w="2196"/>
          </w:tcPr>
          <w:p>
            <w:pPr>
              <w:spacing w:after="20"/>
            </w:pPr>
            <w:r>
              <w:rPr>
                <w:rFonts w:ascii="Segoe UI" w:hAnsi="Segoe UI" w:cs="Segoe UI" w:eastAsia="Segoe UI"/>
                <w:color w:val="101820"/>
                <w:sz w:val="16"/>
              </w:rPr>
              <w:t>[portal or mailbox]</w:t>
            </w:r>
          </w:p>
        </w:tc>
        <w:tc>
          <w:tcPr>
            <w:tcW w:type="dxa" w:w="1618"/>
          </w:tcPr>
          <w:p>
            <w:pPr>
              <w:spacing w:after="20"/>
            </w:pPr>
            <w:r>
              <w:rPr>
                <w:rFonts w:ascii="Segoe UI" w:hAnsi="Segoe UI" w:cs="Segoe UI" w:eastAsia="Segoe UI"/>
                <w:color w:val="101820"/>
                <w:sz w:val="16"/>
              </w:rPr>
              <w:t>[P1 telephone]</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L2 lead</w:t>
            </w:r>
          </w:p>
        </w:tc>
        <w:tc>
          <w:tcPr>
            <w:tcW w:type="dxa" w:w="1502"/>
          </w:tcPr>
          <w:p>
            <w:pPr>
              <w:spacing w:after="20"/>
            </w:pPr>
            <w:r>
              <w:rPr>
                <w:rFonts w:ascii="Segoe UI" w:hAnsi="Segoe UI" w:cs="Segoe UI" w:eastAsia="Segoe UI"/>
                <w:color w:val="101820"/>
                <w:sz w:val="16"/>
              </w:rPr>
              <w:t>iorta TechNXT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Support manager</w:t>
            </w:r>
          </w:p>
        </w:tc>
        <w:tc>
          <w:tcPr>
            <w:tcW w:type="dxa" w:w="1502"/>
          </w:tcPr>
          <w:p>
            <w:pPr>
              <w:spacing w:after="20"/>
            </w:pPr>
            <w:r>
              <w:rPr>
                <w:rFonts w:ascii="Segoe UI" w:hAnsi="Segoe UI" w:cs="Segoe UI" w:eastAsia="Segoe UI"/>
                <w:color w:val="101820"/>
                <w:sz w:val="16"/>
              </w:rPr>
              <w:t>iorta TechNXT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Account manager</w:t>
            </w:r>
          </w:p>
        </w:tc>
        <w:tc>
          <w:tcPr>
            <w:tcW w:type="dxa" w:w="1502"/>
          </w:tcPr>
          <w:p>
            <w:pPr>
              <w:spacing w:after="20"/>
            </w:pPr>
            <w:r>
              <w:rPr>
                <w:rFonts w:ascii="Segoe UI" w:hAnsi="Segoe UI" w:cs="Segoe UI" w:eastAsia="Segoe UI"/>
                <w:color w:val="101820"/>
                <w:sz w:val="16"/>
              </w:rPr>
              <w:t>iorta TechNXT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Head of delivery</w:t>
            </w:r>
          </w:p>
        </w:tc>
        <w:tc>
          <w:tcPr>
            <w:tcW w:type="dxa" w:w="1502"/>
          </w:tcPr>
          <w:p>
            <w:pPr>
              <w:spacing w:after="20"/>
            </w:pPr>
            <w:r>
              <w:rPr>
                <w:rFonts w:ascii="Segoe UI" w:hAnsi="Segoe UI" w:cs="Segoe UI" w:eastAsia="Segoe UI"/>
                <w:color w:val="101820"/>
                <w:sz w:val="16"/>
              </w:rPr>
              <w:t>iorta TechNXT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System Administrator</w:t>
            </w:r>
          </w:p>
        </w:tc>
        <w:tc>
          <w:tcPr>
            <w:tcW w:type="dxa" w:w="1502"/>
          </w:tcPr>
          <w:p>
            <w:pPr>
              <w:spacing w:after="20"/>
            </w:pPr>
            <w:r>
              <w:rPr>
                <w:rFonts w:ascii="Segoe UI" w:hAnsi="Segoe UI" w:cs="Segoe UI" w:eastAsia="Segoe UI"/>
                <w:color w:val="101820"/>
                <w:sz w:val="16"/>
              </w:rPr>
              <w:t>Client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L1 contacts (up to [5])</w:t>
            </w:r>
          </w:p>
        </w:tc>
        <w:tc>
          <w:tcPr>
            <w:tcW w:type="dxa" w:w="1502"/>
          </w:tcPr>
          <w:p>
            <w:pPr>
              <w:spacing w:after="20"/>
            </w:pPr>
            <w:r>
              <w:rPr>
                <w:rFonts w:ascii="Segoe UI" w:hAnsi="Segoe UI" w:cs="Segoe UI" w:eastAsia="Segoe UI"/>
                <w:color w:val="101820"/>
                <w:sz w:val="16"/>
              </w:rPr>
              <w:t>Client</w:t>
            </w:r>
          </w:p>
        </w:tc>
        <w:tc>
          <w:tcPr>
            <w:tcW w:type="dxa" w:w="2196"/>
          </w:tcPr>
          <w:p>
            <w:pPr>
              <w:spacing w:after="20"/>
            </w:pPr>
            <w:r>
              <w:rPr>
                <w:rFonts w:ascii="Segoe UI" w:hAnsi="Segoe UI" w:cs="Segoe UI" w:eastAsia="Segoe UI"/>
                <w:color w:val="101820"/>
                <w:sz w:val="16"/>
              </w:rPr>
              <w:t>[names]</w:t>
            </w:r>
          </w:p>
        </w:tc>
        <w:tc>
          <w:tcPr>
            <w:tcW w:type="dxa" w:w="1618"/>
          </w:tcPr>
          <w:p>
            <w:pPr>
              <w:spacing w:after="20"/>
            </w:pPr>
            <w:r>
              <w:rPr>
                <w:rFonts w:ascii="Segoe UI" w:hAnsi="Segoe UI" w:cs="Segoe UI" w:eastAsia="Segoe UI"/>
                <w:color w:val="101820"/>
                <w:sz w:val="16"/>
              </w:rPr>
              <w:t>[numbers]</w:t>
            </w:r>
          </w:p>
        </w:tc>
        <w:tc>
          <w:tcPr>
            <w:tcW w:type="dxa" w:w="1040"/>
          </w:tcPr>
          <w:p>
            <w:pPr>
              <w:spacing w:after="20"/>
            </w:pPr>
            <w:r>
              <w:rPr>
                <w:rFonts w:ascii="Segoe UI" w:hAnsi="Segoe UI" w:cs="Segoe UI" w:eastAsia="Segoe UI"/>
                <w:color w:val="101820"/>
                <w:sz w:val="16"/>
              </w:rPr>
              <w:t>[e-mails]</w:t>
            </w:r>
          </w:p>
        </w:tc>
      </w:tr>
      <w:tr>
        <w:tc>
          <w:tcPr>
            <w:tcW w:type="dxa" w:w="2658"/>
          </w:tcPr>
          <w:p>
            <w:pPr>
              <w:spacing w:after="20"/>
            </w:pPr>
            <w:r>
              <w:rPr>
                <w:rFonts w:ascii="Segoe UI" w:hAnsi="Segoe UI" w:cs="Segoe UI" w:eastAsia="Segoe UI"/>
                <w:color w:val="101820"/>
                <w:sz w:val="16"/>
              </w:rPr>
              <w:t>IT head</w:t>
            </w:r>
          </w:p>
        </w:tc>
        <w:tc>
          <w:tcPr>
            <w:tcW w:type="dxa" w:w="1502"/>
          </w:tcPr>
          <w:p>
            <w:pPr>
              <w:spacing w:after="20"/>
            </w:pPr>
            <w:r>
              <w:rPr>
                <w:rFonts w:ascii="Segoe UI" w:hAnsi="Segoe UI" w:cs="Segoe UI" w:eastAsia="Segoe UI"/>
                <w:color w:val="101820"/>
                <w:sz w:val="16"/>
              </w:rPr>
              <w:t>Client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Data protection officer</w:t>
            </w:r>
          </w:p>
        </w:tc>
        <w:tc>
          <w:tcPr>
            <w:tcW w:type="dxa" w:w="1502"/>
          </w:tcPr>
          <w:p>
            <w:pPr>
              <w:spacing w:after="20"/>
            </w:pPr>
            <w:r>
              <w:rPr>
                <w:rFonts w:ascii="Segoe UI" w:hAnsi="Segoe UI" w:cs="Segoe UI" w:eastAsia="Segoe UI"/>
                <w:color w:val="101820"/>
                <w:sz w:val="16"/>
              </w:rPr>
              <w:t>Client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r>
        <w:tc>
          <w:tcPr>
            <w:tcW w:type="dxa" w:w="2658"/>
          </w:tcPr>
          <w:p>
            <w:pPr>
              <w:spacing w:after="20"/>
            </w:pPr>
            <w:r>
              <w:rPr>
                <w:rFonts w:ascii="Segoe UI" w:hAnsi="Segoe UI" w:cs="Segoe UI" w:eastAsia="Segoe UI"/>
                <w:color w:val="101820"/>
                <w:sz w:val="16"/>
              </w:rPr>
              <w:t>Sponsor</w:t>
            </w:r>
          </w:p>
        </w:tc>
        <w:tc>
          <w:tcPr>
            <w:tcW w:type="dxa" w:w="1502"/>
          </w:tcPr>
          <w:p>
            <w:pPr>
              <w:spacing w:after="20"/>
            </w:pPr>
            <w:r>
              <w:rPr>
                <w:rFonts w:ascii="Segoe UI" w:hAnsi="Segoe UI" w:cs="Segoe UI" w:eastAsia="Segoe UI"/>
                <w:color w:val="101820"/>
                <w:sz w:val="16"/>
              </w:rPr>
              <w:t>Client</w:t>
            </w:r>
          </w:p>
        </w:tc>
        <w:tc>
          <w:tcPr>
            <w:tcW w:type="dxa" w:w="2196"/>
          </w:tcPr>
          <w:p>
            <w:pPr>
              <w:spacing w:after="20"/>
            </w:pPr>
            <w:r>
              <w:rPr>
                <w:rFonts w:ascii="Segoe UI" w:hAnsi="Segoe UI" w:cs="Segoe UI" w:eastAsia="Segoe UI"/>
                <w:color w:val="101820"/>
                <w:sz w:val="16"/>
              </w:rPr>
              <w:t>[name]</w:t>
            </w:r>
          </w:p>
        </w:tc>
        <w:tc>
          <w:tcPr>
            <w:tcW w:type="dxa" w:w="1618"/>
          </w:tcPr>
          <w:p>
            <w:pPr>
              <w:spacing w:after="20"/>
            </w:pPr>
            <w:r>
              <w:rPr>
                <w:rFonts w:ascii="Segoe UI" w:hAnsi="Segoe UI" w:cs="Segoe UI" w:eastAsia="Segoe UI"/>
                <w:color w:val="101820"/>
                <w:sz w:val="16"/>
              </w:rPr>
              <w:t>[number]</w:t>
            </w:r>
          </w:p>
        </w:tc>
        <w:tc>
          <w:tcPr>
            <w:tcW w:type="dxa" w:w="1040"/>
          </w:tcPr>
          <w:p>
            <w:pPr>
              <w:spacing w:after="20"/>
            </w:pPr>
            <w:r>
              <w:rPr>
                <w:rFonts w:ascii="Segoe UI" w:hAnsi="Segoe UI" w:cs="Segoe UI" w:eastAsia="Segoe UI"/>
                <w:color w:val="101820"/>
                <w:sz w:val="16"/>
              </w:rPr>
              <w:t>[e-mail]</w:t>
            </w:r>
          </w:p>
        </w:tc>
      </w:tr>
    </w:tbl>
    <w:p>
      <w:pPr>
        <w:spacing w:after="80"/>
      </w:pP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19.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Review and completion by the parties' legal counsel before signature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