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UAT sign-off and go-live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UAT sign-off and go-live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Acceptance Certificates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Acceptance Certificates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 Corp.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Legal counsel (to be completed)</w:t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 be completed</w:t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Template for discussion; subject to review by the parties' legal counsel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 Contract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BIR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Bureau of Internal Revenue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MSA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Master Services Agreement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PHP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Philippine peso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SIT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System integration test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SOW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Statement of work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testing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Value-added tax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About these certificates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color w:val="101820"/>
          <w:sz w:val="20"/>
        </w:rPr>
        <w:t>Template for discussion; subject to review by the parties' legal counsel.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This document holds two forms used under the Implementation Statement of Work (the </w:t>
      </w:r>
      <w:r>
        <w:rPr>
          <w:rFonts w:ascii="Segoe UI" w:hAnsi="Segoe UI" w:cs="Segoe UI" w:eastAsia="Segoe UI"/>
          <w:b/>
          <w:color w:val="101820"/>
          <w:sz w:val="21"/>
        </w:rPr>
        <w:t>SOW</w:t>
      </w:r>
      <w:r>
        <w:rPr>
          <w:rFonts w:ascii="Segoe UI" w:hAnsi="Segoe UI" w:cs="Segoe UI" w:eastAsia="Segoe UI"/>
          <w:color w:val="101820"/>
          <w:sz w:val="21"/>
        </w:rPr>
        <w:t>) for iNXT BrokerVerse OOTB: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Form 1: UAT Sign-off Certificate.</w:t>
      </w:r>
      <w:r>
        <w:rPr>
          <w:rFonts w:ascii="Segoe UI" w:hAnsi="Segoe UI" w:cs="Segoe UI" w:eastAsia="Segoe UI"/>
          <w:color w:val="101820"/>
          <w:sz w:val="21"/>
        </w:rPr>
        <w:t xml:space="preserve"> The Client's written acceptance of the user acceptance test phase. It is the milestone for the second implementation or onboarding payment (40%) and the condition for the go decision.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Form 2: Go-live Acceptance Certificate.</w:t>
      </w:r>
      <w:r>
        <w:rPr>
          <w:rFonts w:ascii="Segoe UI" w:hAnsi="Segoe UI" w:cs="Segoe UI" w:eastAsia="Segoe UI"/>
          <w:color w:val="101820"/>
          <w:sz w:val="21"/>
        </w:rPr>
        <w:t xml:space="preserve"> The record of the go decision and of the first day of transactions in production. It fixes the Go-Live date, which starts the final implementation payment (20%), the perpetual Licence Fee, the Monthly Fee of a subscription, the Warranty Period and hypercare.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Both forms are issued under the SOW of Order Form no. [number] and the Master Services Agreement (the </w:t>
      </w:r>
      <w:r>
        <w:rPr>
          <w:rFonts w:ascii="Segoe UI" w:hAnsi="Segoe UI" w:cs="Segoe UI" w:eastAsia="Segoe UI"/>
          <w:b/>
          <w:color w:val="101820"/>
          <w:sz w:val="21"/>
        </w:rPr>
        <w:t>MSA</w:t>
      </w:r>
      <w:r>
        <w:rPr>
          <w:rFonts w:ascii="Segoe UI" w:hAnsi="Segoe UI" w:cs="Segoe UI" w:eastAsia="Segoe UI"/>
          <w:color w:val="101820"/>
          <w:sz w:val="21"/>
        </w:rPr>
        <w:t>) between iorta TechNXT Corp. (</w:t>
      </w:r>
      <w:r>
        <w:rPr>
          <w:rFonts w:ascii="Segoe UI" w:hAnsi="Segoe UI" w:cs="Segoe UI" w:eastAsia="Segoe UI"/>
          <w:b/>
          <w:color w:val="101820"/>
          <w:sz w:val="21"/>
        </w:rPr>
        <w:t>iorta TechNXT</w:t>
      </w:r>
      <w:r>
        <w:rPr>
          <w:rFonts w:ascii="Segoe UI" w:hAnsi="Segoe UI" w:cs="Segoe UI" w:eastAsia="Segoe UI"/>
          <w:color w:val="101820"/>
          <w:sz w:val="21"/>
        </w:rPr>
        <w:t xml:space="preserve">) and [Client legal name] (the </w:t>
      </w:r>
      <w:r>
        <w:rPr>
          <w:rFonts w:ascii="Segoe UI" w:hAnsi="Segoe UI" w:cs="Segoe UI" w:eastAsia="Segoe UI"/>
          <w:b/>
          <w:color w:val="101820"/>
          <w:sz w:val="21"/>
        </w:rPr>
        <w:t>Client</w:t>
      </w:r>
      <w:r>
        <w:rPr>
          <w:rFonts w:ascii="Segoe UI" w:hAnsi="Segoe UI" w:cs="Segoe UI" w:eastAsia="Segoe UI"/>
          <w:color w:val="101820"/>
          <w:sz w:val="21"/>
        </w:rPr>
        <w:t>). Capitalised terms have the meaning given in the MSA and the SOW. A signed certificate records a fact and an acceptance. It does not amend the MSA, the Order Form or the SOW. Text in [square brackets] is a placeholder or an option.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Rules that apply to both forms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4.1  Acceptance criteria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acceptance criteria are those of the Deliverables and acceptance criteria table of the SOW: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147"/>
        <w:gridCol w:w="7867"/>
      </w:tblGrid>
      <w:tr>
        <w:trPr>
          <w:tblHeader w:val="true"/>
        </w:trPr>
        <w:tc>
          <w:tcPr>
            <w:tcW w:type="dxa" w:w="114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Phase</w:t>
            </w:r>
          </w:p>
        </w:tc>
        <w:tc>
          <w:tcPr>
            <w:tcW w:type="dxa" w:w="786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Acceptance criteria in the SOW</w:t>
            </w:r>
          </w:p>
        </w:tc>
      </w:tr>
      <w:tr>
        <w:tc>
          <w:tcPr>
            <w:tcW w:type="dxa" w:w="11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</w:t>
            </w:r>
          </w:p>
        </w:tc>
        <w:tc>
          <w:tcPr>
            <w:tcW w:type="dxa" w:w="78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All UAT scripts passed or accepted with a workaround; sign-off by each process owner and the sponsor</w:t>
            </w:r>
          </w:p>
        </w:tc>
      </w:tr>
      <w:tr>
        <w:tc>
          <w:tcPr>
            <w:tcW w:type="dxa" w:w="11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Cutover</w:t>
            </w:r>
          </w:p>
        </w:tc>
        <w:tc>
          <w:tcPr>
            <w:tcW w:type="dxa" w:w="78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Go/no-go criteria of the Data Migration and Cutover Plan met</w:t>
            </w:r>
          </w:p>
        </w:tc>
      </w:tr>
      <w:tr>
        <w:tc>
          <w:tcPr>
            <w:tcW w:type="dxa" w:w="11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  <w:tc>
          <w:tcPr>
            <w:tcW w:type="dxa" w:w="78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signed in and transacting; first receipts, remittances and bank imports processed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4.2  Review period and deemed acceptance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Acceptance procedure of the SOW applies: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>iorta TechNXT submits the certificate with the evidence listed in it.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>The Client signs it, or gives a written list of the criteria not met with reasons, within 5 Business Days of submission.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>iorta TechNXT corrects the items listed and resubmits. The Client reviews only the corrected items, within 3 Business Days.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 xml:space="preserve">The phase is </w:t>
      </w:r>
      <w:r>
        <w:rPr>
          <w:rFonts w:ascii="Segoe UI" w:hAnsi="Segoe UI" w:cs="Segoe UI" w:eastAsia="Segoe UI"/>
          <w:b/>
          <w:color w:val="101820"/>
          <w:sz w:val="21"/>
        </w:rPr>
        <w:t>deemed accepted</w:t>
      </w:r>
      <w:r>
        <w:rPr>
          <w:rFonts w:ascii="Segoe UI" w:hAnsi="Segoe UI" w:cs="Segoe UI" w:eastAsia="Segoe UI"/>
          <w:color w:val="101820"/>
          <w:sz w:val="21"/>
        </w:rPr>
        <w:t xml:space="preserve"> if the Client gives no written objection within the review period, or if the Client uses the Platform in production for its business.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>A phase is not rejected for defects of severity 3 or 4 alone. Those are listed in the certificate and corrected under an agreed plan.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color w:val="101820"/>
          <w:sz w:val="20"/>
        </w:rPr>
        <w:t>Deemed acceptance has the same effect as a signed certificate, including for the payment milestone. The iorta TechNXT project manager records the date and the basis of a deemed acceptance in the RAID log and informs the Client's sponsor in writing.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4.3  Defect severity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288"/>
        <w:gridCol w:w="7726"/>
      </w:tblGrid>
      <w:tr>
        <w:trPr>
          <w:tblHeader w:val="true"/>
        </w:trPr>
        <w:tc>
          <w:tcPr>
            <w:tcW w:type="dxa" w:w="128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Severity</w:t>
            </w:r>
          </w:p>
        </w:tc>
        <w:tc>
          <w:tcPr>
            <w:tcW w:type="dxa" w:w="772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Meaning (SOW)</w:t>
            </w:r>
          </w:p>
        </w:tc>
      </w:tr>
      <w:tr>
        <w:tc>
          <w:tcPr>
            <w:tcW w:type="dxa" w:w="12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772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 core process cannot be completed, or financial postings are wrong, with no workaround</w:t>
            </w:r>
          </w:p>
        </w:tc>
      </w:tr>
      <w:tr>
        <w:tc>
          <w:tcPr>
            <w:tcW w:type="dxa" w:w="12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772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 core process is seriously degraded, with no acceptable workaround</w:t>
            </w:r>
          </w:p>
        </w:tc>
      </w:tr>
      <w:tr>
        <w:tc>
          <w:tcPr>
            <w:tcW w:type="dxa" w:w="12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772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 function fails and a workaround exists</w:t>
            </w:r>
          </w:p>
        </w:tc>
      </w:tr>
      <w:tr>
        <w:tc>
          <w:tcPr>
            <w:tcW w:type="dxa" w:w="12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772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Cosmetic issue, wording or documentation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4.4  What each signature means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395"/>
        <w:gridCol w:w="5619"/>
      </w:tblGrid>
      <w:tr>
        <w:trPr>
          <w:tblHeader w:val="true"/>
        </w:trPr>
        <w:tc>
          <w:tcPr>
            <w:tcW w:type="dxa" w:w="339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Signatory</w:t>
            </w:r>
          </w:p>
        </w:tc>
        <w:tc>
          <w:tcPr>
            <w:tcW w:type="dxa" w:w="561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Confirms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 of each team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The team's UAT scripts were run with the Client's own data and the results are as recorded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Manager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Financial results, taxes and reconciliations in UAT and at cutover are as recorded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sponsor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The Client accepts the phase on behalf of the Client, as the SOW requires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project manager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The evidence is complete and the open items are recorded with their plan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Form 1: UAT Sign-off Certificate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5.1  Project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395"/>
        <w:gridCol w:w="5619"/>
      </w:tblGrid>
      <w:tr>
        <w:trPr>
          <w:tblHeader w:val="true"/>
        </w:trPr>
        <w:tc>
          <w:tcPr>
            <w:tcW w:type="dxa" w:w="339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561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Certificate no.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[UAT-year-number]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Project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 implementation for [Client legal name]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 and Order Form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 dated [date]; Order Form no. [number]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size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[Small / Medium / Large / Enterprise]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Environment tested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Test (UAT) environment, release [release tag]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period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From [date] to [date]; [number] cycles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used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Configuration of the accepted configuration workbook; migrated data of mock load [number] dated [date]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Submitted by iorta TechNXT on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5.2  Evidence submitted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5953"/>
        <w:gridCol w:w="2154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595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Evidence</w:t>
            </w:r>
          </w:p>
        </w:tc>
        <w:tc>
          <w:tcPr>
            <w:tcW w:type="dxa" w:w="215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Reference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SIT exit report (all end-to-end flows passed; no open severity 1 or 2 defect)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[reference, date]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results per script, with date, tester name and, for a failure, the record number and request ID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Defect log at the date of this certificate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Reconciliation report of the mock load used in UAT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Client-specific scenarios agreed in discovery and their results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Training attendance and key user assessment results to date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5.3  UAT results by role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delivered UAT scripts are run for each role, plus the Client-specific scenarios agreed in discovery.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155"/>
        <w:gridCol w:w="2259"/>
        <w:gridCol w:w="907"/>
        <w:gridCol w:w="1879"/>
        <w:gridCol w:w="907"/>
        <w:gridCol w:w="907"/>
      </w:tblGrid>
      <w:tr>
        <w:trPr>
          <w:tblHeader w:val="true"/>
        </w:trPr>
        <w:tc>
          <w:tcPr>
            <w:tcW w:type="dxa" w:w="215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Role</w:t>
            </w:r>
          </w:p>
        </w:tc>
        <w:tc>
          <w:tcPr>
            <w:tcW w:type="dxa" w:w="225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Scripts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Passed</w:t>
            </w:r>
          </w:p>
        </w:tc>
        <w:tc>
          <w:tcPr>
            <w:tcW w:type="dxa" w:w="187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Passed with workaround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Failed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Not run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System Administrator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A1 to A7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 &amp; Marketing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S1 to S6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Processing Team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P1 to P6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Operations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O1 to O5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Claims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C1 to C5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Accounting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F1 to F8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Accounting Manager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M1 to M5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Client-specific scenarios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[list]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Total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42 delivered scripts plus 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A script marked Failed or Not run must be closed before this certificate is signed, or be re-classed as passed with a workaround that the process owner accepts below.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5.4  Acceptance criteria check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4366"/>
        <w:gridCol w:w="973"/>
        <w:gridCol w:w="2769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436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Criterion</w:t>
            </w:r>
          </w:p>
        </w:tc>
        <w:tc>
          <w:tcPr>
            <w:tcW w:type="dxa" w:w="97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Met</w:t>
            </w:r>
          </w:p>
        </w:tc>
        <w:tc>
          <w:tcPr>
            <w:tcW w:type="dxa" w:w="276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Evidence or comment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All UAT scripts passed or accepted with a workaround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[comment]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open defect of severity 1 or 2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[defect log 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Test quotation premiums and taxes agree with manual calculations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[scripts or calculation sheet]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VAT Summary and BIR working papers checked by the Accounting Manager (script F8)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[comment]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Document numbering and official receipt series checked (scripts A6, F1)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[comment]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Migrated data used in UAT reconciled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[mock load report]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7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Each process owner has signed below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5.5  Workarounds accepted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2368"/>
        <w:gridCol w:w="1804"/>
        <w:gridCol w:w="3936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236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Script or defect</w:t>
            </w:r>
          </w:p>
        </w:tc>
        <w:tc>
          <w:tcPr>
            <w:tcW w:type="dxa" w:w="180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Workaround</w:t>
            </w:r>
          </w:p>
        </w:tc>
        <w:tc>
          <w:tcPr>
            <w:tcW w:type="dxa" w:w="393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Accepted by (process owner)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236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  <w:tc>
          <w:tcPr>
            <w:tcW w:type="dxa" w:w="180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[workaround]</w:t>
            </w:r>
          </w:p>
        </w:tc>
        <w:tc>
          <w:tcPr>
            <w:tcW w:type="dxa" w:w="3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236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  <w:tc>
          <w:tcPr>
            <w:tcW w:type="dxa" w:w="180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[workaround]</w:t>
            </w:r>
          </w:p>
        </w:tc>
        <w:tc>
          <w:tcPr>
            <w:tcW w:type="dxa" w:w="3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5.6  Open items (severity 3 and 4 only)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1938"/>
        <w:gridCol w:w="1123"/>
        <w:gridCol w:w="1719"/>
        <w:gridCol w:w="939"/>
        <w:gridCol w:w="2388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#</w:t>
            </w:r>
          </w:p>
        </w:tc>
        <w:tc>
          <w:tcPr>
            <w:tcW w:type="dxa" w:w="193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Defect or item</w:t>
            </w:r>
          </w:p>
        </w:tc>
        <w:tc>
          <w:tcPr>
            <w:tcW w:type="dxa" w:w="11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Severity</w:t>
            </w:r>
          </w:p>
        </w:tc>
        <w:tc>
          <w:tcPr>
            <w:tcW w:type="dxa" w:w="171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Owner</w:t>
            </w:r>
          </w:p>
        </w:tc>
        <w:tc>
          <w:tcPr>
            <w:tcW w:type="dxa" w:w="93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Target date</w:t>
            </w:r>
          </w:p>
        </w:tc>
        <w:tc>
          <w:tcPr>
            <w:tcW w:type="dxa" w:w="238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Fix route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type="dxa" w:w="19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[description, defect no.]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[3 / 4]</w:t>
            </w:r>
          </w:p>
        </w:tc>
        <w:tc>
          <w:tcPr>
            <w:tcW w:type="dxa" w:w="17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[iorta TechNXT / Client]</w:t>
            </w:r>
          </w:p>
        </w:tc>
        <w:tc>
          <w:tcPr>
            <w:tcW w:type="dxa" w:w="9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[date]</w:t>
            </w:r>
          </w:p>
        </w:tc>
        <w:tc>
          <w:tcPr>
            <w:tcW w:type="dxa" w:w="23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[Configuration / data / release]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2</w:t>
            </w:r>
          </w:p>
        </w:tc>
        <w:tc>
          <w:tcPr>
            <w:tcW w:type="dxa" w:w="19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[description]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[3 / 4]</w:t>
            </w:r>
          </w:p>
        </w:tc>
        <w:tc>
          <w:tcPr>
            <w:tcW w:type="dxa" w:w="17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[owner]</w:t>
            </w:r>
          </w:p>
        </w:tc>
        <w:tc>
          <w:tcPr>
            <w:tcW w:type="dxa" w:w="9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[date]</w:t>
            </w:r>
          </w:p>
        </w:tc>
        <w:tc>
          <w:tcPr>
            <w:tcW w:type="dxa" w:w="23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[route]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5.7 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423"/>
        <w:gridCol w:w="7591"/>
      </w:tblGrid>
      <w:tr>
        <w:trPr>
          <w:tblHeader w:val="true"/>
        </w:trPr>
        <w:tc>
          <w:tcPr>
            <w:tcW w:type="dxa" w:w="14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759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14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Decision</w:t>
            </w:r>
          </w:p>
        </w:tc>
        <w:tc>
          <w:tcPr>
            <w:tcW w:type="dxa" w:w="75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[UAT accepted / UAT accepted with the open items above / Not accepted: list of criteria not met attached]</w:t>
            </w:r>
          </w:p>
        </w:tc>
      </w:tr>
      <w:tr>
        <w:tc>
          <w:tcPr>
            <w:tcW w:type="dxa" w:w="14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Effect</w:t>
            </w:r>
          </w:p>
        </w:tc>
        <w:tc>
          <w:tcPr>
            <w:tcW w:type="dxa" w:w="75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sign-off milestone reached; the 40% implementation or onboarding payment is invoiced under the SOW</w:t>
            </w:r>
          </w:p>
        </w:tc>
      </w:tr>
      <w:tr>
        <w:tc>
          <w:tcPr>
            <w:tcW w:type="dxa" w:w="14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Next step</w:t>
            </w:r>
          </w:p>
        </w:tc>
        <w:tc>
          <w:tcPr>
            <w:tcW w:type="dxa" w:w="75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Go/no-go checkpoint 1 on [date]; planned go-live on [date]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5.8 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917"/>
        <w:gridCol w:w="1652"/>
        <w:gridCol w:w="1539"/>
        <w:gridCol w:w="907"/>
      </w:tblGrid>
      <w:tr>
        <w:trPr>
          <w:tblHeader w:val="true"/>
        </w:trPr>
        <w:tc>
          <w:tcPr>
            <w:tcW w:type="dxa" w:w="491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Role</w:t>
            </w:r>
          </w:p>
        </w:tc>
        <w:tc>
          <w:tcPr>
            <w:tcW w:type="dxa" w:w="165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Name</w:t>
            </w:r>
          </w:p>
        </w:tc>
        <w:tc>
          <w:tcPr>
            <w:tcW w:type="dxa" w:w="153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Signature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Date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owner, Sales &amp; Marketing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owner, Processing Team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owner, Operations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owner, Claims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Manager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System Administrator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sponsor (accepts for the Client)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[name, title]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project manager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Form 2: Go-live Acceptance Certificate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Project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097"/>
        <w:gridCol w:w="4917"/>
      </w:tblGrid>
      <w:tr>
        <w:trPr>
          <w:tblHeader w:val="true"/>
        </w:trPr>
        <w:tc>
          <w:tcPr>
            <w:tcW w:type="dxa" w:w="409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491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Certificate no.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[GL-year-number]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Project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 implementation for [Client legal name]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 and Order Form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 dated [date]; Order Form no. [number]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Sign-off Certificate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[UAT-year-number], signed or deemed accepted on [date]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Production environment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[AWS Singapore / Azure Southeast Asia / local partner / Client hosted], release [release tag]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 decision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Steering committee meeting of [date], minutes ref. [reference]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 date (first day of transactions)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Submitted by iorta TechNXT on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Go/no-go criteria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are the criteria of the Data Migration and Cutover Plan, confirmed at the final go/no-go checkpoint.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4295"/>
        <w:gridCol w:w="963"/>
        <w:gridCol w:w="2849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429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Criterion</w:t>
            </w:r>
          </w:p>
        </w:tc>
        <w:tc>
          <w:tcPr>
            <w:tcW w:type="dxa" w:w="96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Met</w:t>
            </w:r>
          </w:p>
        </w:tc>
        <w:tc>
          <w:tcPr>
            <w:tcW w:type="dxa" w:w="284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Evidence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signed off by each process owner; no open severity 1 or 2 defect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Sign-off Certificate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Final load reconciled: policy, open item and trial balance control figures agree exactly, or each difference explained and accepted in writing by the Accounting Manager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Final reconciliation report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Premiums Receivable equals the open items loaded; Due to Insurers reconciled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Reconciliation report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All users trained in their role and able to sign in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Attendance and assessment lists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Cutover checklist items 1 to 20 done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Signed cutover checklist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Hypercare team and support contacts in place for the first week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Hypercare roster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7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Rollback plan confirmed; old system available read-only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Rollback plan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Go-live criteria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are the acceptance criteria of the Go-live phase in the SOW, checked in the first business days after the Go-Live date.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3906"/>
        <w:gridCol w:w="907"/>
        <w:gridCol w:w="3294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390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Criterion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Met</w:t>
            </w:r>
          </w:p>
        </w:tc>
        <w:tc>
          <w:tcPr>
            <w:tcW w:type="dxa" w:w="329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Evidence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signed in and transacting in production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Sign-in history; Production Register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First official receipts issued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Receipts Register, first number [number]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First remittance to insurers processed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reference 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First bank statement imported for each bank account in use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reconciliation reference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jobs and e-mail sending on and checked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Schedules screen; E-mail Outbox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 communication sent to users, insurers and banks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6.4  Dates set by this certificate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362"/>
        <w:gridCol w:w="4652"/>
      </w:tblGrid>
      <w:tr>
        <w:trPr>
          <w:tblHeader w:val="true"/>
        </w:trPr>
        <w:tc>
          <w:tcPr>
            <w:tcW w:type="dxa" w:w="436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65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Date or effect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or onboarding payment, 20%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Invoiced on the Go-Live date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Perpetual Licence Fee, 100% (perpetual model)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Invoiced on the Go-Live date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Subscription Monthly Fee (subscription model)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Billed monthly in advance from the Go-Live date, first month prorated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Warranty Period (perpetual model)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12 months, from [date] to [date]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AMC start (perpetual model)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First day of Year 2: [date]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Hypercare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From the Go-Live date until the Hypercare Exit and Handover to Support Certificate; planned exit [date], extended to cover the first month-end close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Rollback window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Until the end of the first business week: [date]; after that, fix forward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6.5  Open items at go-live (severity 3 and 4 only)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2835"/>
        <w:gridCol w:w="1627"/>
        <w:gridCol w:w="1422"/>
        <w:gridCol w:w="2223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#</w:t>
            </w:r>
          </w:p>
        </w:tc>
        <w:tc>
          <w:tcPr>
            <w:tcW w:type="dxa" w:w="283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Defect or item</w:t>
            </w:r>
          </w:p>
        </w:tc>
        <w:tc>
          <w:tcPr>
            <w:tcW w:type="dxa" w:w="162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Severity</w:t>
            </w:r>
          </w:p>
        </w:tc>
        <w:tc>
          <w:tcPr>
            <w:tcW w:type="dxa" w:w="142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Owner</w:t>
            </w:r>
          </w:p>
        </w:tc>
        <w:tc>
          <w:tcPr>
            <w:tcW w:type="dxa" w:w="22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Target date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[description]</w:t>
            </w:r>
          </w:p>
        </w:tc>
        <w:tc>
          <w:tcPr>
            <w:tcW w:type="dxa" w:w="16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[3 / 4]</w:t>
            </w:r>
          </w:p>
        </w:tc>
        <w:tc>
          <w:tcPr>
            <w:tcW w:type="dxa" w:w="142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[owner]</w:t>
            </w:r>
          </w:p>
        </w:tc>
        <w:tc>
          <w:tcPr>
            <w:tcW w:type="dxa" w:w="22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[date]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[description]</w:t>
            </w:r>
          </w:p>
        </w:tc>
        <w:tc>
          <w:tcPr>
            <w:tcW w:type="dxa" w:w="16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[3 / 4]</w:t>
            </w:r>
          </w:p>
        </w:tc>
        <w:tc>
          <w:tcPr>
            <w:tcW w:type="dxa" w:w="142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[owner]</w:t>
            </w:r>
          </w:p>
        </w:tc>
        <w:tc>
          <w:tcPr>
            <w:tcW w:type="dxa" w:w="22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6.6 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358"/>
        <w:gridCol w:w="6657"/>
      </w:tblGrid>
      <w:tr>
        <w:trPr>
          <w:tblHeader w:val="true"/>
        </w:trPr>
        <w:tc>
          <w:tcPr>
            <w:tcW w:type="dxa" w:w="235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665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235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Decision</w:t>
            </w:r>
          </w:p>
        </w:tc>
        <w:tc>
          <w:tcPr>
            <w:tcW w:type="dxa" w:w="665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[Go-live accepted / Go-live accepted with the open items above / Not accepted: reasons attached]</w:t>
            </w:r>
          </w:p>
        </w:tc>
      </w:tr>
      <w:tr>
        <w:tc>
          <w:tcPr>
            <w:tcW w:type="dxa" w:w="235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Deemed acceptance</w:t>
            </w:r>
          </w:p>
        </w:tc>
        <w:tc>
          <w:tcPr>
            <w:tcW w:type="dxa" w:w="665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If not signed or objected to within 5 Business Days of submission, go-live is deemed accepted under the SOW. Use of the Platform in production for the Client's business is also deemed acceptance.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6.7 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174"/>
        <w:gridCol w:w="1514"/>
        <w:gridCol w:w="1419"/>
        <w:gridCol w:w="907"/>
      </w:tblGrid>
      <w:tr>
        <w:trPr>
          <w:tblHeader w:val="true"/>
        </w:trPr>
        <w:tc>
          <w:tcPr>
            <w:tcW w:type="dxa" w:w="517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Role</w:t>
            </w:r>
          </w:p>
        </w:tc>
        <w:tc>
          <w:tcPr>
            <w:tcW w:type="dxa" w:w="151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Name</w:t>
            </w:r>
          </w:p>
        </w:tc>
        <w:tc>
          <w:tcPr>
            <w:tcW w:type="dxa" w:w="141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Signature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Date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Manager (financial reconciliation)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project manager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sponsor (accepts for the Client)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[name, title]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project manager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head of delivery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</w:tbl>
    <w:p>
      <w:pPr>
        <w:spacing w:after="80"/>
      </w:pPr>
    </w:p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7.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Review and completion by the parties' legal counsel before first use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Open</w:t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