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Negotiation Playbook</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Negotiation Playbook</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INTERNAL: not for clients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INTERNAL: not for clients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3797_4195859891">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53799_4195859891">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53801_4195859891">
            <w:r>
              <w:rPr>
                <w:webHidden/>
                <w:rStyle w:val="IndexLink"/>
              </w:rPr>
              <w:t>3. Purpose and handling</w:t>
              <w:tab/>
              <w:t>4</w:t>
            </w:r>
          </w:hyperlink>
        </w:p>
        <w:p>
          <w:pPr>
            <w:pStyle w:val="TOC1"/>
            <w:tabs>
              <w:tab w:val="clear" w:pos="900"/>
              <w:tab w:val="clear" w:pos="9350"/>
              <w:tab w:val="right" w:pos="9025" w:leader="dot"/>
            </w:tabs>
            <w:rPr/>
          </w:pPr>
          <w:hyperlink w:anchor="__RefHeading___Toc53803_4195859891">
            <w:r>
              <w:rPr>
                <w:webHidden/>
                <w:rStyle w:val="IndexLink"/>
              </w:rPr>
              <w:t>4. Principles</w:t>
              <w:tab/>
              <w:t>5</w:t>
            </w:r>
          </w:hyperlink>
        </w:p>
        <w:p>
          <w:pPr>
            <w:pStyle w:val="TOC1"/>
            <w:tabs>
              <w:tab w:val="clear" w:pos="900"/>
              <w:tab w:val="clear" w:pos="9350"/>
              <w:tab w:val="right" w:pos="9025" w:leader="dot"/>
            </w:tabs>
            <w:rPr/>
          </w:pPr>
          <w:hyperlink w:anchor="__RefHeading___Toc53805_4195859891">
            <w:r>
              <w:rPr>
                <w:webHidden/>
                <w:rStyle w:val="IndexLink"/>
              </w:rPr>
              <w:t>5. Approval matrix</w:t>
              <w:tab/>
              <w:t>6</w:t>
            </w:r>
          </w:hyperlink>
        </w:p>
        <w:p>
          <w:pPr>
            <w:pStyle w:val="TOC2"/>
            <w:tabs>
              <w:tab w:val="clear" w:pos="900"/>
              <w:tab w:val="clear" w:pos="9350"/>
              <w:tab w:val="right" w:pos="9025" w:leader="dot"/>
            </w:tabs>
            <w:rPr/>
          </w:pPr>
          <w:hyperlink w:anchor="__RefHeading___Toc53807_4195859891">
            <w:r>
              <w:rPr>
                <w:webHidden/>
                <w:rStyle w:val="IndexLink"/>
              </w:rPr>
              <w:t>5.1 Maximum discount off list by approver</w:t>
              <w:tab/>
              <w:t>6</w:t>
            </w:r>
          </w:hyperlink>
        </w:p>
        <w:p>
          <w:pPr>
            <w:pStyle w:val="TOC2"/>
            <w:tabs>
              <w:tab w:val="clear" w:pos="900"/>
              <w:tab w:val="clear" w:pos="9350"/>
              <w:tab w:val="right" w:pos="9025" w:leader="dot"/>
            </w:tabs>
            <w:rPr/>
          </w:pPr>
          <w:hyperlink w:anchor="__RefHeading___Toc53809_4195859891">
            <w:r>
              <w:rPr>
                <w:webHidden/>
                <w:rStyle w:val="IndexLink"/>
              </w:rPr>
              <w:t>5.2 Recording the approval</w:t>
              <w:tab/>
              <w:t>6</w:t>
            </w:r>
          </w:hyperlink>
        </w:p>
        <w:p>
          <w:pPr>
            <w:pStyle w:val="TOC1"/>
            <w:tabs>
              <w:tab w:val="clear" w:pos="900"/>
              <w:tab w:val="clear" w:pos="9350"/>
              <w:tab w:val="right" w:pos="9025" w:leader="dot"/>
            </w:tabs>
            <w:rPr/>
          </w:pPr>
          <w:hyperlink w:anchor="__RefHeading___Toc53811_4195859891">
            <w:r>
              <w:rPr>
                <w:webHidden/>
                <w:rStyle w:val="IndexLink"/>
              </w:rPr>
              <w:t>6. Floor prices</w:t>
              <w:tab/>
              <w:t>7</w:t>
            </w:r>
          </w:hyperlink>
        </w:p>
        <w:p>
          <w:pPr>
            <w:pStyle w:val="TOC2"/>
            <w:tabs>
              <w:tab w:val="clear" w:pos="900"/>
              <w:tab w:val="clear" w:pos="9350"/>
              <w:tab w:val="right" w:pos="9025" w:leader="dot"/>
            </w:tabs>
            <w:rPr/>
          </w:pPr>
          <w:hyperlink w:anchor="__RefHeading___Toc53813_4195859891">
            <w:r>
              <w:rPr>
                <w:webHidden/>
                <w:rStyle w:val="IndexLink"/>
              </w:rPr>
              <w:t>6.1 Rates at the floor</w:t>
              <w:tab/>
              <w:t>7</w:t>
            </w:r>
          </w:hyperlink>
        </w:p>
        <w:p>
          <w:pPr>
            <w:pStyle w:val="TOC2"/>
            <w:tabs>
              <w:tab w:val="clear" w:pos="900"/>
              <w:tab w:val="clear" w:pos="9350"/>
              <w:tab w:val="right" w:pos="9025" w:leader="dot"/>
            </w:tabs>
            <w:rPr/>
          </w:pPr>
          <w:hyperlink w:anchor="__RefHeading___Toc53815_4195859891">
            <w:r>
              <w:rPr>
                <w:webHidden/>
                <w:rStyle w:val="IndexLink"/>
              </w:rPr>
              <w:t>6.2 Pre-set packages at list and at the floor</w:t>
              <w:tab/>
              <w:t>7</w:t>
            </w:r>
          </w:hyperlink>
        </w:p>
        <w:p>
          <w:pPr>
            <w:pStyle w:val="TOC1"/>
            <w:tabs>
              <w:tab w:val="clear" w:pos="900"/>
              <w:tab w:val="clear" w:pos="9350"/>
              <w:tab w:val="right" w:pos="9025" w:leader="dot"/>
            </w:tabs>
            <w:rPr/>
          </w:pPr>
          <w:hyperlink w:anchor="__RefHeading___Toc53817_4195859891">
            <w:r>
              <w:rPr>
                <w:webHidden/>
                <w:rStyle w:val="IndexLink"/>
              </w:rPr>
              <w:t>7. Give and get levers</w:t>
              <w:tab/>
              <w:t>8</w:t>
            </w:r>
          </w:hyperlink>
        </w:p>
        <w:p>
          <w:pPr>
            <w:pStyle w:val="TOC2"/>
            <w:tabs>
              <w:tab w:val="clear" w:pos="900"/>
              <w:tab w:val="clear" w:pos="9350"/>
              <w:tab w:val="right" w:pos="9025" w:leader="dot"/>
            </w:tabs>
            <w:rPr/>
          </w:pPr>
          <w:hyperlink w:anchor="__RefHeading___Toc53819_4195859891">
            <w:r>
              <w:rPr>
                <w:webHidden/>
                <w:rStyle w:val="IndexLink"/>
              </w:rPr>
              <w:t>7.1 How to use the levers</w:t>
              <w:tab/>
              <w:t>8</w:t>
            </w:r>
          </w:hyperlink>
        </w:p>
        <w:p>
          <w:pPr>
            <w:pStyle w:val="TOC1"/>
            <w:tabs>
              <w:tab w:val="clear" w:pos="900"/>
              <w:tab w:val="clear" w:pos="9350"/>
              <w:tab w:val="right" w:pos="9025" w:leader="dot"/>
            </w:tabs>
            <w:rPr/>
          </w:pPr>
          <w:hyperlink w:anchor="__RefHeading___Toc53821_4195859891">
            <w:r>
              <w:rPr>
                <w:webHidden/>
                <w:rStyle w:val="IndexLink"/>
              </w:rPr>
              <w:t>8. Typical client positions and answers</w:t>
              <w:tab/>
              <w:t>9</w:t>
            </w:r>
          </w:hyperlink>
        </w:p>
        <w:p>
          <w:pPr>
            <w:pStyle w:val="TOC1"/>
            <w:tabs>
              <w:tab w:val="clear" w:pos="900"/>
              <w:tab w:val="clear" w:pos="9350"/>
              <w:tab w:val="right" w:pos="9025" w:leader="dot"/>
            </w:tabs>
            <w:rPr/>
          </w:pPr>
          <w:hyperlink w:anchor="__RefHeading___Toc53823_4195859891">
            <w:r>
              <w:rPr>
                <w:webHidden/>
                <w:rStyle w:val="IndexLink"/>
              </w:rPr>
              <w:t>9. Contract positions</w:t>
              <w:tab/>
              <w:t>10</w:t>
            </w:r>
          </w:hyperlink>
        </w:p>
        <w:p>
          <w:pPr>
            <w:pStyle w:val="TOC1"/>
            <w:tabs>
              <w:tab w:val="clear" w:pos="900"/>
              <w:tab w:val="clear" w:pos="9350"/>
              <w:tab w:val="right" w:pos="9025" w:leader="dot"/>
            </w:tabs>
            <w:rPr/>
          </w:pPr>
          <w:hyperlink w:anchor="__RefHeading___Toc53825_4195859891">
            <w:r>
              <w:rPr>
                <w:webHidden/>
                <w:rStyle w:val="IndexLink"/>
              </w:rPr>
              <w:t>10. Process and documents</w:t>
              <w:tab/>
              <w:t>11</w:t>
            </w:r>
          </w:hyperlink>
        </w:p>
        <w:p>
          <w:pPr>
            <w:pStyle w:val="TOC1"/>
            <w:tabs>
              <w:tab w:val="clear" w:pos="900"/>
              <w:tab w:val="clear" w:pos="9350"/>
              <w:tab w:val="right" w:pos="9025" w:leader="dot"/>
            </w:tabs>
            <w:rPr/>
          </w:pPr>
          <w:hyperlink w:anchor="__RefHeading___Toc53827_4195859891">
            <w:r>
              <w:rPr>
                <w:webHidden/>
                <w:rStyle w:val="IndexLink"/>
              </w:rPr>
              <w:t>11. Owner decisions open</w:t>
              <w:tab/>
              <w:t>12</w:t>
            </w:r>
          </w:hyperlink>
        </w:p>
        <w:p>
          <w:pPr>
            <w:pStyle w:val="TOC1"/>
            <w:tabs>
              <w:tab w:val="clear" w:pos="900"/>
              <w:tab w:val="clear" w:pos="9350"/>
              <w:tab w:val="right" w:pos="9025" w:leader="dot"/>
            </w:tabs>
            <w:rPr/>
          </w:pPr>
          <w:hyperlink w:anchor="__RefHeading___Toc53829_4195859891">
            <w:r>
              <w:rPr>
                <w:webHidden/>
                <w:rStyle w:val="IndexLink"/>
                <w:i w:val="false"/>
                <w:iCs w:val="false"/>
              </w:rPr>
              <w:t>12. Document Sign-Off</w:t>
            </w:r>
            <w:r>
              <w:rPr>
                <w:rStyle w:val="IndexLink"/>
              </w:rPr>
              <w:tab/>
              <w:t>13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53797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53799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Chief executive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SH</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Sales head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53801_4195859891"/>
      <w:bookmarkEnd w:id="6"/>
      <w:r>
        <w:rPr>
          <w:rFonts w:eastAsia="Segoe UI" w:cs="Segoe UI" w:ascii="Segoe UI" w:hAnsi="Segoe UI"/>
          <w:b/>
          <w:color w:val="0F4761"/>
          <w:sz w:val="32"/>
        </w:rPr>
        <w:t>3.  Purpose and handling</w:t>
      </w:r>
    </w:p>
    <w:p>
      <w:pPr>
        <w:pStyle w:val="Normal"/>
        <w:spacing w:lineRule="auto" w:line="276" w:before="0" w:after="120"/>
        <w:rPr/>
      </w:pPr>
      <w:r>
        <w:rPr>
          <w:rFonts w:eastAsia="Segoe UI" w:cs="Segoe UI" w:ascii="Segoe UI" w:hAnsi="Segoe UI"/>
          <w:color w:val="101820"/>
          <w:sz w:val="21"/>
        </w:rPr>
        <w:t xml:space="preserve">This playbook tells the iorta TechNXT Corp. sales team how far it may move on the price of iNXT BrokerVerse OOTB, who approves each step, and what to ask for in return. It goes with the price book workbook </w:t>
      </w:r>
      <w:r>
        <w:rPr>
          <w:rFonts w:eastAsia="Consolas" w:cs="Consolas" w:ascii="Consolas" w:hAnsi="Consolas"/>
          <w:color w:val="101820"/>
          <w:sz w:val="19"/>
        </w:rPr>
        <w:t>iNXT_BrokerVerse_Price_Book.xlsx</w:t>
      </w:r>
      <w:r>
        <w:rPr>
          <w:rFonts w:eastAsia="Segoe UI" w:cs="Segoe UI" w:ascii="Segoe UI" w:hAnsi="Segoe UI"/>
          <w:color w:val="101820"/>
          <w:sz w:val="21"/>
        </w:rPr>
        <w:t xml:space="preserve"> (Negotiation and Pre-set Packages sheets).</w:t>
      </w:r>
    </w:p>
    <w:p>
      <w:pPr>
        <w:pStyle w:val="Normal"/>
        <w:shd w:val="clear" w:color="auto" w:fill="EAF2FB"/>
        <w:spacing w:before="0" w:after="160"/>
        <w:ind w:left="170"/>
        <w:rPr/>
      </w:pPr>
      <w:r>
        <w:rPr>
          <w:rFonts w:eastAsia="Segoe UI" w:cs="Segoe UI" w:ascii="Segoe UI" w:hAnsi="Segoe UI"/>
          <w:color w:val="101820"/>
          <w:sz w:val="20"/>
        </w:rPr>
        <w:t>INTERNAL. Do not send, forward, print for or show this document to a client or a partner. The client copy of the prices is the Rate Card. The floor prices in this document are confidential information of iorta TechNXT Corp.</w:t>
      </w:r>
    </w:p>
    <w:p>
      <w:pPr>
        <w:pStyle w:val="Normal"/>
        <w:spacing w:lineRule="auto" w:line="276" w:before="0" w:after="120"/>
        <w:rPr/>
      </w:pPr>
      <w:r>
        <w:rPr>
          <w:rFonts w:eastAsia="Segoe UI" w:cs="Segoe UI" w:ascii="Segoe UI" w:hAnsi="Segoe UI"/>
          <w:color w:val="101820"/>
          <w:sz w:val="21"/>
        </w:rPr>
        <w:t xml:space="preserve">All figures are in PHP and exclude 12% VAT. List prices are the recommended price points of the pricing workbook </w:t>
      </w:r>
      <w:r>
        <w:rPr>
          <w:rFonts w:eastAsia="Consolas" w:cs="Consolas" w:ascii="Consolas" w:hAnsi="Consolas"/>
          <w:color w:val="101820"/>
          <w:sz w:val="19"/>
        </w:rPr>
        <w:t>BrokerVerse_Commercials_and_Pricing.xlsx</w:t>
      </w:r>
      <w:r>
        <w:rPr>
          <w:rFonts w:eastAsia="Segoe UI" w:cs="Segoe UI" w:ascii="Segoe UI" w:hAnsi="Segoe UI"/>
          <w:color w:val="101820"/>
          <w:sz w:val="21"/>
        </w:rPr>
        <w:t>. Discounts are always measured against the list price of each component.</w:t>
      </w:r>
      <w:r>
        <w:br w:type="page"/>
      </w:r>
    </w:p>
    <w:p>
      <w:pPr>
        <w:pStyle w:val="Heading1"/>
        <w:rPr/>
      </w:pPr>
      <w:bookmarkStart w:id="7" w:name="__RefHeading___Toc53803_4195859891"/>
      <w:bookmarkEnd w:id="7"/>
      <w:r>
        <w:rPr>
          <w:rFonts w:eastAsia="Segoe UI" w:cs="Segoe UI" w:ascii="Segoe UI" w:hAnsi="Segoe UI"/>
          <w:b/>
          <w:color w:val="0F4761"/>
          <w:sz w:val="32"/>
        </w:rPr>
        <w:t>4.  Principles</w:t>
      </w:r>
    </w:p>
    <w:p>
      <w:pPr>
        <w:pStyle w:val="Normal"/>
        <w:numPr>
          <w:ilvl w:val="0"/>
          <w:numId w:val="1"/>
        </w:numPr>
        <w:spacing w:before="0" w:after="60"/>
        <w:rPr/>
      </w:pPr>
      <w:r>
        <w:rPr>
          <w:rFonts w:eastAsia="Segoe UI" w:cs="Segoe UI" w:ascii="Segoe UI" w:hAnsi="Segoe UI"/>
          <w:color w:val="101820"/>
          <w:sz w:val="21"/>
        </w:rPr>
        <w:t>Start at list price. Show the list price in every presentation and in the first quotation.</w:t>
      </w:r>
    </w:p>
    <w:p>
      <w:pPr>
        <w:pStyle w:val="Normal"/>
        <w:numPr>
          <w:ilvl w:val="0"/>
          <w:numId w:val="1"/>
        </w:numPr>
        <w:spacing w:before="0" w:after="60"/>
        <w:rPr/>
      </w:pPr>
      <w:r>
        <w:rPr>
          <w:rFonts w:eastAsia="Segoe UI" w:cs="Segoe UI" w:ascii="Segoe UI" w:hAnsi="Segoe UI"/>
          <w:color w:val="101820"/>
          <w:sz w:val="21"/>
        </w:rPr>
        <w:t>Trade, do not give. Every concession is exchanged for something of value to iorta TechNXT: term, cash timing, a reference, scope or a signing date.</w:t>
      </w:r>
    </w:p>
    <w:p>
      <w:pPr>
        <w:pStyle w:val="Normal"/>
        <w:numPr>
          <w:ilvl w:val="0"/>
          <w:numId w:val="1"/>
        </w:numPr>
        <w:spacing w:before="0" w:after="60"/>
        <w:rPr/>
      </w:pPr>
      <w:r>
        <w:rPr>
          <w:rFonts w:eastAsia="Segoe UI" w:cs="Segoe UI" w:ascii="Segoe UI" w:hAnsi="Segoe UI"/>
          <w:color w:val="101820"/>
          <w:sz w:val="21"/>
        </w:rPr>
        <w:t>Move scope before price. A smaller scope at full rate keeps the price list intact; a discount weakens it for every later deal.</w:t>
      </w:r>
    </w:p>
    <w:p>
      <w:pPr>
        <w:pStyle w:val="Normal"/>
        <w:numPr>
          <w:ilvl w:val="0"/>
          <w:numId w:val="1"/>
        </w:numPr>
        <w:spacing w:before="0" w:after="60"/>
        <w:rPr/>
      </w:pPr>
      <w:r>
        <w:rPr>
          <w:rFonts w:eastAsia="Segoe UI" w:cs="Segoe UI" w:ascii="Segoe UI" w:hAnsi="Segoe UI"/>
          <w:color w:val="101820"/>
          <w:sz w:val="21"/>
        </w:rPr>
        <w:t>Protect the recurring line. Subscription, AMC and hosting fund support for years. One-time fees can move more easily than recurring fees.</w:t>
      </w:r>
    </w:p>
    <w:p>
      <w:pPr>
        <w:pStyle w:val="Normal"/>
        <w:numPr>
          <w:ilvl w:val="0"/>
          <w:numId w:val="1"/>
        </w:numPr>
        <w:spacing w:before="0" w:after="60"/>
        <w:rPr/>
      </w:pPr>
      <w:r>
        <w:rPr>
          <w:rFonts w:eastAsia="Segoe UI" w:cs="Segoe UI" w:ascii="Segoe UI" w:hAnsi="Segoe UI"/>
          <w:color w:val="101820"/>
          <w:sz w:val="21"/>
        </w:rPr>
        <w:t>Never go below the floor. The floor is the CEO limit. Nobody can approve a price below it.</w:t>
      </w:r>
    </w:p>
    <w:p>
      <w:pPr>
        <w:pStyle w:val="Normal"/>
        <w:numPr>
          <w:ilvl w:val="0"/>
          <w:numId w:val="1"/>
        </w:numPr>
        <w:spacing w:before="0" w:after="60"/>
        <w:rPr/>
      </w:pPr>
      <w:r>
        <w:rPr>
          <w:rFonts w:eastAsia="Segoe UI" w:cs="Segoe UI" w:ascii="Segoe UI" w:hAnsi="Segoe UI"/>
          <w:color w:val="101820"/>
          <w:sz w:val="21"/>
        </w:rPr>
        <w:t>Write it down. Every discount appears as a separate line on the quotation and the Order Form, with the lever named.</w:t>
      </w:r>
      <w:r>
        <w:br w:type="page"/>
      </w:r>
    </w:p>
    <w:p>
      <w:pPr>
        <w:pStyle w:val="Heading1"/>
        <w:rPr/>
      </w:pPr>
      <w:bookmarkStart w:id="8" w:name="__RefHeading___Toc53805_4195859891"/>
      <w:bookmarkEnd w:id="8"/>
      <w:r>
        <w:rPr>
          <w:rFonts w:eastAsia="Segoe UI" w:cs="Segoe UI" w:ascii="Segoe UI" w:hAnsi="Segoe UI"/>
          <w:b/>
          <w:color w:val="0F4761"/>
          <w:sz w:val="32"/>
        </w:rPr>
        <w:t>5.  Approval matrix</w:t>
      </w:r>
    </w:p>
    <w:p>
      <w:pPr>
        <w:pStyle w:val="Heading2"/>
        <w:rPr/>
      </w:pPr>
      <w:bookmarkStart w:id="9" w:name="__RefHeading___Toc53807_4195859891"/>
      <w:bookmarkEnd w:id="9"/>
      <w:r>
        <w:rPr>
          <w:rFonts w:eastAsia="Segoe UI" w:cs="Segoe UI"/>
          <w:b/>
          <w:color w:val="0F4761"/>
          <w:sz w:val="26"/>
        </w:rPr>
        <w:t>5.1  Maximum discount off list by approver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91"/>
        <w:gridCol w:w="1288"/>
        <w:gridCol w:w="1202"/>
        <w:gridCol w:w="1203"/>
        <w:gridCol w:w="1631"/>
      </w:tblGrid>
      <w:tr>
        <w:trPr>
          <w:tblHeader w:val="true"/>
        </w:trPr>
        <w:tc>
          <w:tcPr>
            <w:tcW w:w="36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Component</w:t>
            </w:r>
          </w:p>
        </w:tc>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manager</w:t>
            </w:r>
          </w:p>
        </w:tc>
        <w:tc>
          <w:tcPr>
            <w:tcW w:w="12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Sales head</w:t>
            </w:r>
          </w:p>
        </w:tc>
        <w:tc>
          <w:tcPr>
            <w:tcW w:w="12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CEO</w:t>
            </w:r>
          </w:p>
        </w:tc>
        <w:tc>
          <w:tcPr>
            <w:tcW w:w="16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Floor (never below)</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fee</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per user per month</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or onboarding fee</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One-time optional services and 24x7 support</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per month</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requests and day rates</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rate (22%) and yearly escalation (5%)</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and 5%</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approver is set by the highest discount on any component. A deal with 4% on subscription and 7% on implementation needs the sales head.</w:t>
      </w:r>
    </w:p>
    <w:p>
      <w:pPr>
        <w:pStyle w:val="Normal"/>
        <w:numPr>
          <w:ilvl w:val="0"/>
          <w:numId w:val="1"/>
        </w:numPr>
        <w:spacing w:before="0" w:after="60"/>
        <w:rPr/>
      </w:pPr>
      <w:r>
        <w:rPr>
          <w:rFonts w:eastAsia="Segoe UI" w:cs="Segoe UI" w:ascii="Segoe UI" w:hAnsi="Segoe UI"/>
          <w:color w:val="101820"/>
          <w:sz w:val="21"/>
        </w:rPr>
        <w:t>Levers that "count toward the limit" (chapter 5) add to the discretionary discount. The total may not pass the CEO limit.</w:t>
      </w:r>
    </w:p>
    <w:p>
      <w:pPr>
        <w:pStyle w:val="Normal"/>
        <w:numPr>
          <w:ilvl w:val="0"/>
          <w:numId w:val="1"/>
        </w:numPr>
        <w:spacing w:before="0" w:after="60"/>
        <w:rPr/>
      </w:pPr>
      <w:r>
        <w:rPr>
          <w:rFonts w:eastAsia="Segoe UI" w:cs="Segoe UI" w:ascii="Segoe UI" w:hAnsi="Segoe UI"/>
          <w:color w:val="101820"/>
          <w:sz w:val="21"/>
        </w:rPr>
        <w:t>AMC follows the quoted (net) licence fee. A discount on the licence therefore also lowers the AMC. This is why the licence discount needs care.</w:t>
      </w:r>
    </w:p>
    <w:p>
      <w:pPr>
        <w:pStyle w:val="Normal"/>
        <w:numPr>
          <w:ilvl w:val="0"/>
          <w:numId w:val="1"/>
        </w:numPr>
        <w:spacing w:before="0" w:after="60"/>
        <w:rPr/>
      </w:pPr>
      <w:r>
        <w:rPr>
          <w:rFonts w:eastAsia="Segoe UI" w:cs="Segoe UI" w:ascii="Segoe UI" w:hAnsi="Segoe UI"/>
          <w:color w:val="101820"/>
          <w:sz w:val="21"/>
        </w:rPr>
        <w:t>Hosting carries a 20% margin over the estimated cloud cost. At 10% off, about 8% remains for exchange rate movement and operations. Never discount hosting to win the software deal.</w:t>
      </w:r>
    </w:p>
    <w:p>
      <w:pPr>
        <w:pStyle w:val="Heading2"/>
        <w:rPr/>
      </w:pPr>
      <w:bookmarkStart w:id="10" w:name="__RefHeading___Toc53809_4195859891"/>
      <w:bookmarkEnd w:id="10"/>
      <w:r>
        <w:rPr>
          <w:rFonts w:eastAsia="Segoe UI" w:cs="Segoe UI"/>
          <w:b/>
          <w:color w:val="0F4761"/>
          <w:sz w:val="26"/>
        </w:rPr>
        <w:t>5.2  Recording the approval</w:t>
      </w:r>
    </w:p>
    <w:p>
      <w:pPr>
        <w:pStyle w:val="Normal"/>
        <w:numPr>
          <w:ilvl w:val="0"/>
          <w:numId w:val="5"/>
        </w:numPr>
        <w:spacing w:before="0" w:after="60"/>
        <w:rPr/>
      </w:pPr>
      <w:r>
        <w:rPr>
          <w:rFonts w:eastAsia="Segoe UI" w:cs="Segoe UI" w:ascii="Segoe UI" w:hAnsi="Segoe UI"/>
          <w:color w:val="101820"/>
          <w:sz w:val="21"/>
        </w:rPr>
        <w:t>The account manager enters the discounts in the Quick Quote sheet. The sheet shows the approver needed.</w:t>
      </w:r>
    </w:p>
    <w:p>
      <w:pPr>
        <w:pStyle w:val="Normal"/>
        <w:numPr>
          <w:ilvl w:val="0"/>
          <w:numId w:val="2"/>
        </w:numPr>
        <w:spacing w:before="0" w:after="60"/>
        <w:rPr/>
      </w:pPr>
      <w:r>
        <w:rPr>
          <w:rFonts w:eastAsia="Segoe UI" w:cs="Segoe UI" w:ascii="Segoe UI" w:hAnsi="Segoe UI"/>
          <w:color w:val="101820"/>
          <w:sz w:val="21"/>
        </w:rPr>
        <w:t>The account manager sends the approver the Quick Quote, the reason, the levers offered and what the client gives in return.</w:t>
      </w:r>
    </w:p>
    <w:p>
      <w:pPr>
        <w:pStyle w:val="Normal"/>
        <w:numPr>
          <w:ilvl w:val="0"/>
          <w:numId w:val="2"/>
        </w:numPr>
        <w:spacing w:before="0" w:after="60"/>
        <w:rPr/>
      </w:pPr>
      <w:r>
        <w:rPr>
          <w:rFonts w:eastAsia="Segoe UI" w:cs="Segoe UI" w:ascii="Segoe UI" w:hAnsi="Segoe UI"/>
          <w:color w:val="101820"/>
          <w:sz w:val="21"/>
        </w:rPr>
        <w:t>The approver replies in writing (e-mail is enough). The approval is filed in the deal file before the quotation leaves iorta TechNXT.</w:t>
      </w:r>
    </w:p>
    <w:p>
      <w:pPr>
        <w:pStyle w:val="Normal"/>
        <w:numPr>
          <w:ilvl w:val="0"/>
          <w:numId w:val="2"/>
        </w:numPr>
        <w:spacing w:before="0" w:after="60"/>
        <w:rPr/>
      </w:pPr>
      <w:r>
        <w:rPr>
          <w:rFonts w:eastAsia="Segoe UI" w:cs="Segoe UI" w:ascii="Segoe UI" w:hAnsi="Segoe UI"/>
          <w:color w:val="101820"/>
          <w:sz w:val="21"/>
        </w:rPr>
        <w:t>A CEO approval also records the expected 5-year contract value at list and at the quoted price.</w:t>
      </w:r>
      <w:r>
        <w:br w:type="page"/>
      </w:r>
    </w:p>
    <w:p>
      <w:pPr>
        <w:pStyle w:val="Heading1"/>
        <w:rPr/>
      </w:pPr>
      <w:bookmarkStart w:id="11" w:name="__RefHeading___Toc53811_4195859891"/>
      <w:bookmarkEnd w:id="11"/>
      <w:r>
        <w:rPr>
          <w:rFonts w:eastAsia="Segoe UI" w:cs="Segoe UI" w:ascii="Segoe UI" w:hAnsi="Segoe UI"/>
          <w:b/>
          <w:color w:val="0F4761"/>
          <w:sz w:val="32"/>
        </w:rPr>
        <w:t>6.  Floor prices</w:t>
      </w:r>
    </w:p>
    <w:p>
      <w:pPr>
        <w:pStyle w:val="Heading2"/>
        <w:rPr/>
      </w:pPr>
      <w:bookmarkStart w:id="12" w:name="__RefHeading___Toc53813_4195859891"/>
      <w:bookmarkEnd w:id="12"/>
      <w:r>
        <w:rPr>
          <w:rFonts w:eastAsia="Segoe UI" w:cs="Segoe UI"/>
          <w:b/>
          <w:color w:val="0F4761"/>
          <w:sz w:val="26"/>
        </w:rPr>
        <w:t>6.1  Rates at the floor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2048"/>
        <w:gridCol w:w="2133"/>
        <w:gridCol w:w="2146"/>
        <w:gridCol w:w="1554"/>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20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Perpetual licence per user, slab rate (list / floor)</w:t>
            </w:r>
          </w:p>
        </w:tc>
        <w:tc>
          <w:tcPr>
            <w:tcW w:w="2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Subscription per user per month, slab rate (list / floor)</w:t>
            </w:r>
          </w:p>
        </w:tc>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Implementation, reference scope (list / floor)</w:t>
            </w:r>
          </w:p>
        </w:tc>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hosting per month (list / floor)</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90,000 / 76,500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3,200 / 2,720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 / 960,500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 / 27,000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78,000 / 66,300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2,800 / 2,380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 / 1,776,500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62,000 / 55,800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66,000 / 56,100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2,400 / 2,040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 / 3,145,000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112,000 / 100,800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54,000 / 45,900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2,000 / 1,700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 / 4,930,000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244,000 / 219,600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graduated slabs still apply at the floor: each slab rate is reduced by the floor discount.</w:t>
      </w:r>
    </w:p>
    <w:p>
      <w:pPr>
        <w:pStyle w:val="Heading2"/>
        <w:rPr/>
      </w:pPr>
      <w:bookmarkStart w:id="13" w:name="__RefHeading___Toc53815_4195859891"/>
      <w:bookmarkEnd w:id="13"/>
      <w:r>
        <w:rPr>
          <w:rFonts w:eastAsia="Segoe UI" w:cs="Segoe UI"/>
          <w:b/>
          <w:color w:val="0F4761"/>
          <w:sz w:val="26"/>
        </w:rPr>
        <w:t>6.2  Pre-set packages at list and at the floor</w:t>
      </w:r>
    </w:p>
    <w:p>
      <w:pPr>
        <w:pStyle w:val="Normal"/>
        <w:spacing w:lineRule="auto" w:line="276" w:before="0" w:after="120"/>
        <w:rPr/>
      </w:pPr>
      <w:r>
        <w:rPr>
          <w:rFonts w:eastAsia="Segoe UI" w:cs="Segoe UI" w:ascii="Segoe UI" w:hAnsi="Segoe UI"/>
          <w:color w:val="101820"/>
          <w:sz w:val="21"/>
        </w:rPr>
        <w:t>Year 1 and 5-year totals, reference users and lines of business, all components at the floor.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3"/>
        <w:gridCol w:w="1424"/>
        <w:gridCol w:w="1542"/>
        <w:gridCol w:w="1422"/>
        <w:gridCol w:w="1543"/>
      </w:tblGrid>
      <w:tr>
        <w:trPr>
          <w:tblHeader w:val="true"/>
        </w:trPr>
        <w:tc>
          <w:tcPr>
            <w:tcW w:w="30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 and 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list</w:t>
            </w:r>
          </w:p>
        </w:tc>
        <w:tc>
          <w:tcPr>
            <w:tcW w:w="15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floor</w:t>
            </w:r>
          </w:p>
        </w:tc>
        <w:tc>
          <w:tcPr>
            <w:tcW w:w="14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list</w:t>
            </w:r>
          </w:p>
        </w:tc>
        <w:tc>
          <w:tcPr>
            <w:tcW w:w="15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floor</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1,450,100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4,312,764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3,665,849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2,066,000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1,774,100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6,112,764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5,285,849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2,840,000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2,432,000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5,560,107</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4,816,091</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3,356,000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2,869,400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7,066,259</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6,090,320</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4,226,000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3,592,100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13,892,748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11,808,836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4,970,000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4,261,700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17,612,748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15,156,836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7,814,000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6,679,100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15,512,173</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13,371,347</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8,558,000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7,309,700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18,284,476</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15,718,805</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9,484,000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8,061,400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35,660,251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30,311,213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10,828,000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9,271,000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42,380,251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36,359,213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18,424,000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15,727,600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36,487,284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31,350,191</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19,564,000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16,693,600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41,460,352</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35,562,299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17,440,000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14,824,000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70,118,348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59,600,596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20,368,000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17,459,200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84,758,348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72,776,596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35,428,000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30,260,200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72,457,674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62,321,023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37,084,000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31,660,600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80,326,121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68,973,203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 the floor figures, the one-time services and the 24x7 Severity 1 support of Ownership Plus are also at 85% of list, and hosting at 90% of list.</w:t>
      </w:r>
      <w:r>
        <w:br w:type="page"/>
      </w:r>
    </w:p>
    <w:p>
      <w:pPr>
        <w:pStyle w:val="Heading1"/>
        <w:rPr/>
      </w:pPr>
      <w:bookmarkStart w:id="14" w:name="__RefHeading___Toc53817_4195859891"/>
      <w:bookmarkEnd w:id="14"/>
      <w:r>
        <w:rPr>
          <w:rFonts w:eastAsia="Segoe UI" w:cs="Segoe UI" w:ascii="Segoe UI" w:hAnsi="Segoe UI"/>
          <w:b/>
          <w:color w:val="0F4761"/>
          <w:sz w:val="32"/>
        </w:rPr>
        <w:t>7.  Give and get levers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8"/>
        <w:gridCol w:w="2613"/>
        <w:gridCol w:w="2615"/>
        <w:gridCol w:w="1123"/>
        <w:gridCol w:w="1276"/>
      </w:tblGrid>
      <w:tr>
        <w:trPr>
          <w:tblHeader w:val="true"/>
        </w:trPr>
        <w:tc>
          <w:tcPr>
            <w:tcW w:w="13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Lever</w:t>
            </w:r>
          </w:p>
        </w:tc>
        <w:tc>
          <w:tcPr>
            <w:tcW w:w="26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What iorta TechNXT gets</w:t>
            </w:r>
          </w:p>
        </w:tc>
        <w:tc>
          <w:tcPr>
            <w:tcW w:w="26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Allowed price effect</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Approver</w:t>
            </w:r>
          </w:p>
        </w:tc>
        <w:tc>
          <w:tcPr>
            <w:tcW w:w="12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Counts toward the limit</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Longer term</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3-year or 5-year committed term, no termination for convenience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 up to 3% off subscription; 5 years: up to 5%</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 (3%), SH (5%)</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Upfront payment</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paid yearly in advance, or implementation 100% on signing</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yearly in advance: up to 4% off the prepaid amount; implementation 100% on signing: up to 3%</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customer</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Named as a client, logo use, two reference calls a year</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off licence or subscription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Case study</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Joint published case study within 6 months of go-live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or a PHP 100,000.00 credit against change requests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Multi-year AMC prepayment</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for 3 years paid at the start of the AMC term</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for the prepaid years held at the first AMC year rate (about 5% of the prepaid AMC)</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CEO</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(AMC lever)</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Reduced scope</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Fewer lines of business at go-live, broker loads its own data, remote training only</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falls by the man-days removed at the blended rate (6 man-days per line of business)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(not a discount)</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Phased users</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for the full user count, delivered in tranches</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per tranche; slab prices locked for 24 months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Signing date</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Order Form signed by a stated date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off licence or subscription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Onboarding reduction</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5-year subscription term</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Onboarding fee at 90% of the implementation fee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bl>
    <w:p>
      <w:pPr>
        <w:pStyle w:val="Normal"/>
        <w:spacing w:before="0" w:after="80"/>
        <w:rPr/>
      </w:pPr>
      <w:r>
        <w:rPr/>
      </w:r>
    </w:p>
    <w:p>
      <w:pPr>
        <w:pStyle w:val="Heading2"/>
        <w:rPr/>
      </w:pPr>
      <w:bookmarkStart w:id="15" w:name="__RefHeading___Toc53819_4195859891"/>
      <w:bookmarkEnd w:id="15"/>
      <w:r>
        <w:rPr>
          <w:rFonts w:eastAsia="Segoe UI" w:cs="Segoe UI"/>
          <w:b/>
          <w:color w:val="0F4761"/>
          <w:sz w:val="26"/>
        </w:rPr>
        <w:t>7.1  How to use the levers</w:t>
      </w:r>
    </w:p>
    <w:p>
      <w:pPr>
        <w:pStyle w:val="Normal"/>
        <w:numPr>
          <w:ilvl w:val="0"/>
          <w:numId w:val="1"/>
        </w:numPr>
        <w:spacing w:before="0" w:after="60"/>
        <w:rPr/>
      </w:pPr>
      <w:r>
        <w:rPr>
          <w:rFonts w:eastAsia="Segoe UI" w:cs="Segoe UI" w:ascii="Segoe UI" w:hAnsi="Segoe UI"/>
          <w:color w:val="101820"/>
          <w:sz w:val="21"/>
        </w:rPr>
        <w:t>Offer one lever at a time and ask for the get first: "If you can sign a 3-year term, I can take 3% off the subscription."</w:t>
      </w:r>
    </w:p>
    <w:p>
      <w:pPr>
        <w:pStyle w:val="Normal"/>
        <w:numPr>
          <w:ilvl w:val="0"/>
          <w:numId w:val="1"/>
        </w:numPr>
        <w:spacing w:before="0" w:after="60"/>
        <w:rPr/>
      </w:pPr>
      <w:r>
        <w:rPr>
          <w:rFonts w:eastAsia="Segoe UI" w:cs="Segoe UI" w:ascii="Segoe UI" w:hAnsi="Segoe UI"/>
          <w:color w:val="101820"/>
          <w:sz w:val="21"/>
        </w:rPr>
        <w:t>Do not stack more than three levers on one deal without the sales head.</w:t>
      </w:r>
    </w:p>
    <w:p>
      <w:pPr>
        <w:pStyle w:val="Normal"/>
        <w:numPr>
          <w:ilvl w:val="0"/>
          <w:numId w:val="1"/>
        </w:numPr>
        <w:spacing w:before="0" w:after="60"/>
        <w:rPr/>
      </w:pPr>
      <w:r>
        <w:rPr>
          <w:rFonts w:eastAsia="Segoe UI" w:cs="Segoe UI" w:ascii="Segoe UI" w:hAnsi="Segoe UI"/>
          <w:color w:val="101820"/>
          <w:sz w:val="21"/>
        </w:rPr>
        <w:t>A lever lapses if the get is not delivered: a missed prepayment, a withdrawn reference or a late signature returns the price to the level before the lever. Write this into the Order Form.</w:t>
      </w:r>
    </w:p>
    <w:p>
      <w:pPr>
        <w:pStyle w:val="Normal"/>
        <w:numPr>
          <w:ilvl w:val="0"/>
          <w:numId w:val="1"/>
        </w:numPr>
        <w:spacing w:before="0" w:after="60"/>
        <w:rPr/>
      </w:pPr>
      <w:r>
        <w:rPr>
          <w:rFonts w:eastAsia="Segoe UI" w:cs="Segoe UI" w:ascii="Segoe UI" w:hAnsi="Segoe UI"/>
          <w:color w:val="101820"/>
          <w:sz w:val="21"/>
        </w:rPr>
        <w:t>Reduced scope must be real. Removed lines of business are added later at PHP 100,000.00 per line; removed data migration is added later at PHP 240,000.00 per legacy source.</w:t>
      </w:r>
    </w:p>
    <w:p>
      <w:pPr>
        <w:pStyle w:val="Normal"/>
        <w:numPr>
          <w:ilvl w:val="0"/>
          <w:numId w:val="1"/>
        </w:numPr>
        <w:spacing w:before="0" w:after="60"/>
        <w:rPr/>
      </w:pPr>
      <w:r>
        <w:rPr>
          <w:rFonts w:eastAsia="Segoe UI" w:cs="Segoe UI" w:ascii="Segoe UI" w:hAnsi="Segoe UI"/>
          <w:color w:val="101820"/>
          <w:sz w:val="21"/>
        </w:rPr>
        <w:t>Phasing keeps the minimum billable users of the size for subscription.</w:t>
      </w:r>
      <w:r>
        <w:br w:type="page"/>
      </w:r>
    </w:p>
    <w:p>
      <w:pPr>
        <w:pStyle w:val="Heading1"/>
        <w:rPr/>
      </w:pPr>
      <w:bookmarkStart w:id="16" w:name="__RefHeading___Toc53821_4195859891"/>
      <w:bookmarkEnd w:id="16"/>
      <w:r>
        <w:rPr>
          <w:rFonts w:eastAsia="Segoe UI" w:cs="Segoe UI" w:ascii="Segoe UI" w:hAnsi="Segoe UI"/>
          <w:b/>
          <w:color w:val="0F4761"/>
          <w:sz w:val="32"/>
        </w:rPr>
        <w:t>8.  Typical client positions and answers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11"/>
        <w:gridCol w:w="4702"/>
      </w:tblGrid>
      <w:tr>
        <w:trPr>
          <w:tblHeader w:val="true"/>
        </w:trPr>
        <w:tc>
          <w:tcPr>
            <w:tcW w:w="43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 position</w:t>
            </w:r>
          </w:p>
        </w:tc>
        <w:tc>
          <w:tcPr>
            <w:tcW w:w="47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Answer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subscription is too high."</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 the per-user price against the market (USD 32 to 51 per user per month against USD 125 to 300 for global broker systems), then offer the 3-year term lever.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 cannot pay the implementation up front."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is already 40/40/20 by milestone. Offer phased users or reduced scope at go-live rather than a discount.</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"Our IT will host it."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 the Essentials package. Hosting is never bundled into the software price. Offer set-up support at day rates.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"Waive the AMC."</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is not discounted. Offer the 12-month warranty already included, or the multi-year AMC prepayment lever.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"Remove the yearly 5% increase."</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escalation stays. The multi-year AMC prepayment lever holds it for the prepaid years only.</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vendor is cheaper."</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for the scope compared: Philippine taxes, BIR working papers, remittance and reconciliation are included here. Do not match a price without a like-for-like scope.</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few customisations for free."</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Customisation is a change request at day rates. A free item counts as a 100% discount on that item and needs approval within the limits.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must stay in the Philippines."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the local partner hosting option. It costs less than AWS or Azure in the price list.</w:t>
            </w:r>
          </w:p>
        </w:tc>
      </w:tr>
    </w:tbl>
    <w:p>
      <w:pPr>
        <w:pStyle w:val="Normal"/>
        <w:spacing w:before="0" w:after="80"/>
        <w:rPr/>
      </w:pPr>
      <w:r>
        <w:rPr/>
      </w:r>
      <w:r>
        <w:br w:type="page"/>
      </w:r>
    </w:p>
    <w:p>
      <w:pPr>
        <w:pStyle w:val="Heading1"/>
        <w:rPr/>
      </w:pPr>
      <w:bookmarkStart w:id="17" w:name="__RefHeading___Toc53823_4195859891"/>
      <w:bookmarkEnd w:id="17"/>
      <w:r>
        <w:rPr>
          <w:rFonts w:eastAsia="Segoe UI" w:cs="Segoe UI" w:ascii="Segoe UI" w:hAnsi="Segoe UI"/>
          <w:b/>
          <w:color w:val="0F4761"/>
          <w:sz w:val="32"/>
        </w:rPr>
        <w:t>9.  Contract positions</w:t>
      </w:r>
    </w:p>
    <w:p>
      <w:pPr>
        <w:pStyle w:val="Normal"/>
        <w:spacing w:lineRule="auto" w:line="276" w:before="0" w:after="120"/>
        <w:rPr/>
      </w:pPr>
      <w:r>
        <w:rPr>
          <w:rFonts w:eastAsia="Segoe UI" w:cs="Segoe UI" w:ascii="Segoe UI" w:hAnsi="Segoe UI"/>
          <w:color w:val="101820"/>
          <w:sz w:val="21"/>
        </w:rPr>
        <w:t>The price is only part of the deal. The following positions protect the value of the contract. Changes to them need the approval shown.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71"/>
        <w:gridCol w:w="4556"/>
        <w:gridCol w:w="2087"/>
      </w:tblGrid>
      <w:tr>
        <w:trPr>
          <w:tblHeader w:val="true"/>
        </w:trPr>
        <w:tc>
          <w:tcPr>
            <w:tcW w:w="23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Position</w:t>
            </w:r>
          </w:p>
        </w:tc>
        <w:tc>
          <w:tcPr>
            <w:tcW w:w="4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c>
          <w:tcPr>
            <w:tcW w:w="2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may change it</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Limitation of liability</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Fees paid and payable in the 12 months before the event giving rise to the claim (as in the MSA); no indirect or consequential loss</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Platform IP</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retains all rights in the platform; the client owns its data</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negotiable</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term</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days from invoice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 up to 45 days</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Suspension</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and hosting after 60 days of non-payment, with notice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minimum term</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negotiable</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Auto-renewal</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after the initial term, 90 days' notice to stop</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at the client's cost, perpetual licence only</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credits</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Capped at 10% of the monthly fee of the affected service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Governing law and venue</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law; dispute steps of the MSA</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bl>
    <w:p>
      <w:pPr>
        <w:pStyle w:val="Normal"/>
        <w:spacing w:before="0" w:after="80"/>
        <w:rPr/>
      </w:pPr>
      <w:r>
        <w:rPr/>
      </w:r>
      <w:r>
        <w:br w:type="page"/>
      </w:r>
    </w:p>
    <w:p>
      <w:pPr>
        <w:pStyle w:val="Heading1"/>
        <w:rPr/>
      </w:pPr>
      <w:bookmarkStart w:id="18" w:name="__RefHeading___Toc53825_4195859891"/>
      <w:bookmarkEnd w:id="18"/>
      <w:r>
        <w:rPr>
          <w:rFonts w:eastAsia="Segoe UI" w:cs="Segoe UI" w:ascii="Segoe UI" w:hAnsi="Segoe UI"/>
          <w:b/>
          <w:color w:val="0F4761"/>
          <w:sz w:val="32"/>
        </w:rPr>
        <w:t>10.  Process and documents</w:t>
      </w:r>
    </w:p>
    <w:p>
      <w:pPr>
        <w:pStyle w:val="Normal"/>
        <w:numPr>
          <w:ilvl w:val="0"/>
          <w:numId w:val="6"/>
        </w:numPr>
        <w:spacing w:before="0" w:after="60"/>
        <w:rPr/>
      </w:pPr>
      <w:r>
        <w:rPr>
          <w:rFonts w:eastAsia="Segoe UI" w:cs="Segoe UI" w:ascii="Segoe UI" w:hAnsi="Segoe UI"/>
          <w:color w:val="101820"/>
          <w:sz w:val="21"/>
        </w:rPr>
        <w:t>Present with the Quick Quote at list price and the Rate Card.</w:t>
      </w:r>
    </w:p>
    <w:p>
      <w:pPr>
        <w:pStyle w:val="Normal"/>
        <w:numPr>
          <w:ilvl w:val="0"/>
          <w:numId w:val="7"/>
        </w:numPr>
        <w:spacing w:before="0" w:after="60"/>
        <w:rPr/>
      </w:pPr>
      <w:r>
        <w:rPr>
          <w:rFonts w:eastAsia="Segoe UI" w:cs="Segoe UI" w:ascii="Segoe UI" w:hAnsi="Segoe UI"/>
          <w:color w:val="101820"/>
          <w:sz w:val="21"/>
        </w:rPr>
        <w:t>Send the quotation (Quick Quote print area) with the Validity and Terms sheet within 2 business days of the meeting.</w:t>
      </w:r>
    </w:p>
    <w:p>
      <w:pPr>
        <w:pStyle w:val="Normal"/>
        <w:numPr>
          <w:ilvl w:val="0"/>
          <w:numId w:val="8"/>
        </w:numPr>
        <w:spacing w:before="0" w:after="60"/>
        <w:rPr/>
      </w:pPr>
      <w:r>
        <w:rPr>
          <w:rFonts w:eastAsia="Segoe UI" w:cs="Segoe UI" w:ascii="Segoe UI" w:hAnsi="Segoe UI"/>
          <w:color w:val="101820"/>
          <w:sz w:val="21"/>
        </w:rPr>
        <w:t>Negotiate with levers. Record approvals.</w:t>
      </w:r>
    </w:p>
    <w:p>
      <w:pPr>
        <w:pStyle w:val="Normal"/>
        <w:numPr>
          <w:ilvl w:val="0"/>
          <w:numId w:val="9"/>
        </w:numPr>
        <w:spacing w:before="0" w:after="60"/>
        <w:rPr/>
      </w:pPr>
      <w:r>
        <w:rPr>
          <w:rFonts w:eastAsia="Segoe UI" w:cs="Segoe UI" w:ascii="Segoe UI" w:hAnsi="Segoe UI"/>
          <w:color w:val="101820"/>
          <w:sz w:val="21"/>
        </w:rPr>
        <w:t>Issue the Order Form with the agreed prices, discounts as separate lines, and the levers' conditions.</w:t>
      </w:r>
    </w:p>
    <w:p>
      <w:pPr>
        <w:pStyle w:val="Normal"/>
        <w:numPr>
          <w:ilvl w:val="0"/>
          <w:numId w:val="10"/>
        </w:numPr>
        <w:spacing w:before="0" w:after="60"/>
        <w:rPr/>
      </w:pPr>
      <w:r>
        <w:rPr>
          <w:rFonts w:eastAsia="Segoe UI" w:cs="Segoe UI" w:ascii="Segoe UI" w:hAnsi="Segoe UI"/>
          <w:color w:val="101820"/>
          <w:sz w:val="21"/>
        </w:rPr>
        <w:t>Contract set: Master Services Agreement, Order Form, the licence or subscription agreement, the Implementation SOW, the Annual Maintenance and Support Agreement (perpetual) or the SLA schedule (subscription), the Hosting Services Agreement if iorta TechNXT hosts, and the Data Processing Agreement.</w:t>
      </w:r>
    </w:p>
    <w:p>
      <w:pPr>
        <w:pStyle w:val="Normal"/>
        <w:numPr>
          <w:ilvl w:val="0"/>
          <w:numId w:val="11"/>
        </w:numPr>
        <w:spacing w:before="0" w:after="60"/>
        <w:rPr/>
      </w:pPr>
      <w:r>
        <w:rPr>
          <w:rFonts w:eastAsia="Segoe UI" w:cs="Segoe UI" w:ascii="Segoe UI" w:hAnsi="Segoe UI"/>
          <w:color w:val="101820"/>
          <w:sz w:val="21"/>
        </w:rPr>
        <w:t>Hand the signed deal file to delivery and finance.</w:t>
      </w:r>
      <w:r>
        <w:br w:type="page"/>
      </w:r>
    </w:p>
    <w:p>
      <w:pPr>
        <w:pStyle w:val="Heading1"/>
        <w:rPr/>
      </w:pPr>
      <w:bookmarkStart w:id="19" w:name="__RefHeading___Toc53827_4195859891"/>
      <w:bookmarkEnd w:id="19"/>
      <w:r>
        <w:rPr>
          <w:rFonts w:eastAsia="Segoe UI" w:cs="Segoe UI" w:ascii="Segoe UI" w:hAnsi="Segoe UI"/>
          <w:b/>
          <w:color w:val="0F4761"/>
          <w:sz w:val="32"/>
        </w:rPr>
        <w:t>11.  Owner decisions open</w:t>
      </w:r>
    </w:p>
    <w:p>
      <w:pPr>
        <w:pStyle w:val="Normal"/>
        <w:numPr>
          <w:ilvl w:val="0"/>
          <w:numId w:val="1"/>
        </w:numPr>
        <w:spacing w:before="0" w:after="60"/>
        <w:rPr/>
      </w:pPr>
      <w:r>
        <w:rPr>
          <w:rFonts w:eastAsia="Segoe UI" w:cs="Segoe UI" w:ascii="Segoe UI" w:hAnsi="Segoe UI"/>
          <w:color w:val="101820"/>
          <w:sz w:val="21"/>
        </w:rPr>
        <w:t>Confirm the approval limits and the floor (this playbook uses the limits set by the business owner: 5%, 10% and 15%).</w:t>
      </w:r>
    </w:p>
    <w:p>
      <w:pPr>
        <w:pStyle w:val="Normal"/>
        <w:numPr>
          <w:ilvl w:val="0"/>
          <w:numId w:val="1"/>
        </w:numPr>
        <w:spacing w:before="0" w:after="60"/>
        <w:rPr/>
      </w:pPr>
      <w:r>
        <w:rPr>
          <w:rFonts w:eastAsia="Segoe UI" w:cs="Segoe UI" w:ascii="Segoe UI" w:hAnsi="Segoe UI"/>
          <w:color w:val="101820"/>
          <w:sz w:val="21"/>
        </w:rPr>
        <w:t>Confirm that AMC is computed on the quoted (net) licence fee rather than on the list licence fee.</w:t>
      </w:r>
    </w:p>
    <w:p>
      <w:pPr>
        <w:pStyle w:val="Normal"/>
        <w:numPr>
          <w:ilvl w:val="0"/>
          <w:numId w:val="1"/>
        </w:numPr>
        <w:spacing w:before="0" w:after="60"/>
        <w:rPr/>
      </w:pPr>
      <w:r>
        <w:rPr>
          <w:rFonts w:eastAsia="Segoe UI" w:cs="Segoe UI" w:ascii="Segoe UI" w:hAnsi="Segoe UI"/>
          <w:color w:val="101820"/>
          <w:sz w:val="21"/>
        </w:rPr>
        <w:t>Confirm the early termination fee for committed terms (all remaining fees, or 50% of them).</w:t>
      </w:r>
    </w:p>
    <w:p>
      <w:pPr>
        <w:pStyle w:val="Normal"/>
        <w:numPr>
          <w:ilvl w:val="0"/>
          <w:numId w:val="1"/>
        </w:numPr>
        <w:spacing w:before="0" w:after="60"/>
        <w:rPr/>
      </w:pPr>
      <w:r>
        <w:rPr>
          <w:rFonts w:eastAsia="Segoe UI" w:cs="Segoe UI" w:ascii="Segoe UI" w:hAnsi="Segoe UI"/>
          <w:color w:val="101820"/>
          <w:sz w:val="21"/>
        </w:rPr>
        <w:t>Confirm the lever values (term, upfront payment, reference, case study, signing date).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0" w:name="__RefHeading___Toc53829_4195859891"/>
      <w:bookmarkStart w:id="21" w:name="_Toc233203395"/>
      <w:bookmarkEnd w:id="20"/>
      <w:r>
        <w:rPr>
          <w:rStyle w:val="BookTitle"/>
          <w:bCs w:val="false"/>
          <w:i w:val="false"/>
          <w:iCs w:val="false"/>
          <w:spacing w:val="0"/>
        </w:rPr>
        <w:t>12.  Document Sign-Off</w:t>
      </w:r>
      <w:bookmarkEnd w:id="2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 w:numId="10">
    <w:abstractNumId w:val="2"/>
  </w:num>
  <w:num w:numId="11">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2026-10-03T20:23:47Z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