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3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OOTB Strategy and Playbook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OOTB Strategy and Playbook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61584_4195859891">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61586_4195859891">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61588_4195859891">
            <w:r>
              <w:rPr>
                <w:webHidden/>
                <w:rStyle w:val="IndexLink"/>
              </w:rPr>
              <w:t>3. Purpose and how to use this playbook</w:t>
              <w:tab/>
              <w:t>5</w:t>
            </w:r>
          </w:hyperlink>
        </w:p>
        <w:p>
          <w:pPr>
            <w:pStyle w:val="TOC2"/>
            <w:tabs>
              <w:tab w:val="clear" w:pos="900"/>
              <w:tab w:val="clear" w:pos="9350"/>
              <w:tab w:val="right" w:pos="9025" w:leader="dot"/>
            </w:tabs>
            <w:rPr/>
          </w:pPr>
          <w:hyperlink w:anchor="__RefHeading___Toc61590_4195859891">
            <w:r>
              <w:rPr>
                <w:webHidden/>
                <w:rStyle w:val="IndexLink"/>
              </w:rPr>
              <w:t>3.1 Purpose</w:t>
              <w:tab/>
              <w:t>5</w:t>
            </w:r>
          </w:hyperlink>
        </w:p>
        <w:p>
          <w:pPr>
            <w:pStyle w:val="TOC2"/>
            <w:tabs>
              <w:tab w:val="clear" w:pos="900"/>
              <w:tab w:val="clear" w:pos="9350"/>
              <w:tab w:val="right" w:pos="9025" w:leader="dot"/>
            </w:tabs>
            <w:rPr/>
          </w:pPr>
          <w:hyperlink w:anchor="__RefHeading___Toc61592_4195859891">
            <w:r>
              <w:rPr>
                <w:webHidden/>
                <w:rStyle w:val="IndexLink"/>
              </w:rPr>
              <w:t>3.2 Sources and assumptions</w:t>
              <w:tab/>
              <w:t>6</w:t>
            </w:r>
          </w:hyperlink>
        </w:p>
        <w:p>
          <w:pPr>
            <w:pStyle w:val="TOC1"/>
            <w:tabs>
              <w:tab w:val="clear" w:pos="900"/>
              <w:tab w:val="clear" w:pos="9350"/>
              <w:tab w:val="right" w:pos="9025" w:leader="dot"/>
            </w:tabs>
            <w:rPr/>
          </w:pPr>
          <w:hyperlink w:anchor="__RefHeading___Toc61594_4195859891">
            <w:r>
              <w:rPr>
                <w:webHidden/>
                <w:rStyle w:val="IndexLink"/>
              </w:rPr>
              <w:t>4. What OOTB means</w:t>
              <w:tab/>
              <w:t>7</w:t>
            </w:r>
          </w:hyperlink>
        </w:p>
        <w:p>
          <w:pPr>
            <w:pStyle w:val="TOC2"/>
            <w:tabs>
              <w:tab w:val="clear" w:pos="900"/>
              <w:tab w:val="clear" w:pos="9350"/>
              <w:tab w:val="right" w:pos="9025" w:leader="dot"/>
            </w:tabs>
            <w:rPr/>
          </w:pPr>
          <w:hyperlink w:anchor="__RefHeading___Toc61596_4195859891">
            <w:r>
              <w:rPr>
                <w:webHidden/>
                <w:rStyle w:val="IndexLink"/>
              </w:rPr>
              <w:t>4.1 Definition</w:t>
              <w:tab/>
              <w:t>7</w:t>
            </w:r>
          </w:hyperlink>
        </w:p>
        <w:p>
          <w:pPr>
            <w:pStyle w:val="TOC2"/>
            <w:tabs>
              <w:tab w:val="clear" w:pos="900"/>
              <w:tab w:val="clear" w:pos="9350"/>
              <w:tab w:val="right" w:pos="9025" w:leader="dot"/>
            </w:tabs>
            <w:rPr/>
          </w:pPr>
          <w:hyperlink w:anchor="__RefHeading___Toc61598_4195859891">
            <w:r>
              <w:rPr>
                <w:webHidden/>
                <w:rStyle w:val="IndexLink"/>
              </w:rPr>
              <w:t>4.2 The product at a glance</w:t>
              <w:tab/>
              <w:t>7</w:t>
            </w:r>
          </w:hyperlink>
        </w:p>
        <w:p>
          <w:pPr>
            <w:pStyle w:val="TOC2"/>
            <w:tabs>
              <w:tab w:val="clear" w:pos="900"/>
              <w:tab w:val="clear" w:pos="9350"/>
              <w:tab w:val="right" w:pos="9025" w:leader="dot"/>
            </w:tabs>
            <w:rPr/>
          </w:pPr>
          <w:hyperlink w:anchor="__RefHeading___Toc61600_4195859891">
            <w:r>
              <w:rPr>
                <w:webHidden/>
                <w:rStyle w:val="IndexLink"/>
              </w:rPr>
              <w:t>4.3 The product boundary</w:t>
              <w:tab/>
              <w:t>7</w:t>
            </w:r>
          </w:hyperlink>
        </w:p>
        <w:p>
          <w:pPr>
            <w:pStyle w:val="TOC2"/>
            <w:tabs>
              <w:tab w:val="clear" w:pos="900"/>
              <w:tab w:val="clear" w:pos="9350"/>
              <w:tab w:val="right" w:pos="9025" w:leader="dot"/>
            </w:tabs>
            <w:rPr/>
          </w:pPr>
          <w:hyperlink w:anchor="__RefHeading___Toc61602_4195859891">
            <w:r>
              <w:rPr>
                <w:webHidden/>
                <w:rStyle w:val="IndexLink"/>
              </w:rPr>
              <w:t>4.4 Standard integrations in OOTB</w:t>
              <w:tab/>
              <w:t>8</w:t>
            </w:r>
          </w:hyperlink>
        </w:p>
        <w:p>
          <w:pPr>
            <w:pStyle w:val="TOC1"/>
            <w:tabs>
              <w:tab w:val="clear" w:pos="900"/>
              <w:tab w:val="clear" w:pos="9350"/>
              <w:tab w:val="right" w:pos="9025" w:leader="dot"/>
            </w:tabs>
            <w:rPr/>
          </w:pPr>
          <w:hyperlink w:anchor="__RefHeading___Toc61604_4195859891">
            <w:r>
              <w:rPr>
                <w:webHidden/>
                <w:rStyle w:val="IndexLink"/>
              </w:rPr>
              <w:t>5. Target market and segments</w:t>
              <w:tab/>
              <w:t>9</w:t>
            </w:r>
          </w:hyperlink>
        </w:p>
        <w:p>
          <w:pPr>
            <w:pStyle w:val="TOC2"/>
            <w:tabs>
              <w:tab w:val="clear" w:pos="900"/>
              <w:tab w:val="clear" w:pos="9350"/>
              <w:tab w:val="right" w:pos="9025" w:leader="dot"/>
            </w:tabs>
            <w:rPr/>
          </w:pPr>
          <w:hyperlink w:anchor="__RefHeading___Toc61606_4195859891">
            <w:r>
              <w:rPr>
                <w:webHidden/>
                <w:rStyle w:val="IndexLink"/>
              </w:rPr>
              <w:t>5.1 The Philippine broker market</w:t>
              <w:tab/>
              <w:t>9</w:t>
            </w:r>
          </w:hyperlink>
        </w:p>
        <w:p>
          <w:pPr>
            <w:pStyle w:val="TOC2"/>
            <w:tabs>
              <w:tab w:val="clear" w:pos="900"/>
              <w:tab w:val="clear" w:pos="9350"/>
              <w:tab w:val="right" w:pos="9025" w:leader="dot"/>
            </w:tabs>
            <w:rPr/>
          </w:pPr>
          <w:hyperlink w:anchor="__RefHeading___Toc61608_4195859891">
            <w:r>
              <w:rPr>
                <w:webHidden/>
                <w:rStyle w:val="IndexLink"/>
              </w:rPr>
              <w:t>5.2 Segments</w:t>
              <w:tab/>
              <w:t>9</w:t>
            </w:r>
          </w:hyperlink>
        </w:p>
        <w:p>
          <w:pPr>
            <w:pStyle w:val="TOC2"/>
            <w:tabs>
              <w:tab w:val="clear" w:pos="900"/>
              <w:tab w:val="clear" w:pos="9350"/>
              <w:tab w:val="right" w:pos="9025" w:leader="dot"/>
            </w:tabs>
            <w:rPr/>
          </w:pPr>
          <w:hyperlink w:anchor="__RefHeading___Toc61610_4195859891">
            <w:r>
              <w:rPr>
                <w:webHidden/>
                <w:rStyle w:val="IndexLink"/>
              </w:rPr>
              <w:t>5.3 Buyers and triggers</w:t>
              <w:tab/>
              <w:t>9</w:t>
            </w:r>
          </w:hyperlink>
        </w:p>
        <w:p>
          <w:pPr>
            <w:pStyle w:val="TOC2"/>
            <w:tabs>
              <w:tab w:val="clear" w:pos="900"/>
              <w:tab w:val="clear" w:pos="9350"/>
              <w:tab w:val="right" w:pos="9025" w:leader="dot"/>
            </w:tabs>
            <w:rPr/>
          </w:pPr>
          <w:hyperlink w:anchor="__RefHeading___Toc61612_4195859891">
            <w:r>
              <w:rPr>
                <w:webHidden/>
                <w:rStyle w:val="IndexLink"/>
              </w:rPr>
              <w:t>5.4 Qualification</w:t>
              <w:tab/>
              <w:t>9</w:t>
            </w:r>
          </w:hyperlink>
        </w:p>
        <w:p>
          <w:pPr>
            <w:pStyle w:val="TOC2"/>
            <w:tabs>
              <w:tab w:val="clear" w:pos="900"/>
              <w:tab w:val="clear" w:pos="9350"/>
              <w:tab w:val="right" w:pos="9025" w:leader="dot"/>
            </w:tabs>
            <w:rPr/>
          </w:pPr>
          <w:hyperlink w:anchor="__RefHeading___Toc61614_4195859891">
            <w:r>
              <w:rPr>
                <w:webHidden/>
                <w:rStyle w:val="IndexLink"/>
              </w:rPr>
              <w:t>5.5 Positioning</w:t>
              <w:tab/>
              <w:t>10</w:t>
            </w:r>
          </w:hyperlink>
        </w:p>
        <w:p>
          <w:pPr>
            <w:pStyle w:val="TOC1"/>
            <w:tabs>
              <w:tab w:val="clear" w:pos="900"/>
              <w:tab w:val="clear" w:pos="9350"/>
              <w:tab w:val="right" w:pos="9025" w:leader="dot"/>
            </w:tabs>
            <w:rPr/>
          </w:pPr>
          <w:hyperlink w:anchor="__RefHeading___Toc61616_4195859891">
            <w:r>
              <w:rPr>
                <w:webHidden/>
                <w:rStyle w:val="IndexLink"/>
              </w:rPr>
              <w:t>6. The offer</w:t>
              <w:tab/>
              <w:t>11</w:t>
            </w:r>
          </w:hyperlink>
        </w:p>
        <w:p>
          <w:pPr>
            <w:pStyle w:val="TOC2"/>
            <w:tabs>
              <w:tab w:val="clear" w:pos="900"/>
              <w:tab w:val="clear" w:pos="9350"/>
              <w:tab w:val="right" w:pos="9025" w:leader="dot"/>
            </w:tabs>
            <w:rPr/>
          </w:pPr>
          <w:hyperlink w:anchor="__RefHeading___Toc61618_4195859891">
            <w:r>
              <w:rPr>
                <w:webHidden/>
                <w:rStyle w:val="IndexLink"/>
              </w:rPr>
              <w:t>6.1 Modules</w:t>
              <w:tab/>
              <w:t>11</w:t>
            </w:r>
          </w:hyperlink>
        </w:p>
        <w:p>
          <w:pPr>
            <w:pStyle w:val="TOC2"/>
            <w:tabs>
              <w:tab w:val="clear" w:pos="900"/>
              <w:tab w:val="clear" w:pos="9350"/>
              <w:tab w:val="right" w:pos="9025" w:leader="dot"/>
            </w:tabs>
            <w:rPr/>
          </w:pPr>
          <w:hyperlink w:anchor="__RefHeading___Toc61620_4195859891">
            <w:r>
              <w:rPr>
                <w:webHidden/>
                <w:rStyle w:val="IndexLink"/>
              </w:rPr>
              <w:t>6.2 Commercial models</w:t>
              <w:tab/>
              <w:t>11</w:t>
            </w:r>
          </w:hyperlink>
        </w:p>
        <w:p>
          <w:pPr>
            <w:pStyle w:val="TOC2"/>
            <w:tabs>
              <w:tab w:val="clear" w:pos="900"/>
              <w:tab w:val="clear" w:pos="9350"/>
              <w:tab w:val="right" w:pos="9025" w:leader="dot"/>
            </w:tabs>
            <w:rPr/>
          </w:pPr>
          <w:hyperlink w:anchor="__RefHeading___Toc61622_4195859891">
            <w:r>
              <w:rPr>
                <w:webHidden/>
                <w:rStyle w:val="IndexLink"/>
              </w:rPr>
              <w:t>6.3 Implementation fee</w:t>
              <w:tab/>
              <w:t>11</w:t>
            </w:r>
          </w:hyperlink>
        </w:p>
        <w:p>
          <w:pPr>
            <w:pStyle w:val="TOC2"/>
            <w:tabs>
              <w:tab w:val="clear" w:pos="900"/>
              <w:tab w:val="clear" w:pos="9350"/>
              <w:tab w:val="right" w:pos="9025" w:leader="dot"/>
            </w:tabs>
            <w:rPr/>
          </w:pPr>
          <w:hyperlink w:anchor="__RefHeading___Toc61624_4195859891">
            <w:r>
              <w:rPr>
                <w:webHidden/>
                <w:rStyle w:val="IndexLink"/>
              </w:rPr>
              <w:t>6.4 Hosting options</w:t>
              <w:tab/>
              <w:t>11</w:t>
            </w:r>
          </w:hyperlink>
        </w:p>
        <w:p>
          <w:pPr>
            <w:pStyle w:val="TOC2"/>
            <w:tabs>
              <w:tab w:val="clear" w:pos="900"/>
              <w:tab w:val="clear" w:pos="9350"/>
              <w:tab w:val="right" w:pos="9025" w:leader="dot"/>
            </w:tabs>
            <w:rPr/>
          </w:pPr>
          <w:hyperlink w:anchor="__RefHeading___Toc61626_4195859891">
            <w:r>
              <w:rPr>
                <w:webHidden/>
                <w:rStyle w:val="IndexLink"/>
              </w:rPr>
              <w:t>6.5 Packages</w:t>
              <w:tab/>
              <w:t>12</w:t>
            </w:r>
          </w:hyperlink>
        </w:p>
        <w:p>
          <w:pPr>
            <w:pStyle w:val="TOC2"/>
            <w:tabs>
              <w:tab w:val="clear" w:pos="900"/>
              <w:tab w:val="clear" w:pos="9350"/>
              <w:tab w:val="right" w:pos="9025" w:leader="dot"/>
            </w:tabs>
            <w:rPr/>
          </w:pPr>
          <w:hyperlink w:anchor="__RefHeading___Toc61628_4195859891">
            <w:r>
              <w:rPr>
                <w:webHidden/>
                <w:rStyle w:val="IndexLink"/>
              </w:rPr>
              <w:t>6.6 Optional services</w:t>
              <w:tab/>
              <w:t>12</w:t>
            </w:r>
          </w:hyperlink>
        </w:p>
        <w:p>
          <w:pPr>
            <w:pStyle w:val="TOC1"/>
            <w:tabs>
              <w:tab w:val="clear" w:pos="900"/>
              <w:tab w:val="clear" w:pos="9350"/>
              <w:tab w:val="right" w:pos="9025" w:leader="dot"/>
            </w:tabs>
            <w:rPr/>
          </w:pPr>
          <w:hyperlink w:anchor="__RefHeading___Toc61630_4195859891">
            <w:r>
              <w:rPr>
                <w:webHidden/>
                <w:rStyle w:val="IndexLink"/>
              </w:rPr>
              <w:t>7. Sales process</w:t>
              <w:tab/>
              <w:t>13</w:t>
            </w:r>
          </w:hyperlink>
        </w:p>
        <w:p>
          <w:pPr>
            <w:pStyle w:val="TOC2"/>
            <w:tabs>
              <w:tab w:val="clear" w:pos="900"/>
              <w:tab w:val="clear" w:pos="9350"/>
              <w:tab w:val="right" w:pos="9025" w:leader="dot"/>
            </w:tabs>
            <w:rPr/>
          </w:pPr>
          <w:hyperlink w:anchor="__RefHeading___Toc61632_4195859891">
            <w:r>
              <w:rPr>
                <w:webHidden/>
                <w:rStyle w:val="IndexLink"/>
              </w:rPr>
              <w:t>7.1 Stages, collateral and exit criteria</w:t>
              <w:tab/>
              <w:t>13</w:t>
            </w:r>
          </w:hyperlink>
        </w:p>
        <w:p>
          <w:pPr>
            <w:pStyle w:val="TOC2"/>
            <w:tabs>
              <w:tab w:val="clear" w:pos="900"/>
              <w:tab w:val="clear" w:pos="9350"/>
              <w:tab w:val="right" w:pos="9025" w:leader="dot"/>
            </w:tabs>
            <w:rPr/>
          </w:pPr>
          <w:hyperlink w:anchor="__RefHeading___Toc61634_4195859891">
            <w:r>
              <w:rPr>
                <w:webHidden/>
                <w:rStyle w:val="IndexLink"/>
              </w:rPr>
              <w:t>7.2 Rules for the sales team</w:t>
              <w:tab/>
              <w:t>13</w:t>
            </w:r>
          </w:hyperlink>
        </w:p>
        <w:p>
          <w:pPr>
            <w:pStyle w:val="TOC2"/>
            <w:tabs>
              <w:tab w:val="clear" w:pos="900"/>
              <w:tab w:val="clear" w:pos="9350"/>
              <w:tab w:val="right" w:pos="9025" w:leader="dot"/>
            </w:tabs>
            <w:rPr/>
          </w:pPr>
          <w:hyperlink w:anchor="__RefHeading___Toc61636_4195859891">
            <w:r>
              <w:rPr>
                <w:webHidden/>
                <w:rStyle w:val="IndexLink"/>
              </w:rPr>
              <w:t>7.3 Approval gates</w:t>
              <w:tab/>
              <w:t>14</w:t>
            </w:r>
          </w:hyperlink>
        </w:p>
        <w:p>
          <w:pPr>
            <w:pStyle w:val="TOC2"/>
            <w:tabs>
              <w:tab w:val="clear" w:pos="900"/>
              <w:tab w:val="clear" w:pos="9350"/>
              <w:tab w:val="right" w:pos="9025" w:leader="dot"/>
            </w:tabs>
            <w:rPr/>
          </w:pPr>
          <w:hyperlink w:anchor="__RefHeading___Toc61638_4195859891">
            <w:r>
              <w:rPr>
                <w:webHidden/>
                <w:rStyle w:val="IndexLink"/>
              </w:rPr>
              <w:t>7.4 Discount limits</w:t>
              <w:tab/>
              <w:t>14</w:t>
            </w:r>
          </w:hyperlink>
        </w:p>
        <w:p>
          <w:pPr>
            <w:pStyle w:val="TOC2"/>
            <w:tabs>
              <w:tab w:val="clear" w:pos="900"/>
              <w:tab w:val="clear" w:pos="9350"/>
              <w:tab w:val="right" w:pos="9025" w:leader="dot"/>
            </w:tabs>
            <w:rPr/>
          </w:pPr>
          <w:hyperlink w:anchor="__RefHeading___Toc61640_4195859891">
            <w:r>
              <w:rPr>
                <w:webHidden/>
                <w:rStyle w:val="IndexLink"/>
              </w:rPr>
              <w:t>7.5 Legal review triggers</w:t>
              <w:tab/>
              <w:t>15</w:t>
            </w:r>
          </w:hyperlink>
        </w:p>
        <w:p>
          <w:pPr>
            <w:pStyle w:val="TOC1"/>
            <w:tabs>
              <w:tab w:val="clear" w:pos="900"/>
              <w:tab w:val="clear" w:pos="9350"/>
              <w:tab w:val="right" w:pos="9025" w:leader="dot"/>
            </w:tabs>
            <w:rPr/>
          </w:pPr>
          <w:hyperlink w:anchor="__RefHeading___Toc61642_4195859891">
            <w:r>
              <w:rPr>
                <w:webHidden/>
                <w:rStyle w:val="IndexLink"/>
              </w:rPr>
              <w:t>8. Delivery model</w:t>
              <w:tab/>
              <w:t>16</w:t>
            </w:r>
          </w:hyperlink>
        </w:p>
        <w:p>
          <w:pPr>
            <w:pStyle w:val="TOC2"/>
            <w:tabs>
              <w:tab w:val="clear" w:pos="900"/>
              <w:tab w:val="clear" w:pos="9350"/>
              <w:tab w:val="right" w:pos="9025" w:leader="dot"/>
            </w:tabs>
            <w:rPr/>
          </w:pPr>
          <w:hyperlink w:anchor="__RefHeading___Toc61644_4195859891">
            <w:r>
              <w:rPr>
                <w:webHidden/>
                <w:rStyle w:val="IndexLink"/>
              </w:rPr>
              <w:t>8.1 Phases</w:t>
              <w:tab/>
              <w:t>16</w:t>
            </w:r>
          </w:hyperlink>
        </w:p>
        <w:p>
          <w:pPr>
            <w:pStyle w:val="TOC2"/>
            <w:tabs>
              <w:tab w:val="clear" w:pos="900"/>
              <w:tab w:val="clear" w:pos="9350"/>
              <w:tab w:val="right" w:pos="9025" w:leader="dot"/>
            </w:tabs>
            <w:rPr/>
          </w:pPr>
          <w:hyperlink w:anchor="__RefHeading___Toc61646_4195859891">
            <w:r>
              <w:rPr>
                <w:webHidden/>
                <w:rStyle w:val="IndexLink"/>
              </w:rPr>
              <w:t>8.2 Timelines by size</w:t>
              <w:tab/>
              <w:t>16</w:t>
            </w:r>
          </w:hyperlink>
        </w:p>
        <w:p>
          <w:pPr>
            <w:pStyle w:val="TOC2"/>
            <w:tabs>
              <w:tab w:val="clear" w:pos="900"/>
              <w:tab w:val="clear" w:pos="9350"/>
              <w:tab w:val="right" w:pos="9025" w:leader="dot"/>
            </w:tabs>
            <w:rPr/>
          </w:pPr>
          <w:hyperlink w:anchor="__RefHeading___Toc61648_4195859891">
            <w:r>
              <w:rPr>
                <w:webHidden/>
                <w:rStyle w:val="IndexLink"/>
              </w:rPr>
              <w:t>8.3 Team size by implementation</w:t>
              <w:tab/>
              <w:t>16</w:t>
            </w:r>
          </w:hyperlink>
        </w:p>
        <w:p>
          <w:pPr>
            <w:pStyle w:val="TOC2"/>
            <w:tabs>
              <w:tab w:val="clear" w:pos="900"/>
              <w:tab w:val="clear" w:pos="9350"/>
              <w:tab w:val="right" w:pos="9025" w:leader="dot"/>
            </w:tabs>
            <w:rPr/>
          </w:pPr>
          <w:hyperlink w:anchor="__RefHeading___Toc61650_4195859891">
            <w:r>
              <w:rPr>
                <w:webHidden/>
                <w:rStyle w:val="IndexLink"/>
              </w:rPr>
              <w:t>8.4 Data migration</w:t>
              <w:tab/>
              <w:t>17</w:t>
            </w:r>
          </w:hyperlink>
        </w:p>
        <w:p>
          <w:pPr>
            <w:pStyle w:val="TOC2"/>
            <w:tabs>
              <w:tab w:val="clear" w:pos="900"/>
              <w:tab w:val="clear" w:pos="9350"/>
              <w:tab w:val="right" w:pos="9025" w:leader="dot"/>
            </w:tabs>
            <w:rPr/>
          </w:pPr>
          <w:hyperlink w:anchor="__RefHeading___Toc61652_4195859891">
            <w:r>
              <w:rPr>
                <w:webHidden/>
                <w:rStyle w:val="IndexLink"/>
              </w:rPr>
              <w:t>8.5 Training</w:t>
              <w:tab/>
              <w:t>17</w:t>
            </w:r>
          </w:hyperlink>
        </w:p>
        <w:p>
          <w:pPr>
            <w:pStyle w:val="TOC2"/>
            <w:tabs>
              <w:tab w:val="clear" w:pos="900"/>
              <w:tab w:val="clear" w:pos="9350"/>
              <w:tab w:val="right" w:pos="9025" w:leader="dot"/>
            </w:tabs>
            <w:rPr/>
          </w:pPr>
          <w:hyperlink w:anchor="__RefHeading___Toc61654_4195859891">
            <w:r>
              <w:rPr>
                <w:webHidden/>
                <w:rStyle w:val="IndexLink"/>
              </w:rPr>
              <w:t>8.6 Acceptance</w:t>
              <w:tab/>
              <w:t>17</w:t>
            </w:r>
          </w:hyperlink>
        </w:p>
        <w:p>
          <w:pPr>
            <w:pStyle w:val="TOC2"/>
            <w:tabs>
              <w:tab w:val="clear" w:pos="900"/>
              <w:tab w:val="clear" w:pos="9350"/>
              <w:tab w:val="right" w:pos="9025" w:leader="dot"/>
            </w:tabs>
            <w:rPr/>
          </w:pPr>
          <w:hyperlink w:anchor="__RefHeading___Toc61656_4195859891">
            <w:r>
              <w:rPr>
                <w:webHidden/>
                <w:rStyle w:val="IndexLink"/>
              </w:rPr>
              <w:t>8.7 Hypercare</w:t>
              <w:tab/>
              <w:t>17</w:t>
            </w:r>
          </w:hyperlink>
        </w:p>
        <w:p>
          <w:pPr>
            <w:pStyle w:val="TOC2"/>
            <w:tabs>
              <w:tab w:val="clear" w:pos="900"/>
              <w:tab w:val="clear" w:pos="9350"/>
              <w:tab w:val="right" w:pos="9025" w:leader="dot"/>
            </w:tabs>
            <w:rPr/>
          </w:pPr>
          <w:hyperlink w:anchor="__RefHeading___Toc61658_4195859891">
            <w:r>
              <w:rPr>
                <w:webHidden/>
                <w:rStyle w:val="IndexLink"/>
              </w:rPr>
              <w:t>8.8 Delivery governance</w:t>
              <w:tab/>
              <w:t>18</w:t>
            </w:r>
          </w:hyperlink>
        </w:p>
        <w:p>
          <w:pPr>
            <w:pStyle w:val="TOC1"/>
            <w:tabs>
              <w:tab w:val="clear" w:pos="900"/>
              <w:tab w:val="clear" w:pos="9350"/>
              <w:tab w:val="right" w:pos="9025" w:leader="dot"/>
            </w:tabs>
            <w:rPr/>
          </w:pPr>
          <w:hyperlink w:anchor="__RefHeading___Toc61660_4195859891">
            <w:r>
              <w:rPr>
                <w:webHidden/>
                <w:rStyle w:val="IndexLink"/>
              </w:rPr>
              <w:t>9. Support model</w:t>
              <w:tab/>
              <w:t>19</w:t>
            </w:r>
          </w:hyperlink>
        </w:p>
        <w:p>
          <w:pPr>
            <w:pStyle w:val="TOC2"/>
            <w:tabs>
              <w:tab w:val="clear" w:pos="900"/>
              <w:tab w:val="clear" w:pos="9350"/>
              <w:tab w:val="right" w:pos="9025" w:leader="dot"/>
            </w:tabs>
            <w:rPr/>
          </w:pPr>
          <w:hyperlink w:anchor="__RefHeading___Toc61662_4195859891">
            <w:r>
              <w:rPr>
                <w:webHidden/>
                <w:rStyle w:val="IndexLink"/>
              </w:rPr>
              <w:t>9.1 Levels</w:t>
              <w:tab/>
              <w:t>19</w:t>
            </w:r>
          </w:hyperlink>
        </w:p>
        <w:p>
          <w:pPr>
            <w:pStyle w:val="TOC2"/>
            <w:tabs>
              <w:tab w:val="clear" w:pos="900"/>
              <w:tab w:val="clear" w:pos="9350"/>
              <w:tab w:val="right" w:pos="9025" w:leader="dot"/>
            </w:tabs>
            <w:rPr/>
          </w:pPr>
          <w:hyperlink w:anchor="__RefHeading___Toc61664_4195859891">
            <w:r>
              <w:rPr>
                <w:webHidden/>
                <w:rStyle w:val="IndexLink"/>
              </w:rPr>
              <w:t>9.2 Service levels</w:t>
              <w:tab/>
              <w:t>19</w:t>
            </w:r>
          </w:hyperlink>
        </w:p>
        <w:p>
          <w:pPr>
            <w:pStyle w:val="TOC2"/>
            <w:tabs>
              <w:tab w:val="clear" w:pos="900"/>
              <w:tab w:val="clear" w:pos="9350"/>
              <w:tab w:val="right" w:pos="9025" w:leader="dot"/>
            </w:tabs>
            <w:rPr/>
          </w:pPr>
          <w:hyperlink w:anchor="__RefHeading___Toc61666_4195859891">
            <w:r>
              <w:rPr>
                <w:webHidden/>
                <w:rStyle w:val="IndexLink"/>
              </w:rPr>
              <w:t>9.3 Release and patch policy</w:t>
              <w:tab/>
              <w:t>19</w:t>
            </w:r>
          </w:hyperlink>
        </w:p>
        <w:p>
          <w:pPr>
            <w:pStyle w:val="TOC2"/>
            <w:tabs>
              <w:tab w:val="clear" w:pos="900"/>
              <w:tab w:val="clear" w:pos="9350"/>
              <w:tab w:val="right" w:pos="9025" w:leader="dot"/>
            </w:tabs>
            <w:rPr/>
          </w:pPr>
          <w:hyperlink w:anchor="__RefHeading___Toc61668_4195859891">
            <w:r>
              <w:rPr>
                <w:webHidden/>
                <w:rStyle w:val="IndexLink"/>
              </w:rPr>
              <w:t>9.4 AMC and the subscription</w:t>
              <w:tab/>
              <w:t>20</w:t>
            </w:r>
          </w:hyperlink>
        </w:p>
        <w:p>
          <w:pPr>
            <w:pStyle w:val="TOC2"/>
            <w:tabs>
              <w:tab w:val="clear" w:pos="900"/>
              <w:tab w:val="clear" w:pos="9350"/>
              <w:tab w:val="right" w:pos="9025" w:leader="dot"/>
            </w:tabs>
            <w:rPr/>
          </w:pPr>
          <w:hyperlink w:anchor="__RefHeading___Toc61670_4195859891">
            <w:r>
              <w:rPr>
                <w:webHidden/>
                <w:rStyle w:val="IndexLink"/>
              </w:rPr>
              <w:t>9.5 Service management</w:t>
              <w:tab/>
              <w:t>20</w:t>
            </w:r>
          </w:hyperlink>
        </w:p>
        <w:p>
          <w:pPr>
            <w:pStyle w:val="TOC1"/>
            <w:tabs>
              <w:tab w:val="clear" w:pos="900"/>
              <w:tab w:val="clear" w:pos="9350"/>
              <w:tab w:val="right" w:pos="9025" w:leader="dot"/>
            </w:tabs>
            <w:rPr/>
          </w:pPr>
          <w:hyperlink w:anchor="__RefHeading___Toc61672_4195859891">
            <w:r>
              <w:rPr>
                <w:webHidden/>
                <w:rStyle w:val="IndexLink"/>
              </w:rPr>
              <w:t>10. Product lifecycle</w:t>
              <w:tab/>
              <w:t>21</w:t>
            </w:r>
          </w:hyperlink>
        </w:p>
        <w:p>
          <w:pPr>
            <w:pStyle w:val="TOC2"/>
            <w:tabs>
              <w:tab w:val="clear" w:pos="900"/>
              <w:tab w:val="clear" w:pos="9350"/>
              <w:tab w:val="right" w:pos="9025" w:leader="dot"/>
            </w:tabs>
            <w:rPr/>
          </w:pPr>
          <w:hyperlink w:anchor="__RefHeading___Toc61674_4195859891">
            <w:r>
              <w:rPr>
                <w:webHidden/>
                <w:rStyle w:val="IndexLink"/>
              </w:rPr>
              <w:t>10.1 Versioning</w:t>
              <w:tab/>
              <w:t>21</w:t>
            </w:r>
          </w:hyperlink>
        </w:p>
        <w:p>
          <w:pPr>
            <w:pStyle w:val="TOC2"/>
            <w:tabs>
              <w:tab w:val="clear" w:pos="900"/>
              <w:tab w:val="clear" w:pos="9350"/>
              <w:tab w:val="right" w:pos="9025" w:leader="dot"/>
            </w:tabs>
            <w:rPr/>
          </w:pPr>
          <w:hyperlink w:anchor="__RefHeading___Toc61676_4195859891">
            <w:r>
              <w:rPr>
                <w:webHidden/>
                <w:rStyle w:val="IndexLink"/>
              </w:rPr>
              <w:t>10.2 From change request to product feature</w:t>
              <w:tab/>
              <w:t>21</w:t>
            </w:r>
          </w:hyperlink>
        </w:p>
        <w:p>
          <w:pPr>
            <w:pStyle w:val="TOC2"/>
            <w:tabs>
              <w:tab w:val="clear" w:pos="900"/>
              <w:tab w:val="clear" w:pos="9350"/>
              <w:tab w:val="right" w:pos="9025" w:leader="dot"/>
            </w:tabs>
            <w:rPr/>
          </w:pPr>
          <w:hyperlink w:anchor="__RefHeading___Toc61678_4195859891">
            <w:r>
              <w:rPr>
                <w:webHidden/>
                <w:rStyle w:val="IndexLink"/>
              </w:rPr>
              <w:t>10.3 Roadmap themes</w:t>
              <w:tab/>
              <w:t>21</w:t>
            </w:r>
          </w:hyperlink>
        </w:p>
        <w:p>
          <w:pPr>
            <w:pStyle w:val="TOC2"/>
            <w:tabs>
              <w:tab w:val="clear" w:pos="900"/>
              <w:tab w:val="clear" w:pos="9350"/>
              <w:tab w:val="right" w:pos="9025" w:leader="dot"/>
            </w:tabs>
            <w:rPr/>
          </w:pPr>
          <w:hyperlink w:anchor="__RefHeading___Toc61680_4195859891">
            <w:r>
              <w:rPr>
                <w:webHidden/>
                <w:rStyle w:val="IndexLink"/>
              </w:rPr>
              <w:t>10.4 Development standards</w:t>
              <w:tab/>
              <w:t>22</w:t>
            </w:r>
          </w:hyperlink>
        </w:p>
        <w:p>
          <w:pPr>
            <w:pStyle w:val="TOC1"/>
            <w:tabs>
              <w:tab w:val="clear" w:pos="900"/>
              <w:tab w:val="clear" w:pos="9350"/>
              <w:tab w:val="right" w:pos="9025" w:leader="dot"/>
            </w:tabs>
            <w:rPr/>
          </w:pPr>
          <w:hyperlink w:anchor="__RefHeading___Toc61682_4195859891">
            <w:r>
              <w:rPr>
                <w:webHidden/>
                <w:rStyle w:val="IndexLink"/>
              </w:rPr>
              <w:t>11. Team and roles at iorta TechNXT</w:t>
              <w:tab/>
              <w:t>23</w:t>
            </w:r>
          </w:hyperlink>
        </w:p>
        <w:p>
          <w:pPr>
            <w:pStyle w:val="TOC2"/>
            <w:tabs>
              <w:tab w:val="clear" w:pos="900"/>
              <w:tab w:val="clear" w:pos="9350"/>
              <w:tab w:val="right" w:pos="9025" w:leader="dot"/>
            </w:tabs>
            <w:rPr/>
          </w:pPr>
          <w:hyperlink w:anchor="__RefHeading___Toc61684_4195859891">
            <w:r>
              <w:rPr>
                <w:webHidden/>
                <w:rStyle w:val="IndexLink"/>
              </w:rPr>
              <w:t>11.1 Roles by stage</w:t>
              <w:tab/>
              <w:t>23</w:t>
            </w:r>
          </w:hyperlink>
        </w:p>
        <w:p>
          <w:pPr>
            <w:pStyle w:val="TOC2"/>
            <w:tabs>
              <w:tab w:val="clear" w:pos="900"/>
              <w:tab w:val="clear" w:pos="9350"/>
              <w:tab w:val="right" w:pos="9025" w:leader="dot"/>
            </w:tabs>
            <w:rPr/>
          </w:pPr>
          <w:hyperlink w:anchor="__RefHeading___Toc61686_4195859891">
            <w:r>
              <w:rPr>
                <w:webHidden/>
                <w:rStyle w:val="IndexLink"/>
              </w:rPr>
              <w:t>11.2 Capacity</w:t>
              <w:tab/>
              <w:t>24</w:t>
            </w:r>
          </w:hyperlink>
        </w:p>
        <w:p>
          <w:pPr>
            <w:pStyle w:val="TOC1"/>
            <w:tabs>
              <w:tab w:val="clear" w:pos="900"/>
              <w:tab w:val="clear" w:pos="9350"/>
              <w:tab w:val="right" w:pos="9025" w:leader="dot"/>
            </w:tabs>
            <w:rPr/>
          </w:pPr>
          <w:hyperlink w:anchor="__RefHeading___Toc61688_4195859891">
            <w:r>
              <w:rPr>
                <w:webHidden/>
                <w:rStyle w:val="IndexLink"/>
              </w:rPr>
              <w:t>12. KPIs by function</w:t>
              <w:tab/>
              <w:t>25</w:t>
            </w:r>
          </w:hyperlink>
        </w:p>
        <w:p>
          <w:pPr>
            <w:pStyle w:val="TOC2"/>
            <w:tabs>
              <w:tab w:val="clear" w:pos="900"/>
              <w:tab w:val="clear" w:pos="9350"/>
              <w:tab w:val="right" w:pos="9025" w:leader="dot"/>
            </w:tabs>
            <w:rPr/>
          </w:pPr>
          <w:hyperlink w:anchor="__RefHeading___Toc61690_4195859891">
            <w:r>
              <w:rPr>
                <w:webHidden/>
                <w:rStyle w:val="IndexLink"/>
              </w:rPr>
              <w:t>12.1 Sales</w:t>
              <w:tab/>
              <w:t>25</w:t>
            </w:r>
          </w:hyperlink>
        </w:p>
        <w:p>
          <w:pPr>
            <w:pStyle w:val="TOC2"/>
            <w:tabs>
              <w:tab w:val="clear" w:pos="900"/>
              <w:tab w:val="clear" w:pos="9350"/>
              <w:tab w:val="right" w:pos="9025" w:leader="dot"/>
            </w:tabs>
            <w:rPr/>
          </w:pPr>
          <w:hyperlink w:anchor="__RefHeading___Toc61692_4195859891">
            <w:r>
              <w:rPr>
                <w:webHidden/>
                <w:rStyle w:val="IndexLink"/>
              </w:rPr>
              <w:t>12.2 Delivery</w:t>
              <w:tab/>
              <w:t>25</w:t>
            </w:r>
          </w:hyperlink>
        </w:p>
        <w:p>
          <w:pPr>
            <w:pStyle w:val="TOC2"/>
            <w:tabs>
              <w:tab w:val="clear" w:pos="900"/>
              <w:tab w:val="clear" w:pos="9350"/>
              <w:tab w:val="right" w:pos="9025" w:leader="dot"/>
            </w:tabs>
            <w:rPr/>
          </w:pPr>
          <w:hyperlink w:anchor="__RefHeading___Toc61694_4195859891">
            <w:r>
              <w:rPr>
                <w:webHidden/>
                <w:rStyle w:val="IndexLink"/>
              </w:rPr>
              <w:t>12.3 Support</w:t>
              <w:tab/>
              <w:t>25</w:t>
            </w:r>
          </w:hyperlink>
        </w:p>
        <w:p>
          <w:pPr>
            <w:pStyle w:val="TOC2"/>
            <w:tabs>
              <w:tab w:val="clear" w:pos="900"/>
              <w:tab w:val="clear" w:pos="9350"/>
              <w:tab w:val="right" w:pos="9025" w:leader="dot"/>
            </w:tabs>
            <w:rPr/>
          </w:pPr>
          <w:hyperlink w:anchor="__RefHeading___Toc61696_4195859891">
            <w:r>
              <w:rPr>
                <w:webHidden/>
                <w:rStyle w:val="IndexLink"/>
              </w:rPr>
              <w:t>12.4 Product and development</w:t>
              <w:tab/>
              <w:t>26</w:t>
            </w:r>
          </w:hyperlink>
        </w:p>
        <w:p>
          <w:pPr>
            <w:pStyle w:val="TOC2"/>
            <w:tabs>
              <w:tab w:val="clear" w:pos="900"/>
              <w:tab w:val="clear" w:pos="9350"/>
              <w:tab w:val="right" w:pos="9025" w:leader="dot"/>
            </w:tabs>
            <w:rPr/>
          </w:pPr>
          <w:hyperlink w:anchor="__RefHeading___Toc61698_4195859891">
            <w:r>
              <w:rPr>
                <w:webHidden/>
                <w:rStyle w:val="IndexLink"/>
              </w:rPr>
              <w:t>12.5 Finance and management</w:t>
              <w:tab/>
              <w:t>26</w:t>
            </w:r>
          </w:hyperlink>
        </w:p>
        <w:p>
          <w:pPr>
            <w:pStyle w:val="TOC1"/>
            <w:tabs>
              <w:tab w:val="clear" w:pos="900"/>
              <w:tab w:val="clear" w:pos="9350"/>
              <w:tab w:val="right" w:pos="9025" w:leader="dot"/>
            </w:tabs>
            <w:rPr/>
          </w:pPr>
          <w:hyperlink w:anchor="__RefHeading___Toc61700_4195859891">
            <w:r>
              <w:rPr>
                <w:webHidden/>
                <w:rStyle w:val="IndexLink"/>
              </w:rPr>
              <w:t>13. Governance</w:t>
              <w:tab/>
              <w:t>27</w:t>
            </w:r>
          </w:hyperlink>
        </w:p>
        <w:p>
          <w:pPr>
            <w:pStyle w:val="TOC2"/>
            <w:tabs>
              <w:tab w:val="clear" w:pos="900"/>
              <w:tab w:val="clear" w:pos="9350"/>
              <w:tab w:val="right" w:pos="9025" w:leader="dot"/>
            </w:tabs>
            <w:rPr/>
          </w:pPr>
          <w:hyperlink w:anchor="__RefHeading___Toc61702_4195859891">
            <w:r>
              <w:rPr>
                <w:webHidden/>
                <w:rStyle w:val="IndexLink"/>
              </w:rPr>
              <w:t>13.1 Internal forums</w:t>
              <w:tab/>
              <w:t>27</w:t>
            </w:r>
          </w:hyperlink>
        </w:p>
        <w:p>
          <w:pPr>
            <w:pStyle w:val="TOC2"/>
            <w:tabs>
              <w:tab w:val="clear" w:pos="900"/>
              <w:tab w:val="clear" w:pos="9350"/>
              <w:tab w:val="right" w:pos="9025" w:leader="dot"/>
            </w:tabs>
            <w:rPr/>
          </w:pPr>
          <w:hyperlink w:anchor="__RefHeading___Toc61704_4195859891">
            <w:r>
              <w:rPr>
                <w:webHidden/>
                <w:rStyle w:val="IndexLink"/>
              </w:rPr>
              <w:t>13.2 Client-facing forums</w:t>
              <w:tab/>
              <w:t>27</w:t>
            </w:r>
          </w:hyperlink>
        </w:p>
        <w:p>
          <w:pPr>
            <w:pStyle w:val="TOC2"/>
            <w:tabs>
              <w:tab w:val="clear" w:pos="900"/>
              <w:tab w:val="clear" w:pos="9350"/>
              <w:tab w:val="right" w:pos="9025" w:leader="dot"/>
            </w:tabs>
            <w:rPr/>
          </w:pPr>
          <w:hyperlink w:anchor="__RefHeading___Toc61706_4195859891">
            <w:r>
              <w:rPr>
                <w:webHidden/>
                <w:rStyle w:val="IndexLink"/>
              </w:rPr>
              <w:t>13.3 Document control</w:t>
              <w:tab/>
              <w:t>27</w:t>
            </w:r>
          </w:hyperlink>
        </w:p>
        <w:p>
          <w:pPr>
            <w:pStyle w:val="TOC1"/>
            <w:tabs>
              <w:tab w:val="clear" w:pos="900"/>
              <w:tab w:val="clear" w:pos="9350"/>
              <w:tab w:val="right" w:pos="9025" w:leader="dot"/>
            </w:tabs>
            <w:rPr/>
          </w:pPr>
          <w:hyperlink w:anchor="__RefHeading___Toc61708_4195859891">
            <w:r>
              <w:rPr>
                <w:webHidden/>
                <w:rStyle w:val="IndexLink"/>
              </w:rPr>
              <w:t>14. 30/60/90-day launch plan</w:t>
              <w:tab/>
              <w:t>28</w:t>
            </w:r>
          </w:hyperlink>
        </w:p>
        <w:p>
          <w:pPr>
            <w:pStyle w:val="TOC2"/>
            <w:tabs>
              <w:tab w:val="clear" w:pos="900"/>
              <w:tab w:val="clear" w:pos="9350"/>
              <w:tab w:val="right" w:pos="9025" w:leader="dot"/>
            </w:tabs>
            <w:rPr/>
          </w:pPr>
          <w:hyperlink w:anchor="__RefHeading___Toc61710_4195859891">
            <w:r>
              <w:rPr>
                <w:webHidden/>
                <w:rStyle w:val="IndexLink"/>
              </w:rPr>
              <w:t>14.1 Days 1 to 30: ready to sell</w:t>
              <w:tab/>
              <w:t>28</w:t>
            </w:r>
          </w:hyperlink>
        </w:p>
        <w:p>
          <w:pPr>
            <w:pStyle w:val="TOC2"/>
            <w:tabs>
              <w:tab w:val="clear" w:pos="900"/>
              <w:tab w:val="clear" w:pos="9350"/>
              <w:tab w:val="right" w:pos="9025" w:leader="dot"/>
            </w:tabs>
            <w:rPr/>
          </w:pPr>
          <w:hyperlink w:anchor="__RefHeading___Toc61712_4195859891">
            <w:r>
              <w:rPr>
                <w:webHidden/>
                <w:rStyle w:val="IndexLink"/>
              </w:rPr>
              <w:t>14.2 Days 31 to 60: first conversations</w:t>
              <w:tab/>
              <w:t>28</w:t>
            </w:r>
          </w:hyperlink>
        </w:p>
        <w:p>
          <w:pPr>
            <w:pStyle w:val="TOC2"/>
            <w:tabs>
              <w:tab w:val="clear" w:pos="900"/>
              <w:tab w:val="clear" w:pos="9350"/>
              <w:tab w:val="right" w:pos="9025" w:leader="dot"/>
            </w:tabs>
            <w:rPr/>
          </w:pPr>
          <w:hyperlink w:anchor="__RefHeading___Toc61714_4195859891">
            <w:r>
              <w:rPr>
                <w:webHidden/>
                <w:rStyle w:val="IndexLink"/>
              </w:rPr>
              <w:t>14.3 Days 61 to 90: first commitments</w:t>
              <w:tab/>
              <w:t>28</w:t>
            </w:r>
          </w:hyperlink>
        </w:p>
        <w:p>
          <w:pPr>
            <w:pStyle w:val="TOC1"/>
            <w:tabs>
              <w:tab w:val="clear" w:pos="900"/>
              <w:tab w:val="clear" w:pos="9350"/>
              <w:tab w:val="right" w:pos="9025" w:leader="dot"/>
            </w:tabs>
            <w:rPr/>
          </w:pPr>
          <w:hyperlink w:anchor="__RefHeading___Toc61716_4195859891">
            <w:r>
              <w:rPr>
                <w:webHidden/>
                <w:rStyle w:val="IndexLink"/>
              </w:rPr>
              <w:t>15. Risks</w:t>
              <w:tab/>
              <w:t>30</w:t>
            </w:r>
          </w:hyperlink>
        </w:p>
        <w:p>
          <w:pPr>
            <w:pStyle w:val="TOC1"/>
            <w:tabs>
              <w:tab w:val="clear" w:pos="900"/>
              <w:tab w:val="clear" w:pos="9350"/>
              <w:tab w:val="right" w:pos="9025" w:leader="dot"/>
            </w:tabs>
            <w:rPr/>
          </w:pPr>
          <w:hyperlink w:anchor="__RefHeading___Toc61718_4195859891">
            <w:r>
              <w:rPr>
                <w:webHidden/>
                <w:rStyle w:val="IndexLink"/>
              </w:rPr>
              <w:t>16. Decisions for the owner</w:t>
              <w:tab/>
              <w:t>31</w:t>
            </w:r>
          </w:hyperlink>
        </w:p>
        <w:p>
          <w:pPr>
            <w:pStyle w:val="TOC1"/>
            <w:tabs>
              <w:tab w:val="clear" w:pos="900"/>
              <w:tab w:val="clear" w:pos="9350"/>
              <w:tab w:val="right" w:pos="9025" w:leader="dot"/>
            </w:tabs>
            <w:rPr/>
          </w:pPr>
          <w:hyperlink w:anchor="__RefHeading___Toc61720_4195859891">
            <w:r>
              <w:rPr>
                <w:webHidden/>
                <w:rStyle w:val="IndexLink"/>
                <w:i w:val="false"/>
                <w:iCs w:val="false"/>
              </w:rPr>
              <w:t>17. Document Sign-Off</w:t>
            </w:r>
            <w:r>
              <w:rPr>
                <w:rStyle w:val="IndexLink"/>
              </w:rPr>
              <w:tab/>
              <w:t>32</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61584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 for management review</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61586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recurring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executive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Days sales outstanding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eFPS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Filing and Payment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Key performance indicator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L1/L2/L3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Award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NDA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Non-disclosure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Responsible, Accountable, Consulted, Informed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RCA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Root-cause analysis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SH</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Sales head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Short message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61588_4195859891"/>
      <w:bookmarkEnd w:id="6"/>
      <w:r>
        <w:rPr>
          <w:rFonts w:eastAsia="Segoe UI" w:cs="Segoe UI" w:ascii="Segoe UI" w:hAnsi="Segoe UI"/>
          <w:b/>
          <w:color w:val="0F4761"/>
          <w:sz w:val="32"/>
        </w:rPr>
        <w:t>3.  Purpose and how to use this playbook</w:t>
      </w:r>
    </w:p>
    <w:p>
      <w:pPr>
        <w:pStyle w:val="Heading2"/>
        <w:rPr/>
      </w:pPr>
      <w:bookmarkStart w:id="7" w:name="__RefHeading___Toc61590_4195859891"/>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playbook sets out how iorta TechNXT Corp. (</w:t>
      </w:r>
      <w:r>
        <w:rPr>
          <w:rFonts w:eastAsia="Segoe UI" w:cs="Segoe UI" w:ascii="Segoe UI" w:hAnsi="Segoe UI"/>
          <w:b/>
          <w:color w:val="101820"/>
          <w:sz w:val="21"/>
        </w:rPr>
        <w:t>iorta TechNXT</w:t>
      </w:r>
      <w:r>
        <w:rPr>
          <w:rFonts w:eastAsia="Segoe UI" w:cs="Segoe UI" w:ascii="Segoe UI" w:hAnsi="Segoe UI"/>
          <w:color w:val="101820"/>
          <w:sz w:val="21"/>
        </w:rPr>
        <w:t>) takes iNXT BrokerVerse OOTB to market in the Philippines and runs it as a product: what OOTB means, who we sell to, what we offer, how we sell, deliver and support it, how the product evolves, who does what, how we measure it and how we launch it in the next 90 days.</w:t>
      </w:r>
    </w:p>
    <w:p>
      <w:pPr>
        <w:pStyle w:val="Normal"/>
        <w:spacing w:lineRule="auto" w:line="276" w:before="0" w:after="120"/>
        <w:rPr/>
      </w:pPr>
      <w:r>
        <w:rPr>
          <w:rFonts w:eastAsia="Segoe UI" w:cs="Segoe UI" w:ascii="Segoe UI" w:hAnsi="Segoe UI"/>
          <w:color w:val="101820"/>
          <w:sz w:val="21"/>
        </w:rPr>
        <w:t>It is one document for five functions: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19"/>
        <w:gridCol w:w="6094"/>
      </w:tblGrid>
      <w:tr>
        <w:trPr>
          <w:tblHeader w:val="true"/>
        </w:trPr>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Function</w:t>
            </w:r>
          </w:p>
        </w:tc>
        <w:tc>
          <w:tcPr>
            <w:tcW w:w="6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Read first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on OOTB, market, offer, governance, KPIs, launch plan and decisions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and presales</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sales process, approval gates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model, team and roles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Development and product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boundary, product lifecycle</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model, handover from delivery</w:t>
            </w:r>
          </w:p>
        </w:tc>
      </w:tr>
    </w:tbl>
    <w:p>
      <w:pPr>
        <w:pStyle w:val="Normal"/>
        <w:spacing w:before="0" w:after="80"/>
        <w:rPr/>
      </w:pPr>
      <w:r>
        <w:rPr/>
      </w:r>
    </w:p>
    <w:p>
      <w:pPr>
        <w:pStyle w:val="Heading2"/>
        <w:rPr/>
      </w:pPr>
      <w:bookmarkStart w:id="8" w:name="__RefHeading___Toc61592_4195859891"/>
      <w:bookmarkEnd w:id="8"/>
      <w:r>
        <w:rPr>
          <w:rFonts w:eastAsia="Segoe UI" w:cs="Segoe UI"/>
          <w:b/>
          <w:color w:val="0F4761"/>
          <w:sz w:val="26"/>
        </w:rPr>
        <w:t>3.2  Sources and assumptions</w:t>
      </w:r>
    </w:p>
    <w:p>
      <w:pPr>
        <w:pStyle w:val="Normal"/>
        <w:spacing w:lineRule="auto" w:line="276" w:before="0" w:after="120"/>
        <w:rPr/>
      </w:pPr>
      <w:r>
        <w:rPr>
          <w:rFonts w:eastAsia="Segoe UI" w:cs="Segoe UI" w:ascii="Segoe UI" w:hAnsi="Segoe UI"/>
          <w:color w:val="101820"/>
          <w:sz w:val="21"/>
        </w:rPr>
        <w:t>The facts in this playbook come from the iorta TechNXT documentation package of 03 October 2026: the price book and Rate Card, the Commercial Proposal Note, the Negotiation Playbook, the contract pack, the Implementation Approach and Plan, the Data Migration and Cutover Plan, the Training Plan, the Production Support Approach and Standards, the Architecture, Infrastructure, Security and Privacy document, the Product Functionality document, the Test Summary Report and the sales collateral.</w:t>
      </w:r>
    </w:p>
    <w:p>
      <w:pPr>
        <w:pStyle w:val="Normal"/>
        <w:shd w:val="clear" w:color="auto" w:fill="EAF2FB"/>
        <w:spacing w:before="0" w:after="160"/>
        <w:ind w:left="170"/>
        <w:rPr/>
      </w:pPr>
      <w:r>
        <w:rPr>
          <w:rFonts w:eastAsia="Segoe UI" w:cs="Segoe UI" w:ascii="Segoe UI" w:hAnsi="Segoe UI"/>
          <w:color w:val="101820"/>
          <w:sz w:val="20"/>
        </w:rPr>
        <w:t xml:space="preserve">Where this playbook makes a recommendation or an assumption that is not stated in those documents, it is marked </w:t>
      </w:r>
      <w:r>
        <w:rPr>
          <w:rFonts w:eastAsia="Segoe UI" w:cs="Segoe UI" w:ascii="Segoe UI" w:hAnsi="Segoe UI"/>
          <w:b/>
          <w:color w:val="101820"/>
          <w:sz w:val="20"/>
        </w:rPr>
        <w:t>Assumption</w:t>
      </w:r>
      <w:r>
        <w:rPr>
          <w:rFonts w:eastAsia="Segoe UI" w:cs="Segoe UI" w:ascii="Segoe UI" w:hAnsi="Segoe UI"/>
          <w:color w:val="101820"/>
          <w:sz w:val="20"/>
        </w:rPr>
        <w:t xml:space="preserve"> or </w:t>
      </w:r>
      <w:r>
        <w:rPr>
          <w:rFonts w:eastAsia="Segoe UI" w:cs="Segoe UI" w:ascii="Segoe UI" w:hAnsi="Segoe UI"/>
          <w:b/>
          <w:color w:val="101820"/>
          <w:sz w:val="20"/>
        </w:rPr>
        <w:t>Proposed</w:t>
      </w:r>
      <w:r>
        <w:rPr>
          <w:rFonts w:eastAsia="Segoe UI" w:cs="Segoe UI" w:ascii="Segoe UI" w:hAnsi="Segoe UI"/>
          <w:color w:val="101820"/>
          <w:sz w:val="20"/>
        </w:rPr>
        <w:t>. Targets marked Proposed are starting values for management to confirm.</w:t>
      </w:r>
    </w:p>
    <w:p>
      <w:pPr>
        <w:pStyle w:val="Normal"/>
        <w:spacing w:lineRule="auto" w:line="276" w:before="0" w:after="120"/>
        <w:rPr/>
      </w:pPr>
      <w:r>
        <w:rPr>
          <w:rFonts w:eastAsia="Segoe UI" w:cs="Segoe UI" w:ascii="Segoe UI" w:hAnsi="Segoe UI"/>
          <w:color w:val="101820"/>
          <w:sz w:val="21"/>
        </w:rPr>
        <w:t>All amounts are in PHP and exclude 12% VAT. USD figures are for reference only, at PHP 62.75 per USD (25 September 2026).</w:t>
      </w:r>
      <w:r>
        <w:br w:type="page"/>
      </w:r>
    </w:p>
    <w:p>
      <w:pPr>
        <w:pStyle w:val="Heading1"/>
        <w:rPr/>
      </w:pPr>
      <w:bookmarkStart w:id="9" w:name="__RefHeading___Toc61594_4195859891"/>
      <w:bookmarkEnd w:id="9"/>
      <w:r>
        <w:rPr>
          <w:rFonts w:eastAsia="Segoe UI" w:cs="Segoe UI" w:ascii="Segoe UI" w:hAnsi="Segoe UI"/>
          <w:b/>
          <w:color w:val="0F4761"/>
          <w:sz w:val="32"/>
        </w:rPr>
        <w:t>4.  What OOTB means</w:t>
      </w:r>
    </w:p>
    <w:p>
      <w:pPr>
        <w:pStyle w:val="Heading2"/>
        <w:rPr/>
      </w:pPr>
      <w:bookmarkStart w:id="10" w:name="__RefHeading___Toc61596_4195859891"/>
      <w:bookmarkEnd w:id="10"/>
      <w:r>
        <w:rPr>
          <w:rFonts w:eastAsia="Segoe UI" w:cs="Segoe UI"/>
          <w:b/>
          <w:color w:val="0F4761"/>
          <w:sz w:val="26"/>
        </w:rPr>
        <w:t>4.1  Definition</w:t>
      </w:r>
    </w:p>
    <w:p>
      <w:pPr>
        <w:pStyle w:val="Normal"/>
        <w:spacing w:lineRule="auto" w:line="276" w:before="0" w:after="120"/>
        <w:rPr/>
      </w:pPr>
      <w:r>
        <w:rPr>
          <w:rFonts w:eastAsia="Segoe UI" w:cs="Segoe UI" w:ascii="Segoe UI" w:hAnsi="Segoe UI"/>
          <w:color w:val="101820"/>
          <w:sz w:val="21"/>
        </w:rPr>
        <w:t>iNXT BrokerVerse OOTB is the out-of-the-box version of the iNXT BrokerVerse insurance broking platform: one product line, the same code for every client, fitted to each broker by configuration and master data, not by code changes.</w:t>
      </w:r>
    </w:p>
    <w:p>
      <w:pPr>
        <w:pStyle w:val="Normal"/>
        <w:spacing w:lineRule="auto" w:line="276" w:before="0" w:after="120"/>
        <w:rPr/>
      </w:pPr>
      <w:r>
        <w:rPr>
          <w:rFonts w:eastAsia="Segoe UI" w:cs="Segoe UI" w:ascii="Segoe UI" w:hAnsi="Segoe UI"/>
          <w:color w:val="101820"/>
          <w:sz w:val="21"/>
        </w:rPr>
        <w:t>Five rules follow from that definition:</w:t>
      </w:r>
    </w:p>
    <w:p>
      <w:pPr>
        <w:pStyle w:val="Normal"/>
        <w:numPr>
          <w:ilvl w:val="0"/>
          <w:numId w:val="6"/>
        </w:numPr>
        <w:spacing w:before="0" w:after="60"/>
        <w:rPr/>
      </w:pPr>
      <w:r>
        <w:rPr>
          <w:rFonts w:eastAsia="Segoe UI" w:cs="Segoe UI" w:ascii="Segoe UI" w:hAnsi="Segoe UI"/>
          <w:b/>
          <w:color w:val="101820"/>
          <w:sz w:val="21"/>
        </w:rPr>
        <w:t>Configure, do not customise.</w:t>
      </w:r>
      <w:r>
        <w:rPr>
          <w:rFonts w:eastAsia="Segoe UI" w:cs="Segoe UI" w:ascii="Segoe UI" w:hAnsi="Segoe UI"/>
          <w:color w:val="101820"/>
          <w:sz w:val="21"/>
        </w:rPr>
        <w:t xml:space="preserve"> A requirement is met by configuration, master data or a change in the broker's procedure. What cannot be met that way is a gap, recorded in the fit-gap register and handled as a change request.</w:t>
      </w:r>
    </w:p>
    <w:p>
      <w:pPr>
        <w:pStyle w:val="Normal"/>
        <w:numPr>
          <w:ilvl w:val="0"/>
          <w:numId w:val="2"/>
        </w:numPr>
        <w:spacing w:before="0" w:after="60"/>
        <w:rPr/>
      </w:pPr>
      <w:r>
        <w:rPr>
          <w:rFonts w:eastAsia="Segoe UI" w:cs="Segoe UI" w:ascii="Segoe UI" w:hAnsi="Segoe UI"/>
          <w:b/>
          <w:color w:val="101820"/>
          <w:sz w:val="21"/>
        </w:rPr>
        <w:t>One code line.</w:t>
      </w:r>
      <w:r>
        <w:rPr>
          <w:rFonts w:eastAsia="Segoe UI" w:cs="Segoe UI" w:ascii="Segoe UI" w:hAnsi="Segoe UI"/>
          <w:color w:val="101820"/>
          <w:sz w:val="21"/>
        </w:rPr>
        <w:t xml:space="preserve"> There is no client-specific branch of the product. A change request is either merged into the product line, and then supported under the AMC or the subscription, or it is supported at day rates.</w:t>
      </w:r>
    </w:p>
    <w:p>
      <w:pPr>
        <w:pStyle w:val="Normal"/>
        <w:numPr>
          <w:ilvl w:val="0"/>
          <w:numId w:val="2"/>
        </w:numPr>
        <w:spacing w:before="0" w:after="60"/>
        <w:rPr/>
      </w:pPr>
      <w:r>
        <w:rPr>
          <w:rFonts w:eastAsia="Segoe UI" w:cs="Segoe UI" w:ascii="Segoe UI" w:hAnsi="Segoe UI"/>
          <w:b/>
          <w:color w:val="101820"/>
          <w:sz w:val="21"/>
        </w:rPr>
        <w:t>Go-live first, changes after.</w:t>
      </w:r>
      <w:r>
        <w:rPr>
          <w:rFonts w:eastAsia="Segoe UI" w:cs="Segoe UI" w:ascii="Segoe UI" w:hAnsi="Segoe UI"/>
          <w:color w:val="101820"/>
          <w:sz w:val="21"/>
        </w:rPr>
        <w:t xml:space="preserve"> Approved change requests may be scheduled after go-live so that the OOTB go-live date holds.</w:t>
      </w:r>
    </w:p>
    <w:p>
      <w:pPr>
        <w:pStyle w:val="Normal"/>
        <w:numPr>
          <w:ilvl w:val="0"/>
          <w:numId w:val="2"/>
        </w:numPr>
        <w:spacing w:before="0" w:after="60"/>
        <w:rPr/>
      </w:pPr>
      <w:r>
        <w:rPr>
          <w:rFonts w:eastAsia="Segoe UI" w:cs="Segoe UI" w:ascii="Segoe UI" w:hAnsi="Segoe UI"/>
          <w:b/>
          <w:color w:val="101820"/>
          <w:sz w:val="21"/>
        </w:rPr>
        <w:t>Data drives the timeline.</w:t>
      </w:r>
      <w:r>
        <w:rPr>
          <w:rFonts w:eastAsia="Segoe UI" w:cs="Segoe UI" w:ascii="Segoe UI" w:hAnsi="Segoe UI"/>
          <w:color w:val="101820"/>
          <w:sz w:val="21"/>
        </w:rPr>
        <w:t xml:space="preserve"> Most implementation effort sits with the broker's data. Requests for data go out in week 1.</w:t>
      </w:r>
    </w:p>
    <w:p>
      <w:pPr>
        <w:pStyle w:val="Normal"/>
        <w:numPr>
          <w:ilvl w:val="0"/>
          <w:numId w:val="2"/>
        </w:numPr>
        <w:spacing w:before="0" w:after="60"/>
        <w:rPr/>
      </w:pPr>
      <w:r>
        <w:rPr>
          <w:rFonts w:eastAsia="Segoe UI" w:cs="Segoe UI" w:ascii="Segoe UI" w:hAnsi="Segoe UI"/>
          <w:b/>
          <w:color w:val="101820"/>
          <w:sz w:val="21"/>
        </w:rPr>
        <w:t>Priced as delivered.</w:t>
      </w:r>
      <w:r>
        <w:rPr>
          <w:rFonts w:eastAsia="Segoe UI" w:cs="Segoe UI" w:ascii="Segoe UI" w:hAnsi="Segoe UI"/>
          <w:color w:val="101820"/>
          <w:sz w:val="21"/>
        </w:rPr>
        <w:t xml:space="preserve"> The price list prices the product as delivered. Changes are priced at published day rates.</w:t>
      </w:r>
    </w:p>
    <w:p>
      <w:pPr>
        <w:pStyle w:val="Heading2"/>
        <w:rPr/>
      </w:pPr>
      <w:bookmarkStart w:id="11" w:name="__RefHeading___Toc61598_4195859891"/>
      <w:bookmarkEnd w:id="11"/>
      <w:r>
        <w:rPr>
          <w:rFonts w:eastAsia="Segoe UI" w:cs="Segoe UI"/>
          <w:b/>
          <w:color w:val="0F4761"/>
          <w:sz w:val="26"/>
        </w:rPr>
        <w:t>4.2  The product at a glance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6978"/>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iNXT BrokerVerse OOTB release 1.0</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broking cycle and broker accounting: prospects to renewals, billing to month-end close, BIR working papers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System Administrator, Sales &amp; Marketing, Processing Team, Operations, Claims, Accounting, Accounting Manager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173 menu screens checked per role in the release test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 catalogue reports in Excel, CSV and PDF, plus dashboards and document outputs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868 registered API routes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 jobs in Asia/Manila time</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 document number series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test cases (480 passed, 8 failed, 3 blocked, 6 not run); 634 automated business rule tests; a UAT cycle of 371 business steps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web application, Node.js 22 API, PostgreSQL 16 database</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of 199 pages, seven role decks, reports book, data dictionary, technical reference</w:t>
            </w:r>
          </w:p>
        </w:tc>
      </w:tr>
    </w:tbl>
    <w:p>
      <w:pPr>
        <w:pStyle w:val="Normal"/>
        <w:spacing w:before="0" w:after="80"/>
        <w:rPr/>
      </w:pPr>
      <w:r>
        <w:rPr/>
      </w:r>
    </w:p>
    <w:p>
      <w:pPr>
        <w:pStyle w:val="Heading2"/>
        <w:rPr/>
      </w:pPr>
      <w:bookmarkStart w:id="12" w:name="__RefHeading___Toc61600_4195859891"/>
      <w:bookmarkEnd w:id="12"/>
      <w:r>
        <w:rPr>
          <w:rFonts w:eastAsia="Segoe UI" w:cs="Segoe UI"/>
          <w:b/>
          <w:color w:val="0F4761"/>
          <w:sz w:val="26"/>
        </w:rPr>
        <w:t>4.3  The product boundary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3"/>
        <w:gridCol w:w="2404"/>
        <w:gridCol w:w="2002"/>
        <w:gridCol w:w="2404"/>
      </w:tblGrid>
      <w:tr>
        <w:trPr>
          <w:tblHeader w:val="true"/>
        </w:trPr>
        <w:tc>
          <w:tcPr>
            <w:tcW w:w="22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Layer</w:t>
            </w:r>
          </w:p>
        </w:tc>
        <w:tc>
          <w:tcPr>
            <w:tcW w:w="24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contains</w:t>
            </w:r>
          </w:p>
        </w:tc>
        <w:tc>
          <w:tcPr>
            <w:tcW w:w="2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pays</w:t>
            </w:r>
          </w:p>
        </w:tc>
        <w:tc>
          <w:tcPr>
            <w:tcW w:w="24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supports</w:t>
            </w:r>
          </w:p>
        </w:tc>
      </w:tr>
      <w:tr>
        <w:trPr/>
        <w:tc>
          <w:tcPr>
            <w:tcW w:w="2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delivered modules, screens, workflows, reports, printed documents, upload templates and the standard integrations</w:t>
            </w:r>
          </w:p>
        </w:tc>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fee or subscription</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under the AMC or the subscription</w:t>
            </w:r>
          </w:p>
        </w:tc>
      </w:tr>
      <w:tr>
        <w:trPr/>
        <w:tc>
          <w:tcPr>
            <w:tcW w:w="2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users and roles, insurers, products and tariff, commission, taxes, chart of accounts, posting rules, number series, approvals, schedules, e-mail texts</w:t>
            </w:r>
          </w:p>
        </w:tc>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fee</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System Administrator, with L2 support</w:t>
            </w:r>
          </w:p>
        </w:tc>
      </w:tr>
      <w:tr>
        <w:trPr/>
        <w:tc>
          <w:tcPr>
            <w:tcW w:w="2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 merged into the product line</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that iorta TechNXT decides to add to the product for all clients</w:t>
            </w:r>
          </w:p>
        </w:tc>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rates, once, by the client who asked</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under the AMC or the subscription</w:t>
            </w:r>
          </w:p>
        </w:tc>
      </w:tr>
      <w:tr>
        <w:trPr/>
        <w:tc>
          <w:tcPr>
            <w:tcW w:w="2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 not merged</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Client-specific changes</w:t>
            </w:r>
          </w:p>
        </w:tc>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rates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at day rates after the 30-day warranty</w:t>
            </w:r>
          </w:p>
        </w:tc>
      </w:tr>
      <w:tr>
        <w:trPr/>
        <w:tc>
          <w:tcPr>
            <w:tcW w:w="2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data migration, training, hosting, integrations, extra environments, exit assistance</w:t>
            </w:r>
          </w:p>
        </w:tc>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Annex</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r>
      <w:tr>
        <w:trPr/>
        <w:tc>
          <w:tcPr>
            <w:tcW w:w="2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Outside the offer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filings, tax and legal advice, hardware and networks, data cleansing</w:t>
            </w:r>
          </w:p>
        </w:tc>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w:t>
            </w:r>
          </w:p>
        </w:tc>
      </w:tr>
    </w:tbl>
    <w:p>
      <w:pPr>
        <w:pStyle w:val="Normal"/>
        <w:spacing w:before="0" w:after="80"/>
        <w:rPr/>
      </w:pPr>
      <w:r>
        <w:rPr/>
      </w:r>
    </w:p>
    <w:p>
      <w:pPr>
        <w:pStyle w:val="Heading2"/>
        <w:rPr/>
      </w:pPr>
      <w:bookmarkStart w:id="13" w:name="__RefHeading___Toc61602_4195859891"/>
      <w:bookmarkEnd w:id="13"/>
      <w:r>
        <w:rPr>
          <w:rFonts w:eastAsia="Segoe UI" w:cs="Segoe UI"/>
          <w:b/>
          <w:color w:val="0F4761"/>
          <w:sz w:val="26"/>
        </w:rPr>
        <w:t>4.4  Standard integrations in OOTB</w:t>
      </w:r>
    </w:p>
    <w:p>
      <w:pPr>
        <w:pStyle w:val="Normal"/>
        <w:numPr>
          <w:ilvl w:val="0"/>
          <w:numId w:val="1"/>
        </w:numPr>
        <w:spacing w:before="0" w:after="60"/>
        <w:rPr/>
      </w:pPr>
      <w:r>
        <w:rPr>
          <w:rFonts w:eastAsia="Segoe UI" w:cs="Segoe UI" w:ascii="Segoe UI" w:hAnsi="Segoe UI"/>
          <w:color w:val="101820"/>
          <w:sz w:val="21"/>
        </w:rPr>
        <w:t>Outgoing e-mail through the broker's SMTP mailbox.</w:t>
      </w:r>
    </w:p>
    <w:p>
      <w:pPr>
        <w:pStyle w:val="Normal"/>
        <w:numPr>
          <w:ilvl w:val="0"/>
          <w:numId w:val="1"/>
        </w:numPr>
        <w:spacing w:before="0" w:after="60"/>
        <w:rPr/>
      </w:pPr>
      <w:r>
        <w:rPr>
          <w:rFonts w:eastAsia="Segoe UI" w:cs="Segoe UI" w:ascii="Segoe UI" w:hAnsi="Segoe UI"/>
          <w:color w:val="101820"/>
          <w:sz w:val="21"/>
        </w:rPr>
        <w:t>Bank statement files: formats for BDO, BPI and Metrobank and a generic layout are delivered; a new format is added in Master &gt; Finance &gt; Bank Statement Formats without code.</w:t>
      </w:r>
    </w:p>
    <w:p>
      <w:pPr>
        <w:pStyle w:val="Normal"/>
        <w:numPr>
          <w:ilvl w:val="0"/>
          <w:numId w:val="1"/>
        </w:numPr>
        <w:spacing w:before="0" w:after="60"/>
        <w:rPr/>
      </w:pPr>
      <w:r>
        <w:rPr>
          <w:rFonts w:eastAsia="Segoe UI" w:cs="Segoe UI" w:ascii="Segoe UI" w:hAnsi="Segoe UI"/>
          <w:color w:val="101820"/>
          <w:sz w:val="21"/>
        </w:rPr>
        <w:t>Insurer statement files in CSV or Excel, matched in Insurer Reconciliation with a column mapping per insurer.</w:t>
      </w:r>
    </w:p>
    <w:p>
      <w:pPr>
        <w:pStyle w:val="Normal"/>
        <w:numPr>
          <w:ilvl w:val="0"/>
          <w:numId w:val="1"/>
        </w:numPr>
        <w:spacing w:before="0" w:after="60"/>
        <w:rPr/>
      </w:pPr>
      <w:r>
        <w:rPr>
          <w:rFonts w:eastAsia="Segoe UI" w:cs="Segoe UI" w:ascii="Segoe UI" w:hAnsi="Segoe UI"/>
          <w:color w:val="101820"/>
          <w:sz w:val="21"/>
        </w:rPr>
        <w:t>PayMongo and Dragonpay payment links.</w:t>
      </w:r>
    </w:p>
    <w:p>
      <w:pPr>
        <w:pStyle w:val="Normal"/>
        <w:spacing w:lineRule="auto" w:line="276" w:before="0" w:after="120"/>
        <w:rPr/>
      </w:pPr>
      <w:r>
        <w:rPr>
          <w:rFonts w:eastAsia="Segoe UI" w:cs="Segoe UI" w:ascii="Segoe UI" w:hAnsi="Segoe UI"/>
          <w:color w:val="101820"/>
          <w:sz w:val="21"/>
        </w:rPr>
        <w:t>Everything else (insurer APIs, core banking, bank payment files, SMS gateways, accounting packages, BIR eFPS or eBIRForms, LTO or IC systems, other payment gateways) is a change request or an optional integration.</w:t>
      </w:r>
      <w:r>
        <w:br w:type="page"/>
      </w:r>
    </w:p>
    <w:p>
      <w:pPr>
        <w:pStyle w:val="Heading1"/>
        <w:rPr/>
      </w:pPr>
      <w:bookmarkStart w:id="14" w:name="__RefHeading___Toc61604_4195859891"/>
      <w:bookmarkEnd w:id="14"/>
      <w:r>
        <w:rPr>
          <w:rFonts w:eastAsia="Segoe UI" w:cs="Segoe UI" w:ascii="Segoe UI" w:hAnsi="Segoe UI"/>
          <w:b/>
          <w:color w:val="0F4761"/>
          <w:sz w:val="32"/>
        </w:rPr>
        <w:t>5.  Target market and segments</w:t>
      </w:r>
    </w:p>
    <w:p>
      <w:pPr>
        <w:pStyle w:val="Heading2"/>
        <w:rPr/>
      </w:pPr>
      <w:bookmarkStart w:id="15" w:name="__RefHeading___Toc61606_4195859891"/>
      <w:bookmarkEnd w:id="15"/>
      <w:r>
        <w:rPr>
          <w:rFonts w:eastAsia="Segoe UI" w:cs="Segoe UI"/>
          <w:b/>
          <w:color w:val="0F4761"/>
          <w:sz w:val="26"/>
        </w:rPr>
        <w:t>5.1  The Philippine broker market</w:t>
      </w:r>
    </w:p>
    <w:p>
      <w:pPr>
        <w:pStyle w:val="Normal"/>
        <w:spacing w:lineRule="auto" w:line="276" w:before="0" w:after="120"/>
        <w:rPr/>
      </w:pPr>
      <w:r>
        <w:rPr>
          <w:rFonts w:eastAsia="Segoe UI" w:cs="Segoe UI" w:ascii="Segoe UI" w:hAnsi="Segoe UI"/>
          <w:color w:val="101820"/>
          <w:sz w:val="21"/>
        </w:rPr>
        <w:t>The market is small and concentrated. The IC key data for 2024 (preliminary) shows about 67 licensed insurance brokers. A broker needs a minimum paid-up capital of PHP 20,000,000.00, or PHP 50,000,000.00 for an insurance and reinsurance broker. Three brokers earn more than PHP 2 billion each in commission, a handful earn between PHP 250 million and PHP 800 million, and most earn under PHP 100 million.</w:t>
      </w:r>
    </w:p>
    <w:p>
      <w:pPr>
        <w:pStyle w:val="Normal"/>
        <w:spacing w:lineRule="auto" w:line="276" w:before="0" w:after="120"/>
        <w:rPr/>
      </w:pPr>
      <w:r>
        <w:rPr>
          <w:rFonts w:eastAsia="Segoe UI" w:cs="Segoe UI" w:ascii="Segoe UI" w:hAnsi="Segoe UI"/>
          <w:color w:val="101820"/>
          <w:sz w:val="21"/>
        </w:rPr>
        <w:t>Non-life gross premiums written reached PHP 149.11 billion in 2025, spread across many insurers. A Philippine broker places with many insurers, so insurer set-up, remittance and reconciliation by insurer are core needs at every size.</w:t>
      </w:r>
    </w:p>
    <w:p>
      <w:pPr>
        <w:pStyle w:val="Heading2"/>
        <w:rPr/>
      </w:pPr>
      <w:bookmarkStart w:id="16" w:name="__RefHeading___Toc61608_4195859891"/>
      <w:bookmarkEnd w:id="16"/>
      <w:r>
        <w:rPr>
          <w:rFonts w:eastAsia="Segoe UI" w:cs="Segoe UI"/>
          <w:b/>
          <w:color w:val="0F4761"/>
          <w:sz w:val="26"/>
        </w:rPr>
        <w:t>5.2  Segments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4"/>
        <w:gridCol w:w="1229"/>
        <w:gridCol w:w="2348"/>
        <w:gridCol w:w="1123"/>
        <w:gridCol w:w="2550"/>
      </w:tblGrid>
      <w:tr>
        <w:trPr>
          <w:tblHeader w:val="true"/>
        </w:trPr>
        <w:tc>
          <w:tcPr>
            <w:tcW w:w="17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Segment</w:t>
            </w:r>
          </w:p>
        </w:tc>
        <w:tc>
          <w:tcPr>
            <w:tcW w:w="1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Users (tier)</w:t>
            </w:r>
          </w:p>
        </w:tc>
        <w:tc>
          <w:tcPr>
            <w:tcW w:w="23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Typical profile (estimate)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IC 2024 position</w:t>
            </w:r>
          </w:p>
        </w:tc>
        <w:tc>
          <w:tcPr>
            <w:tcW w:w="25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Lead offer</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Owner-managed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1 to 25</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to 40 staff, one office or a few branches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Rank 30 and below</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Essentials or Standard</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Established mid-size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26 to 100</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 to 150 staff, several branches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Rank 10 to 30</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Standard; perpetual for a long horizon</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National or multinational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101 to 300</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 to 400 staff, national or multinational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Rank 4 to 10</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Ownership or Ownership Plus</w:t>
            </w:r>
          </w:p>
        </w:tc>
      </w:tr>
      <w:tr>
        <w:trPr/>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Bank-affiliated or global broker</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above 300</w:t>
            </w:r>
          </w:p>
        </w:tc>
        <w:tc>
          <w:tcPr>
            <w:tcW w:w="23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Over 400 staff</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Top 3</w:t>
            </w:r>
          </w:p>
        </w:tc>
        <w:tc>
          <w:tcPr>
            <w:tcW w:w="25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Ownership Plus</w:t>
            </w:r>
          </w:p>
        </w:tc>
      </w:tr>
    </w:tbl>
    <w:p>
      <w:pPr>
        <w:pStyle w:val="Normal"/>
        <w:spacing w:before="0" w:after="80"/>
        <w:rPr/>
      </w:pPr>
      <w:r>
        <w:rPr/>
      </w:r>
    </w:p>
    <w:p>
      <w:pPr>
        <w:pStyle w:val="Normal"/>
        <w:spacing w:lineRule="auto" w:line="276" w:before="0" w:after="120"/>
        <w:rPr/>
      </w:pPr>
      <w:r>
        <w:rPr>
          <w:rFonts w:eastAsia="Segoe UI" w:cs="Segoe UI" w:ascii="Segoe UI" w:hAnsi="Segoe UI"/>
          <w:b/>
          <w:color w:val="101820"/>
          <w:sz w:val="21"/>
        </w:rPr>
        <w:t>Assumption:</w:t>
      </w:r>
      <w:r>
        <w:rPr>
          <w:rFonts w:eastAsia="Segoe UI" w:cs="Segoe UI" w:ascii="Segoe UI" w:hAnsi="Segoe UI"/>
          <w:color w:val="101820"/>
          <w:sz w:val="21"/>
        </w:rPr>
        <w:t xml:space="preserve"> the first wins are most likely in the Small and Medium segments, where most brokers sit, buying cycles are shorter and local tax and BIR features matter most. Large and Enterprise brokers that are part of a global group may already run a group system; with them, lead with the Philippine accounting, BIR working papers and remittance features.</w:t>
      </w:r>
    </w:p>
    <w:p>
      <w:pPr>
        <w:pStyle w:val="Heading2"/>
        <w:rPr/>
      </w:pPr>
      <w:bookmarkStart w:id="17" w:name="__RefHeading___Toc61610_4195859891"/>
      <w:bookmarkEnd w:id="17"/>
      <w:r>
        <w:rPr>
          <w:rFonts w:eastAsia="Segoe UI" w:cs="Segoe UI"/>
          <w:b/>
          <w:color w:val="0F4761"/>
          <w:sz w:val="26"/>
        </w:rPr>
        <w:t>5.3  Buyers and triggers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37"/>
        <w:gridCol w:w="5277"/>
      </w:tblGrid>
      <w:tr>
        <w:trPr>
          <w:tblHeader w:val="true"/>
        </w:trPr>
        <w:tc>
          <w:tcPr>
            <w:tcW w:w="37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Buyer</w:t>
            </w:r>
          </w:p>
        </w:tc>
        <w:tc>
          <w:tcPr>
            <w:tcW w:w="5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matters to them</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 president or CEO</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Cost against commission income, control, audit findings, growth without hiring</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 head or Accounting Manager</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remittance to insurers, bank and insurer reconciliation, month-end close, BIR working papers</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head</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to policy turnaround, renewals, endorsements, claims follow-up</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data location, security, support, exit</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and DPO</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audit trail, maker-checker, segregation of duties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Typical triggers (assumption): the end of a contract for the current system, a new BIR requirement, an audit finding, growth that the spreadsheets cannot carry, or a new licence.</w:t>
      </w:r>
    </w:p>
    <w:p>
      <w:pPr>
        <w:pStyle w:val="Heading2"/>
        <w:rPr/>
      </w:pPr>
      <w:bookmarkStart w:id="18" w:name="__RefHeading___Toc61612_4195859891"/>
      <w:bookmarkEnd w:id="18"/>
      <w:r>
        <w:rPr>
          <w:rFonts w:eastAsia="Segoe UI" w:cs="Segoe UI"/>
          <w:b/>
          <w:color w:val="0F4761"/>
          <w:sz w:val="26"/>
        </w:rPr>
        <w:t>5.4  Qualification</w:t>
      </w:r>
    </w:p>
    <w:p>
      <w:pPr>
        <w:pStyle w:val="Normal"/>
        <w:spacing w:lineRule="auto" w:line="276" w:before="0" w:after="120"/>
        <w:rPr/>
      </w:pPr>
      <w:r>
        <w:rPr>
          <w:rFonts w:eastAsia="Segoe UI" w:cs="Segoe UI" w:ascii="Segoe UI" w:hAnsi="Segoe UI"/>
          <w:color w:val="101820"/>
          <w:sz w:val="21"/>
        </w:rPr>
        <w:t>A prospect is qualified when the account manager can answer yes to each of these:</w:t>
      </w:r>
    </w:p>
    <w:p>
      <w:pPr>
        <w:pStyle w:val="Normal"/>
        <w:numPr>
          <w:ilvl w:val="0"/>
          <w:numId w:val="7"/>
        </w:numPr>
        <w:spacing w:before="0" w:after="60"/>
        <w:rPr/>
      </w:pPr>
      <w:r>
        <w:rPr>
          <w:rFonts w:eastAsia="Segoe UI" w:cs="Segoe UI" w:ascii="Segoe UI" w:hAnsi="Segoe UI"/>
          <w:color w:val="101820"/>
          <w:sz w:val="21"/>
        </w:rPr>
        <w:t>It holds or is applying for an IC certificate of authority as a non-life broker.</w:t>
      </w:r>
    </w:p>
    <w:p>
      <w:pPr>
        <w:pStyle w:val="Normal"/>
        <w:numPr>
          <w:ilvl w:val="0"/>
          <w:numId w:val="8"/>
        </w:numPr>
        <w:spacing w:before="0" w:after="60"/>
        <w:rPr/>
      </w:pPr>
      <w:r>
        <w:rPr>
          <w:rFonts w:eastAsia="Segoe UI" w:cs="Segoe UI" w:ascii="Segoe UI" w:hAnsi="Segoe UI"/>
          <w:color w:val="101820"/>
          <w:sz w:val="21"/>
        </w:rPr>
        <w:t>It has a named pain in broking, accounting or BIR reporting that the OOTB product addresses.</w:t>
      </w:r>
    </w:p>
    <w:p>
      <w:pPr>
        <w:pStyle w:val="Normal"/>
        <w:numPr>
          <w:ilvl w:val="0"/>
          <w:numId w:val="9"/>
        </w:numPr>
        <w:spacing w:before="0" w:after="60"/>
        <w:rPr/>
      </w:pPr>
      <w:r>
        <w:rPr>
          <w:rFonts w:eastAsia="Segoe UI" w:cs="Segoe UI" w:ascii="Segoe UI" w:hAnsi="Segoe UI"/>
          <w:color w:val="101820"/>
          <w:sz w:val="21"/>
        </w:rPr>
        <w:t>It accepts the OOTB principle: configuration first, changes as change requests.</w:t>
      </w:r>
    </w:p>
    <w:p>
      <w:pPr>
        <w:pStyle w:val="Normal"/>
        <w:numPr>
          <w:ilvl w:val="0"/>
          <w:numId w:val="10"/>
        </w:numPr>
        <w:spacing w:before="0" w:after="60"/>
        <w:rPr/>
      </w:pPr>
      <w:r>
        <w:rPr>
          <w:rFonts w:eastAsia="Segoe UI" w:cs="Segoe UI" w:ascii="Segoe UI" w:hAnsi="Segoe UI"/>
          <w:color w:val="101820"/>
          <w:sz w:val="21"/>
        </w:rPr>
        <w:t>A decision maker and a budget range are known; the budget fits the tier price at list.</w:t>
      </w:r>
    </w:p>
    <w:p>
      <w:pPr>
        <w:pStyle w:val="Normal"/>
        <w:numPr>
          <w:ilvl w:val="0"/>
          <w:numId w:val="11"/>
        </w:numPr>
        <w:spacing w:before="0" w:after="60"/>
        <w:rPr/>
      </w:pPr>
      <w:r>
        <w:rPr>
          <w:rFonts w:eastAsia="Segoe UI" w:cs="Segoe UI" w:ascii="Segoe UI" w:hAnsi="Segoe UI"/>
          <w:color w:val="101820"/>
          <w:sz w:val="21"/>
        </w:rPr>
        <w:t>A target date exists, or one can be set from a business event.</w:t>
      </w:r>
    </w:p>
    <w:p>
      <w:pPr>
        <w:pStyle w:val="Heading2"/>
        <w:rPr/>
      </w:pPr>
      <w:bookmarkStart w:id="19" w:name="__RefHeading___Toc61614_4195859891"/>
      <w:bookmarkEnd w:id="19"/>
      <w:r>
        <w:rPr>
          <w:rFonts w:eastAsia="Segoe UI" w:cs="Segoe UI"/>
          <w:b/>
          <w:color w:val="0F4761"/>
          <w:sz w:val="26"/>
        </w:rPr>
        <w:t>5.5  Positioning</w:t>
      </w:r>
    </w:p>
    <w:p>
      <w:pPr>
        <w:pStyle w:val="Normal"/>
        <w:spacing w:lineRule="auto" w:line="276" w:before="0" w:after="120"/>
        <w:rPr/>
      </w:pPr>
      <w:r>
        <w:rPr>
          <w:rFonts w:eastAsia="Segoe UI" w:cs="Segoe UI" w:ascii="Segoe UI" w:hAnsi="Segoe UI"/>
          <w:color w:val="101820"/>
          <w:sz w:val="21"/>
        </w:rPr>
        <w:t>iNXT BrokerVerse OOTB at USD 32 to 51 per user per month sits at about 29% of the median price of the global broker systems found (USD 175), which are not localised for Philippine taxes, BIR reports or IC reporting, and at about the per-user price of a generic CRM at its top edition, while including placement, remittance, accounting, reconciliation and BIR working papers. The message is a localised, full broking and accounting platform priced for a market where most brokers earn under PHP 100 million in commission.</w:t>
      </w:r>
      <w:r>
        <w:br w:type="page"/>
      </w:r>
    </w:p>
    <w:p>
      <w:pPr>
        <w:pStyle w:val="Heading1"/>
        <w:rPr/>
      </w:pPr>
      <w:bookmarkStart w:id="20" w:name="__RefHeading___Toc61616_4195859891"/>
      <w:bookmarkEnd w:id="20"/>
      <w:r>
        <w:rPr>
          <w:rFonts w:eastAsia="Segoe UI" w:cs="Segoe UI" w:ascii="Segoe UI" w:hAnsi="Segoe UI"/>
          <w:b/>
          <w:color w:val="0F4761"/>
          <w:sz w:val="32"/>
        </w:rPr>
        <w:t>6.  The offer</w:t>
      </w:r>
    </w:p>
    <w:p>
      <w:pPr>
        <w:pStyle w:val="Heading2"/>
        <w:rPr/>
      </w:pPr>
      <w:bookmarkStart w:id="21" w:name="__RefHeading___Toc61618_4195859891"/>
      <w:bookmarkEnd w:id="21"/>
      <w:r>
        <w:rPr>
          <w:rFonts w:eastAsia="Segoe UI" w:cs="Segoe UI"/>
          <w:b/>
          <w:color w:val="0F4761"/>
          <w:sz w:val="26"/>
        </w:rPr>
        <w:t>6.1  Modules</w:t>
      </w:r>
    </w:p>
    <w:p>
      <w:pPr>
        <w:pStyle w:val="Normal"/>
        <w:spacing w:lineRule="auto" w:line="276" w:before="0" w:after="120"/>
        <w:rPr/>
      </w:pPr>
      <w:r>
        <w:rPr>
          <w:rFonts w:eastAsia="Segoe UI" w:cs="Segoe UI" w:ascii="Segoe UI" w:hAnsi="Segoe UI"/>
          <w:color w:val="101820"/>
          <w:sz w:val="21"/>
        </w:rPr>
        <w:t>All delivered modules are included in every package: dashboards; prospects and clients; Quick Quote and Compare Insurers; motor quotation and customer approval; request for quotation and placement; policy issuance and servicing; endorsements and cancellations; claims; renewals; billing, payments and official receipts; collections and credit control; disbursement and petty cash; remittance to insurers and direct bill; commission and referrers; incentives; general ledger and journals; period end; bank reconciliation; insurer reconciliation; BIR tax working papers (Form 2307, VAT Summary, SAWT, QAP, SLSP); reinsurance; Product Configurator; reports; notifications and e-mail; data privacy; administration, security and configuration.</w:t>
      </w:r>
    </w:p>
    <w:p>
      <w:pPr>
        <w:pStyle w:val="Heading2"/>
        <w:rPr/>
      </w:pPr>
      <w:bookmarkStart w:id="22" w:name="__RefHeading___Toc61620_4195859891"/>
      <w:bookmarkEnd w:id="22"/>
      <w:r>
        <w:rPr>
          <w:rFonts w:eastAsia="Segoe UI" w:cs="Segoe UI"/>
          <w:b/>
          <w:color w:val="0F4761"/>
          <w:sz w:val="26"/>
        </w:rPr>
        <w:t>6.2  Commercial models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3746"/>
        <w:gridCol w:w="3750"/>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7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Perpetual licence with AMC</w:t>
            </w:r>
          </w:p>
        </w:tc>
        <w:tc>
          <w:tcPr>
            <w:tcW w:w="37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Subscription</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Software price</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named user, one-time, graduated slabs: PHP 90,000.00, 78,000.00, 66,000.00, 54,000.00</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named user per month, graduated slabs: PHP 3,200.00, 2,800.00, 2,400.00, 2,000.00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 billable users: 10, 26, 101, 301; minimum term 12 months</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fee by size and lines of business</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Onboarding fee equal to the implementation fee</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12-month warranty, then AMC at 22% of the licence fee a year, plus 5% a year</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Included in the Monthly Fee, plus 5% a year</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100% on go-live; implementation 40/40/20</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 onboarding 40/40/20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Best for</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horizon of four years or more; capital budget</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Lower Year 1 cash; no capital approval</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escrow</w:t>
            </w:r>
          </w:p>
        </w:tc>
        <w:tc>
          <w:tcPr>
            <w:tcW w:w="37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Subscription costs less in cash for the first three years; for the reference user counts its cumulative cost passes the perpetual model in Year 4. Perpetual costs 13% to 18% less over five years.</w:t>
      </w:r>
    </w:p>
    <w:p>
      <w:pPr>
        <w:pStyle w:val="Heading2"/>
        <w:rPr/>
      </w:pPr>
      <w:bookmarkStart w:id="23" w:name="__RefHeading___Toc61622_4195859891"/>
      <w:bookmarkEnd w:id="23"/>
      <w:r>
        <w:rPr>
          <w:rFonts w:eastAsia="Segoe UI" w:cs="Segoe UI"/>
          <w:b/>
          <w:color w:val="0F4761"/>
          <w:sz w:val="26"/>
        </w:rPr>
        <w:t>6.3  Implementation fee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123"/>
        <w:gridCol w:w="1880"/>
        <w:gridCol w:w="1638"/>
        <w:gridCol w:w="1327"/>
        <w:gridCol w:w="1912"/>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Base man-days</w:t>
            </w:r>
          </w:p>
        </w:tc>
        <w:tc>
          <w:tcPr>
            <w:tcW w:w="18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of business included</w:t>
            </w:r>
          </w:p>
        </w:tc>
        <w:tc>
          <w:tcPr>
            <w:tcW w:w="16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Training days included</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Fee (PHP)</w:t>
            </w:r>
          </w:p>
        </w:tc>
        <w:tc>
          <w:tcPr>
            <w:tcW w:w="1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to hypercare exit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weeks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weeks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 weeks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360</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weeks or more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line of business above the included number adds 6 man-days at the blended rate of PHP 16,100.00.</w:t>
      </w:r>
    </w:p>
    <w:p>
      <w:pPr>
        <w:pStyle w:val="Heading2"/>
        <w:rPr/>
      </w:pPr>
      <w:bookmarkStart w:id="24" w:name="__RefHeading___Toc61624_4195859891"/>
      <w:bookmarkEnd w:id="24"/>
      <w:r>
        <w:rPr>
          <w:rFonts w:eastAsia="Segoe UI" w:cs="Segoe UI"/>
          <w:b/>
          <w:color w:val="0F4761"/>
          <w:sz w:val="26"/>
        </w:rPr>
        <w:t>6.4  Hosting options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3"/>
        <w:gridCol w:w="1291"/>
        <w:gridCol w:w="1038"/>
        <w:gridCol w:w="1036"/>
        <w:gridCol w:w="1134"/>
        <w:gridCol w:w="1361"/>
      </w:tblGrid>
      <w:tr>
        <w:trPr>
          <w:tblHeader w:val="true"/>
        </w:trPr>
        <w:tc>
          <w:tcPr>
            <w:tcW w:w="31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Option</w:t>
            </w:r>
          </w:p>
        </w:tc>
        <w:tc>
          <w:tcPr>
            <w:tcW w:w="12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Data location</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by the broker (cloud account or data centre)</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Broker's choice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(ap-southeast-1)</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Singapore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244,000.00</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Azure (Southeast Asia)</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Singapore</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118,000.00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r>
      <w:tr>
        <w:trPr/>
        <w:tc>
          <w:tcPr>
            <w:tcW w:w="3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with a local partner</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Philippines</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232,000.00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Per month, production and one UAT environment. Hosting in Singapore is a transfer of personal data outside the Philippines that the broker documents under the Data Privacy Act. Hosting is always quoted separately so the software price stays comparable.</w:t>
      </w:r>
    </w:p>
    <w:p>
      <w:pPr>
        <w:pStyle w:val="Heading2"/>
        <w:rPr/>
      </w:pPr>
      <w:bookmarkStart w:id="25" w:name="__RefHeading___Toc61626_4195859891"/>
      <w:bookmarkEnd w:id="25"/>
      <w:r>
        <w:rPr>
          <w:rFonts w:eastAsia="Segoe UI" w:cs="Segoe UI"/>
          <w:b/>
          <w:color w:val="0F4761"/>
          <w:sz w:val="26"/>
        </w:rPr>
        <w:t>6.5  Packages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327"/>
        <w:gridCol w:w="1821"/>
        <w:gridCol w:w="1933"/>
        <w:gridCol w:w="1366"/>
        <w:gridCol w:w="1433"/>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Model</w:t>
            </w:r>
          </w:p>
        </w:tc>
        <w:tc>
          <w:tcPr>
            <w:tcW w:w="18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Hosting</w:t>
            </w:r>
          </w:p>
        </w:tc>
        <w:tc>
          <w:tcPr>
            <w:tcW w:w="19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13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 Year 1 (PHP)</w:t>
            </w:r>
          </w:p>
        </w:tc>
        <w:tc>
          <w:tcPr>
            <w:tcW w:w="14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 Year 1 (PHP)</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By the broker</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4,226,000.00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AWS Singapore</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2,066,000.00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4,970,000.00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with AMC</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AWS Singapore</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2,840,000.00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7,814,000.00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with AMC</w:t>
            </w:r>
          </w:p>
        </w:tc>
        <w:tc>
          <w:tcPr>
            <w:tcW w:w="18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partner, Philippines</w:t>
            </w:r>
          </w:p>
        </w:tc>
        <w:tc>
          <w:tcPr>
            <w:tcW w:w="1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and 24x7 Severity 1</w:t>
            </w:r>
          </w:p>
        </w:tc>
        <w:tc>
          <w:tcPr>
            <w:tcW w:w="13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3,356,000.00</w:t>
            </w:r>
          </w:p>
        </w:tc>
        <w:tc>
          <w:tcPr>
            <w:tcW w:w="1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8,558,000.00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Year 1 at list for the reference users (Small 15 users and 5 lines of business; Medium 60 users and 8 lines). The Rate Card gives all four sizes and the 5-year totals.</w:t>
      </w:r>
    </w:p>
    <w:p>
      <w:pPr>
        <w:pStyle w:val="Heading2"/>
        <w:rPr/>
      </w:pPr>
      <w:bookmarkStart w:id="26" w:name="__RefHeading___Toc61628_4195859891"/>
      <w:bookmarkEnd w:id="26"/>
      <w:r>
        <w:rPr>
          <w:rFonts w:eastAsia="Segoe UI" w:cs="Segoe UI"/>
          <w:b/>
          <w:color w:val="0F4761"/>
          <w:sz w:val="26"/>
        </w:rPr>
        <w:t>6.6  Optional services</w:t>
      </w:r>
    </w:p>
    <w:p>
      <w:pPr>
        <w:pStyle w:val="Normal"/>
        <w:spacing w:lineRule="auto" w:line="276" w:before="0" w:after="120"/>
        <w:rPr/>
      </w:pPr>
      <w:r>
        <w:rPr>
          <w:rFonts w:eastAsia="Segoe UI" w:cs="Segoe UI" w:ascii="Segoe UI" w:hAnsi="Segoe UI"/>
          <w:color w:val="101820"/>
          <w:sz w:val="21"/>
        </w:rPr>
        <w:t>Additional environments (PHP 100,000.00 set-up, PHP 11,000.00 a month hosted), training beyond the included days (PHP 30,000.00 per trainer day), data migration beyond the standard templates (PHP 240,000.00 per legacy source), integrations (standard PHP 320,000.00, complex PHP 720,000.00), additional line of business after go-live (PHP 100,000.00), new report or document template (typical PHP 60,000.00), on-site days (PHP 20,000.00), 24x7 Severity 1 support (Small PHP 240,000.00 to Enterprise PHP 1,500,000.00 a year), change requests at day rates (business analyst PHP 18,000.00, developer PHP 16,000.00, QA engineer PHP 12,000.00, project manager PHP 22,000.00, blended PHP 16,100.00). The Service Catalogue and Rate Annex holds the full list.</w:t>
      </w:r>
      <w:r>
        <w:br w:type="page"/>
      </w:r>
    </w:p>
    <w:p>
      <w:pPr>
        <w:pStyle w:val="Heading1"/>
        <w:rPr/>
      </w:pPr>
      <w:bookmarkStart w:id="27" w:name="__RefHeading___Toc61630_4195859891"/>
      <w:bookmarkEnd w:id="27"/>
      <w:r>
        <w:rPr>
          <w:rFonts w:eastAsia="Segoe UI" w:cs="Segoe UI" w:ascii="Segoe UI" w:hAnsi="Segoe UI"/>
          <w:b/>
          <w:color w:val="0F4761"/>
          <w:sz w:val="32"/>
        </w:rPr>
        <w:t>7.  Sales process</w:t>
      </w:r>
    </w:p>
    <w:p>
      <w:pPr>
        <w:pStyle w:val="Heading2"/>
        <w:rPr/>
      </w:pPr>
      <w:bookmarkStart w:id="28" w:name="__RefHeading___Toc61632_4195859891"/>
      <w:bookmarkEnd w:id="28"/>
      <w:r>
        <w:rPr>
          <w:rFonts w:eastAsia="Segoe UI" w:cs="Segoe UI"/>
          <w:b/>
          <w:color w:val="0F4761"/>
          <w:sz w:val="26"/>
        </w:rPr>
        <w:t>7.1  Stages, collateral and exit criteria</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601"/>
        <w:gridCol w:w="2341"/>
        <w:gridCol w:w="2284"/>
        <w:gridCol w:w="188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6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Stage</w:t>
            </w:r>
          </w:p>
        </w:tc>
        <w:tc>
          <w:tcPr>
            <w:tcW w:w="2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Collateral to use</w:t>
            </w:r>
          </w:p>
        </w:tc>
        <w:tc>
          <w:tcPr>
            <w:tcW w:w="22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Exit criterion</w:t>
            </w:r>
          </w:p>
        </w:tc>
        <w:tc>
          <w:tcPr>
            <w:tcW w:w="18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Target and first contact</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Brochure; prospect e-mails (cold introduction small or large broker, follow-ups 1 and 2, LinkedIn note, event invitation)</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Meeting agreed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meeting and qualification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Presentation; pre-meeting agenda and thank-you e-mails; discovery questions of the Demo Script; FAQ and Objection Handling</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Qualified against the five criteria</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Demonstration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 Script (60 or 30 minutes) on the demo environment with the UAT data set; demo invitation and follow-up e-mails; Mutual NDA if own data is shown</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Workshop agreed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and 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workshop and sizing</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Functionality document; Regulatory Compliance Matrix; Implementation Approach and Plan; ROI Calculator when finance asks; Architecture document for IT</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Size, users, lines of business, hosting and model agreed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Proposal</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Rate Card; Quick Quote at list with the Validity and Terms sheet; proposal cover e-mail within 5 working days of the workshop; ROI result</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Proposal sent</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Negotiation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Negotiation Playbook (internal only); negotiation follow-up e-mail; FAQ and Objection Handling</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Price and terms agreed within the approval limits</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Award</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 of Award or Proposal Acceptance form</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Award received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Pack Index and Cover Letter; MSA, Order Form and schedules for the model; contract dispatch e-mail</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set signed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Hand-off to delivery</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Welcome e-mail within 2 working days of signing; signed deal file; kick-off date</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 held</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 head of delivery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and expansion</w:t>
            </w:r>
          </w:p>
        </w:tc>
        <w:tc>
          <w:tcPr>
            <w:tcW w:w="2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Referral request e-mail after go-live and a stable first month-end close</w:t>
            </w:r>
          </w:p>
        </w:tc>
        <w:tc>
          <w:tcPr>
            <w:tcW w:w="2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agreed; added users or options</w:t>
            </w:r>
          </w:p>
        </w:tc>
        <w:tc>
          <w:tcPr>
            <w:tcW w:w="18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e-mail sequence and timings are in the Prospect E-mail Templates: follow-up 1 on day 4 to 5, follow-up 2 on day 10 to 12 then a 60-day pause, re-engagement 60 to 90 days after a prospect goes quiet.</w:t>
      </w:r>
    </w:p>
    <w:p>
      <w:pPr>
        <w:pStyle w:val="Heading2"/>
        <w:rPr/>
      </w:pPr>
      <w:bookmarkStart w:id="29" w:name="__RefHeading___Toc61634_4195859891"/>
      <w:bookmarkEnd w:id="29"/>
      <w:r>
        <w:rPr>
          <w:rFonts w:eastAsia="Segoe UI" w:cs="Segoe UI"/>
          <w:b/>
          <w:color w:val="0F4761"/>
          <w:sz w:val="26"/>
        </w:rPr>
        <w:t>7.2  Rules for the sales team</w:t>
      </w:r>
    </w:p>
    <w:p>
      <w:pPr>
        <w:pStyle w:val="Normal"/>
        <w:numPr>
          <w:ilvl w:val="0"/>
          <w:numId w:val="1"/>
        </w:numPr>
        <w:spacing w:before="0" w:after="60"/>
        <w:rPr/>
      </w:pPr>
      <w:r>
        <w:rPr>
          <w:rFonts w:eastAsia="Segoe UI" w:cs="Segoe UI" w:ascii="Segoe UI" w:hAnsi="Segoe UI"/>
          <w:color w:val="101820"/>
          <w:sz w:val="21"/>
        </w:rPr>
        <w:t>Start at list price. Show the list price in every presentation and the first quotation. Send the quotation within 2 business days of the meeting.</w:t>
      </w:r>
    </w:p>
    <w:p>
      <w:pPr>
        <w:pStyle w:val="Normal"/>
        <w:numPr>
          <w:ilvl w:val="0"/>
          <w:numId w:val="1"/>
        </w:numPr>
        <w:spacing w:before="0" w:after="60"/>
        <w:rPr/>
      </w:pPr>
      <w:r>
        <w:rPr>
          <w:rFonts w:eastAsia="Segoe UI" w:cs="Segoe UI" w:ascii="Segoe UI" w:hAnsi="Segoe UI"/>
          <w:color w:val="101820"/>
          <w:sz w:val="21"/>
        </w:rPr>
        <w:t>Trade, do not give. Every concession is exchanged for term, cash timing, a reference, scope or a signing date. Move scope before price.</w:t>
      </w:r>
    </w:p>
    <w:p>
      <w:pPr>
        <w:pStyle w:val="Normal"/>
        <w:numPr>
          <w:ilvl w:val="0"/>
          <w:numId w:val="1"/>
        </w:numPr>
        <w:spacing w:before="0" w:after="60"/>
        <w:rPr/>
      </w:pPr>
      <w:r>
        <w:rPr>
          <w:rFonts w:eastAsia="Segoe UI" w:cs="Segoe UI" w:ascii="Segoe UI" w:hAnsi="Segoe UI"/>
          <w:color w:val="101820"/>
          <w:sz w:val="21"/>
        </w:rPr>
        <w:t>Protect the recurring line. The AMC rate (22%) and the yearly escalation (5%) are not discounted.</w:t>
      </w:r>
    </w:p>
    <w:p>
      <w:pPr>
        <w:pStyle w:val="Normal"/>
        <w:numPr>
          <w:ilvl w:val="0"/>
          <w:numId w:val="1"/>
        </w:numPr>
        <w:spacing w:before="0" w:after="60"/>
        <w:rPr/>
      </w:pPr>
      <w:r>
        <w:rPr>
          <w:rFonts w:eastAsia="Segoe UI" w:cs="Segoe UI" w:ascii="Segoe UI" w:hAnsi="Segoe UI"/>
          <w:color w:val="101820"/>
          <w:sz w:val="21"/>
        </w:rPr>
        <w:t>Disclose the known limits of the OOTB release when the topic comes up (FAQ, Known limits of the OOTB version).</w:t>
      </w:r>
    </w:p>
    <w:p>
      <w:pPr>
        <w:pStyle w:val="Normal"/>
        <w:numPr>
          <w:ilvl w:val="0"/>
          <w:numId w:val="1"/>
        </w:numPr>
        <w:spacing w:before="0" w:after="60"/>
        <w:rPr/>
      </w:pPr>
      <w:r>
        <w:rPr>
          <w:rFonts w:eastAsia="Segoe UI" w:cs="Segoe UI" w:ascii="Segoe UI" w:hAnsi="Segoe UI"/>
          <w:color w:val="101820"/>
          <w:sz w:val="21"/>
        </w:rPr>
        <w:t>Never demonstrate on a production system or with a prospect's real client data.</w:t>
      </w:r>
    </w:p>
    <w:p>
      <w:pPr>
        <w:pStyle w:val="Normal"/>
        <w:numPr>
          <w:ilvl w:val="0"/>
          <w:numId w:val="1"/>
        </w:numPr>
        <w:spacing w:before="0" w:after="60"/>
        <w:rPr/>
      </w:pPr>
      <w:r>
        <w:rPr>
          <w:rFonts w:eastAsia="Segoe UI" w:cs="Segoe UI" w:ascii="Segoe UI" w:hAnsi="Segoe UI"/>
          <w:color w:val="101820"/>
          <w:sz w:val="21"/>
        </w:rPr>
        <w:t>The client copy of the prices is the Rate Card. The price book, the floor prices and the Negotiation Playbook are never sent.</w:t>
      </w:r>
    </w:p>
    <w:p>
      <w:pPr>
        <w:pStyle w:val="Heading2"/>
        <w:rPr/>
      </w:pPr>
      <w:bookmarkStart w:id="30" w:name="__RefHeading___Toc61636_4195859891"/>
      <w:bookmarkEnd w:id="30"/>
      <w:r>
        <w:rPr>
          <w:rFonts w:eastAsia="Segoe UI" w:cs="Segoe UI"/>
          <w:b/>
          <w:color w:val="0F4761"/>
          <w:sz w:val="26"/>
        </w:rPr>
        <w:t>7.3  Approval gates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3"/>
        <w:gridCol w:w="2536"/>
        <w:gridCol w:w="2517"/>
        <w:gridCol w:w="2537"/>
      </w:tblGrid>
      <w:tr>
        <w:trPr>
          <w:tblHeader w:val="true"/>
        </w:trPr>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Gate</w:t>
            </w:r>
          </w:p>
        </w:tc>
        <w:tc>
          <w:tcPr>
            <w:tcW w:w="2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25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Approver</w:t>
            </w:r>
          </w:p>
        </w:tc>
        <w:tc>
          <w:tcPr>
            <w:tcW w:w="25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G1: qualification</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a demonstration</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 sales head for Large and Enterprise (Proposed)</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Qualification criteria met</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G2: pricing</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quotation with any discount leaves iorta TechNXT</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By the highest discount on any component (table below)</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 reason, levers, written approval in the deal file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G3: delivery capacity</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proposal states a go-live date (Proposed)</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dates and team confirmed</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G4: legal review</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contract set is sent, when a legal trigger applies</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 CEO where the playbook says so</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Redline and approval</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G5: signature</w:t>
            </w:r>
          </w:p>
        </w:tc>
        <w:tc>
          <w:tcPr>
            <w:tcW w:w="2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signing</w:t>
            </w:r>
          </w:p>
        </w:tc>
        <w:tc>
          <w:tcPr>
            <w:tcW w:w="2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signatory</w:t>
            </w:r>
          </w:p>
        </w:tc>
        <w:tc>
          <w:tcPr>
            <w:tcW w:w="2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 sales and legal checklists of the Contract Pack Index</w:t>
            </w:r>
          </w:p>
        </w:tc>
      </w:tr>
    </w:tbl>
    <w:p>
      <w:pPr>
        <w:pStyle w:val="Normal"/>
        <w:spacing w:before="0" w:after="80"/>
        <w:rPr/>
      </w:pPr>
      <w:r>
        <w:rPr/>
      </w:r>
    </w:p>
    <w:p>
      <w:pPr>
        <w:pStyle w:val="Heading2"/>
        <w:rPr/>
      </w:pPr>
      <w:bookmarkStart w:id="31" w:name="__RefHeading___Toc61638_4195859891"/>
      <w:bookmarkEnd w:id="31"/>
      <w:r>
        <w:rPr>
          <w:rFonts w:eastAsia="Segoe UI" w:cs="Segoe UI"/>
          <w:b/>
          <w:color w:val="0F4761"/>
          <w:sz w:val="26"/>
        </w:rPr>
        <w:t>7.4  Discount limits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95"/>
        <w:gridCol w:w="1395"/>
        <w:gridCol w:w="1301"/>
        <w:gridCol w:w="1300"/>
        <w:gridCol w:w="1023"/>
      </w:tblGrid>
      <w:tr>
        <w:trPr>
          <w:tblHeader w:val="true"/>
        </w:trPr>
        <w:tc>
          <w:tcPr>
            <w:tcW w:w="39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Component</w:t>
            </w:r>
          </w:p>
        </w:tc>
        <w:tc>
          <w:tcPr>
            <w:tcW w:w="13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manager</w:t>
            </w:r>
          </w:p>
        </w:tc>
        <w:tc>
          <w:tcPr>
            <w:tcW w:w="1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Sales head</w:t>
            </w:r>
          </w:p>
        </w:tc>
        <w:tc>
          <w:tcPr>
            <w:tcW w:w="13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CEO</w:t>
            </w:r>
          </w:p>
        </w:tc>
        <w:tc>
          <w:tcPr>
            <w:tcW w:w="10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Floor</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fee</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per user per month</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or onboarding fee</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One-time optional services and 24x7 support</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per month</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requests and day rates</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rate (22%) and yearly escalation (5%)</w:t>
            </w:r>
          </w:p>
        </w:tc>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0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and 5%</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Levers (longer term, upfront payment, reference customer, case study, signing date, onboarding reduction) count toward the limit. No more than three levers on one deal without the sales head.</w:t>
      </w:r>
    </w:p>
    <w:p>
      <w:pPr>
        <w:pStyle w:val="Heading2"/>
        <w:rPr/>
      </w:pPr>
      <w:bookmarkStart w:id="32" w:name="__RefHeading___Toc61640_4195859891"/>
      <w:bookmarkEnd w:id="32"/>
      <w:r>
        <w:rPr>
          <w:rFonts w:eastAsia="Segoe UI" w:cs="Segoe UI"/>
          <w:b/>
          <w:color w:val="0F4761"/>
          <w:sz w:val="26"/>
        </w:rPr>
        <w:t>7.5  Legal review triggers</w:t>
      </w:r>
    </w:p>
    <w:p>
      <w:pPr>
        <w:pStyle w:val="Normal"/>
        <w:spacing w:lineRule="auto" w:line="276" w:before="0" w:after="120"/>
        <w:rPr/>
      </w:pPr>
      <w:r>
        <w:rPr>
          <w:rFonts w:eastAsia="Segoe UI" w:cs="Segoe UI" w:ascii="Segoe UI" w:hAnsi="Segoe UI"/>
          <w:color w:val="101820"/>
          <w:sz w:val="21"/>
        </w:rPr>
        <w:t>Legal counsel reviews before release when the deal changes: the limitation of liability or the data protection cap; payment term beyond 30 days; suspension terms; auto-renewal; service credits; governing law or venue; adds source code escrow; uses the client's own contract paper; or adds an early termination right. The platform IP position is not negotiable.</w:t>
      </w:r>
      <w:r>
        <w:br w:type="page"/>
      </w:r>
    </w:p>
    <w:p>
      <w:pPr>
        <w:pStyle w:val="Heading1"/>
        <w:rPr/>
      </w:pPr>
      <w:bookmarkStart w:id="33" w:name="__RefHeading___Toc61642_4195859891"/>
      <w:bookmarkEnd w:id="33"/>
      <w:r>
        <w:rPr>
          <w:rFonts w:eastAsia="Segoe UI" w:cs="Segoe UI" w:ascii="Segoe UI" w:hAnsi="Segoe UI"/>
          <w:b/>
          <w:color w:val="0F4761"/>
          <w:sz w:val="32"/>
        </w:rPr>
        <w:t>8.  Delivery model</w:t>
      </w:r>
    </w:p>
    <w:p>
      <w:pPr>
        <w:pStyle w:val="Heading2"/>
        <w:rPr/>
      </w:pPr>
      <w:bookmarkStart w:id="34" w:name="__RefHeading___Toc61644_4195859891"/>
      <w:bookmarkEnd w:id="34"/>
      <w:r>
        <w:rPr>
          <w:rFonts w:eastAsia="Segoe UI" w:cs="Segoe UI"/>
          <w:b/>
          <w:color w:val="0F4761"/>
          <w:sz w:val="26"/>
        </w:rPr>
        <w:t>8.1  Phases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659"/>
        <w:gridCol w:w="544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26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54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team and governance, plan confirmed, data requests issued, environments ordered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Walk-through of each process on the delivered system; configuration decisions; fit-gap register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set-up</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(UAT) and production environments, e-mail account, backups, monitoring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products and rates, numbering, chart of accounts, posting rules, approvals, security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Extraction by the broker, mapping to the templates, mock loads, reconciliation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statement files, payment gateway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Train-the-trainer for key users, then end-user training per role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integration test</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runs across roles with the configured data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acceptance test</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run the UAT scripts with the broker's own data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extract, final loads, reconciliation, go/no-go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day of transactions in iNXT BrokerVerse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support until the first month-end close is done</w:t>
            </w:r>
          </w:p>
        </w:tc>
      </w:tr>
    </w:tbl>
    <w:p>
      <w:pPr>
        <w:pStyle w:val="Normal"/>
        <w:spacing w:before="0" w:after="80"/>
        <w:rPr/>
      </w:pPr>
      <w:r>
        <w:rPr/>
      </w:r>
    </w:p>
    <w:p>
      <w:pPr>
        <w:pStyle w:val="Heading2"/>
        <w:rPr/>
      </w:pPr>
      <w:bookmarkStart w:id="35" w:name="__RefHeading___Toc61646_4195859891"/>
      <w:bookmarkEnd w:id="35"/>
      <w:r>
        <w:rPr>
          <w:rFonts w:eastAsia="Segoe UI" w:cs="Segoe UI"/>
          <w:b/>
          <w:color w:val="0F4761"/>
          <w:sz w:val="26"/>
        </w:rPr>
        <w:t>8.2  Timelines by size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6"/>
        <w:gridCol w:w="1352"/>
        <w:gridCol w:w="1533"/>
        <w:gridCol w:w="1802"/>
      </w:tblGrid>
      <w:tr>
        <w:trPr>
          <w:tblHeader w:val="true"/>
        </w:trPr>
        <w:tc>
          <w:tcPr>
            <w:tcW w:w="4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w:t>
            </w:r>
          </w:p>
        </w:tc>
        <w:tc>
          <w:tcPr>
            <w:tcW w:w="13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(8 weeks)</w:t>
            </w:r>
          </w:p>
        </w:tc>
        <w:tc>
          <w:tcPr>
            <w:tcW w:w="15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 (12 weeks)</w:t>
            </w:r>
          </w:p>
        </w:tc>
        <w:tc>
          <w:tcPr>
            <w:tcW w:w="1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 (20-week plan)</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and fit-gap register signed</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2</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3</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5</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3</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5</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report</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4</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11</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and go decision</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6</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9</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13 to 14</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10</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15</w:t>
            </w:r>
          </w:p>
        </w:tc>
      </w:tr>
      <w:tr>
        <w:trPr/>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c>
          <w:tcPr>
            <w:tcW w:w="1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8</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12</w:t>
            </w:r>
          </w:p>
        </w:tc>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20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Large broker with a simple product mix can follow a 16-week variant with go-live at the start of week 13. Enterprise plans are set at mobilisation (20 weeks or more).</w:t>
      </w:r>
    </w:p>
    <w:p>
      <w:pPr>
        <w:pStyle w:val="Heading2"/>
        <w:rPr/>
      </w:pPr>
      <w:bookmarkStart w:id="36" w:name="__RefHeading___Toc61648_4195859891"/>
      <w:bookmarkEnd w:id="36"/>
      <w:r>
        <w:rPr>
          <w:rFonts w:eastAsia="Segoe UI" w:cs="Segoe UI"/>
          <w:b/>
          <w:color w:val="0F4761"/>
          <w:sz w:val="26"/>
        </w:rPr>
        <w:t>8.3  Team size by implementation</w:t>
      </w:r>
    </w:p>
    <w:p>
      <w:pPr>
        <w:pStyle w:val="Normal"/>
        <w:spacing w:lineRule="auto" w:line="276" w:before="0" w:after="120"/>
        <w:rPr/>
      </w:pPr>
      <w:r>
        <w:rPr>
          <w:rFonts w:eastAsia="Segoe UI" w:cs="Segoe UI" w:ascii="Segoe UI" w:hAnsi="Segoe UI"/>
          <w:color w:val="101820"/>
          <w:sz w:val="21"/>
        </w:rPr>
        <w:t xml:space="preserve">The average team size below is derived from the base man-days and the duration. </w:t>
      </w:r>
      <w:r>
        <w:rPr>
          <w:rFonts w:eastAsia="Segoe UI" w:cs="Segoe UI" w:ascii="Segoe UI" w:hAnsi="Segoe UI"/>
          <w:b/>
          <w:color w:val="101820"/>
          <w:sz w:val="21"/>
        </w:rPr>
        <w:t>Assumption:</w:t>
      </w:r>
      <w:r>
        <w:rPr>
          <w:rFonts w:eastAsia="Segoe UI" w:cs="Segoe UI" w:ascii="Segoe UI" w:hAnsi="Segoe UI"/>
          <w:color w:val="101820"/>
          <w:sz w:val="21"/>
        </w:rPr>
        <w:t xml:space="preserve"> the actual mix is set by the head of delivery at mobilisation.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123"/>
        <w:gridCol w:w="907"/>
        <w:gridCol w:w="2257"/>
        <w:gridCol w:w="3594"/>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Base man-days</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Weeks</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Average full-time equivalents</w:t>
            </w:r>
          </w:p>
        </w:tc>
        <w:tc>
          <w:tcPr>
            <w:tcW w:w="35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Typical team (Proposed)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1.8</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(part time), one functional consultant, technical and DevOps lead (part time)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2.2</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(part time), two functional consultants, migration lead, technical and DevOps lead (part time)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2.3 to 2.9</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two or three functional consultants, migration lead, technical and DevOps lead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or more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About 3.6 or less</w:t>
            </w:r>
          </w:p>
        </w:tc>
        <w:tc>
          <w:tcPr>
            <w:tcW w:w="35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 three functional consultants, migration lead, technical and DevOps lead, head of delivery in the steering committee</w:t>
            </w:r>
          </w:p>
        </w:tc>
      </w:tr>
    </w:tbl>
    <w:p>
      <w:pPr>
        <w:pStyle w:val="Normal"/>
        <w:spacing w:before="0" w:after="80"/>
        <w:rPr/>
      </w:pPr>
      <w:r>
        <w:rPr/>
      </w:r>
    </w:p>
    <w:p>
      <w:pPr>
        <w:pStyle w:val="Heading2"/>
        <w:rPr/>
      </w:pPr>
      <w:bookmarkStart w:id="37" w:name="__RefHeading___Toc61650_4195859891"/>
      <w:bookmarkEnd w:id="37"/>
      <w:r>
        <w:rPr>
          <w:rFonts w:eastAsia="Segoe UI" w:cs="Segoe UI"/>
          <w:b/>
          <w:color w:val="0F4761"/>
          <w:sz w:val="26"/>
        </w:rPr>
        <w:t>8.4  Data migration</w:t>
      </w:r>
    </w:p>
    <w:p>
      <w:pPr>
        <w:pStyle w:val="Normal"/>
        <w:numPr>
          <w:ilvl w:val="0"/>
          <w:numId w:val="1"/>
        </w:numPr>
        <w:spacing w:before="0" w:after="60"/>
        <w:rPr/>
      </w:pPr>
      <w:r>
        <w:rPr>
          <w:rFonts w:eastAsia="Segoe UI" w:cs="Segoe UI" w:ascii="Segoe UI" w:hAnsi="Segoe UI"/>
          <w:color w:val="101820"/>
          <w:sz w:val="21"/>
        </w:rPr>
        <w:t>Templates only: every load uses the delivered upload templates. The broker owns, extracts, cleanses and signs off its data; iorta TechNXT advises on mapping, runs the loads with the broker and reports the results.</w:t>
      </w:r>
    </w:p>
    <w:p>
      <w:pPr>
        <w:pStyle w:val="Normal"/>
        <w:numPr>
          <w:ilvl w:val="0"/>
          <w:numId w:val="1"/>
        </w:numPr>
        <w:spacing w:before="0" w:after="60"/>
        <w:rPr/>
      </w:pPr>
      <w:r>
        <w:rPr>
          <w:rFonts w:eastAsia="Segoe UI" w:cs="Segoe UI" w:ascii="Segoe UI" w:hAnsi="Segoe UI"/>
          <w:color w:val="101820"/>
          <w:sz w:val="21"/>
        </w:rPr>
        <w:t>Open positions, not history: in-force policies, open receivables, the trial balance and masters at the go-live date. Closed history stays in the old system, kept read-only.</w:t>
      </w:r>
    </w:p>
    <w:p>
      <w:pPr>
        <w:pStyle w:val="Normal"/>
        <w:numPr>
          <w:ilvl w:val="0"/>
          <w:numId w:val="1"/>
        </w:numPr>
        <w:spacing w:before="0" w:after="60"/>
        <w:rPr/>
      </w:pPr>
      <w:r>
        <w:rPr>
          <w:rFonts w:eastAsia="Segoe UI" w:cs="Segoe UI" w:ascii="Segoe UI" w:hAnsi="Segoe UI"/>
          <w:color w:val="101820"/>
          <w:sz w:val="21"/>
        </w:rPr>
        <w:t>Mock loads: two for Small (the second is the cutover rehearsal), three for Medium, four for Large. Exit criteria rise from "all files load" to "all control figures reconcile and UAT on migrated data passes".</w:t>
      </w:r>
    </w:p>
    <w:p>
      <w:pPr>
        <w:pStyle w:val="Normal"/>
        <w:numPr>
          <w:ilvl w:val="0"/>
          <w:numId w:val="1"/>
        </w:numPr>
        <w:spacing w:before="0" w:after="60"/>
        <w:rPr/>
      </w:pPr>
      <w:r>
        <w:rPr>
          <w:rFonts w:eastAsia="Segoe UI" w:cs="Segoe UI" w:ascii="Segoe UI" w:hAnsi="Segoe UI"/>
          <w:color w:val="101820"/>
          <w:sz w:val="21"/>
        </w:rPr>
        <w:t>Go/no-go: UAT signed with no open severity 1 or 2 defect; final load reconciled exactly or differences accepted in writing by the Accounting Manager; users trained; cutover checklist done; hypercare team ready; rollback plan confirmed. Rollback is planned up to the end of the first business week; after that, fix forward.</w:t>
      </w:r>
    </w:p>
    <w:p>
      <w:pPr>
        <w:pStyle w:val="Heading2"/>
        <w:rPr/>
      </w:pPr>
      <w:bookmarkStart w:id="38" w:name="__RefHeading___Toc61652_4195859891"/>
      <w:bookmarkEnd w:id="38"/>
      <w:r>
        <w:rPr>
          <w:rFonts w:eastAsia="Segoe UI" w:cs="Segoe UI"/>
          <w:b/>
          <w:color w:val="0F4761"/>
          <w:sz w:val="26"/>
        </w:rPr>
        <w:t>8.5  Training</w:t>
      </w:r>
    </w:p>
    <w:p>
      <w:pPr>
        <w:pStyle w:val="Normal"/>
        <w:spacing w:lineRule="auto" w:line="276" w:before="0" w:after="120"/>
        <w:rPr/>
      </w:pPr>
      <w:r>
        <w:rPr>
          <w:rFonts w:eastAsia="Segoe UI" w:cs="Segoe UI" w:ascii="Segoe UI" w:hAnsi="Segoe UI"/>
          <w:color w:val="101820"/>
          <w:sz w:val="21"/>
        </w:rPr>
        <w:t>Role-based train-the-trainer: iorta TechNXT trains one key user per team (two for teams of more than 15 users), who then train their teams with iorta TechNXT present at the first sessions. At least two thirds of each session is hands-on. Every user passes a practical assessment before receiving production access; key users need at least 90%. End-user training runs in the two weeks before go-live.</w:t>
      </w:r>
    </w:p>
    <w:p>
      <w:pPr>
        <w:pStyle w:val="Heading2"/>
        <w:rPr/>
      </w:pPr>
      <w:bookmarkStart w:id="39" w:name="__RefHeading___Toc61654_4195859891"/>
      <w:bookmarkEnd w:id="39"/>
      <w:r>
        <w:rPr>
          <w:rFonts w:eastAsia="Segoe UI" w:cs="Segoe UI"/>
          <w:b/>
          <w:color w:val="0F4761"/>
          <w:sz w:val="26"/>
        </w:rPr>
        <w:t>8.6  Acceptance</w:t>
      </w:r>
    </w:p>
    <w:p>
      <w:pPr>
        <w:pStyle w:val="Normal"/>
        <w:spacing w:lineRule="auto" w:line="276" w:before="0" w:after="120"/>
        <w:rPr/>
      </w:pPr>
      <w:r>
        <w:rPr>
          <w:rFonts w:eastAsia="Segoe UI" w:cs="Segoe UI" w:ascii="Segoe UI" w:hAnsi="Segoe UI"/>
          <w:color w:val="101820"/>
          <w:sz w:val="21"/>
        </w:rPr>
        <w:t>Every phase ends with named deliverables and written acceptance. The Client reviews within 5 Business Days; a deliverable is deemed accepted if no written objection arrives in that time, or if the Client uses it in production. Severity 3 and 4 defects alone do not block acceptance. Three certificates mark the money and service milestones: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Certificate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40% of the implementation or onboarding fee; condition for the go decision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Acceptance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20%; perpetual licence fee; subscription Monthly Fee starts; Warranty Period starts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 to Support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under the Support Agreement takes over</w:t>
            </w:r>
          </w:p>
        </w:tc>
      </w:tr>
    </w:tbl>
    <w:p>
      <w:pPr>
        <w:pStyle w:val="Normal"/>
        <w:spacing w:before="0" w:after="80"/>
        <w:rPr/>
      </w:pPr>
      <w:r>
        <w:rPr/>
      </w:r>
    </w:p>
    <w:p>
      <w:pPr>
        <w:pStyle w:val="Heading2"/>
        <w:rPr/>
      </w:pPr>
      <w:bookmarkStart w:id="40" w:name="__RefHeading___Toc61656_4195859891"/>
      <w:bookmarkEnd w:id="40"/>
      <w:r>
        <w:rPr>
          <w:rFonts w:eastAsia="Segoe UI" w:cs="Segoe UI"/>
          <w:b/>
          <w:color w:val="0F4761"/>
          <w:sz w:val="26"/>
        </w:rPr>
        <w:t>8.7  Hypercare</w:t>
      </w:r>
    </w:p>
    <w:p>
      <w:pPr>
        <w:pStyle w:val="Normal"/>
        <w:spacing w:lineRule="auto" w:line="276" w:before="0" w:after="120"/>
        <w:rPr/>
      </w:pPr>
      <w:r>
        <w:rPr>
          <w:rFonts w:eastAsia="Segoe UI" w:cs="Segoe UI" w:ascii="Segoe UI" w:hAnsi="Segoe UI"/>
          <w:color w:val="101820"/>
          <w:sz w:val="21"/>
        </w:rPr>
        <w:t>The project team stays with the broker after go-live: daily check-ins in the first week, then weekly. Hypercare covers the first month-end close (bank reconciliation, remittance, Month-End Close run, BIR reports). Default length: 2 weeks (Small), 3 weeks (Medium), 4 to 6 weeks (Large). If the first close falls later, hypercare extends at no charge. Exit requires no open P1 or P2, the first close approved, known errors documented, environment and configuration baselines recorded, contacts agreed, L1 trained on tickets, monitoring live and a first restore test passed.</w:t>
      </w:r>
    </w:p>
    <w:p>
      <w:pPr>
        <w:pStyle w:val="Heading2"/>
        <w:rPr/>
      </w:pPr>
      <w:bookmarkStart w:id="41" w:name="__RefHeading___Toc61658_4195859891"/>
      <w:bookmarkEnd w:id="41"/>
      <w:r>
        <w:rPr>
          <w:rFonts w:eastAsia="Segoe UI" w:cs="Segoe UI"/>
          <w:b/>
          <w:color w:val="0F4761"/>
          <w:sz w:val="26"/>
        </w:rPr>
        <w:t>8.8  Delivery governance</w:t>
      </w:r>
    </w:p>
    <w:p>
      <w:pPr>
        <w:pStyle w:val="Normal"/>
        <w:spacing w:lineRule="auto" w:line="276" w:before="0" w:after="120"/>
        <w:rPr/>
      </w:pPr>
      <w:r>
        <w:rPr>
          <w:rFonts w:eastAsia="Segoe UI" w:cs="Segoe UI" w:ascii="Segoe UI" w:hAnsi="Segoe UI"/>
          <w:color w:val="101820"/>
          <w:sz w:val="21"/>
        </w:rPr>
        <w:t>A steering committee (broker sponsor as chair, broker project manager, Accounting Manager and a business head; iorta TechNXT account manager and project manager) meets every two weeks and at each go/no-go. A weekly status meeting reviews progress, the RAID log and decisions needed. Escalation runs from the project managers to the steering committee, then to the dispute steps of the MSA.</w:t>
      </w:r>
      <w:r>
        <w:br w:type="page"/>
      </w:r>
    </w:p>
    <w:p>
      <w:pPr>
        <w:pStyle w:val="Heading1"/>
        <w:rPr/>
      </w:pPr>
      <w:bookmarkStart w:id="42" w:name="__RefHeading___Toc61660_4195859891"/>
      <w:bookmarkEnd w:id="42"/>
      <w:r>
        <w:rPr>
          <w:rFonts w:eastAsia="Segoe UI" w:cs="Segoe UI" w:ascii="Segoe UI" w:hAnsi="Segoe UI"/>
          <w:b/>
          <w:color w:val="0F4761"/>
          <w:sz w:val="32"/>
        </w:rPr>
        <w:t>9.  Support model</w:t>
      </w:r>
    </w:p>
    <w:p>
      <w:pPr>
        <w:pStyle w:val="Heading2"/>
        <w:rPr/>
      </w:pPr>
      <w:bookmarkStart w:id="43" w:name="__RefHeading___Toc61662_4195859891"/>
      <w:bookmarkEnd w:id="43"/>
      <w:r>
        <w:rPr>
          <w:rFonts w:eastAsia="Segoe UI" w:cs="Segoe UI"/>
          <w:b/>
          <w:color w:val="0F4761"/>
          <w:sz w:val="26"/>
        </w:rPr>
        <w:t>9.1  Levels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0"/>
        <w:gridCol w:w="405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40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40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super users (one trained key user per team) and the broker's System Administrator</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users, roles and password resets; settings and master data; logging tickets with 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Triage, reproduction, analysis, configuration and data corrections under change control, workarounds, known-error records, release coordination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40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 and DevOps</w:t>
            </w:r>
          </w:p>
        </w:tc>
        <w:tc>
          <w:tcPr>
            <w:tcW w:w="4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database scripts, performance, infrastructure where iorta TechNXT hosts, security incidents, RCA, fixes and releases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Only named L1 contacts of the broker (up to 5) raise tickets, through one service desk: a portal or mailbox for all tickets and a telephone line for P1.</w:t>
      </w:r>
    </w:p>
    <w:p>
      <w:pPr>
        <w:pStyle w:val="Heading2"/>
        <w:rPr/>
      </w:pPr>
      <w:bookmarkStart w:id="44" w:name="__RefHeading___Toc61664_4195859891"/>
      <w:bookmarkEnd w:id="44"/>
      <w:r>
        <w:rPr>
          <w:rFonts w:eastAsia="Segoe UI" w:cs="Segoe UI"/>
          <w:b/>
          <w:color w:val="0F4761"/>
          <w:sz w:val="26"/>
        </w:rPr>
        <w:t>9.2  Service levels</w:t>
      </w:r>
    </w:p>
    <w:p>
      <w:pPr>
        <w:pStyle w:val="Normal"/>
        <w:spacing w:lineRule="auto" w:line="276" w:before="0" w:after="120"/>
        <w:rPr/>
      </w:pPr>
      <w:r>
        <w:rPr>
          <w:rFonts w:eastAsia="Segoe UI" w:cs="Segoe UI" w:ascii="Segoe UI" w:hAnsi="Segoe UI"/>
          <w:color w:val="101820"/>
          <w:sz w:val="21"/>
        </w:rPr>
        <w:t>Standard support runs 08:00 to 18:00 PHT, Monday to Friday, except Philippine regular holidays. The 24x7 Severity 1 option adds round-the-clock response to P1 incidents reported by telephone.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1162"/>
        <w:gridCol w:w="1583"/>
        <w:gridCol w:w="1611"/>
        <w:gridCol w:w="3536"/>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1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First response</w:t>
            </w:r>
          </w:p>
        </w:tc>
        <w:tc>
          <w:tcPr>
            <w:tcW w:w="15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Updates</w:t>
            </w:r>
          </w:p>
        </w:tc>
        <w:tc>
          <w:tcPr>
            <w:tcW w:w="16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Restore or workaround</w:t>
            </w:r>
          </w:p>
        </w:tc>
        <w:tc>
          <w:tcPr>
            <w:tcW w:w="3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Permanent fix</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 Critical</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minutes</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hour</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service hours</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RCA in 5 Business Days; next emergency or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P2 High</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service hours</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4 service hours</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Next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Medium</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Business Day</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3 Business Days</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Business Days</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release as agreed</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P4 Low</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15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Weekly</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3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or a change request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Service credits apply for missed P1 and P2 restore targets and for response and restore SLA below 95% and 90%, capped at 10% of the monthly fee of the affected service. Hosting availability target: 99.5% in service hours.</w:t>
      </w:r>
    </w:p>
    <w:p>
      <w:pPr>
        <w:pStyle w:val="Heading2"/>
        <w:rPr/>
      </w:pPr>
      <w:bookmarkStart w:id="45" w:name="__RefHeading___Toc61666_4195859891"/>
      <w:bookmarkEnd w:id="45"/>
      <w:r>
        <w:rPr>
          <w:rFonts w:eastAsia="Segoe UI" w:cs="Segoe UI"/>
          <w:b/>
          <w:color w:val="0F4761"/>
          <w:sz w:val="26"/>
        </w:rPr>
        <w:t>9.3  Release and patch policy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Policy</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when there are fixes or changes; release notes at least 10 Business Days before deployment to UAT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Emergency release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a P1 or a security issue, approved by the support manager and the broker's IT head</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Testing</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Installed in the test environment first; the broker runs the UAT scripts that cover the change; iorta TechNXT runs the regression set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the maintenance window (default Saturday 20:00 to Sunday 06:00 PHT), announced at least 5 business days ahead; database snapshot before; smoke test after</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Rollback</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Previous image and front-end build; migrations only add, so the previous version runs on the newer schema</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Supported versions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current release and the two previous planned releases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Patching</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Runtime and dependency advisories reviewed monthly; critical fixes as an emergency release; container base image at least quarterly; operating system and database patches monthly critical security patches within 14 days and high within 30 days where iorta TechNXT hosts</w:t>
            </w:r>
          </w:p>
        </w:tc>
      </w:tr>
    </w:tbl>
    <w:p>
      <w:pPr>
        <w:pStyle w:val="Normal"/>
        <w:spacing w:before="0" w:after="80"/>
        <w:rPr/>
      </w:pPr>
      <w:r>
        <w:rPr/>
      </w:r>
    </w:p>
    <w:p>
      <w:pPr>
        <w:pStyle w:val="Heading2"/>
        <w:rPr/>
      </w:pPr>
      <w:bookmarkStart w:id="46" w:name="__RefHeading___Toc61668_4195859891"/>
      <w:bookmarkEnd w:id="46"/>
      <w:r>
        <w:rPr>
          <w:rFonts w:eastAsia="Segoe UI" w:cs="Segoe UI"/>
          <w:b/>
          <w:color w:val="0F4761"/>
          <w:sz w:val="26"/>
        </w:rPr>
        <w:t>9.4  AMC and the subscription</w:t>
      </w:r>
    </w:p>
    <w:p>
      <w:pPr>
        <w:pStyle w:val="Normal"/>
        <w:spacing w:lineRule="auto" w:line="276" w:before="0" w:after="120"/>
        <w:rPr/>
      </w:pPr>
      <w:r>
        <w:rPr>
          <w:rFonts w:eastAsia="Segoe UI" w:cs="Segoe UI" w:ascii="Segoe UI" w:hAnsi="Segoe UI"/>
          <w:color w:val="101820"/>
          <w:sz w:val="21"/>
        </w:rPr>
        <w:t>For a perpetual licence, the first 12 months from go-live are the Warranty Period with support at no charge; the AMC starts in Year 2 at 22% of the licence fee a year, invoiced yearly in advance and increasing 5% at each anniversary. A lapsed AMC is reinstated by paying the lapsed fees plus a reinstatement fee. For a subscription, the same support is included in the Monthly Fee. In both, the AMC or subscription covers corrections, updates of the OOTB version, regulatory form updates released for all customers, security patches and standard support.</w:t>
      </w:r>
    </w:p>
    <w:p>
      <w:pPr>
        <w:pStyle w:val="Heading2"/>
        <w:rPr/>
      </w:pPr>
      <w:bookmarkStart w:id="47" w:name="__RefHeading___Toc61670_4195859891"/>
      <w:bookmarkEnd w:id="47"/>
      <w:r>
        <w:rPr>
          <w:rFonts w:eastAsia="Segoe UI" w:cs="Segoe UI"/>
          <w:b/>
          <w:color w:val="0F4761"/>
          <w:sz w:val="26"/>
        </w:rPr>
        <w:t>9.5  Service management</w:t>
      </w:r>
    </w:p>
    <w:p>
      <w:pPr>
        <w:pStyle w:val="Normal"/>
        <w:numPr>
          <w:ilvl w:val="0"/>
          <w:numId w:val="1"/>
        </w:numPr>
        <w:spacing w:before="0" w:after="60"/>
        <w:rPr/>
      </w:pPr>
      <w:r>
        <w:rPr>
          <w:rFonts w:eastAsia="Segoe UI" w:cs="Segoe UI" w:ascii="Segoe UI" w:hAnsi="Segoe UI"/>
          <w:color w:val="101820"/>
          <w:sz w:val="21"/>
        </w:rPr>
        <w:t>Monthly service report by the 10th Business Day and a monthly service review with the broker's IT head and System Administrator; a yearly review agrees improvements and the release plan.</w:t>
      </w:r>
    </w:p>
    <w:p>
      <w:pPr>
        <w:pStyle w:val="Normal"/>
        <w:numPr>
          <w:ilvl w:val="0"/>
          <w:numId w:val="1"/>
        </w:numPr>
        <w:spacing w:before="0" w:after="60"/>
        <w:rPr/>
      </w:pPr>
      <w:r>
        <w:rPr>
          <w:rFonts w:eastAsia="Segoe UI" w:cs="Segoe UI" w:ascii="Segoe UI" w:hAnsi="Segoe UI"/>
          <w:color w:val="101820"/>
          <w:sz w:val="21"/>
        </w:rPr>
        <w:t>Problem records for every P1, for P2s with unknown cause and for causes behind three or more incidents a month.</w:t>
      </w:r>
    </w:p>
    <w:p>
      <w:pPr>
        <w:pStyle w:val="Normal"/>
        <w:numPr>
          <w:ilvl w:val="0"/>
          <w:numId w:val="1"/>
        </w:numPr>
        <w:spacing w:before="0" w:after="60"/>
        <w:rPr/>
      </w:pPr>
      <w:r>
        <w:rPr>
          <w:rFonts w:eastAsia="Segoe UI" w:cs="Segoe UI" w:ascii="Segoe UI" w:hAnsi="Segoe UI"/>
          <w:color w:val="101820"/>
          <w:sz w:val="21"/>
        </w:rPr>
        <w:t>A knowledge base shared with L1 contacts, reviewed at each release and at least twice a year.</w:t>
      </w:r>
    </w:p>
    <w:p>
      <w:pPr>
        <w:pStyle w:val="Normal"/>
        <w:numPr>
          <w:ilvl w:val="0"/>
          <w:numId w:val="1"/>
        </w:numPr>
        <w:spacing w:before="0" w:after="60"/>
        <w:rPr/>
      </w:pPr>
      <w:r>
        <w:rPr>
          <w:rFonts w:eastAsia="Segoe UI" w:cs="Segoe UI" w:ascii="Segoe UI" w:hAnsi="Segoe UI"/>
          <w:color w:val="101820"/>
          <w:sz w:val="21"/>
        </w:rPr>
        <w:t>Backup verification daily, restore tests quarterly, a tabletop DR exercise yearly and a full recovery every two years where iorta TechNXT hosts.</w:t>
      </w:r>
      <w:r>
        <w:br w:type="page"/>
      </w:r>
    </w:p>
    <w:p>
      <w:pPr>
        <w:pStyle w:val="Heading1"/>
        <w:rPr/>
      </w:pPr>
      <w:bookmarkStart w:id="48" w:name="__RefHeading___Toc61672_4195859891"/>
      <w:bookmarkEnd w:id="48"/>
      <w:r>
        <w:rPr>
          <w:rFonts w:eastAsia="Segoe UI" w:cs="Segoe UI" w:ascii="Segoe UI" w:hAnsi="Segoe UI"/>
          <w:b/>
          <w:color w:val="0F4761"/>
          <w:sz w:val="32"/>
        </w:rPr>
        <w:t>10.  Product lifecycle</w:t>
      </w:r>
    </w:p>
    <w:p>
      <w:pPr>
        <w:pStyle w:val="Heading2"/>
        <w:rPr/>
      </w:pPr>
      <w:bookmarkStart w:id="49" w:name="__RefHeading___Toc61674_4195859891"/>
      <w:bookmarkEnd w:id="49"/>
      <w:r>
        <w:rPr>
          <w:rFonts w:eastAsia="Segoe UI" w:cs="Segoe UI"/>
          <w:b/>
          <w:color w:val="0F4761"/>
          <w:sz w:val="26"/>
        </w:rPr>
        <w:t>10.1  Versioning</w:t>
      </w:r>
    </w:p>
    <w:p>
      <w:pPr>
        <w:pStyle w:val="Normal"/>
        <w:spacing w:lineRule="auto" w:line="276" w:before="0" w:after="120"/>
        <w:rPr/>
      </w:pPr>
      <w:r>
        <w:rPr>
          <w:rFonts w:eastAsia="Segoe UI" w:cs="Segoe UI" w:ascii="Segoe UI" w:hAnsi="Segoe UI"/>
          <w:color w:val="101820"/>
          <w:sz w:val="21"/>
        </w:rPr>
        <w:t xml:space="preserve">The release in production is identified by its release tag and the commit shown by </w:t>
      </w:r>
      <w:r>
        <w:rPr>
          <w:rFonts w:eastAsia="Consolas" w:cs="Consolas" w:ascii="Consolas" w:hAnsi="Consolas"/>
          <w:color w:val="101820"/>
          <w:sz w:val="19"/>
        </w:rPr>
        <w:t>GET /api/version</w:t>
      </w:r>
      <w:r>
        <w:rPr>
          <w:rFonts w:eastAsia="Segoe UI" w:cs="Segoe UI" w:ascii="Segoe UI" w:hAnsi="Segoe UI"/>
          <w:color w:val="101820"/>
          <w:sz w:val="21"/>
        </w:rPr>
        <w:t xml:space="preserve">. </w:t>
      </w:r>
      <w:r>
        <w:rPr>
          <w:rFonts w:eastAsia="Segoe UI" w:cs="Segoe UI" w:ascii="Segoe UI" w:hAnsi="Segoe UI"/>
          <w:b/>
          <w:color w:val="101820"/>
          <w:sz w:val="21"/>
        </w:rPr>
        <w:t>Proposed:</w:t>
      </w:r>
      <w:r>
        <w:rPr>
          <w:rFonts w:eastAsia="Segoe UI" w:cs="Segoe UI" w:ascii="Segoe UI" w:hAnsi="Segoe UI"/>
          <w:color w:val="101820"/>
          <w:sz w:val="21"/>
        </w:rPr>
        <w:t xml:space="preserve"> name releases by year and sequence, with three levels: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9"/>
        <w:gridCol w:w="3659"/>
        <w:gridCol w:w="2334"/>
        <w:gridCol w:w="1230"/>
      </w:tblGrid>
      <w:tr>
        <w:trPr>
          <w:tblHeader w:val="true"/>
        </w:trPr>
        <w:tc>
          <w:tcPr>
            <w:tcW w:w="17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36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3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Cadence (Proposed)</w:t>
            </w:r>
          </w:p>
        </w:tc>
        <w:tc>
          <w:tcPr>
            <w:tcW w:w="12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r>
      <w:tr>
        <w:trPr/>
        <w:tc>
          <w:tcPr>
            <w:tcW w:w="1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Major release</w:t>
            </w:r>
          </w:p>
        </w:tc>
        <w:tc>
          <w:tcPr>
            <w:tcW w:w="3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modules, merged change requests, regulatory changes, migrations</w:t>
            </w:r>
          </w:p>
        </w:tc>
        <w:tc>
          <w:tcPr>
            <w:tcW w:w="2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Twice a year</w:t>
            </w:r>
          </w:p>
        </w:tc>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2027.1</w:t>
            </w:r>
          </w:p>
        </w:tc>
      </w:tr>
      <w:tr>
        <w:trPr/>
        <w:tc>
          <w:tcPr>
            <w:tcW w:w="1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(minor) release</w:t>
            </w:r>
          </w:p>
        </w:tc>
        <w:tc>
          <w:tcPr>
            <w:tcW w:w="3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Fixes, small merged changes, regulatory form updates</w:t>
            </w:r>
          </w:p>
        </w:tc>
        <w:tc>
          <w:tcPr>
            <w:tcW w:w="2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when there is content</w:t>
            </w:r>
          </w:p>
        </w:tc>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2027.1.3</w:t>
            </w:r>
          </w:p>
        </w:tc>
      </w:tr>
      <w:tr>
        <w:trPr/>
        <w:tc>
          <w:tcPr>
            <w:tcW w:w="1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Emergency release</w:t>
            </w:r>
          </w:p>
        </w:tc>
        <w:tc>
          <w:tcPr>
            <w:tcW w:w="3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fix or security patch</w:t>
            </w:r>
          </w:p>
        </w:tc>
        <w:tc>
          <w:tcPr>
            <w:tcW w:w="2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2027.1.3-e1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major release triggers an updated source code escrow deposit for clients with escrow. Supported versions follow the AMC: the current release and the two previous planned releases.</w:t>
      </w:r>
    </w:p>
    <w:p>
      <w:pPr>
        <w:pStyle w:val="Heading2"/>
        <w:rPr/>
      </w:pPr>
      <w:bookmarkStart w:id="50" w:name="__RefHeading___Toc61676_4195859891"/>
      <w:bookmarkEnd w:id="50"/>
      <w:r>
        <w:rPr>
          <w:rFonts w:eastAsia="Segoe UI" w:cs="Segoe UI"/>
          <w:b/>
          <w:color w:val="0F4761"/>
          <w:sz w:val="26"/>
        </w:rPr>
        <w:t>10.2  From change request to product feature</w:t>
      </w:r>
    </w:p>
    <w:p>
      <w:pPr>
        <w:pStyle w:val="Normal"/>
        <w:numPr>
          <w:ilvl w:val="0"/>
          <w:numId w:val="12"/>
        </w:numPr>
        <w:spacing w:before="0" w:after="60"/>
        <w:rPr/>
      </w:pPr>
      <w:r>
        <w:rPr>
          <w:rFonts w:eastAsia="Segoe UI" w:cs="Segoe UI" w:ascii="Segoe UI" w:hAnsi="Segoe UI"/>
          <w:b/>
          <w:color w:val="101820"/>
          <w:sz w:val="21"/>
        </w:rPr>
        <w:t>Request.</w:t>
      </w:r>
      <w:r>
        <w:rPr>
          <w:rFonts w:eastAsia="Segoe UI" w:cs="Segoe UI" w:ascii="Segoe UI" w:hAnsi="Segoe UI"/>
          <w:color w:val="101820"/>
          <w:sz w:val="21"/>
        </w:rPr>
        <w:t xml:space="preserve"> The client raises a change request; iorta TechNXT logs it within 2 Business Days.</w:t>
      </w:r>
    </w:p>
    <w:p>
      <w:pPr>
        <w:pStyle w:val="Normal"/>
        <w:numPr>
          <w:ilvl w:val="0"/>
          <w:numId w:val="13"/>
        </w:numPr>
        <w:spacing w:before="0" w:after="60"/>
        <w:rPr/>
      </w:pPr>
      <w:r>
        <w:rPr>
          <w:rFonts w:eastAsia="Segoe UI" w:cs="Segoe UI" w:ascii="Segoe UI" w:hAnsi="Segoe UI"/>
          <w:b/>
          <w:color w:val="101820"/>
          <w:sz w:val="21"/>
        </w:rPr>
        <w:t>Impact assessment.</w:t>
      </w:r>
      <w:r>
        <w:rPr>
          <w:rFonts w:eastAsia="Segoe UI" w:cs="Segoe UI" w:ascii="Segoe UI" w:hAnsi="Segoe UI"/>
          <w:color w:val="101820"/>
          <w:sz w:val="21"/>
        </w:rPr>
        <w:t xml:space="preserve"> iorta TechNXT states in Part B of the Change Request Form whether the need can be met by configuration, and whether the change will be merged into the product line (Yes, No, To be decided).</w:t>
      </w:r>
    </w:p>
    <w:p>
      <w:pPr>
        <w:pStyle w:val="Normal"/>
        <w:numPr>
          <w:ilvl w:val="0"/>
          <w:numId w:val="14"/>
        </w:numPr>
        <w:spacing w:before="0" w:after="60"/>
        <w:rPr/>
      </w:pPr>
      <w:r>
        <w:rPr>
          <w:rFonts w:eastAsia="Segoe UI" w:cs="Segoe UI" w:ascii="Segoe UI" w:hAnsi="Segoe UI"/>
          <w:b/>
          <w:color w:val="101820"/>
          <w:sz w:val="21"/>
        </w:rPr>
        <w:t>Product decision.</w:t>
      </w:r>
      <w:r>
        <w:rPr>
          <w:rFonts w:eastAsia="Segoe UI" w:cs="Segoe UI" w:ascii="Segoe UI" w:hAnsi="Segoe UI"/>
          <w:color w:val="101820"/>
          <w:sz w:val="21"/>
        </w:rPr>
        <w:t xml:space="preserve"> The product council (below) decides the merge for every Medium and Large change request and for any Small one that more than one client has asked for. Criteria: number of clients and prospects asking; regulatory driver; fit with the roadmap; effect on configuration rather than code; support cost of not merging.</w:t>
      </w:r>
    </w:p>
    <w:p>
      <w:pPr>
        <w:pStyle w:val="Normal"/>
        <w:numPr>
          <w:ilvl w:val="0"/>
          <w:numId w:val="15"/>
        </w:numPr>
        <w:spacing w:before="0" w:after="60"/>
        <w:rPr/>
      </w:pPr>
      <w:r>
        <w:rPr>
          <w:rFonts w:eastAsia="Segoe UI" w:cs="Segoe UI" w:ascii="Segoe UI" w:hAnsi="Segoe UI"/>
          <w:b/>
          <w:color w:val="101820"/>
          <w:sz w:val="21"/>
        </w:rPr>
        <w:t>Build once.</w:t>
      </w:r>
      <w:r>
        <w:rPr>
          <w:rFonts w:eastAsia="Segoe UI" w:cs="Segoe UI" w:ascii="Segoe UI" w:hAnsi="Segoe UI"/>
          <w:color w:val="101820"/>
          <w:sz w:val="21"/>
        </w:rPr>
        <w:t xml:space="preserve"> A merged change is built in the product line as configurable behaviour (a setting, a template or a master), not as a client-specific branch, and released in a planned release.</w:t>
      </w:r>
    </w:p>
    <w:p>
      <w:pPr>
        <w:pStyle w:val="Normal"/>
        <w:numPr>
          <w:ilvl w:val="0"/>
          <w:numId w:val="16"/>
        </w:numPr>
        <w:spacing w:before="0" w:after="60"/>
        <w:rPr/>
      </w:pPr>
      <w:r>
        <w:rPr>
          <w:rFonts w:eastAsia="Segoe UI" w:cs="Segoe UI" w:ascii="Segoe UI" w:hAnsi="Segoe UI"/>
          <w:b/>
          <w:color w:val="101820"/>
          <w:sz w:val="21"/>
        </w:rPr>
        <w:t>Price.</w:t>
      </w:r>
      <w:r>
        <w:rPr>
          <w:rFonts w:eastAsia="Segoe UI" w:cs="Segoe UI" w:ascii="Segoe UI" w:hAnsi="Segoe UI"/>
          <w:color w:val="101820"/>
          <w:sz w:val="21"/>
        </w:rPr>
        <w:t xml:space="preserve"> The requesting client pays the change request price once. The feature then becomes part of the product for all clients under the AMC or the subscription.</w:t>
      </w:r>
    </w:p>
    <w:p>
      <w:pPr>
        <w:pStyle w:val="Normal"/>
        <w:numPr>
          <w:ilvl w:val="0"/>
          <w:numId w:val="17"/>
        </w:numPr>
        <w:spacing w:before="0" w:after="60"/>
        <w:rPr/>
      </w:pPr>
      <w:r>
        <w:rPr>
          <w:rFonts w:eastAsia="Segoe UI" w:cs="Segoe UI" w:ascii="Segoe UI" w:hAnsi="Segoe UI"/>
          <w:b/>
          <w:color w:val="101820"/>
          <w:sz w:val="21"/>
        </w:rPr>
        <w:t>Not merged.</w:t>
      </w:r>
      <w:r>
        <w:rPr>
          <w:rFonts w:eastAsia="Segoe UI" w:cs="Segoe UI" w:ascii="Segoe UI" w:hAnsi="Segoe UI"/>
          <w:color w:val="101820"/>
          <w:sz w:val="21"/>
        </w:rPr>
        <w:t xml:space="preserve"> A client-specific change is supported at day rates after its 30-day warranty and is not covered by the AMC.</w:t>
      </w:r>
    </w:p>
    <w:p>
      <w:pPr>
        <w:pStyle w:val="Normal"/>
        <w:spacing w:lineRule="auto" w:line="276" w:before="0" w:after="120"/>
        <w:rPr/>
      </w:pPr>
      <w:r>
        <w:rPr>
          <w:rFonts w:eastAsia="Segoe UI" w:cs="Segoe UI" w:ascii="Segoe UI" w:hAnsi="Segoe UI"/>
          <w:b/>
          <w:color w:val="101820"/>
          <w:sz w:val="21"/>
        </w:rPr>
        <w:t>Proposed:</w:t>
      </w:r>
      <w:r>
        <w:rPr>
          <w:rFonts w:eastAsia="Segoe UI" w:cs="Segoe UI" w:ascii="Segoe UI" w:hAnsi="Segoe UI"/>
          <w:color w:val="101820"/>
          <w:sz w:val="21"/>
        </w:rPr>
        <w:t xml:space="preserve"> iorta TechNXT may offer a reduced change request price when a change is merged and judged useful to most clients. This is a commercial decision for the CEO, counted against the discount limits.</w:t>
      </w:r>
    </w:p>
    <w:p>
      <w:pPr>
        <w:pStyle w:val="Heading2"/>
        <w:rPr/>
      </w:pPr>
      <w:bookmarkStart w:id="51" w:name="__RefHeading___Toc61678_4195859891"/>
      <w:bookmarkEnd w:id="51"/>
      <w:r>
        <w:rPr>
          <w:rFonts w:eastAsia="Segoe UI" w:cs="Segoe UI"/>
          <w:b/>
          <w:color w:val="0F4761"/>
          <w:sz w:val="26"/>
        </w:rPr>
        <w:t>10.3  Roadmap themes</w:t>
      </w:r>
    </w:p>
    <w:p>
      <w:pPr>
        <w:pStyle w:val="Normal"/>
        <w:spacing w:lineRule="auto" w:line="276" w:before="0" w:after="120"/>
        <w:rPr/>
      </w:pPr>
      <w:r>
        <w:rPr>
          <w:rFonts w:eastAsia="Segoe UI" w:cs="Segoe UI" w:ascii="Segoe UI" w:hAnsi="Segoe UI"/>
          <w:color w:val="101820"/>
          <w:sz w:val="21"/>
        </w:rPr>
        <w:t>The themes below come from the known limits and the "outside OOTB" list of the current release. They are candidates, not commitments; no dates are promised to clients until the product council approves a release plan.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3666"/>
        <w:gridCol w:w="3668"/>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Theme</w:t>
            </w:r>
          </w:p>
        </w:tc>
        <w:tc>
          <w:tcPr>
            <w:tcW w:w="3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Current release</w:t>
            </w:r>
          </w:p>
        </w:tc>
        <w:tc>
          <w:tcPr>
            <w:tcW w:w="36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Candidate direction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 files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Transfers approved and their bank result recorded; no bank payment file</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file formats for the main Philippine banks, starting with the banks of the first clients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APIs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Files and e-mail to insurers; insurer statement files</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connectors for named insurers where the insurer offers an API, as change requests merged into the product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and in-app notifications</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gateway for renewal notices, payment reminders and sign-in codes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eFPS and eBIRForms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working papers in BIR column order, validated with BIR tools before filing</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 files in the formats the BIR tools accept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 formats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financial statements and production reports; no IC-format report</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 formats as delivered reports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 mobile layouts not tested</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Responsive layouts for key screens first; a mobile application only if demand is shown</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Percentage tax</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working paper for a non-VAT broker's percentage tax</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Working paper</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Anti-money laundering</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transaction monitoring, sanctions or PEP screening</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Screening integration or export</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and usability</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 in local storage; two-step enrolment without QR code; moderate advisory on a front-end library; no screen for report schedules; some masters without an Upload button; Filipino screens not available</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httpOnly cookie session; QR code enrolment; library upgrade; schedule screen; Upload buttons; translation file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Capacity</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load test run yet</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on a production-sized environment before the first Large go-live</w:t>
            </w:r>
          </w:p>
        </w:tc>
      </w:tr>
    </w:tbl>
    <w:p>
      <w:pPr>
        <w:pStyle w:val="Normal"/>
        <w:spacing w:before="0" w:after="80"/>
        <w:rPr/>
      </w:pPr>
      <w:r>
        <w:rPr/>
      </w:r>
    </w:p>
    <w:p>
      <w:pPr>
        <w:pStyle w:val="Heading2"/>
        <w:rPr/>
      </w:pPr>
      <w:bookmarkStart w:id="52" w:name="__RefHeading___Toc61680_4195859891"/>
      <w:bookmarkEnd w:id="52"/>
      <w:r>
        <w:rPr>
          <w:rFonts w:eastAsia="Segoe UI" w:cs="Segoe UI"/>
          <w:b/>
          <w:color w:val="0F4761"/>
          <w:sz w:val="26"/>
        </w:rPr>
        <w:t>10.4  Development standards</w:t>
      </w:r>
    </w:p>
    <w:p>
      <w:pPr>
        <w:pStyle w:val="Normal"/>
        <w:spacing w:lineRule="auto" w:line="276" w:before="0" w:after="120"/>
        <w:rPr/>
      </w:pPr>
      <w:r>
        <w:rPr>
          <w:rFonts w:eastAsia="Segoe UI" w:cs="Segoe UI" w:ascii="Segoe UI" w:hAnsi="Segoe UI"/>
          <w:color w:val="101820"/>
          <w:sz w:val="21"/>
        </w:rPr>
        <w:t>Code changes follow the code fix standards of the Production Support Approach and Standards: branching and review, rules for the change, unit and business-rule tests, and the regression set before each release. Each release is checked against the regression tests (634 business-rule tests in the tested release) and the role-based screen check.</w:t>
      </w:r>
      <w:r>
        <w:br w:type="page"/>
      </w:r>
    </w:p>
    <w:p>
      <w:pPr>
        <w:pStyle w:val="Heading1"/>
        <w:rPr/>
      </w:pPr>
      <w:bookmarkStart w:id="53" w:name="__RefHeading___Toc61682_4195859891"/>
      <w:bookmarkEnd w:id="53"/>
      <w:r>
        <w:rPr>
          <w:rFonts w:eastAsia="Segoe UI" w:cs="Segoe UI" w:ascii="Segoe UI" w:hAnsi="Segoe UI"/>
          <w:b/>
          <w:color w:val="0F4761"/>
          <w:sz w:val="32"/>
        </w:rPr>
        <w:t>11.  Team and roles at iorta TechNXT</w:t>
      </w:r>
    </w:p>
    <w:p>
      <w:pPr>
        <w:pStyle w:val="Heading2"/>
        <w:rPr/>
      </w:pPr>
      <w:bookmarkStart w:id="54" w:name="__RefHeading___Toc61684_4195859891"/>
      <w:bookmarkEnd w:id="54"/>
      <w:r>
        <w:rPr>
          <w:rFonts w:eastAsia="Segoe UI" w:cs="Segoe UI"/>
          <w:b/>
          <w:color w:val="0F4761"/>
          <w:sz w:val="26"/>
        </w:rPr>
        <w:t>11.1  Roles by stage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0"/>
        <w:gridCol w:w="1549"/>
        <w:gridCol w:w="1548"/>
        <w:gridCol w:w="1713"/>
        <w:gridCol w:w="1657"/>
        <w:gridCol w:w="1316"/>
      </w:tblGrid>
      <w:tr>
        <w:trPr>
          <w:tblHeader w:val="true"/>
        </w:trPr>
        <w:tc>
          <w:tcPr>
            <w:tcW w:w="12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15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Sell</w:t>
            </w:r>
          </w:p>
        </w:tc>
        <w:tc>
          <w:tcPr>
            <w:tcW w:w="1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Contract</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Deliver</w:t>
            </w:r>
          </w:p>
        </w:tc>
        <w:tc>
          <w:tcPr>
            <w:tcW w:w="16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13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CEO</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Approves discounts up to 15%; key accounts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Signs; approves liability and credit changes with legal counsel</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Escalation</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Escalation</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Chairs the product council (Proposed)</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 head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Pipeline; approves up to 10%</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Approves payment term up to 45 days, auto-renewal changes, escrow</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Market input</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Prospecting, meetings, demos, proposals; approves up to 5%</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Prepares the contract set; deal file</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Steering committee member</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Commercial owner; renewals; referrals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requests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Solution consultant</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Demos, discovery workshops, sizing</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Scope inputs to the SOW</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 join the project as functional consultant (Proposed)</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Fit-gap patterns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Legal counsel</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Reviews the triggers; owns the templates</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 and certificate disputes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Finance</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Credit check (Proposed)</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treatment, withholding</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Milestone invoicing</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subscription and hosting billing; collections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Head of delivery</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Capacity gate G3</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Dates in the Order Form</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quality and resources; approves Medium CRs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Escalation</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feedback</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manager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 RAID log, status, steering committee papers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Handover</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Functional consultants</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configuration, mapping, SIT, train-the-trainer, UAT support</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L2 back-up during hypercare</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Migration lead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Mapping, loads, reconciliation, cutover runbook</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and DevOps lead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answers in presales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option and sizing</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e-mail, payment gateway, backups, monitoring, cutover</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L3 infrastructure, backups, DR drills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Platform operations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Support manager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Service desk, SLA, CAB, monthly service report</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Problem trends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L2 application support</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Triage, analysis, configuration and data corrections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Known errors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L3 engineering</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Code defects, RCA, fixes, releases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development</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manager (Proposed)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Roadmap briefings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planning</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Roadmap, merge decisions, release notes</w:t>
            </w:r>
          </w:p>
        </w:tc>
      </w:tr>
      <w:tr>
        <w:trPr/>
        <w:tc>
          <w:tcPr>
            <w:tcW w:w="12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protection officer</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NDA and privacy questions</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DPA</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migration privacy</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Breach handling; certificates of deletion</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Privacy by design</w:t>
            </w:r>
          </w:p>
        </w:tc>
      </w:tr>
    </w:tbl>
    <w:p>
      <w:pPr>
        <w:pStyle w:val="Normal"/>
        <w:spacing w:before="0" w:after="80"/>
        <w:rPr/>
      </w:pPr>
      <w:r>
        <w:rPr/>
      </w:r>
    </w:p>
    <w:p>
      <w:pPr>
        <w:pStyle w:val="Heading2"/>
        <w:rPr/>
      </w:pPr>
      <w:bookmarkStart w:id="55" w:name="__RefHeading___Toc61686_4195859891"/>
      <w:bookmarkEnd w:id="55"/>
      <w:r>
        <w:rPr>
          <w:rFonts w:eastAsia="Segoe UI" w:cs="Segoe UI"/>
          <w:b/>
          <w:color w:val="0F4761"/>
          <w:sz w:val="26"/>
        </w:rPr>
        <w:t>11.2  Capacity</w:t>
      </w:r>
    </w:p>
    <w:p>
      <w:pPr>
        <w:pStyle w:val="Normal"/>
        <w:spacing w:lineRule="auto" w:line="276" w:before="0" w:after="120"/>
        <w:rPr/>
      </w:pPr>
      <w:r>
        <w:rPr>
          <w:rFonts w:eastAsia="Segoe UI" w:cs="Segoe UI" w:ascii="Segoe UI" w:hAnsi="Segoe UI"/>
          <w:b/>
          <w:color w:val="101820"/>
          <w:sz w:val="21"/>
        </w:rPr>
        <w:t>Assumption:</w:t>
      </w:r>
      <w:r>
        <w:rPr>
          <w:rFonts w:eastAsia="Segoe UI" w:cs="Segoe UI" w:ascii="Segoe UI" w:hAnsi="Segoe UI"/>
          <w:color w:val="101820"/>
          <w:sz w:val="21"/>
        </w:rPr>
        <w:t xml:space="preserve"> with the man-days of the price book, one delivery pod (project manager, two functional consultants, migration lead and a shared technical and DevOps lead) can carry one Medium project, or two Small projects, at a time. The head of delivery uses gate G3 to keep the sales pipeline within the delivery capacity.</w:t>
      </w:r>
      <w:r>
        <w:br w:type="page"/>
      </w:r>
    </w:p>
    <w:p>
      <w:pPr>
        <w:pStyle w:val="Heading1"/>
        <w:rPr/>
      </w:pPr>
      <w:bookmarkStart w:id="56" w:name="__RefHeading___Toc61688_4195859891"/>
      <w:bookmarkEnd w:id="56"/>
      <w:r>
        <w:rPr>
          <w:rFonts w:eastAsia="Segoe UI" w:cs="Segoe UI" w:ascii="Segoe UI" w:hAnsi="Segoe UI"/>
          <w:b/>
          <w:color w:val="0F4761"/>
          <w:sz w:val="32"/>
        </w:rPr>
        <w:t>12.  KPIs by function</w:t>
      </w:r>
    </w:p>
    <w:p>
      <w:pPr>
        <w:pStyle w:val="Normal"/>
        <w:spacing w:lineRule="auto" w:line="276" w:before="0" w:after="120"/>
        <w:rPr/>
      </w:pPr>
      <w:r>
        <w:rPr>
          <w:rFonts w:eastAsia="Segoe UI" w:cs="Segoe UI" w:ascii="Segoe UI" w:hAnsi="Segoe UI"/>
          <w:color w:val="101820"/>
          <w:sz w:val="21"/>
        </w:rPr>
        <w:t>Targets marked Proposed are starting values for management to confirm at the first quarterly business review.</w:t>
      </w:r>
    </w:p>
    <w:p>
      <w:pPr>
        <w:pStyle w:val="Heading2"/>
        <w:rPr/>
      </w:pPr>
      <w:bookmarkStart w:id="57" w:name="__RefHeading___Toc61690_4195859891"/>
      <w:bookmarkEnd w:id="57"/>
      <w:r>
        <w:rPr>
          <w:rFonts w:eastAsia="Segoe UI" w:cs="Segoe UI"/>
          <w:b/>
          <w:color w:val="0F4761"/>
          <w:sz w:val="26"/>
        </w:rPr>
        <w:t>12.1  Sales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4"/>
        <w:gridCol w:w="3934"/>
        <w:gridCol w:w="3606"/>
      </w:tblGrid>
      <w:tr>
        <w:trPr>
          <w:tblHeader w:val="true"/>
        </w:trPr>
        <w:tc>
          <w:tcPr>
            <w:tcW w:w="14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39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Qualified pipeline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Value of qualified opportunities at list, 5-year view</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times the yearly booking target (Proposed)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 rate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Won / (won + lost) qualified opportunities</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 (Proposed)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speed</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sent within 2 business days of the meeting</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 speed</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Proposals sent within 5 working days of the workshop</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Average discount</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Weighted discount off list, by component</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5% (Proposed)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share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fees (subscription, AMC, hosting) / 5-year contract value</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w:t>
            </w:r>
          </w:p>
        </w:tc>
      </w:tr>
      <w:tr>
        <w:trPr/>
        <w:tc>
          <w:tcPr>
            <w:tcW w:w="14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cycle</w:t>
            </w:r>
          </w:p>
        </w:tc>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 from first meeting to signature</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 by segment</w:t>
            </w:r>
          </w:p>
        </w:tc>
      </w:tr>
    </w:tbl>
    <w:p>
      <w:pPr>
        <w:pStyle w:val="Normal"/>
        <w:spacing w:before="0" w:after="80"/>
        <w:rPr/>
      </w:pPr>
      <w:r>
        <w:rPr/>
      </w:r>
    </w:p>
    <w:p>
      <w:pPr>
        <w:pStyle w:val="Heading2"/>
        <w:rPr/>
      </w:pPr>
      <w:bookmarkStart w:id="58" w:name="__RefHeading___Toc61692_4195859891"/>
      <w:bookmarkEnd w:id="58"/>
      <w:r>
        <w:rPr>
          <w:rFonts w:eastAsia="Segoe UI" w:cs="Segoe UI"/>
          <w:b/>
          <w:color w:val="0F4761"/>
          <w:sz w:val="26"/>
        </w:rPr>
        <w:t>12.2  Delivery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7"/>
        <w:gridCol w:w="4043"/>
        <w:gridCol w:w="1854"/>
      </w:tblGrid>
      <w:tr>
        <w:trPr>
          <w:tblHeader w:val="true"/>
        </w:trPr>
        <w:tc>
          <w:tcPr>
            <w:tcW w:w="31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40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18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on plan</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Go-lives on the baselined date or within 2 weeks</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Effort variance</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Actual man-days / planned man-days, by project</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10%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at cutover</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 figures agree exactly or differences accepted in writing</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first pass</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scripts passed in the first cycle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85%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on plan</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by the planned week, or by the first month-end close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Milestone billing</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Milestones invoiced within 5 Business Days of the certificate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(Proposed)</w:t>
            </w:r>
          </w:p>
        </w:tc>
      </w:tr>
      <w:tr>
        <w:trPr/>
        <w:tc>
          <w:tcPr>
            <w:tcW w:w="3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satisfaction at hypercare exit</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Survey score</w:t>
            </w:r>
          </w:p>
        </w:tc>
        <w:tc>
          <w:tcPr>
            <w:tcW w:w="18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out of 10 (Proposed)</w:t>
            </w:r>
          </w:p>
        </w:tc>
      </w:tr>
    </w:tbl>
    <w:p>
      <w:pPr>
        <w:pStyle w:val="Normal"/>
        <w:spacing w:before="0" w:after="80"/>
        <w:rPr/>
      </w:pPr>
      <w:r>
        <w:rPr/>
      </w:r>
    </w:p>
    <w:p>
      <w:pPr>
        <w:pStyle w:val="Heading2"/>
        <w:rPr/>
      </w:pPr>
      <w:bookmarkStart w:id="59" w:name="__RefHeading___Toc61694_4195859891"/>
      <w:bookmarkEnd w:id="59"/>
      <w:r>
        <w:rPr>
          <w:rFonts w:eastAsia="Segoe UI" w:cs="Segoe UI"/>
          <w:b/>
          <w:color w:val="0F4761"/>
          <w:sz w:val="26"/>
        </w:rPr>
        <w:t>12.3  Support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93"/>
        <w:gridCol w:w="4506"/>
        <w:gridCol w:w="1316"/>
      </w:tblGrid>
      <w:tr>
        <w:trPr>
          <w:tblHeader w:val="true"/>
        </w:trPr>
        <w:tc>
          <w:tcPr>
            <w:tcW w:w="31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13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SLA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responded to within target / tickets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SLA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restored within target / tickets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(P1: 100%)</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(iorta TechNXT hosts)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Available minutes in service hours / minutes in service hours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99.5%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 rate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reopened / tickets resolved</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Backlog age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P3 tickets older than 30 days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RCA on time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RCA reports within 5 Business Days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success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without rollback or incident / changes</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3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tests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restore tests done and passed</w:t>
            </w:r>
          </w:p>
        </w:tc>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bl>
    <w:p>
      <w:pPr>
        <w:pStyle w:val="Normal"/>
        <w:spacing w:before="0" w:after="80"/>
        <w:rPr/>
      </w:pPr>
      <w:r>
        <w:rPr/>
      </w:r>
    </w:p>
    <w:p>
      <w:pPr>
        <w:pStyle w:val="Heading2"/>
        <w:rPr/>
      </w:pPr>
      <w:bookmarkStart w:id="60" w:name="__RefHeading___Toc61696_4195859891"/>
      <w:bookmarkEnd w:id="60"/>
      <w:r>
        <w:rPr>
          <w:rFonts w:eastAsia="Segoe UI" w:cs="Segoe UI"/>
          <w:b/>
          <w:color w:val="0F4761"/>
          <w:sz w:val="26"/>
        </w:rPr>
        <w:t>12.4  Product and development</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8"/>
        <w:gridCol w:w="3762"/>
        <w:gridCol w:w="3763"/>
      </w:tblGrid>
      <w:tr>
        <w:trPr>
          <w:tblHeader w:val="true"/>
        </w:trPr>
        <w:tc>
          <w:tcPr>
            <w:tcW w:w="14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37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37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on schedule</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releases delivered in the announced window</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(Proposed)</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Regression pass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Business-rule tests passing at release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Escaped defects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and P2 incidents caused by a release, per release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P1 (Proposed)</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ratio</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 merged into the product / change requests delivered</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 rising (Proposed)</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advisories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advisories fixed in an emergency release; high in the next release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within 14 days, high within 30 days</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 status</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blocked and not-run cases of the release test closed</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closed before the next major release (Proposed)</w:t>
            </w:r>
          </w:p>
        </w:tc>
      </w:tr>
    </w:tbl>
    <w:p>
      <w:pPr>
        <w:pStyle w:val="Normal"/>
        <w:spacing w:before="0" w:after="80"/>
        <w:rPr/>
      </w:pPr>
      <w:r>
        <w:rPr/>
      </w:r>
    </w:p>
    <w:p>
      <w:pPr>
        <w:pStyle w:val="Heading2"/>
        <w:rPr/>
      </w:pPr>
      <w:bookmarkStart w:id="61" w:name="__RefHeading___Toc61698_4195859891"/>
      <w:bookmarkEnd w:id="61"/>
      <w:r>
        <w:rPr>
          <w:rFonts w:eastAsia="Segoe UI" w:cs="Segoe UI"/>
          <w:b/>
          <w:color w:val="0F4761"/>
          <w:sz w:val="26"/>
        </w:rPr>
        <w:t>12.5  Finance and management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7"/>
        <w:gridCol w:w="3697"/>
        <w:gridCol w:w="3160"/>
      </w:tblGrid>
      <w:tr>
        <w:trPr>
          <w:tblHeader w:val="true"/>
        </w:trPr>
        <w:tc>
          <w:tcPr>
            <w:tcW w:w="21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36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31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Bookings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value signed, at list and at the quoted price</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yearly by the CEO</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ARR</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AMC, hosting and 24x7 support, annualised</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yearly by the CEO</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and subscription renewal</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 renewals due</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 (Proposed)</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DSO</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Average days from invoice to payment</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 days or less (Proposed)</w:t>
            </w:r>
          </w:p>
        </w:tc>
      </w:tr>
      <w:tr>
        <w:trPr/>
        <w:tc>
          <w:tcPr>
            <w:tcW w:w="2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customers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Live clients willing to take reference calls</w:t>
            </w:r>
          </w:p>
        </w:tc>
        <w:tc>
          <w:tcPr>
            <w:tcW w:w="3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by the end of the first year (Proposed)</w:t>
            </w:r>
          </w:p>
        </w:tc>
      </w:tr>
    </w:tbl>
    <w:p>
      <w:pPr>
        <w:pStyle w:val="Normal"/>
        <w:spacing w:before="0" w:after="80"/>
        <w:rPr/>
      </w:pPr>
      <w:r>
        <w:rPr/>
      </w:r>
      <w:r>
        <w:br w:type="page"/>
      </w:r>
    </w:p>
    <w:p>
      <w:pPr>
        <w:pStyle w:val="Heading1"/>
        <w:rPr/>
      </w:pPr>
      <w:bookmarkStart w:id="62" w:name="__RefHeading___Toc61700_4195859891"/>
      <w:bookmarkEnd w:id="62"/>
      <w:r>
        <w:rPr>
          <w:rFonts w:eastAsia="Segoe UI" w:cs="Segoe UI" w:ascii="Segoe UI" w:hAnsi="Segoe UI"/>
          <w:b/>
          <w:color w:val="0F4761"/>
          <w:sz w:val="32"/>
        </w:rPr>
        <w:t>13.  Governance</w:t>
      </w:r>
    </w:p>
    <w:p>
      <w:pPr>
        <w:pStyle w:val="Heading2"/>
        <w:rPr/>
      </w:pPr>
      <w:bookmarkStart w:id="63" w:name="__RefHeading___Toc61702_4195859891"/>
      <w:bookmarkEnd w:id="63"/>
      <w:r>
        <w:rPr>
          <w:rFonts w:eastAsia="Segoe UI" w:cs="Segoe UI"/>
          <w:b/>
          <w:color w:val="0F4761"/>
          <w:sz w:val="26"/>
        </w:rPr>
        <w:t>13.1  Internal forums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5"/>
        <w:gridCol w:w="2575"/>
        <w:gridCol w:w="2467"/>
        <w:gridCol w:w="2575"/>
      </w:tblGrid>
      <w:tr>
        <w:trPr>
          <w:tblHeader w:val="true"/>
        </w:trPr>
        <w:tc>
          <w:tcPr>
            <w:tcW w:w="13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Forum</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Members</w:t>
            </w:r>
          </w:p>
        </w:tc>
        <w:tc>
          <w:tcPr>
            <w:tcW w:w="24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Decides</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Pipeline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 account managers, solution consultants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Qualification, next steps, forecast</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Deal desk (Proposed)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 head of delivery, finance; legal counsel when triggered</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 within 2 business days of a request</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Pricing gate G2, capacity gate G3, legal gate G4</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portfolio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 project managers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risks, resources across projects</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with each client's change owner</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and as needed for emergencies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Normal and emergency changes in production</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council (Proposed)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(chair), product manager, head of delivery, support manager, engineering lead, sales head</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decisions, roadmap, release plan</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 business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and function heads</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KPIs, targets, investments, price book changes</w:t>
            </w:r>
          </w:p>
        </w:tc>
      </w:tr>
      <w:tr>
        <w:trPr/>
        <w:tc>
          <w:tcPr>
            <w:tcW w:w="13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 book review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sales head, finance</w:t>
            </w:r>
          </w:p>
        </w:tc>
        <w:tc>
          <w:tcPr>
            <w:tcW w:w="24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Exchange rate, cloud prices, day rates, IC ranking inputs</w:t>
            </w:r>
          </w:p>
        </w:tc>
      </w:tr>
    </w:tbl>
    <w:p>
      <w:pPr>
        <w:pStyle w:val="Normal"/>
        <w:spacing w:before="0" w:after="80"/>
        <w:rPr/>
      </w:pPr>
      <w:r>
        <w:rPr/>
      </w:r>
    </w:p>
    <w:p>
      <w:pPr>
        <w:pStyle w:val="Heading2"/>
        <w:rPr/>
      </w:pPr>
      <w:bookmarkStart w:id="64" w:name="__RefHeading___Toc61704_4195859891"/>
      <w:bookmarkEnd w:id="64"/>
      <w:r>
        <w:rPr>
          <w:rFonts w:eastAsia="Segoe UI" w:cs="Segoe UI"/>
          <w:b/>
          <w:color w:val="0F4761"/>
          <w:sz w:val="26"/>
        </w:rPr>
        <w:t>13.2  Client-facing forums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29"/>
        <w:gridCol w:w="4056"/>
        <w:gridCol w:w="2029"/>
      </w:tblGrid>
      <w:tr>
        <w:trPr>
          <w:tblHeader w:val="true"/>
        </w:trPr>
        <w:tc>
          <w:tcPr>
            <w:tcW w:w="29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Forum</w:t>
            </w:r>
          </w:p>
        </w:tc>
        <w:tc>
          <w:tcPr>
            <w:tcW w:w="40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20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steering committee</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weeks and at each go/no-go</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SOW</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status meeting</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during the project</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SOW</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service review</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after handover</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review</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w:t>
            </w:r>
          </w:p>
        </w:tc>
      </w:tr>
      <w:tr>
        <w:trPr/>
        <w:tc>
          <w:tcPr>
            <w:tcW w:w="29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DR exercise</w:t>
            </w:r>
          </w:p>
        </w:tc>
        <w:tc>
          <w:tcPr>
            <w:tcW w:w="40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where iorta TechNXT hosts</w:t>
            </w:r>
          </w:p>
        </w:tc>
        <w:tc>
          <w:tcPr>
            <w:tcW w:w="2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Agreement</w:t>
            </w:r>
          </w:p>
        </w:tc>
      </w:tr>
    </w:tbl>
    <w:p>
      <w:pPr>
        <w:pStyle w:val="Normal"/>
        <w:spacing w:before="0" w:after="80"/>
        <w:rPr/>
      </w:pPr>
      <w:r>
        <w:rPr/>
      </w:r>
    </w:p>
    <w:p>
      <w:pPr>
        <w:pStyle w:val="Heading2"/>
        <w:rPr/>
      </w:pPr>
      <w:bookmarkStart w:id="65" w:name="__RefHeading___Toc61706_4195859891"/>
      <w:bookmarkEnd w:id="65"/>
      <w:r>
        <w:rPr>
          <w:rFonts w:eastAsia="Segoe UI" w:cs="Segoe UI"/>
          <w:b/>
          <w:color w:val="0F4761"/>
          <w:sz w:val="26"/>
        </w:rPr>
        <w:t>13.3  Document control</w:t>
      </w:r>
    </w:p>
    <w:p>
      <w:pPr>
        <w:pStyle w:val="Normal"/>
        <w:spacing w:lineRule="auto" w:line="276" w:before="0" w:after="120"/>
        <w:rPr/>
      </w:pPr>
      <w:r>
        <w:rPr>
          <w:rFonts w:eastAsia="Segoe UI" w:cs="Segoe UI" w:ascii="Segoe UI" w:hAnsi="Segoe UI"/>
          <w:color w:val="101820"/>
          <w:sz w:val="21"/>
        </w:rPr>
        <w:t>The contract templates, price book, rate card and sales collateral are controlled documents. Prices are changed only by rebuilding the price book from the pricing workbook. Contract templates are changed only with legal counsel. The Contract Pack Index lists the current set.</w:t>
      </w:r>
      <w:r>
        <w:br w:type="page"/>
      </w:r>
    </w:p>
    <w:p>
      <w:pPr>
        <w:pStyle w:val="Heading1"/>
        <w:rPr/>
      </w:pPr>
      <w:bookmarkStart w:id="66" w:name="__RefHeading___Toc61708_4195859891"/>
      <w:bookmarkEnd w:id="66"/>
      <w:r>
        <w:rPr>
          <w:rFonts w:eastAsia="Segoe UI" w:cs="Segoe UI" w:ascii="Segoe UI" w:hAnsi="Segoe UI"/>
          <w:b/>
          <w:color w:val="0F4761"/>
          <w:sz w:val="32"/>
        </w:rPr>
        <w:t>14.  30/60/90-day launch plan</w:t>
      </w:r>
    </w:p>
    <w:p>
      <w:pPr>
        <w:pStyle w:val="Normal"/>
        <w:spacing w:lineRule="auto" w:line="276" w:before="0" w:after="120"/>
        <w:rPr/>
      </w:pPr>
      <w:r>
        <w:rPr>
          <w:rFonts w:eastAsia="Segoe UI" w:cs="Segoe UI" w:ascii="Segoe UI" w:hAnsi="Segoe UI"/>
          <w:color w:val="101820"/>
          <w:sz w:val="21"/>
        </w:rPr>
        <w:t>The plan starts on the date management approves this playbook (Day 1). Owners are roles; targets are Proposed.</w:t>
      </w:r>
    </w:p>
    <w:p>
      <w:pPr>
        <w:pStyle w:val="Heading2"/>
        <w:rPr/>
      </w:pPr>
      <w:bookmarkStart w:id="67" w:name="__RefHeading___Toc61710_4195859891"/>
      <w:bookmarkEnd w:id="67"/>
      <w:r>
        <w:rPr>
          <w:rFonts w:eastAsia="Segoe UI" w:cs="Segoe UI"/>
          <w:b/>
          <w:color w:val="0F4761"/>
          <w:sz w:val="26"/>
        </w:rPr>
        <w:t>14.1  Days 1 to 30: ready to sell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310"/>
        <w:gridCol w:w="279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53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27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this playbook and take the owner decisions in the last chapter</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review of the full contract pack; choose an escrow agent; confirm the open bracketed positions</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cloud and local partner hosting prices with the providers; select the local hosting partner</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withholding treatment of the licence fee and the subscription with the tax adviser</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the demo environment with the UAT data set; rehearse the 60- and 30-minute demonstrations</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 account managers on the Demo Script, the FAQ, the price book Quick Quote and the Negotiation Playbook</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the target list from the IC list of licensed brokers, by segment, with named buyers</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or explain the failed, blocked and not-run cases of the release test; plan the load test</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Engineering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the service desk, the knowledge base starter set and the monthly service report template</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5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the first delivery pod and the project templates (charter, plan, RAID log, configuration workbook)</w:t>
            </w:r>
          </w:p>
        </w:tc>
        <w:tc>
          <w:tcPr>
            <w:tcW w:w="27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r>
    </w:tbl>
    <w:p>
      <w:pPr>
        <w:pStyle w:val="Normal"/>
        <w:spacing w:before="0" w:after="80"/>
        <w:rPr/>
      </w:pPr>
      <w:r>
        <w:rPr/>
      </w:r>
    </w:p>
    <w:p>
      <w:pPr>
        <w:pStyle w:val="Heading2"/>
        <w:rPr/>
      </w:pPr>
      <w:bookmarkStart w:id="68" w:name="__RefHeading___Toc61712_4195859891"/>
      <w:bookmarkEnd w:id="68"/>
      <w:r>
        <w:rPr>
          <w:rFonts w:eastAsia="Segoe UI" w:cs="Segoe UI"/>
          <w:b/>
          <w:color w:val="0F4761"/>
          <w:sz w:val="26"/>
        </w:rPr>
        <w:t>14.2  Days 31 to 60: first conversations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981"/>
        <w:gridCol w:w="312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9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31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e-mail sequence to the target list; LinkedIn notes; one webinar or event</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 first meetings and qualification; target 10 meetings and 4 demonstrations (Proposed)</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first discovery workshops; produce sized quotations at list</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Solution consultant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the deal desk; record every approval in the deal file</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load test on a production-sized environment; publish the result</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Engineering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 the first product council: merge criteria, versioning, roadmap candidates</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product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4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 the hosting partner contract and the sub-processor details for DPA Annex 3</w:t>
            </w:r>
          </w:p>
        </w:tc>
        <w:tc>
          <w:tcPr>
            <w:tcW w:w="3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 DPO</w:t>
            </w:r>
          </w:p>
        </w:tc>
      </w:tr>
    </w:tbl>
    <w:p>
      <w:pPr>
        <w:pStyle w:val="Normal"/>
        <w:spacing w:before="0" w:after="80"/>
        <w:rPr/>
      </w:pPr>
      <w:r>
        <w:rPr/>
      </w:r>
    </w:p>
    <w:p>
      <w:pPr>
        <w:pStyle w:val="Heading2"/>
        <w:rPr/>
      </w:pPr>
      <w:bookmarkStart w:id="69" w:name="__RefHeading___Toc61714_4195859891"/>
      <w:bookmarkEnd w:id="69"/>
      <w:r>
        <w:rPr>
          <w:rFonts w:eastAsia="Segoe UI" w:cs="Segoe UI"/>
          <w:b/>
          <w:color w:val="0F4761"/>
          <w:sz w:val="26"/>
        </w:rPr>
        <w:t>14.3  Days 61 to 90: first commitments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980"/>
        <w:gridCol w:w="312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9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31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first proposals; negotiate within the limits; target 2 proposals and 1 award (Proposed)</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managers, 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the first contract set with the Contract Pack Index checklists</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 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Mobilise the first project; first-client terms to secure a reference (reference and case study levers)</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 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quarterly business review: KPIs, pipeline against capacity, price book check</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c>
          <w:tcPr>
            <w:tcW w:w="4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Publish the first release plan and release notes format</w:t>
            </w:r>
          </w:p>
        </w:tc>
        <w:tc>
          <w:tcPr>
            <w:tcW w:w="31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manager</w:t>
            </w:r>
          </w:p>
        </w:tc>
      </w:tr>
    </w:tbl>
    <w:p>
      <w:pPr>
        <w:pStyle w:val="Normal"/>
        <w:spacing w:before="0" w:after="80"/>
        <w:rPr/>
      </w:pPr>
      <w:r>
        <w:rPr/>
      </w:r>
      <w:r>
        <w:br w:type="page"/>
      </w:r>
    </w:p>
    <w:p>
      <w:pPr>
        <w:pStyle w:val="Heading1"/>
        <w:rPr/>
      </w:pPr>
      <w:bookmarkStart w:id="70" w:name="__RefHeading___Toc61716_4195859891"/>
      <w:bookmarkEnd w:id="70"/>
      <w:r>
        <w:rPr>
          <w:rFonts w:eastAsia="Segoe UI" w:cs="Segoe UI" w:ascii="Segoe UI" w:hAnsi="Segoe UI"/>
          <w:b/>
          <w:color w:val="0F4761"/>
          <w:sz w:val="32"/>
        </w:rPr>
        <w:t>15.  Risks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0"/>
        <w:gridCol w:w="3406"/>
        <w:gridCol w:w="3408"/>
      </w:tblGrid>
      <w:tr>
        <w:trPr>
          <w:tblHeader w:val="true"/>
        </w:trPr>
        <w:tc>
          <w:tcPr>
            <w:tcW w:w="22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34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market (about 67 brokers)</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Few opportunities a year</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Segment carefully; protect references; expand by added users and options</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customisation</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Longer projects, lower margin, product fragmentation</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OOTB rules; change requests at day rates; product council merge decisions</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Discounting to win early deals</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Weak price list for later deals</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limits, floor, levers in exchange for references</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capacity</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go-lives, unhappy first clients</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Capacity gate G3; one pod per Medium project</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quality at the broker</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cutover</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requests in week 1; mock loads; steering committee escalation</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Cross-border data concerns</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Lost deals with data residency needs</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 hosting option in the Philippines</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 limits of the release</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Objections in demos</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Disclose with the workaround; roadmap themes; change request route</w:t>
            </w:r>
          </w:p>
        </w:tc>
      </w:tr>
      <w:tr>
        <w:trPr/>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load test yet</w:t>
            </w:r>
          </w:p>
        </w:tc>
        <w:tc>
          <w:tcPr>
            <w:tcW w:w="34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Performance risk for Large clients</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test before the first Large go-live</w:t>
            </w:r>
          </w:p>
        </w:tc>
      </w:tr>
    </w:tbl>
    <w:p>
      <w:pPr>
        <w:pStyle w:val="Normal"/>
        <w:spacing w:before="0" w:after="80"/>
        <w:rPr/>
      </w:pPr>
      <w:r>
        <w:rPr/>
      </w:r>
      <w:r>
        <w:br w:type="page"/>
      </w:r>
    </w:p>
    <w:p>
      <w:pPr>
        <w:pStyle w:val="Heading1"/>
        <w:rPr/>
      </w:pPr>
      <w:bookmarkStart w:id="71" w:name="__RefHeading___Toc61718_4195859891"/>
      <w:bookmarkEnd w:id="71"/>
      <w:r>
        <w:rPr>
          <w:rFonts w:eastAsia="Segoe UI" w:cs="Segoe UI" w:ascii="Segoe UI" w:hAnsi="Segoe UI"/>
          <w:b/>
          <w:color w:val="0F4761"/>
          <w:sz w:val="32"/>
        </w:rPr>
        <w:t>16.  Decisions for the owner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38"/>
        <w:gridCol w:w="407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40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discount limits (5%, 10%, 15%) and the floor</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that the AMC is computed on the quoted (net) licence fee</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as the contracts state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Early termination fee for committed terms: all or 50% of the remaining recurring fees</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before the first contract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fees: no yearly increase (price book) while "recurring optional items" increase 5% (Rate Card wording)</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hosting and additional hosted environments have no yearly increase; the Rate Card wording is aligned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length: the Commercial Proposal Note says four weeks; the SOW and Implementation Approach set 2, 3 and 4 to 6 weeks by size</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the Commercial Proposal Note now follows the SOW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thresholds: commercial tiers use 26 to 100 users for Medium; the Implementation Approach uses 26 to 75 users for a Medium project</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both documents use 26 to 100 users; data volumes can still move a project to the next delivery size at mobilisation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Versioning scheme and release cadence (Proposed in this playbook)</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 the product manager role and the product council</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 the FAQ says "not planned in OOTB, to confirm roadmap"</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it as a roadmap theme for responsive layouts; no mobile application commitment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KPI targets marked Proposed</w:t>
            </w:r>
          </w:p>
        </w:tc>
        <w:tc>
          <w:tcPr>
            <w:tcW w:w="40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at the first quarterly business review</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72" w:name="__RefHeading___Toc61720_4195859891"/>
      <w:bookmarkStart w:id="73" w:name="_Toc233203395"/>
      <w:bookmarkEnd w:id="72"/>
      <w:r>
        <w:rPr>
          <w:rStyle w:val="BookTitle"/>
          <w:bCs w:val="false"/>
          <w:i w:val="false"/>
          <w:iCs w:val="false"/>
          <w:spacing w:val="0"/>
        </w:rPr>
        <w:t>17.  Document Sign-Off</w:t>
      </w:r>
      <w:bookmarkEnd w:id="7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Owner decisions listed in the last chapter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num>
  <w:num w:numId="11">
    <w:abstractNumId w:val="2"/>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2026-10-03T20:23:49Z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