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5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6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6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18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0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2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Order Form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Order Form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4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388_1603226370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390_1603226370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392_1603226370">
            <w:r>
              <w:rPr>
                <w:webHidden/>
                <w:rStyle w:val="IndexLink"/>
              </w:rPr>
              <w:t>3. About this template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394_1603226370">
            <w:r>
              <w:rPr>
                <w:webHidden/>
                <w:rStyle w:val="IndexLink"/>
              </w:rPr>
              <w:t>4. Order details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396_1603226370">
            <w:r>
              <w:rPr>
                <w:webHidden/>
                <w:rStyle w:val="IndexLink"/>
              </w:rPr>
              <w:t>4.1 Parties and reference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398_1603226370">
            <w:r>
              <w:rPr>
                <w:webHidden/>
                <w:rStyle w:val="IndexLink"/>
              </w:rPr>
              <w:t>4.2 Products and model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00_1603226370">
            <w:r>
              <w:rPr>
                <w:webHidden/>
                <w:rStyle w:val="IndexLink"/>
              </w:rPr>
              <w:t>4.3 Term and dates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02_1603226370">
            <w:r>
              <w:rPr>
                <w:webHidden/>
                <w:rStyle w:val="IndexLink"/>
              </w:rPr>
              <w:t>5.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04_1603226370">
            <w:r>
              <w:rPr>
                <w:webHidden/>
                <w:rStyle w:val="IndexLink"/>
              </w:rPr>
              <w:t>5.1 One-time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06_1603226370">
            <w:r>
              <w:rPr>
                <w:webHidden/>
                <w:rStyle w:val="IndexLink"/>
              </w:rPr>
              <w:t>5.2 Recurring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08_1603226370">
            <w:r>
              <w:rPr>
                <w:webHidden/>
                <w:rStyle w:val="IndexLink"/>
              </w:rPr>
              <w:t>5.3 Contract value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10_1603226370">
            <w:r>
              <w:rPr>
                <w:webHidden/>
                <w:rStyle w:val="IndexLink"/>
              </w:rPr>
              <w:t>5.4 Payment schedule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12_1603226370">
            <w:r>
              <w:rPr>
                <w:webHidden/>
                <w:rStyle w:val="IndexLink"/>
              </w:rPr>
              <w:t>5.5 Conditions of discounts</w:t>
              <w:tab/>
              <w:t>7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14_1603226370">
            <w:r>
              <w:rPr>
                <w:webHidden/>
                <w:rStyle w:val="IndexLink"/>
              </w:rPr>
              <w:t>6. Schedules and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16_1603226370">
            <w:r>
              <w:rPr>
                <w:webHidden/>
                <w:rStyle w:val="IndexLink"/>
              </w:rPr>
              <w:t>6.1 Schedules that apply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18_1603226370">
            <w:r>
              <w:rPr>
                <w:webHidden/>
                <w:rStyle w:val="IndexLink"/>
              </w:rPr>
              <w:t>6.2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20_1603226370">
            <w:r>
              <w:rPr>
                <w:webHidden/>
                <w:rStyle w:val="IndexLink"/>
              </w:rPr>
              <w:t>6.3 Price basis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22_1603226370">
            <w:r>
              <w:rPr>
                <w:webHidden/>
                <w:rStyle w:val="IndexLink"/>
              </w:rPr>
              <w:t>7. Signatures</w:t>
              <w:tab/>
              <w:t>9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24_1603226370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15388_1603226370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 Corp.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Legal counsel (to be completed)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 be completed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Template for discussion; subject to review by the parties' legal counsel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15390_1603226370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Line of business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MSA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Philippine peso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SOW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Statement of work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United States dollar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15392_1603226370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template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Template for discussion; subject to review by the parties' legal counsel.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This Order Form records one purchase of iNXT BrokerVerse OOTB under the Master Services Agreement (the </w:t>
      </w:r>
      <w:r>
        <w:rPr>
          <w:rFonts w:eastAsia="Segoe UI" w:cs="Segoe UI" w:ascii="Segoe UI" w:hAnsi="Segoe UI"/>
          <w:b/>
          <w:color w:val="101820"/>
          <w:sz w:val="21"/>
        </w:rPr>
        <w:t>MSA</w:t>
      </w:r>
      <w:r>
        <w:rPr>
          <w:rFonts w:eastAsia="Segoe UI" w:cs="Segoe UI" w:ascii="Segoe UI" w:hAnsi="Segoe UI"/>
          <w:color w:val="101820"/>
          <w:sz w:val="21"/>
        </w:rPr>
        <w:t>). Complete it from the price book Quick Quote. Every discount is a separate line against the list price, with the lever named. Delete the rows and options that do not apply. Text in [square brackets] is a placeholder.</w:t>
      </w:r>
      <w:r>
        <w:br w:type="page"/>
      </w:r>
    </w:p>
    <w:p>
      <w:pPr>
        <w:pStyle w:val="Heading1"/>
        <w:rPr/>
      </w:pPr>
      <w:bookmarkStart w:id="7" w:name="__RefHeading___Toc15394_1603226370"/>
      <w:bookmarkEnd w:id="7"/>
      <w:r>
        <w:rPr>
          <w:rFonts w:eastAsia="Segoe UI" w:cs="Segoe UI" w:ascii="Segoe UI" w:hAnsi="Segoe UI"/>
          <w:b/>
          <w:color w:val="0F4761"/>
          <w:sz w:val="32"/>
        </w:rPr>
        <w:t>4.  Order details</w:t>
      </w:r>
    </w:p>
    <w:p>
      <w:pPr>
        <w:pStyle w:val="Heading2"/>
        <w:rPr/>
      </w:pPr>
      <w:bookmarkStart w:id="8" w:name="__RefHeading___Toc15396_1603226370"/>
      <w:bookmarkEnd w:id="8"/>
      <w:r>
        <w:rPr>
          <w:rFonts w:eastAsia="Segoe UI" w:cs="Segoe UI"/>
          <w:b/>
          <w:color w:val="0F4761"/>
          <w:sz w:val="26"/>
        </w:rPr>
        <w:t>4.1  Parties and reference</w:t>
      </w:r>
    </w:p>
    <w:tbl>
      <w:tblPr>
        <w:tblStyle w:val="TableGrid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no.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[OF-year-number]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date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 dated [date]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Supplier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Corp., SEC registration no. [number], TIN [number], [address]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legal name], SEC registration no. [number], TIN [number], IC certificate of authority no. [number], [address]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billing address and contact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[address, name, e-mail]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is a withholding agent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top withholding agent / Yes / No]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Proposal or quotation reference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and 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" w:name="__RefHeading___Toc15398_1603226370"/>
      <w:bookmarkEnd w:id="9"/>
      <w:r>
        <w:rPr>
          <w:rFonts w:eastAsia="Segoe UI" w:cs="Segoe UI"/>
          <w:b/>
          <w:color w:val="0F4761"/>
          <w:sz w:val="26"/>
        </w:rPr>
        <w:t>4.2  Products and model</w:t>
      </w:r>
    </w:p>
    <w:tbl>
      <w:tblPr>
        <w:tblStyle w:val="TableGrid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(all delivered modules)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model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[Perpetual licence with AMC / Subscription]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Named users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Size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/ Medium / Large / Enterprise]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Minimum billable users (subscription)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[10 / 26 / 101 / 301]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Lines of business configured at implementation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[number]: [list]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days included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[4 / 6 / 10 / 15]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hosted / iorta TechNXT on AWS Singapore / Azure Southeast Asia / local partner: name, city]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location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[Philippines / Singapore]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Environments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[Production, UAT, additional: list]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(perpetual only)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0" w:name="__RefHeading___Toc15400_1603226370"/>
      <w:bookmarkEnd w:id="10"/>
      <w:r>
        <w:rPr>
          <w:rFonts w:eastAsia="Segoe UI" w:cs="Segoe UI"/>
          <w:b/>
          <w:color w:val="0F4761"/>
          <w:sz w:val="26"/>
        </w:rPr>
        <w:t>4.3  Term and dates</w:t>
      </w:r>
    </w:p>
    <w:tbl>
      <w:tblPr>
        <w:tblStyle w:val="TableGrid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mobilisation date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Target go-live date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Initial Term, or AMC and hosting term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go-live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[12-month renewals, 90 days' notice of non-renewal]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Early termination right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[None during the Initial Term / as in the MSA Option B, fee: details]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11" w:name="__RefHeading___Toc15402_1603226370"/>
      <w:bookmarkEnd w:id="11"/>
      <w:r>
        <w:rPr>
          <w:rFonts w:eastAsia="Segoe UI" w:cs="Segoe UI" w:ascii="Segoe UI" w:hAnsi="Segoe UI"/>
          <w:b/>
          <w:color w:val="0F4761"/>
          <w:sz w:val="32"/>
        </w:rPr>
        <w:t>5.  Fees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All amounts in PHP, excluding VAT. VAT at 12% is added on each invoice.</w:t>
      </w:r>
    </w:p>
    <w:p>
      <w:pPr>
        <w:pStyle w:val="Heading2"/>
        <w:rPr/>
      </w:pPr>
      <w:bookmarkStart w:id="12" w:name="__RefHeading___Toc15404_1603226370"/>
      <w:bookmarkEnd w:id="12"/>
      <w:r>
        <w:rPr>
          <w:rFonts w:eastAsia="Segoe UI" w:cs="Segoe UI"/>
          <w:b/>
          <w:color w:val="0F4761"/>
          <w:sz w:val="26"/>
        </w:rPr>
        <w:t>5.1  One-time fees</w:t>
      </w:r>
    </w:p>
    <w:tbl>
      <w:tblPr>
        <w:tblStyle w:val="TableGrid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05"/>
        <w:gridCol w:w="1805"/>
        <w:gridCol w:w="1805"/>
        <w:gridCol w:w="1805"/>
        <w:gridCol w:w="1806"/>
      </w:tblGrid>
      <w:tr>
        <w:trPr>
          <w:tblHeader w:val="true"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List price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Price</w:t>
            </w:r>
          </w:p>
        </w:tc>
      </w:tr>
      <w:tr>
        <w:trPr/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 fee (subscription: onboarding fee)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[man-days] man-days at PHP 16,100.00, rounded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Perpetual licence fee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Graduated slabs: [users per slab]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Extra training days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30,000.00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Legacy data sources migrated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240,000.00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integrations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standard x PHP 320,000.00; [number] complex x PHP 720,000.00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environments, set-up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100,000.00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On-site days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20,000.00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Total one-time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15406_1603226370"/>
      <w:bookmarkEnd w:id="13"/>
      <w:r>
        <w:rPr>
          <w:rFonts w:eastAsia="Segoe UI" w:cs="Segoe UI"/>
          <w:b/>
          <w:color w:val="0F4761"/>
          <w:sz w:val="26"/>
        </w:rPr>
        <w:t>5.2  Recurring fees</w:t>
      </w:r>
    </w:p>
    <w:tbl>
      <w:tblPr>
        <w:tblStyle w:val="TableGrid"/>
        <w:tblW w:w="90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04"/>
        <w:gridCol w:w="1503"/>
        <w:gridCol w:w="1505"/>
        <w:gridCol w:w="1504"/>
        <w:gridCol w:w="1503"/>
        <w:gridCol w:w="1504"/>
      </w:tblGrid>
      <w:tr>
        <w:trPr>
          <w:tblHeader w:val="true"/>
        </w:trPr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15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15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list</w:t>
            </w:r>
          </w:p>
        </w:tc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15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price</w:t>
            </w:r>
          </w:p>
        </w:tc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Increase</w:t>
            </w:r>
          </w:p>
        </w:tc>
      </w:tr>
      <w:tr>
        <w:trPr/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Subscription, per month</w:t>
            </w:r>
          </w:p>
        </w:tc>
        <w:tc>
          <w:tcPr>
            <w:tcW w:w="15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[billable users] users, graduated slabs</w:t>
            </w:r>
          </w:p>
        </w:tc>
        <w:tc>
          <w:tcPr>
            <w:tcW w:w="15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15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AMC, per year from Year 2</w:t>
            </w:r>
          </w:p>
        </w:tc>
        <w:tc>
          <w:tcPr>
            <w:tcW w:w="15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22% of the licence fee</w:t>
            </w:r>
          </w:p>
        </w:tc>
        <w:tc>
          <w:tcPr>
            <w:tcW w:w="15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Not discounted</w:t>
            </w:r>
          </w:p>
        </w:tc>
        <w:tc>
          <w:tcPr>
            <w:tcW w:w="15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Hosting, per month</w:t>
            </w:r>
          </w:p>
        </w:tc>
        <w:tc>
          <w:tcPr>
            <w:tcW w:w="15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[provider], [size], production and UAT</w:t>
            </w:r>
          </w:p>
        </w:tc>
        <w:tc>
          <w:tcPr>
            <w:tcW w:w="15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As in the Hosting Agreement</w:t>
            </w:r>
          </w:p>
        </w:tc>
      </w:tr>
      <w:tr>
        <w:trPr/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 hosted, per month</w:t>
            </w:r>
          </w:p>
        </w:tc>
        <w:tc>
          <w:tcPr>
            <w:tcW w:w="15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11,000.00</w:t>
            </w:r>
          </w:p>
        </w:tc>
        <w:tc>
          <w:tcPr>
            <w:tcW w:w="15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15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 year</w:t>
            </w:r>
          </w:p>
        </w:tc>
      </w:tr>
      <w:tr>
        <w:trPr/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24x7 Severity 1 support, per year</w:t>
            </w:r>
          </w:p>
        </w:tc>
        <w:tc>
          <w:tcPr>
            <w:tcW w:w="15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[size]</w:t>
            </w:r>
          </w:p>
        </w:tc>
        <w:tc>
          <w:tcPr>
            <w:tcW w:w="15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 year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15408_1603226370"/>
      <w:bookmarkEnd w:id="14"/>
      <w:r>
        <w:rPr>
          <w:rFonts w:eastAsia="Segoe UI" w:cs="Segoe UI"/>
          <w:b/>
          <w:color w:val="0F4761"/>
          <w:sz w:val="26"/>
        </w:rPr>
        <w:t>5.3  Contract value</w:t>
      </w:r>
    </w:p>
    <w:tbl>
      <w:tblPr>
        <w:tblStyle w:val="TableGrid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 1 total, excluding VAT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Total for the committed term, excluding VAT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reference (at PHP [62.75] per USD)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15410_1603226370"/>
      <w:bookmarkEnd w:id="15"/>
      <w:r>
        <w:rPr>
          <w:rFonts w:eastAsia="Segoe UI" w:cs="Segoe UI"/>
          <w:b/>
          <w:color w:val="0F4761"/>
          <w:sz w:val="26"/>
        </w:rPr>
        <w:t>5.4  Payment schedule</w:t>
      </w:r>
    </w:p>
    <w:tbl>
      <w:tblPr>
        <w:tblStyle w:val="TableGrid"/>
        <w:tblW w:w="902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Milestone or period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 (PHP, excluding VAT)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Due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signing of this Order Form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UAT sign-off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20%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licence fee, 100%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One-time optional services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delivery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go-live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environment handover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 from the start of Year 2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Invoices are payable within 30 days. The Client withholds tax as required and issues BIR Form 2307; withholding does not reduce the invoice price. Tax treatment of the perpetual licence fee agreed by the Parties' tax advisers: [sale of software / royalty; withholding rate].</w:t>
      </w:r>
    </w:p>
    <w:p>
      <w:pPr>
        <w:pStyle w:val="Heading2"/>
        <w:rPr/>
      </w:pPr>
      <w:bookmarkStart w:id="16" w:name="__RefHeading___Toc15412_1603226370"/>
      <w:bookmarkEnd w:id="16"/>
      <w:r>
        <w:rPr>
          <w:rFonts w:eastAsia="Segoe UI" w:cs="Segoe UI"/>
          <w:b/>
          <w:color w:val="0F4761"/>
          <w:sz w:val="26"/>
        </w:rPr>
        <w:t>5.5  Conditions of discounts</w:t>
      </w:r>
    </w:p>
    <w:tbl>
      <w:tblPr>
        <w:tblStyle w:val="TableGrid"/>
        <w:tblW w:w="902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Lever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Condition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If the condition is not met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[Longer term]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[36-month Initial Term without termination for convenience]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repaid for the period used]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[Upfront payment]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[Subscription paid yearly in advance by the due date]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lapses for that year]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customer]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[Two reference calls a year; logo use]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ends from the next invoice]</w:t>
            </w:r>
          </w:p>
        </w:tc>
      </w:tr>
      <w:tr>
        <w:trPr/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[Other]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[condition]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[effect]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17" w:name="__RefHeading___Toc15414_1603226370"/>
      <w:bookmarkEnd w:id="17"/>
      <w:r>
        <w:rPr>
          <w:rFonts w:eastAsia="Segoe UI" w:cs="Segoe UI" w:ascii="Segoe UI" w:hAnsi="Segoe UI"/>
          <w:b/>
          <w:color w:val="0F4761"/>
          <w:sz w:val="32"/>
        </w:rPr>
        <w:t>6.  Schedules and special terms</w:t>
      </w:r>
    </w:p>
    <w:p>
      <w:pPr>
        <w:pStyle w:val="Heading2"/>
        <w:rPr/>
      </w:pPr>
      <w:bookmarkStart w:id="18" w:name="__RefHeading___Toc15416_1603226370"/>
      <w:bookmarkEnd w:id="18"/>
      <w:r>
        <w:rPr>
          <w:rFonts w:eastAsia="Segoe UI" w:cs="Segoe UI"/>
          <w:b/>
          <w:color w:val="0F4761"/>
          <w:sz w:val="26"/>
        </w:rPr>
        <w:t>6.1  Schedules that apply</w:t>
      </w:r>
    </w:p>
    <w:tbl>
      <w:tblPr>
        <w:tblStyle w:val="TableGrid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Schedule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Applies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Software Licence Agreement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Software Subscription Agreement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and Support Agreement and SLA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and Infrastructure Services Agreement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15418_1603226370"/>
      <w:bookmarkEnd w:id="19"/>
      <w:r>
        <w:rPr>
          <w:rFonts w:eastAsia="Segoe UI" w:cs="Segoe UI"/>
          <w:b/>
          <w:color w:val="0F4761"/>
          <w:sz w:val="26"/>
        </w:rPr>
        <w:t>6.2  Special terms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[None.] [Any special term, stating expressly whether it overrides the MSA for this Order Form.]</w:t>
      </w:r>
    </w:p>
    <w:p>
      <w:pPr>
        <w:pStyle w:val="Heading2"/>
        <w:rPr/>
      </w:pPr>
      <w:bookmarkStart w:id="20" w:name="__RefHeading___Toc15420_1603226370"/>
      <w:bookmarkEnd w:id="20"/>
      <w:r>
        <w:rPr>
          <w:rFonts w:eastAsia="Segoe UI" w:cs="Segoe UI"/>
          <w:b/>
          <w:color w:val="0F4761"/>
          <w:sz w:val="26"/>
        </w:rPr>
        <w:t>6.3  Price basis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Prices are from the iorta TechNXT price book dated [03 October 2026] and the quotation referenced above, valid for 90 days from the quotation date. Day rates are fixed for 12 months from the date of this Order Form.</w:t>
      </w:r>
      <w:r>
        <w:br w:type="page"/>
      </w:r>
    </w:p>
    <w:p>
      <w:pPr>
        <w:pStyle w:val="Heading1"/>
        <w:rPr/>
      </w:pPr>
      <w:bookmarkStart w:id="21" w:name="__RefHeading___Toc15422_1603226370"/>
      <w:bookmarkEnd w:id="21"/>
      <w:r>
        <w:rPr>
          <w:rFonts w:eastAsia="Segoe UI" w:cs="Segoe UI" w:ascii="Segoe UI" w:hAnsi="Segoe UI"/>
          <w:b/>
          <w:color w:val="0F4761"/>
          <w:sz w:val="32"/>
        </w:rPr>
        <w:t>7.  Signatures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By signing, the Parties agree to this Order Form, the MSA and the schedules that apply.</w:t>
      </w:r>
    </w:p>
    <w:tbl>
      <w:tblPr>
        <w:tblStyle w:val="TableGrid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iorta TechNXT Corp.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[Client legal name]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</w:tr>
      <w:tr>
        <w:trPr/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  <w:tc>
          <w:tcPr>
            <w:tcW w:w="45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2" w:name="__RefHeading___Toc15424_1603226370"/>
      <w:bookmarkStart w:id="23" w:name="_Toc233203395"/>
      <w:bookmarkEnd w:id="22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3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Review and completion by the parties' legal counsel before signature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4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3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3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2026-10-03T18:08:07Z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