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8">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9">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9"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31"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33"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5"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Demo Script</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Demo Script</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7"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2424_4285803909">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2426_4285803909">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2428_4285803909">
            <w:r>
              <w:rPr>
                <w:webHidden/>
                <w:rStyle w:val="IndexLink"/>
              </w:rPr>
              <w:t>3. About this script</w:t>
              <w:tab/>
              <w:t>5</w:t>
            </w:r>
          </w:hyperlink>
        </w:p>
        <w:p>
          <w:pPr>
            <w:pStyle w:val="TOC2"/>
            <w:tabs>
              <w:tab w:val="clear" w:pos="900"/>
              <w:tab w:val="clear" w:pos="9350"/>
              <w:tab w:val="right" w:pos="9025" w:leader="dot"/>
            </w:tabs>
            <w:rPr/>
          </w:pPr>
          <w:hyperlink w:anchor="__RefHeading___Toc2430_4285803909">
            <w:r>
              <w:rPr>
                <w:webHidden/>
                <w:rStyle w:val="IndexLink"/>
              </w:rPr>
              <w:t>3.1 Purpose</w:t>
              <w:tab/>
              <w:t>5</w:t>
            </w:r>
          </w:hyperlink>
        </w:p>
        <w:p>
          <w:pPr>
            <w:pStyle w:val="TOC2"/>
            <w:tabs>
              <w:tab w:val="clear" w:pos="900"/>
              <w:tab w:val="clear" w:pos="9350"/>
              <w:tab w:val="right" w:pos="9025" w:leader="dot"/>
            </w:tabs>
            <w:rPr/>
          </w:pPr>
          <w:hyperlink w:anchor="__RefHeading___Toc2432_4285803909">
            <w:r>
              <w:rPr>
                <w:webHidden/>
                <w:rStyle w:val="IndexLink"/>
              </w:rPr>
              <w:t>3.2 Who presents</w:t>
              <w:tab/>
              <w:t>5</w:t>
            </w:r>
          </w:hyperlink>
        </w:p>
        <w:p>
          <w:pPr>
            <w:pStyle w:val="TOC2"/>
            <w:tabs>
              <w:tab w:val="clear" w:pos="900"/>
              <w:tab w:val="clear" w:pos="9350"/>
              <w:tab w:val="right" w:pos="9025" w:leader="dot"/>
            </w:tabs>
            <w:rPr/>
          </w:pPr>
          <w:hyperlink w:anchor="__RefHeading___Toc2434_4285803909">
            <w:r>
              <w:rPr>
                <w:webHidden/>
                <w:rStyle w:val="IndexLink"/>
              </w:rPr>
              <w:t>3.3 The demo environment</w:t>
              <w:tab/>
              <w:t>5</w:t>
            </w:r>
          </w:hyperlink>
        </w:p>
        <w:p>
          <w:pPr>
            <w:pStyle w:val="TOC1"/>
            <w:tabs>
              <w:tab w:val="clear" w:pos="900"/>
              <w:tab w:val="clear" w:pos="9350"/>
              <w:tab w:val="right" w:pos="9025" w:leader="dot"/>
            </w:tabs>
            <w:rPr/>
          </w:pPr>
          <w:hyperlink w:anchor="__RefHeading___Toc2436_4285803909">
            <w:r>
              <w:rPr>
                <w:webHidden/>
                <w:rStyle w:val="IndexLink"/>
              </w:rPr>
              <w:t>4. Demo logins</w:t>
              <w:tab/>
              <w:t>7</w:t>
            </w:r>
          </w:hyperlink>
        </w:p>
        <w:p>
          <w:pPr>
            <w:pStyle w:val="TOC2"/>
            <w:tabs>
              <w:tab w:val="clear" w:pos="900"/>
              <w:tab w:val="clear" w:pos="9350"/>
              <w:tab w:val="right" w:pos="9025" w:leader="dot"/>
            </w:tabs>
            <w:rPr/>
          </w:pPr>
          <w:hyperlink w:anchor="__RefHeading___Toc2438_4285803909">
            <w:r>
              <w:rPr>
                <w:webHidden/>
                <w:rStyle w:val="IndexLink"/>
              </w:rPr>
              <w:t>4.1 Persona users</w:t>
              <w:tab/>
              <w:t>7</w:t>
            </w:r>
          </w:hyperlink>
        </w:p>
        <w:p>
          <w:pPr>
            <w:pStyle w:val="TOC2"/>
            <w:tabs>
              <w:tab w:val="clear" w:pos="900"/>
              <w:tab w:val="clear" w:pos="9350"/>
              <w:tab w:val="right" w:pos="9025" w:leader="dot"/>
            </w:tabs>
            <w:rPr/>
          </w:pPr>
          <w:hyperlink w:anchor="__RefHeading___Toc2440_4285803909">
            <w:r>
              <w:rPr>
                <w:webHidden/>
                <w:rStyle w:val="IndexLink"/>
              </w:rPr>
              <w:t>4.2 Browser set-up</w:t>
              <w:tab/>
              <w:t>7</w:t>
            </w:r>
          </w:hyperlink>
        </w:p>
        <w:p>
          <w:pPr>
            <w:pStyle w:val="TOC2"/>
            <w:tabs>
              <w:tab w:val="clear" w:pos="900"/>
              <w:tab w:val="clear" w:pos="9350"/>
              <w:tab w:val="right" w:pos="9025" w:leader="dot"/>
            </w:tabs>
            <w:rPr/>
          </w:pPr>
          <w:hyperlink w:anchor="__RefHeading___Toc2442_4285803909">
            <w:r>
              <w:rPr>
                <w:webHidden/>
                <w:rStyle w:val="IndexLink"/>
              </w:rPr>
              <w:t>4.3 Checks the day before</w:t>
              <w:tab/>
              <w:t>8</w:t>
            </w:r>
          </w:hyperlink>
        </w:p>
        <w:p>
          <w:pPr>
            <w:pStyle w:val="TOC1"/>
            <w:tabs>
              <w:tab w:val="clear" w:pos="900"/>
              <w:tab w:val="clear" w:pos="9350"/>
              <w:tab w:val="right" w:pos="9025" w:leader="dot"/>
            </w:tabs>
            <w:rPr/>
          </w:pPr>
          <w:hyperlink w:anchor="__RefHeading___Toc2444_4285803909">
            <w:r>
              <w:rPr>
                <w:webHidden/>
                <w:rStyle w:val="IndexLink"/>
              </w:rPr>
              <w:t>5. Full demonstration: 60 minutes</w:t>
              <w:tab/>
              <w:t>9</w:t>
            </w:r>
          </w:hyperlink>
        </w:p>
        <w:p>
          <w:pPr>
            <w:pStyle w:val="TOC2"/>
            <w:tabs>
              <w:tab w:val="clear" w:pos="900"/>
              <w:tab w:val="clear" w:pos="9350"/>
              <w:tab w:val="right" w:pos="9025" w:leader="dot"/>
            </w:tabs>
            <w:rPr/>
          </w:pPr>
          <w:hyperlink w:anchor="__RefHeading___Toc2446_4285803909">
            <w:r>
              <w:rPr>
                <w:webHidden/>
                <w:rStyle w:val="IndexLink"/>
              </w:rPr>
              <w:t>5.1 Running order</w:t>
              <w:tab/>
              <w:t>9</w:t>
            </w:r>
          </w:hyperlink>
        </w:p>
        <w:p>
          <w:pPr>
            <w:pStyle w:val="TOC2"/>
            <w:tabs>
              <w:tab w:val="clear" w:pos="900"/>
              <w:tab w:val="clear" w:pos="9350"/>
              <w:tab w:val="right" w:pos="9025" w:leader="dot"/>
            </w:tabs>
            <w:rPr/>
          </w:pPr>
          <w:hyperlink w:anchor="__RefHeading___Toc2448_4285803909">
            <w:r>
              <w:rPr>
                <w:webHidden/>
                <w:rStyle w:val="IndexLink"/>
              </w:rPr>
              <w:t>5.2 0:00 Opening (5 minutes)</w:t>
              <w:tab/>
              <w:t>9</w:t>
            </w:r>
          </w:hyperlink>
        </w:p>
        <w:p>
          <w:pPr>
            <w:pStyle w:val="TOC2"/>
            <w:tabs>
              <w:tab w:val="clear" w:pos="900"/>
              <w:tab w:val="clear" w:pos="9350"/>
              <w:tab w:val="right" w:pos="9025" w:leader="dot"/>
            </w:tabs>
            <w:rPr/>
          </w:pPr>
          <w:hyperlink w:anchor="__RefHeading___Toc2450_4285803909">
            <w:r>
              <w:rPr>
                <w:webHidden/>
                <w:rStyle w:val="IndexLink"/>
              </w:rPr>
              <w:t>5.3 0:05 The broker at a glance (4 minutes)</w:t>
              <w:tab/>
              <w:t>10</w:t>
            </w:r>
          </w:hyperlink>
        </w:p>
        <w:p>
          <w:pPr>
            <w:pStyle w:val="TOC2"/>
            <w:tabs>
              <w:tab w:val="clear" w:pos="900"/>
              <w:tab w:val="clear" w:pos="9350"/>
              <w:tab w:val="right" w:pos="9025" w:leader="dot"/>
            </w:tabs>
            <w:rPr/>
          </w:pPr>
          <w:hyperlink w:anchor="__RefHeading___Toc2452_4285803909">
            <w:r>
              <w:rPr>
                <w:webHidden/>
                <w:rStyle w:val="IndexLink"/>
              </w:rPr>
              <w:t>5.4 0:09 Prospect and quotation (6 minutes)</w:t>
              <w:tab/>
              <w:t>10</w:t>
            </w:r>
          </w:hyperlink>
        </w:p>
        <w:p>
          <w:pPr>
            <w:pStyle w:val="TOC2"/>
            <w:tabs>
              <w:tab w:val="clear" w:pos="900"/>
              <w:tab w:val="clear" w:pos="9350"/>
              <w:tab w:val="right" w:pos="9025" w:leader="dot"/>
            </w:tabs>
            <w:rPr/>
          </w:pPr>
          <w:hyperlink w:anchor="__RefHeading___Toc2454_4285803909">
            <w:r>
              <w:rPr>
                <w:webHidden/>
                <w:rStyle w:val="IndexLink"/>
              </w:rPr>
              <w:t>5.5 0:15 Placement (8 minutes)</w:t>
              <w:tab/>
              <w:t>11</w:t>
            </w:r>
          </w:hyperlink>
        </w:p>
        <w:p>
          <w:pPr>
            <w:pStyle w:val="TOC2"/>
            <w:tabs>
              <w:tab w:val="clear" w:pos="900"/>
              <w:tab w:val="clear" w:pos="9350"/>
              <w:tab w:val="right" w:pos="9025" w:leader="dot"/>
            </w:tabs>
            <w:rPr/>
          </w:pPr>
          <w:hyperlink w:anchor="__RefHeading___Toc2456_4285803909">
            <w:r>
              <w:rPr>
                <w:webHidden/>
                <w:rStyle w:val="IndexLink"/>
              </w:rPr>
              <w:t>5.6 0:23 Servicing and claims (6 minutes)</w:t>
              <w:tab/>
              <w:t>12</w:t>
            </w:r>
          </w:hyperlink>
        </w:p>
        <w:p>
          <w:pPr>
            <w:pStyle w:val="TOC2"/>
            <w:tabs>
              <w:tab w:val="clear" w:pos="900"/>
              <w:tab w:val="clear" w:pos="9350"/>
              <w:tab w:val="right" w:pos="9025" w:leader="dot"/>
            </w:tabs>
            <w:rPr/>
          </w:pPr>
          <w:hyperlink w:anchor="__RefHeading___Toc2458_4285803909">
            <w:r>
              <w:rPr>
                <w:webHidden/>
                <w:rStyle w:val="IndexLink"/>
              </w:rPr>
              <w:t>5.7 0:29 Renewals (4 minutes)</w:t>
              <w:tab/>
              <w:t>12</w:t>
            </w:r>
          </w:hyperlink>
        </w:p>
        <w:p>
          <w:pPr>
            <w:pStyle w:val="TOC2"/>
            <w:tabs>
              <w:tab w:val="clear" w:pos="900"/>
              <w:tab w:val="clear" w:pos="9350"/>
              <w:tab w:val="right" w:pos="9025" w:leader="dot"/>
            </w:tabs>
            <w:rPr/>
          </w:pPr>
          <w:hyperlink w:anchor="__RefHeading___Toc2460_4285803909">
            <w:r>
              <w:rPr>
                <w:webHidden/>
                <w:rStyle w:val="IndexLink"/>
              </w:rPr>
              <w:t>5.8 0:33 Money in (6 minutes)</w:t>
              <w:tab/>
              <w:t>13</w:t>
            </w:r>
          </w:hyperlink>
        </w:p>
        <w:p>
          <w:pPr>
            <w:pStyle w:val="TOC2"/>
            <w:tabs>
              <w:tab w:val="clear" w:pos="900"/>
              <w:tab w:val="clear" w:pos="9350"/>
              <w:tab w:val="right" w:pos="9025" w:leader="dot"/>
            </w:tabs>
            <w:rPr/>
          </w:pPr>
          <w:hyperlink w:anchor="__RefHeading___Toc2462_4285803909">
            <w:r>
              <w:rPr>
                <w:webHidden/>
                <w:rStyle w:val="IndexLink"/>
              </w:rPr>
              <w:t>5.9 0:39 Money out (6 minutes)</w:t>
              <w:tab/>
              <w:t>14</w:t>
            </w:r>
          </w:hyperlink>
        </w:p>
        <w:p>
          <w:pPr>
            <w:pStyle w:val="TOC2"/>
            <w:tabs>
              <w:tab w:val="clear" w:pos="900"/>
              <w:tab w:val="clear" w:pos="9350"/>
              <w:tab w:val="right" w:pos="9025" w:leader="dot"/>
            </w:tabs>
            <w:rPr/>
          </w:pPr>
          <w:hyperlink w:anchor="__RefHeading___Toc2464_4285803909">
            <w:r>
              <w:rPr>
                <w:webHidden/>
                <w:rStyle w:val="IndexLink"/>
              </w:rPr>
              <w:t>5.10 0:45 Close and tax (6 minutes)</w:t>
              <w:tab/>
              <w:t>14</w:t>
            </w:r>
          </w:hyperlink>
        </w:p>
        <w:p>
          <w:pPr>
            <w:pStyle w:val="TOC2"/>
            <w:tabs>
              <w:tab w:val="clear" w:pos="900"/>
              <w:tab w:val="clear" w:pos="9350"/>
              <w:tab w:val="right" w:pos="9025" w:leader="dot"/>
            </w:tabs>
            <w:rPr/>
          </w:pPr>
          <w:hyperlink w:anchor="__RefHeading___Toc2466_4285803909">
            <w:r>
              <w:rPr>
                <w:webHidden/>
                <w:rStyle w:val="IndexLink"/>
              </w:rPr>
              <w:t>5.11 0:51 Controls and data privacy (4 minutes)</w:t>
              <w:tab/>
              <w:t>15</w:t>
            </w:r>
          </w:hyperlink>
        </w:p>
        <w:p>
          <w:pPr>
            <w:pStyle w:val="TOC2"/>
            <w:tabs>
              <w:tab w:val="clear" w:pos="900"/>
              <w:tab w:val="clear" w:pos="9350"/>
              <w:tab w:val="right" w:pos="9025" w:leader="dot"/>
            </w:tabs>
            <w:rPr/>
          </w:pPr>
          <w:hyperlink w:anchor="__RefHeading___Toc2468_4285803909">
            <w:r>
              <w:rPr>
                <w:webHidden/>
                <w:rStyle w:val="IndexLink"/>
              </w:rPr>
              <w:t>5.12 0:55 Close (5 minutes)</w:t>
              <w:tab/>
              <w:t>16</w:t>
            </w:r>
          </w:hyperlink>
        </w:p>
        <w:p>
          <w:pPr>
            <w:pStyle w:val="TOC1"/>
            <w:tabs>
              <w:tab w:val="clear" w:pos="900"/>
              <w:tab w:val="clear" w:pos="9350"/>
              <w:tab w:val="right" w:pos="9025" w:leader="dot"/>
            </w:tabs>
            <w:rPr/>
          </w:pPr>
          <w:hyperlink w:anchor="__RefHeading___Toc2470_4285803909">
            <w:r>
              <w:rPr>
                <w:webHidden/>
                <w:rStyle w:val="IndexLink"/>
              </w:rPr>
              <w:t>6. Short demonstration: 30 minutes</w:t>
              <w:tab/>
              <w:t>17</w:t>
            </w:r>
          </w:hyperlink>
        </w:p>
        <w:p>
          <w:pPr>
            <w:pStyle w:val="TOC2"/>
            <w:tabs>
              <w:tab w:val="clear" w:pos="900"/>
              <w:tab w:val="clear" w:pos="9350"/>
              <w:tab w:val="right" w:pos="9025" w:leader="dot"/>
            </w:tabs>
            <w:rPr/>
          </w:pPr>
          <w:hyperlink w:anchor="__RefHeading___Toc2472_4285803909">
            <w:r>
              <w:rPr>
                <w:webHidden/>
                <w:rStyle w:val="IndexLink"/>
              </w:rPr>
              <w:t>6.1 Running order</w:t>
              <w:tab/>
              <w:t>17</w:t>
            </w:r>
          </w:hyperlink>
        </w:p>
        <w:p>
          <w:pPr>
            <w:pStyle w:val="TOC2"/>
            <w:tabs>
              <w:tab w:val="clear" w:pos="900"/>
              <w:tab w:val="clear" w:pos="9350"/>
              <w:tab w:val="right" w:pos="9025" w:leader="dot"/>
            </w:tabs>
            <w:rPr/>
          </w:pPr>
          <w:hyperlink w:anchor="__RefHeading___Toc2474_4285803909">
            <w:r>
              <w:rPr>
                <w:webHidden/>
                <w:rStyle w:val="IndexLink"/>
              </w:rPr>
              <w:t>6.2 What to leave out</w:t>
              <w:tab/>
              <w:t>17</w:t>
            </w:r>
          </w:hyperlink>
        </w:p>
        <w:p>
          <w:pPr>
            <w:pStyle w:val="TOC2"/>
            <w:tabs>
              <w:tab w:val="clear" w:pos="900"/>
              <w:tab w:val="clear" w:pos="9350"/>
              <w:tab w:val="right" w:pos="9025" w:leader="dot"/>
            </w:tabs>
            <w:rPr/>
          </w:pPr>
          <w:hyperlink w:anchor="__RefHeading___Toc2476_4285803909">
            <w:r>
              <w:rPr>
                <w:webHidden/>
                <w:rStyle w:val="IndexLink"/>
              </w:rPr>
              <w:t>6.3 What to keep</w:t>
              <w:tab/>
              <w:t>17</w:t>
            </w:r>
          </w:hyperlink>
        </w:p>
        <w:p>
          <w:pPr>
            <w:pStyle w:val="TOC2"/>
            <w:tabs>
              <w:tab w:val="clear" w:pos="900"/>
              <w:tab w:val="clear" w:pos="9350"/>
              <w:tab w:val="right" w:pos="9025" w:leader="dot"/>
            </w:tabs>
            <w:rPr/>
          </w:pPr>
          <w:hyperlink w:anchor="__RefHeading___Toc2478_4285803909">
            <w:r>
              <w:rPr>
                <w:webHidden/>
                <w:rStyle w:val="IndexLink"/>
              </w:rPr>
              <w:t>6.4 Talking points for an owner or a CFO</w:t>
              <w:tab/>
              <w:t>17</w:t>
            </w:r>
          </w:hyperlink>
        </w:p>
        <w:p>
          <w:pPr>
            <w:pStyle w:val="TOC1"/>
            <w:tabs>
              <w:tab w:val="clear" w:pos="900"/>
              <w:tab w:val="clear" w:pos="9350"/>
              <w:tab w:val="right" w:pos="9025" w:leader="dot"/>
            </w:tabs>
            <w:rPr/>
          </w:pPr>
          <w:hyperlink w:anchor="__RefHeading___Toc2480_4285803909">
            <w:r>
              <w:rPr>
                <w:webHidden/>
                <w:rStyle w:val="IndexLink"/>
              </w:rPr>
              <w:t>7. Discovery questions</w:t>
              <w:tab/>
              <w:t>19</w:t>
            </w:r>
          </w:hyperlink>
        </w:p>
        <w:p>
          <w:pPr>
            <w:pStyle w:val="TOC2"/>
            <w:tabs>
              <w:tab w:val="clear" w:pos="900"/>
              <w:tab w:val="clear" w:pos="9350"/>
              <w:tab w:val="right" w:pos="9025" w:leader="dot"/>
            </w:tabs>
            <w:rPr/>
          </w:pPr>
          <w:hyperlink w:anchor="__RefHeading___Toc2482_4285803909">
            <w:r>
              <w:rPr>
                <w:webHidden/>
                <w:rStyle w:val="IndexLink"/>
              </w:rPr>
              <w:t>7.1 Business and volumes</w:t>
              <w:tab/>
              <w:t>19</w:t>
            </w:r>
          </w:hyperlink>
        </w:p>
        <w:p>
          <w:pPr>
            <w:pStyle w:val="TOC2"/>
            <w:tabs>
              <w:tab w:val="clear" w:pos="900"/>
              <w:tab w:val="clear" w:pos="9350"/>
              <w:tab w:val="right" w:pos="9025" w:leader="dot"/>
            </w:tabs>
            <w:rPr/>
          </w:pPr>
          <w:hyperlink w:anchor="__RefHeading___Toc2484_4285803909">
            <w:r>
              <w:rPr>
                <w:webHidden/>
                <w:rStyle w:val="IndexLink"/>
              </w:rPr>
              <w:t>7.2 Process and pain</w:t>
              <w:tab/>
              <w:t>19</w:t>
            </w:r>
          </w:hyperlink>
        </w:p>
        <w:p>
          <w:pPr>
            <w:pStyle w:val="TOC2"/>
            <w:tabs>
              <w:tab w:val="clear" w:pos="900"/>
              <w:tab w:val="clear" w:pos="9350"/>
              <w:tab w:val="right" w:pos="9025" w:leader="dot"/>
            </w:tabs>
            <w:rPr/>
          </w:pPr>
          <w:hyperlink w:anchor="__RefHeading___Toc2486_4285803909">
            <w:r>
              <w:rPr>
                <w:webHidden/>
                <w:rStyle w:val="IndexLink"/>
              </w:rPr>
              <w:t>7.3 Decision</w:t>
              <w:tab/>
              <w:t>19</w:t>
            </w:r>
          </w:hyperlink>
        </w:p>
        <w:p>
          <w:pPr>
            <w:pStyle w:val="TOC1"/>
            <w:tabs>
              <w:tab w:val="clear" w:pos="900"/>
              <w:tab w:val="clear" w:pos="9350"/>
              <w:tab w:val="right" w:pos="9025" w:leader="dot"/>
            </w:tabs>
            <w:rPr/>
          </w:pPr>
          <w:hyperlink w:anchor="__RefHeading___Toc2488_4285803909">
            <w:r>
              <w:rPr>
                <w:webHidden/>
                <w:rStyle w:val="IndexLink"/>
              </w:rPr>
              <w:t>8. Run sheet</w:t>
              <w:tab/>
              <w:t>20</w:t>
            </w:r>
          </w:hyperlink>
        </w:p>
        <w:p>
          <w:pPr>
            <w:pStyle w:val="TOC2"/>
            <w:tabs>
              <w:tab w:val="clear" w:pos="900"/>
              <w:tab w:val="clear" w:pos="9350"/>
              <w:tab w:val="right" w:pos="9025" w:leader="dot"/>
            </w:tabs>
            <w:rPr/>
          </w:pPr>
          <w:hyperlink w:anchor="__RefHeading___Toc2490_4285803909">
            <w:r>
              <w:rPr>
                <w:webHidden/>
                <w:rStyle w:val="IndexLink"/>
              </w:rPr>
              <w:t>8.1 Records to confirm the day before</w:t>
              <w:tab/>
              <w:t>20</w:t>
            </w:r>
          </w:hyperlink>
        </w:p>
        <w:p>
          <w:pPr>
            <w:pStyle w:val="TOC2"/>
            <w:tabs>
              <w:tab w:val="clear" w:pos="900"/>
              <w:tab w:val="clear" w:pos="9350"/>
              <w:tab w:val="right" w:pos="9025" w:leader="dot"/>
            </w:tabs>
            <w:rPr/>
          </w:pPr>
          <w:hyperlink w:anchor="__RefHeading___Toc2492_4285803909">
            <w:r>
              <w:rPr>
                <w:webHidden/>
                <w:rStyle w:val="IndexLink"/>
              </w:rPr>
              <w:t>8.2 If something goes wrong</w:t>
              <w:tab/>
              <w:t>20</w:t>
            </w:r>
          </w:hyperlink>
        </w:p>
        <w:p>
          <w:pPr>
            <w:pStyle w:val="TOC1"/>
            <w:tabs>
              <w:tab w:val="clear" w:pos="900"/>
              <w:tab w:val="clear" w:pos="9350"/>
              <w:tab w:val="right" w:pos="9025" w:leader="dot"/>
            </w:tabs>
            <w:rPr/>
          </w:pPr>
          <w:hyperlink w:anchor="__RefHeading___Toc2494_4285803909">
            <w:r>
              <w:rPr>
                <w:webHidden/>
                <w:rStyle w:val="IndexLink"/>
              </w:rPr>
              <w:t>9. After the demonstration</w:t>
              <w:tab/>
              <w:t>22</w:t>
            </w:r>
          </w:hyperlink>
        </w:p>
        <w:p>
          <w:pPr>
            <w:pStyle w:val="TOC2"/>
            <w:tabs>
              <w:tab w:val="clear" w:pos="900"/>
              <w:tab w:val="clear" w:pos="9350"/>
              <w:tab w:val="right" w:pos="9025" w:leader="dot"/>
            </w:tabs>
            <w:rPr/>
          </w:pPr>
          <w:hyperlink w:anchor="__RefHeading___Toc2496_4285803909">
            <w:r>
              <w:rPr>
                <w:webHidden/>
                <w:rStyle w:val="IndexLink"/>
              </w:rPr>
              <w:t>9.1 Within one working day</w:t>
              <w:tab/>
              <w:t>22</w:t>
            </w:r>
          </w:hyperlink>
        </w:p>
        <w:p>
          <w:pPr>
            <w:pStyle w:val="TOC2"/>
            <w:tabs>
              <w:tab w:val="clear" w:pos="900"/>
              <w:tab w:val="clear" w:pos="9350"/>
              <w:tab w:val="right" w:pos="9025" w:leader="dot"/>
            </w:tabs>
            <w:rPr/>
          </w:pPr>
          <w:hyperlink w:anchor="__RefHeading___Toc2498_4285803909">
            <w:r>
              <w:rPr>
                <w:webHidden/>
                <w:rStyle w:val="IndexLink"/>
              </w:rPr>
              <w:t>9.2 Before the proposal</w:t>
              <w:tab/>
              <w:t>22</w:t>
            </w:r>
          </w:hyperlink>
        </w:p>
        <w:p>
          <w:pPr>
            <w:pStyle w:val="TOC1"/>
            <w:tabs>
              <w:tab w:val="clear" w:pos="900"/>
              <w:tab w:val="clear" w:pos="9350"/>
              <w:tab w:val="right" w:pos="9025" w:leader="dot"/>
            </w:tabs>
            <w:rPr/>
          </w:pPr>
          <w:hyperlink w:anchor="__RefHeading___Toc2500_4285803909">
            <w:r>
              <w:rPr>
                <w:webHidden/>
                <w:rStyle w:val="IndexLink"/>
                <w:i w:val="false"/>
                <w:iCs w:val="false"/>
              </w:rPr>
              <w:t>10. Document Sign-Off</w:t>
            </w:r>
            <w:r>
              <w:rPr>
                <w:rStyle w:val="IndexLink"/>
              </w:rPr>
              <w:tab/>
              <w:t>23</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2424_4285803909"/>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2426_4285803909"/>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AE</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Account executive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Broker Slip</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DSR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subject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IAR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Industrial all risks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KYC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Know your customer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Placement Slip</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account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2428_4285803909"/>
      <w:bookmarkEnd w:id="6"/>
      <w:r>
        <w:rPr>
          <w:rFonts w:eastAsia="Segoe UI" w:cs="Segoe UI" w:ascii="Segoe UI" w:hAnsi="Segoe UI"/>
          <w:b/>
          <w:color w:val="0F4761"/>
          <w:sz w:val="32"/>
        </w:rPr>
        <w:t>3.  About this script</w:t>
      </w:r>
    </w:p>
    <w:p>
      <w:pPr>
        <w:pStyle w:val="Heading2"/>
        <w:rPr/>
      </w:pPr>
      <w:bookmarkStart w:id="7" w:name="__RefHeading___Toc2430_4285803909"/>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script tells the presenter what to show in a demonstration of iNXT BrokerVerse OOTB to a Philippine non-life insurance broker, in which order, as which user, with which records, and what to say. It has two storylines:</w:t>
      </w:r>
    </w:p>
    <w:p>
      <w:pPr>
        <w:pStyle w:val="Normal"/>
        <w:numPr>
          <w:ilvl w:val="0"/>
          <w:numId w:val="1"/>
        </w:numPr>
        <w:spacing w:before="0" w:after="60"/>
        <w:rPr/>
      </w:pPr>
      <w:r>
        <w:rPr>
          <w:rFonts w:eastAsia="Segoe UI" w:cs="Segoe UI" w:ascii="Segoe UI" w:hAnsi="Segoe UI"/>
          <w:color w:val="101820"/>
          <w:sz w:val="21"/>
        </w:rPr>
        <w:t>the full demonstration of 60 minutes, for the management team and the process owners together;</w:t>
      </w:r>
    </w:p>
    <w:p>
      <w:pPr>
        <w:pStyle w:val="Normal"/>
        <w:numPr>
          <w:ilvl w:val="0"/>
          <w:numId w:val="1"/>
        </w:numPr>
        <w:spacing w:before="0" w:after="60"/>
        <w:rPr/>
      </w:pPr>
      <w:r>
        <w:rPr>
          <w:rFonts w:eastAsia="Segoe UI" w:cs="Segoe UI" w:ascii="Segoe UI" w:hAnsi="Segoe UI"/>
          <w:color w:val="101820"/>
          <w:sz w:val="21"/>
        </w:rPr>
        <w:t>the short demonstration of 30 minutes, for an owner, a president or a CFO who wants the essentials.</w:t>
      </w:r>
    </w:p>
    <w:p>
      <w:pPr>
        <w:pStyle w:val="Normal"/>
        <w:spacing w:lineRule="auto" w:line="276" w:before="0" w:after="120"/>
        <w:rPr/>
      </w:pPr>
      <w:r>
        <w:rPr>
          <w:rFonts w:eastAsia="Segoe UI" w:cs="Segoe UI" w:ascii="Segoe UI" w:hAnsi="Segoe UI"/>
          <w:color w:val="101820"/>
          <w:sz w:val="21"/>
        </w:rPr>
        <w:t>Both follow one piece of business through the broker, from the prospect to the month-end close, so the audience sees one connected system and not a tour of menus.</w:t>
      </w:r>
    </w:p>
    <w:p>
      <w:pPr>
        <w:pStyle w:val="Heading2"/>
        <w:rPr/>
      </w:pPr>
      <w:bookmarkStart w:id="8" w:name="__RefHeading___Toc2432_4285803909"/>
      <w:bookmarkEnd w:id="8"/>
      <w:r>
        <w:rPr>
          <w:rFonts w:eastAsia="Segoe UI" w:cs="Segoe UI"/>
          <w:b/>
          <w:color w:val="0F4761"/>
          <w:sz w:val="26"/>
        </w:rPr>
        <w:t>3.2  Who presents</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 in the demo</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Task</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Presenter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account manager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Opens, links each step to the prospect's own pain, closes with the next step</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Driver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solution consultant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Signs in, clicks, keeps to the timings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Note taker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Second iorta TechNXT attendee, where available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Records the answers to the discovery questions and the follow-ups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One person can present and drive in a 30-minute demo. In a 60-minute demo, split the roles: the presenter watches the audience while the driver works the screens.</w:t>
      </w:r>
    </w:p>
    <w:p>
      <w:pPr>
        <w:pStyle w:val="Heading2"/>
        <w:rPr/>
      </w:pPr>
      <w:bookmarkStart w:id="9" w:name="__RefHeading___Toc2434_4285803909"/>
      <w:bookmarkEnd w:id="9"/>
      <w:r>
        <w:rPr>
          <w:rFonts w:eastAsia="Segoe UI" w:cs="Segoe UI"/>
          <w:b/>
          <w:color w:val="0F4761"/>
          <w:sz w:val="26"/>
        </w:rPr>
        <w:t>3.3  The demo environment</w:t>
      </w:r>
    </w:p>
    <w:p>
      <w:pPr>
        <w:pStyle w:val="Normal"/>
        <w:spacing w:lineRule="auto" w:line="276" w:before="0" w:after="120"/>
        <w:rPr/>
      </w:pPr>
      <w:r>
        <w:rPr>
          <w:rFonts w:eastAsia="Segoe UI" w:cs="Segoe UI" w:ascii="Segoe UI" w:hAnsi="Segoe UI"/>
          <w:color w:val="101820"/>
          <w:sz w:val="21"/>
        </w:rPr>
        <w:t>Run the demo on a test environment loaded with the UAT data set (</w:t>
      </w:r>
      <w:r>
        <w:rPr>
          <w:rFonts w:eastAsia="Consolas" w:cs="Consolas" w:ascii="Consolas" w:hAnsi="Consolas"/>
          <w:color w:val="101820"/>
          <w:sz w:val="19"/>
        </w:rPr>
        <w:t>backend/scripts/uat-scenario.js</w:t>
      </w:r>
      <w:r>
        <w:rPr>
          <w:rFonts w:eastAsia="Segoe UI" w:cs="Segoe UI" w:ascii="Segoe UI" w:hAnsi="Segoe UI"/>
          <w:color w:val="101820"/>
          <w:sz w:val="21"/>
        </w:rPr>
        <w:t>). The data is fictional and follows Philippine formats: 7 insurers, 2 bank accounts, 61 prospects, 62 new policies across motor, CTPL, personal accident, travel, householder, fire, IAR, CAR, EAR, marine, CGL, money, employee benefits and surety bond, 58 receipts, 8 claims, 22 insurer settlements, bank statements and insurer statements, spread over May to October 2026.</w:t>
      </w:r>
    </w:p>
    <w:p>
      <w:pPr>
        <w:pStyle w:val="Normal"/>
        <w:shd w:val="clear" w:color="auto" w:fill="EAF2FB"/>
        <w:spacing w:before="0" w:after="160"/>
        <w:ind w:left="170"/>
        <w:rPr/>
      </w:pPr>
      <w:r>
        <w:rPr>
          <w:rFonts w:eastAsia="Segoe UI" w:cs="Segoe UI" w:ascii="Segoe UI" w:hAnsi="Segoe UI"/>
          <w:color w:val="101820"/>
          <w:sz w:val="20"/>
        </w:rPr>
        <w:t>The record numbers and names in this script are those of the UAT data set loaded with the default seed, as seen in the user manual screenshots. A different seed or a second run changes them. The day before the demo, open each record named below and write the actual number in the last column of the run sheet (chapter 6).</w:t>
      </w:r>
    </w:p>
    <w:p>
      <w:pPr>
        <w:pStyle w:val="Normal"/>
        <w:spacing w:lineRule="auto" w:line="276" w:before="0" w:after="120"/>
        <w:rPr/>
      </w:pPr>
      <w:r>
        <w:rPr>
          <w:rFonts w:eastAsia="Segoe UI" w:cs="Segoe UI" w:ascii="Segoe UI" w:hAnsi="Segoe UI"/>
          <w:color w:val="101820"/>
          <w:sz w:val="21"/>
        </w:rPr>
        <w:t>Never demonstrate on a production system or with the prospect's real client data.</w:t>
      </w:r>
      <w:r>
        <w:br w:type="page"/>
      </w:r>
    </w:p>
    <w:p>
      <w:pPr>
        <w:pStyle w:val="Heading1"/>
        <w:rPr/>
      </w:pPr>
      <w:bookmarkStart w:id="10" w:name="__RefHeading___Toc2436_4285803909"/>
      <w:bookmarkEnd w:id="10"/>
      <w:r>
        <w:rPr>
          <w:rFonts w:eastAsia="Segoe UI" w:cs="Segoe UI" w:ascii="Segoe UI" w:hAnsi="Segoe UI"/>
          <w:b/>
          <w:color w:val="0F4761"/>
          <w:sz w:val="32"/>
        </w:rPr>
        <w:t>4.  Demo logins</w:t>
      </w:r>
    </w:p>
    <w:p>
      <w:pPr>
        <w:pStyle w:val="Heading2"/>
        <w:rPr/>
      </w:pPr>
      <w:bookmarkStart w:id="11" w:name="__RefHeading___Toc2438_4285803909"/>
      <w:bookmarkEnd w:id="11"/>
      <w:r>
        <w:rPr>
          <w:rFonts w:eastAsia="Segoe UI" w:cs="Segoe UI"/>
          <w:b/>
          <w:color w:val="0F4761"/>
          <w:sz w:val="26"/>
        </w:rPr>
        <w:t>4.1  Persona users</w:t>
      </w:r>
    </w:p>
    <w:p>
      <w:pPr>
        <w:pStyle w:val="Normal"/>
        <w:spacing w:lineRule="auto" w:line="276" w:before="0" w:after="120"/>
        <w:rPr/>
      </w:pPr>
      <w:r>
        <w:rPr>
          <w:rFonts w:eastAsia="Segoe UI" w:cs="Segoe UI" w:ascii="Segoe UI" w:hAnsi="Segoe UI"/>
          <w:color w:val="101820"/>
          <w:sz w:val="21"/>
        </w:rPr>
        <w:t>The UAT data set creates one or two users per role. All of them sign in with the persona password set when the data was loaded (</w:t>
      </w:r>
      <w:r>
        <w:rPr>
          <w:rFonts w:eastAsia="Consolas" w:cs="Consolas" w:ascii="Consolas" w:hAnsi="Consolas"/>
          <w:color w:val="101820"/>
          <w:sz w:val="19"/>
        </w:rPr>
        <w:t>PERSONA_PASSWORD</w:t>
      </w:r>
      <w:r>
        <w:rPr>
          <w:rFonts w:eastAsia="Segoe UI" w:cs="Segoe UI" w:ascii="Segoe UI" w:hAnsi="Segoe UI"/>
          <w:color w:val="101820"/>
          <w:sz w:val="21"/>
        </w:rPr>
        <w:t>). The password is given to the presenter by the environment owner; it is never written in a slide, an e-mail or this document.</w:t>
      </w:r>
    </w:p>
    <w:tbl>
      <w:tblPr>
        <w:tblStyle w:val="TableGrid"/>
        <w:tblW w:w="90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blHeader w:val="true"/>
        </w:trPr>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Login</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Name on screen</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22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Used in the demo for</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beatriz.lacson</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Beatriz Lacson</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 Audit Trail, Data Privacy, settings</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maria.rivera</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Maria Consuelo Rivera</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Dashboard, prospect, quotation, payment capture</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jose.bernardo</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Jose Antonio Bernardo</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 compare offers, Placement Slip, policy issue, reinsurance</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rica.fernandez</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Rica Mae Fernandez</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Second user: approves quotations and renewal terms</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ana.buenaventura</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Ana Lorraine Buenaventura</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view, endorsement, renewals, consent on the client</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carlo.estrada</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Carlo Miguel Estrada</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Dashboard, claim detail</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joy.macaraeg</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Joy Anne Macaraeg</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Second user: approves a claim settlement</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liza.quiambao</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 Marie Quiambao</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e-mail receipt, remittance, bank reconciliation, month-end, BIR</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nestor.pangilinan</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Nestor Pangilinan</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Second user: approves remittances and vouchers</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teresa.villaroman</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Teresa Villaroman</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Approves the month-end close and the bank reconciliation</w:t>
            </w:r>
          </w:p>
        </w:tc>
      </w:tr>
    </w:tbl>
    <w:p>
      <w:pPr>
        <w:pStyle w:val="Normal"/>
        <w:spacing w:before="0" w:after="80"/>
        <w:rPr/>
      </w:pPr>
      <w:r>
        <w:rPr/>
      </w:r>
    </w:p>
    <w:p>
      <w:pPr>
        <w:pStyle w:val="Heading2"/>
        <w:rPr/>
      </w:pPr>
      <w:bookmarkStart w:id="12" w:name="__RefHeading___Toc2440_4285803909"/>
      <w:bookmarkEnd w:id="12"/>
      <w:r>
        <w:rPr>
          <w:rFonts w:eastAsia="Segoe UI" w:cs="Segoe UI"/>
          <w:b/>
          <w:color w:val="0F4761"/>
          <w:sz w:val="26"/>
        </w:rPr>
        <w:t>4.2  Browser set-up</w:t>
      </w:r>
    </w:p>
    <w:p>
      <w:pPr>
        <w:pStyle w:val="Normal"/>
        <w:numPr>
          <w:ilvl w:val="0"/>
          <w:numId w:val="1"/>
        </w:numPr>
        <w:spacing w:before="0" w:after="60"/>
        <w:rPr/>
      </w:pPr>
      <w:r>
        <w:rPr>
          <w:rFonts w:eastAsia="Segoe UI" w:cs="Segoe UI" w:ascii="Segoe UI" w:hAnsi="Segoe UI"/>
          <w:color w:val="101820"/>
          <w:sz w:val="21"/>
        </w:rPr>
        <w:t>Use Chrome or Edge at 1440 x 900 or larger, zoom 100%, with the bookmarks bar hidden.</w:t>
      </w:r>
    </w:p>
    <w:p>
      <w:pPr>
        <w:pStyle w:val="Normal"/>
        <w:numPr>
          <w:ilvl w:val="0"/>
          <w:numId w:val="1"/>
        </w:numPr>
        <w:spacing w:before="0" w:after="60"/>
        <w:rPr/>
      </w:pPr>
      <w:r>
        <w:rPr>
          <w:rFonts w:eastAsia="Segoe UI" w:cs="Segoe UI" w:ascii="Segoe UI" w:hAnsi="Segoe UI"/>
          <w:color w:val="101820"/>
          <w:sz w:val="21"/>
        </w:rPr>
        <w:t>Open one browser profile (or one private window per browser) for each user you will show. A second user in the same window ends the first user's session.</w:t>
      </w:r>
    </w:p>
    <w:p>
      <w:pPr>
        <w:pStyle w:val="Normal"/>
        <w:numPr>
          <w:ilvl w:val="0"/>
          <w:numId w:val="1"/>
        </w:numPr>
        <w:spacing w:before="0" w:after="60"/>
        <w:rPr/>
      </w:pPr>
      <w:r>
        <w:rPr>
          <w:rFonts w:eastAsia="Segoe UI" w:cs="Segoe UI" w:ascii="Segoe UI" w:hAnsi="Segoe UI"/>
          <w:color w:val="101820"/>
          <w:sz w:val="21"/>
        </w:rPr>
        <w:t>Sign in every user 15 minutes before the start. Sign-in is rate limited (10 attempts in 5 minutes per user and per address), so do not try passwords in front of the audience.</w:t>
      </w:r>
    </w:p>
    <w:p>
      <w:pPr>
        <w:pStyle w:val="Normal"/>
        <w:numPr>
          <w:ilvl w:val="0"/>
          <w:numId w:val="1"/>
        </w:numPr>
        <w:spacing w:before="0" w:after="60"/>
        <w:rPr/>
      </w:pPr>
      <w:r>
        <w:rPr>
          <w:rFonts w:eastAsia="Segoe UI" w:cs="Segoe UI" w:ascii="Segoe UI" w:hAnsi="Segoe UI"/>
          <w:color w:val="101820"/>
          <w:sz w:val="21"/>
        </w:rPr>
        <w:t>Sessions sign out after 30 minutes without activity. Click once in each window during long talk sections.</w:t>
      </w:r>
    </w:p>
    <w:p>
      <w:pPr>
        <w:pStyle w:val="Normal"/>
        <w:numPr>
          <w:ilvl w:val="0"/>
          <w:numId w:val="1"/>
        </w:numPr>
        <w:spacing w:before="0" w:after="60"/>
        <w:rPr/>
      </w:pPr>
      <w:r>
        <w:rPr>
          <w:rFonts w:eastAsia="Segoe UI" w:cs="Segoe UI" w:ascii="Segoe UI" w:hAnsi="Segoe UI"/>
          <w:color w:val="101820"/>
          <w:sz w:val="21"/>
        </w:rPr>
        <w:t>Have the slide deck open on a second screen for the opening and the close.</w:t>
      </w:r>
    </w:p>
    <w:p>
      <w:pPr>
        <w:pStyle w:val="Heading2"/>
        <w:rPr/>
      </w:pPr>
      <w:bookmarkStart w:id="13" w:name="__RefHeading___Toc2442_4285803909"/>
      <w:bookmarkEnd w:id="13"/>
      <w:r>
        <w:rPr>
          <w:rFonts w:eastAsia="Segoe UI" w:cs="Segoe UI"/>
          <w:b/>
          <w:color w:val="0F4761"/>
          <w:sz w:val="26"/>
        </w:rPr>
        <w:t>4.3  Checks the day before</w:t>
      </w:r>
    </w:p>
    <w:p>
      <w:pPr>
        <w:pStyle w:val="Normal"/>
        <w:numPr>
          <w:ilvl w:val="0"/>
          <w:numId w:val="13"/>
        </w:numPr>
        <w:spacing w:before="0" w:after="60"/>
        <w:rPr/>
      </w:pPr>
      <w:r>
        <w:rPr>
          <w:rFonts w:eastAsia="Segoe UI" w:cs="Segoe UI" w:ascii="Segoe UI" w:hAnsi="Segoe UI"/>
          <w:color w:val="101820"/>
          <w:sz w:val="21"/>
        </w:rPr>
        <w:t>Sign in as each user in the table and confirm the landing page opens.</w:t>
      </w:r>
    </w:p>
    <w:p>
      <w:pPr>
        <w:pStyle w:val="Normal"/>
        <w:numPr>
          <w:ilvl w:val="0"/>
          <w:numId w:val="2"/>
        </w:numPr>
        <w:spacing w:before="0" w:after="60"/>
        <w:rPr/>
      </w:pPr>
      <w:r>
        <w:rPr>
          <w:rFonts w:eastAsia="Segoe UI" w:cs="Segoe UI" w:ascii="Segoe UI" w:hAnsi="Segoe UI"/>
          <w:color w:val="101820"/>
          <w:sz w:val="21"/>
        </w:rPr>
        <w:t>Open each record of the run sheet and note its number.</w:t>
      </w:r>
    </w:p>
    <w:p>
      <w:pPr>
        <w:pStyle w:val="Normal"/>
        <w:numPr>
          <w:ilvl w:val="0"/>
          <w:numId w:val="2"/>
        </w:numPr>
        <w:spacing w:before="0" w:after="60"/>
        <w:rPr/>
      </w:pPr>
      <w:r>
        <w:rPr>
          <w:rFonts w:eastAsia="Segoe UI" w:cs="Segoe UI" w:ascii="Segoe UI" w:hAnsi="Segoe UI"/>
          <w:color w:val="101820"/>
          <w:sz w:val="21"/>
        </w:rPr>
        <w:t>In Master &gt; Configuration, confirm whether "Send e-mails" is on. In most demo environments it is off: e-mails then stay Queued in the E-mail Outbox, which is what the script shows. Never switch sending on with sample data that holds real-looking addresses.</w:t>
      </w:r>
    </w:p>
    <w:p>
      <w:pPr>
        <w:pStyle w:val="Normal"/>
        <w:numPr>
          <w:ilvl w:val="0"/>
          <w:numId w:val="2"/>
        </w:numPr>
        <w:spacing w:before="0" w:after="60"/>
        <w:rPr/>
      </w:pPr>
      <w:r>
        <w:rPr>
          <w:rFonts w:eastAsia="Segoe UI" w:cs="Segoe UI" w:ascii="Segoe UI" w:hAnsi="Segoe UI"/>
          <w:color w:val="101820"/>
          <w:sz w:val="21"/>
        </w:rPr>
        <w:t>Leave one remittance, one journal or one quotation waiting for approval, so the approval notification can be shown live.</w:t>
      </w:r>
    </w:p>
    <w:p>
      <w:pPr>
        <w:pStyle w:val="Normal"/>
        <w:numPr>
          <w:ilvl w:val="0"/>
          <w:numId w:val="2"/>
        </w:numPr>
        <w:spacing w:before="0" w:after="60"/>
        <w:rPr/>
      </w:pPr>
      <w:r>
        <w:rPr>
          <w:rFonts w:eastAsia="Segoe UI" w:cs="Segoe UI" w:ascii="Segoe UI" w:hAnsi="Segoe UI"/>
          <w:color w:val="101820"/>
          <w:sz w:val="21"/>
        </w:rPr>
        <w:t>Check that the Data Privacy menu (Master &gt; Data Privacy) is in the build of the demo environment. If it is not, show the privacy slide instead and offer a follow-up demo.</w:t>
      </w:r>
      <w:r>
        <w:br w:type="page"/>
      </w:r>
    </w:p>
    <w:p>
      <w:pPr>
        <w:pStyle w:val="Heading1"/>
        <w:rPr/>
      </w:pPr>
      <w:bookmarkStart w:id="14" w:name="__RefHeading___Toc2444_4285803909"/>
      <w:bookmarkEnd w:id="14"/>
      <w:r>
        <w:rPr>
          <w:rFonts w:eastAsia="Segoe UI" w:cs="Segoe UI" w:ascii="Segoe UI" w:hAnsi="Segoe UI"/>
          <w:b/>
          <w:color w:val="0F4761"/>
          <w:sz w:val="32"/>
        </w:rPr>
        <w:t>5.  Full demonstration: 60 minutes</w:t>
      </w:r>
    </w:p>
    <w:p>
      <w:pPr>
        <w:pStyle w:val="Heading2"/>
        <w:rPr/>
      </w:pPr>
      <w:bookmarkStart w:id="15" w:name="__RefHeading___Toc2446_4285803909"/>
      <w:bookmarkEnd w:id="15"/>
      <w:r>
        <w:rPr>
          <w:rFonts w:eastAsia="Segoe UI" w:cs="Segoe UI"/>
          <w:b/>
          <w:color w:val="0F4761"/>
          <w:sz w:val="26"/>
        </w:rPr>
        <w:t>5.1  Running order</w:t>
      </w:r>
    </w:p>
    <w:tbl>
      <w:tblPr>
        <w:tblStyle w:val="TableGrid"/>
        <w:tblW w:w="90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blHeader w:val="true"/>
        </w:trPr>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Time</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Login</w:t>
            </w:r>
          </w:p>
        </w:tc>
        <w:tc>
          <w:tcPr>
            <w:tcW w:w="22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the audience sees</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0:00</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Opening and agenda</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(slides)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 agenda, two or three discovery questions</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0:05</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 at a glance</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maria.rivera</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Executive Dashboard and Sales Dashboard</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0:09</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 and quotation</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maria.rivera</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 motor quotation, client approval link, Quotation list</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0:15</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jose.bernardo</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 with offers, Compare offers, Placement Slip, policy</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0:23</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Servicing and claims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ana.buenaventura, carlo.estrada</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view, policy detail, endorsement types, claim detail</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0:29</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ana.buenaventura</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Queue, Negotiations</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0:33</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Money in</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liza.quiambao</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to verify, official receipt, E-mail receipt, Premium Warranty Monitor</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0:39</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Money out</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liza.quiambao, nestor.pangilinan</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approval notification, direct bill debit note, commission</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0:45</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and tax</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liza.quiambao, teresa.villaroman</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Month-End Close, BIR Form 2307</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0:51</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 and privacy</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beatriz.lacson</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 Audit Trail, Data Subject Requests, consent</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0:55</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(slides)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questions, next step agreed</w:t>
            </w:r>
          </w:p>
        </w:tc>
      </w:tr>
    </w:tbl>
    <w:p>
      <w:pPr>
        <w:pStyle w:val="Normal"/>
        <w:spacing w:before="0" w:after="80"/>
        <w:rPr/>
      </w:pPr>
      <w:r>
        <w:rPr/>
      </w:r>
    </w:p>
    <w:p>
      <w:pPr>
        <w:pStyle w:val="Heading2"/>
        <w:rPr/>
      </w:pPr>
      <w:bookmarkStart w:id="16" w:name="__RefHeading___Toc2448_4285803909"/>
      <w:bookmarkEnd w:id="16"/>
      <w:r>
        <w:rPr>
          <w:rFonts w:eastAsia="Segoe UI" w:cs="Segoe UI"/>
          <w:b/>
          <w:color w:val="0F4761"/>
          <w:sz w:val="26"/>
        </w:rPr>
        <w:t>5.2  0:00 Opening (5 minutes)</w:t>
      </w:r>
    </w:p>
    <w:p>
      <w:pPr>
        <w:pStyle w:val="Normal"/>
        <w:spacing w:lineRule="auto" w:line="276" w:before="0" w:after="120"/>
        <w:rPr/>
      </w:pPr>
      <w:r>
        <w:rPr>
          <w:rFonts w:eastAsia="Segoe UI" w:cs="Segoe UI" w:ascii="Segoe UI" w:hAnsi="Segoe UI"/>
          <w:b/>
          <w:color w:val="101820"/>
          <w:sz w:val="21"/>
        </w:rPr>
        <w:t>Show:</w:t>
      </w:r>
      <w:r>
        <w:rPr>
          <w:rFonts w:eastAsia="Segoe UI" w:cs="Segoe UI" w:ascii="Segoe UI" w:hAnsi="Segoe UI"/>
          <w:color w:val="101820"/>
          <w:sz w:val="21"/>
        </w:rPr>
        <w:t xml:space="preserve"> slides 1 to 6 of the client presentation (title, agenda, about us, the broker's work, platform at a glance, end-to-end journey).</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"Thank you for the time. In the next hour we will follow one piece of business through your broker: a prospect, a quotation, placement with insurers, the policy, the payment, the remittance and the month-end close. Each part is done by the team that does it in your office."</w:t>
      </w:r>
    </w:p>
    <w:p>
      <w:pPr>
        <w:pStyle w:val="Normal"/>
        <w:numPr>
          <w:ilvl w:val="0"/>
          <w:numId w:val="1"/>
        </w:numPr>
        <w:spacing w:before="0" w:after="60"/>
        <w:rPr/>
      </w:pPr>
      <w:r>
        <w:rPr>
          <w:rFonts w:eastAsia="Segoe UI" w:cs="Segoe UI" w:ascii="Segoe UI" w:hAnsi="Segoe UI"/>
          <w:color w:val="101820"/>
          <w:sz w:val="21"/>
        </w:rPr>
        <w:t>"Stop us at any point. If something works differently in your office, tell us, because that is what the workshop after this will settle."</w:t>
      </w:r>
    </w:p>
    <w:p>
      <w:pPr>
        <w:pStyle w:val="Normal"/>
        <w:spacing w:lineRule="auto" w:line="276" w:before="0" w:after="120"/>
        <w:rPr/>
      </w:pPr>
      <w:r>
        <w:rPr>
          <w:rFonts w:eastAsia="Segoe UI" w:cs="Segoe UI" w:ascii="Segoe UI" w:hAnsi="Segoe UI"/>
          <w:b/>
          <w:color w:val="101820"/>
          <w:sz w:val="21"/>
        </w:rPr>
        <w:t>Ask (pick two or three):</w:t>
      </w:r>
    </w:p>
    <w:p>
      <w:pPr>
        <w:pStyle w:val="Normal"/>
        <w:numPr>
          <w:ilvl w:val="0"/>
          <w:numId w:val="1"/>
        </w:numPr>
        <w:spacing w:before="0" w:after="60"/>
        <w:rPr/>
      </w:pPr>
      <w:r>
        <w:rPr>
          <w:rFonts w:eastAsia="Segoe UI" w:cs="Segoe UI" w:ascii="Segoe UI" w:hAnsi="Segoe UI"/>
          <w:color w:val="101820"/>
          <w:sz w:val="21"/>
        </w:rPr>
        <w:t>How many people work in sales, placement, client servicing, claims and accounting?</w:t>
      </w:r>
    </w:p>
    <w:p>
      <w:pPr>
        <w:pStyle w:val="Normal"/>
        <w:numPr>
          <w:ilvl w:val="0"/>
          <w:numId w:val="1"/>
        </w:numPr>
        <w:spacing w:before="0" w:after="60"/>
        <w:rPr/>
      </w:pPr>
      <w:r>
        <w:rPr>
          <w:rFonts w:eastAsia="Segoe UI" w:cs="Segoe UI" w:ascii="Segoe UI" w:hAnsi="Segoe UI"/>
          <w:color w:val="101820"/>
          <w:sz w:val="21"/>
        </w:rPr>
        <w:t>Which lines of business make up most of your premium, and how many insurers do you place with in a month?</w:t>
      </w:r>
    </w:p>
    <w:p>
      <w:pPr>
        <w:pStyle w:val="Normal"/>
        <w:numPr>
          <w:ilvl w:val="0"/>
          <w:numId w:val="1"/>
        </w:numPr>
        <w:spacing w:before="0" w:after="60"/>
        <w:rPr/>
      </w:pPr>
      <w:r>
        <w:rPr>
          <w:rFonts w:eastAsia="Segoe UI" w:cs="Segoe UI" w:ascii="Segoe UI" w:hAnsi="Segoe UI"/>
          <w:color w:val="101820"/>
          <w:sz w:val="21"/>
        </w:rPr>
        <w:t>What system or spreadsheets do you use today for policies, and for accounting?</w:t>
      </w:r>
    </w:p>
    <w:p>
      <w:pPr>
        <w:pStyle w:val="Normal"/>
        <w:numPr>
          <w:ilvl w:val="0"/>
          <w:numId w:val="1"/>
        </w:numPr>
        <w:spacing w:before="0" w:after="60"/>
        <w:rPr/>
      </w:pPr>
      <w:r>
        <w:rPr>
          <w:rFonts w:eastAsia="Segoe UI" w:cs="Segoe UI" w:ascii="Segoe UI" w:hAnsi="Segoe UI"/>
          <w:color w:val="101820"/>
          <w:sz w:val="21"/>
        </w:rPr>
        <w:t>What takes your team the longest at month-end?</w:t>
      </w:r>
    </w:p>
    <w:p>
      <w:pPr>
        <w:pStyle w:val="Heading2"/>
        <w:rPr/>
      </w:pPr>
      <w:bookmarkStart w:id="17" w:name="__RefHeading___Toc2450_4285803909"/>
      <w:bookmarkEnd w:id="17"/>
      <w:r>
        <w:rPr>
          <w:rFonts w:eastAsia="Segoe UI" w:cs="Segoe UI"/>
          <w:b/>
          <w:color w:val="0F4761"/>
          <w:sz w:val="26"/>
        </w:rPr>
        <w:t>5.3  0:05 The broker at a glance (4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maria.rivera (lands on the Executive Dashboard).</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14"/>
        </w:numPr>
        <w:spacing w:before="0" w:after="60"/>
        <w:rPr/>
      </w:pPr>
      <w:r>
        <w:rPr>
          <w:rFonts w:eastAsia="Segoe UI" w:cs="Segoe UI" w:ascii="Segoe UI" w:hAnsi="Segoe UI"/>
          <w:color w:val="101820"/>
          <w:sz w:val="21"/>
        </w:rPr>
        <w:t>Dashboard &gt; Executive Dashboard. Choose This Month, then This Year.</w:t>
      </w:r>
    </w:p>
    <w:p>
      <w:pPr>
        <w:pStyle w:val="Normal"/>
        <w:numPr>
          <w:ilvl w:val="0"/>
          <w:numId w:val="15"/>
        </w:numPr>
        <w:spacing w:before="0" w:after="60"/>
        <w:rPr/>
      </w:pPr>
      <w:r>
        <w:rPr>
          <w:rFonts w:eastAsia="Segoe UI" w:cs="Segoe UI" w:ascii="Segoe UI" w:hAnsi="Segoe UI"/>
          <w:color w:val="101820"/>
          <w:sz w:val="21"/>
        </w:rPr>
        <w:t>Point to Total Revenue, Active Policies, New Business, Claims Rate, Retention Rate, Premium Receivable (Clients) and Commission Receivable (Insurers, Direct Bill), each against its target.</w:t>
      </w:r>
    </w:p>
    <w:p>
      <w:pPr>
        <w:pStyle w:val="Normal"/>
        <w:numPr>
          <w:ilvl w:val="0"/>
          <w:numId w:val="16"/>
        </w:numPr>
        <w:spacing w:before="0" w:after="60"/>
        <w:rPr/>
      </w:pPr>
      <w:r>
        <w:rPr>
          <w:rFonts w:eastAsia="Segoe UI" w:cs="Segoe UI" w:ascii="Segoe UI" w:hAnsi="Segoe UI"/>
          <w:color w:val="101820"/>
          <w:sz w:val="21"/>
        </w:rPr>
        <w:t>Scroll to Performance Trends, Revenue by Product Line and Top Agents Performance.</w:t>
      </w:r>
    </w:p>
    <w:p>
      <w:pPr>
        <w:pStyle w:val="Normal"/>
        <w:numPr>
          <w:ilvl w:val="0"/>
          <w:numId w:val="17"/>
        </w:numPr>
        <w:spacing w:before="0" w:after="60"/>
        <w:rPr/>
      </w:pPr>
      <w:r>
        <w:rPr>
          <w:rFonts w:eastAsia="Segoe UI" w:cs="Segoe UI" w:ascii="Segoe UI" w:hAnsi="Segoe UI"/>
          <w:color w:val="101820"/>
          <w:sz w:val="21"/>
        </w:rPr>
        <w:t>Dashboard &gt; Sales Dashboard: prospects, quotations, conversion, policies issued and premium for the period.</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"These figures are live. They change as soon as a policy, a receipt or a claim is saved. There is no overnight load."</w:t>
      </w:r>
    </w:p>
    <w:p>
      <w:pPr>
        <w:pStyle w:val="Normal"/>
        <w:numPr>
          <w:ilvl w:val="0"/>
          <w:numId w:val="1"/>
        </w:numPr>
        <w:spacing w:before="0" w:after="60"/>
        <w:rPr/>
      </w:pPr>
      <w:r>
        <w:rPr>
          <w:rFonts w:eastAsia="Segoe UI" w:cs="Segoe UI" w:ascii="Segoe UI" w:hAnsi="Segoe UI"/>
          <w:color w:val="101820"/>
          <w:sz w:val="21"/>
        </w:rPr>
        <w:t>"The targets come from your configuration, so management sets them once and every user sees the same."</w:t>
      </w:r>
    </w:p>
    <w:p>
      <w:pPr>
        <w:pStyle w:val="Heading2"/>
        <w:rPr/>
      </w:pPr>
      <w:bookmarkStart w:id="18" w:name="__RefHeading___Toc2452_4285803909"/>
      <w:bookmarkEnd w:id="18"/>
      <w:r>
        <w:rPr>
          <w:rFonts w:eastAsia="Segoe UI" w:cs="Segoe UI"/>
          <w:b/>
          <w:color w:val="0F4761"/>
          <w:sz w:val="26"/>
        </w:rPr>
        <w:t>5.4  0:09 Prospect and quotation (6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maria.rivera.</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prospect Gregorio Evangelista (LD-2026-00061, retail, Cebu City); quotation list with QT-2026-00072 (Bernard Bautista, motor, converted to policy).</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18"/>
        </w:numPr>
        <w:spacing w:before="0" w:after="60"/>
        <w:rPr/>
      </w:pPr>
      <w:r>
        <w:rPr>
          <w:rFonts w:eastAsia="Segoe UI" w:cs="Segoe UI" w:ascii="Segoe UI" w:hAnsi="Segoe UI"/>
          <w:color w:val="101820"/>
          <w:sz w:val="21"/>
        </w:rPr>
        <w:t>Operations &gt; Sales &amp; Marketing &gt; Prospects. Point to the cards (total, last 7 days, converted, with quotations) and the tabs per line.</w:t>
      </w:r>
    </w:p>
    <w:p>
      <w:pPr>
        <w:pStyle w:val="Normal"/>
        <w:numPr>
          <w:ilvl w:val="0"/>
          <w:numId w:val="19"/>
        </w:numPr>
        <w:spacing w:before="0" w:after="60"/>
        <w:rPr/>
      </w:pPr>
      <w:r>
        <w:rPr>
          <w:rFonts w:eastAsia="Segoe UI" w:cs="Segoe UI" w:ascii="Segoe UI" w:hAnsi="Segoe UI"/>
          <w:color w:val="101820"/>
          <w:sz w:val="21"/>
        </w:rPr>
        <w:t>Open Gregorio Evangelista with the eye icon. Show Personal Information, Contact Information and Address. Mention Bulk Upload for a list of prospects from Excel.</w:t>
      </w:r>
    </w:p>
    <w:p>
      <w:pPr>
        <w:pStyle w:val="Normal"/>
        <w:numPr>
          <w:ilvl w:val="0"/>
          <w:numId w:val="20"/>
        </w:numPr>
        <w:spacing w:before="0" w:after="60"/>
        <w:rPr/>
      </w:pPr>
      <w:r>
        <w:rPr>
          <w:rFonts w:eastAsia="Segoe UI" w:cs="Segoe UI" w:ascii="Segoe UI" w:hAnsi="Segoe UI"/>
          <w:color w:val="101820"/>
          <w:sz w:val="21"/>
        </w:rPr>
        <w:t>Select Create Quote. Fill step 1 (vehicle) quickly, select Next through Plan Recommendations, and on Coverage Details select Calculate. Do not save unless the run sheet allows it.</w:t>
      </w:r>
    </w:p>
    <w:p>
      <w:pPr>
        <w:pStyle w:val="Normal"/>
        <w:numPr>
          <w:ilvl w:val="0"/>
          <w:numId w:val="21"/>
        </w:numPr>
        <w:spacing w:before="0" w:after="60"/>
        <w:rPr/>
      </w:pPr>
      <w:r>
        <w:rPr>
          <w:rFonts w:eastAsia="Segoe UI" w:cs="Segoe UI" w:ascii="Segoe UI" w:hAnsi="Segoe UI"/>
          <w:color w:val="101820"/>
          <w:sz w:val="21"/>
        </w:rPr>
        <w:t>Show the Order Summary: net premium, VAT 12%, documentary stamp tax 12.5%, local government tax 0.75%, CTPL, discount, brokerage, comsub and margin.</w:t>
      </w:r>
    </w:p>
    <w:p>
      <w:pPr>
        <w:pStyle w:val="Normal"/>
        <w:numPr>
          <w:ilvl w:val="0"/>
          <w:numId w:val="22"/>
        </w:numPr>
        <w:spacing w:before="0" w:after="60"/>
        <w:rPr/>
      </w:pPr>
      <w:r>
        <w:rPr>
          <w:rFonts w:eastAsia="Segoe UI" w:cs="Segoe UI" w:ascii="Segoe UI" w:hAnsi="Segoe UI"/>
          <w:color w:val="101820"/>
          <w:sz w:val="21"/>
        </w:rPr>
        <w:t>Select Back and open Operations &gt; Sales &amp; Marketing &gt; Quotations. Show the cards (Converted to Policy, Pending Customer, Rejected) and open a quotation in Pending Customer.</w:t>
      </w:r>
    </w:p>
    <w:p>
      <w:pPr>
        <w:pStyle w:val="Normal"/>
        <w:numPr>
          <w:ilvl w:val="0"/>
          <w:numId w:val="23"/>
        </w:numPr>
        <w:spacing w:before="0" w:after="60"/>
        <w:rPr/>
      </w:pPr>
      <w:r>
        <w:rPr>
          <w:rFonts w:eastAsia="Segoe UI" w:cs="Segoe UI" w:ascii="Segoe UI" w:hAnsi="Segoe UI"/>
          <w:color w:val="101820"/>
          <w:sz w:val="21"/>
        </w:rPr>
        <w:t>Point to Share (Download, Email, WhatsApp, Send to Insurer, Copy Link) and Send for Customer Approval.</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"The server prices every quotation again from your rate tables and the configured taxes. If someone types over a premium in the browser, the save is refused. Discounts are limited by the Authority Matrix."</w:t>
      </w:r>
    </w:p>
    <w:p>
      <w:pPr>
        <w:pStyle w:val="Normal"/>
        <w:numPr>
          <w:ilvl w:val="0"/>
          <w:numId w:val="1"/>
        </w:numPr>
        <w:spacing w:before="0" w:after="60"/>
        <w:rPr/>
      </w:pPr>
      <w:r>
        <w:rPr>
          <w:rFonts w:eastAsia="Segoe UI" w:cs="Segoe UI" w:ascii="Segoe UI" w:hAnsi="Segoe UI"/>
          <w:color w:val="101820"/>
          <w:sz w:val="21"/>
        </w:rPr>
        <w:t>"The client gets a signed link valid for seven days, approves without signing in, and the Processing Team is told."</w:t>
      </w:r>
    </w:p>
    <w:p>
      <w:pPr>
        <w:pStyle w:val="Normal"/>
        <w:numPr>
          <w:ilvl w:val="0"/>
          <w:numId w:val="1"/>
        </w:numPr>
        <w:spacing w:before="0" w:after="60"/>
        <w:rPr/>
      </w:pPr>
      <w:r>
        <w:rPr>
          <w:rFonts w:eastAsia="Segoe UI" w:cs="Segoe UI" w:ascii="Segoe UI" w:hAnsi="Segoe UI"/>
          <w:color w:val="101820"/>
          <w:sz w:val="21"/>
        </w:rPr>
        <w:t>"A payment link through PayMongo or Dragonpay can collect the premium; a paid link creates the official receipt."</w:t>
      </w:r>
    </w:p>
    <w:p>
      <w:pPr>
        <w:pStyle w:val="Normal"/>
        <w:spacing w:lineRule="auto" w:line="276" w:before="0" w:after="120"/>
        <w:rPr/>
      </w:pPr>
      <w:r>
        <w:rPr>
          <w:rFonts w:eastAsia="Segoe UI" w:cs="Segoe UI" w:ascii="Segoe UI" w:hAnsi="Segoe UI"/>
          <w:b/>
          <w:color w:val="101820"/>
          <w:sz w:val="21"/>
        </w:rPr>
        <w:t>Ask:</w:t>
      </w:r>
      <w:r>
        <w:rPr>
          <w:rFonts w:eastAsia="Segoe UI" w:cs="Segoe UI" w:ascii="Segoe UI" w:hAnsi="Segoe UI"/>
          <w:color w:val="101820"/>
          <w:sz w:val="21"/>
        </w:rPr>
        <w:t xml:space="preserve"> How many quotations do you issue in a month, and how does the client accept them today?</w:t>
      </w:r>
    </w:p>
    <w:p>
      <w:pPr>
        <w:pStyle w:val="Heading2"/>
        <w:rPr/>
      </w:pPr>
      <w:bookmarkStart w:id="19" w:name="__RefHeading___Toc2454_4285803909"/>
      <w:bookmarkEnd w:id="19"/>
      <w:r>
        <w:rPr>
          <w:rFonts w:eastAsia="Segoe UI" w:cs="Segoe UI"/>
          <w:b/>
          <w:color w:val="0F4761"/>
          <w:sz w:val="26"/>
        </w:rPr>
        <w:t>5.5  0:15 Placement (8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jose.bernardo.</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Broker Slip BS-2026-00047 (Visayan Coconut Oil Mills Inc., Marine Cargo, sum insured PHP 99,000,000.00, offers from Pacific Crest Insurance Corp. and Tala Guaranty and Surety Insurance Corp.); Placement Slip list.</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24"/>
        </w:numPr>
        <w:spacing w:before="0" w:after="60"/>
        <w:rPr/>
      </w:pPr>
      <w:r>
        <w:rPr>
          <w:rFonts w:eastAsia="Segoe UI" w:cs="Segoe UI" w:ascii="Segoe UI" w:hAnsi="Segoe UI"/>
          <w:color w:val="101820"/>
          <w:sz w:val="21"/>
        </w:rPr>
        <w:t>Operations &gt; Sales &amp; Marketing &gt; Request for Quotation. Point to the cards (Submitted, Responses in, Draft, Closed) and the columns: offers against insurers approached, best gross offer, response due, age.</w:t>
      </w:r>
    </w:p>
    <w:p>
      <w:pPr>
        <w:pStyle w:val="Normal"/>
        <w:numPr>
          <w:ilvl w:val="0"/>
          <w:numId w:val="25"/>
        </w:numPr>
        <w:spacing w:before="0" w:after="60"/>
        <w:rPr/>
      </w:pPr>
      <w:r>
        <w:rPr>
          <w:rFonts w:eastAsia="Segoe UI" w:cs="Segoe UI" w:ascii="Segoe UI" w:hAnsi="Segoe UI"/>
          <w:color w:val="101820"/>
          <w:sz w:val="21"/>
        </w:rPr>
        <w:t>Open BS-2026-00047. Show the progress bar (Request for Quotation, Quotation Slip, Placement Slip, Policy) and the tab Market responses: one row per insurer with status, net premium, rate, line offered.</w:t>
      </w:r>
    </w:p>
    <w:p>
      <w:pPr>
        <w:pStyle w:val="Normal"/>
        <w:numPr>
          <w:ilvl w:val="0"/>
          <w:numId w:val="26"/>
        </w:numPr>
        <w:spacing w:before="0" w:after="60"/>
        <w:rPr/>
      </w:pPr>
      <w:r>
        <w:rPr>
          <w:rFonts w:eastAsia="Segoe UI" w:cs="Segoe UI" w:ascii="Segoe UI" w:hAnsi="Segoe UI"/>
          <w:color w:val="101820"/>
          <w:sz w:val="21"/>
        </w:rPr>
        <w:t>Tab Compare offers: offers ranked by gross premium, the best marked Best, the difference to the best, deductibles. Explain Select, the Lead radio button and Share taken (must total 100%).</w:t>
      </w:r>
    </w:p>
    <w:p>
      <w:pPr>
        <w:pStyle w:val="Normal"/>
        <w:numPr>
          <w:ilvl w:val="0"/>
          <w:numId w:val="27"/>
        </w:numPr>
        <w:spacing w:before="0" w:after="60"/>
        <w:rPr/>
      </w:pPr>
      <w:r>
        <w:rPr>
          <w:rFonts w:eastAsia="Segoe UI" w:cs="Segoe UI" w:ascii="Segoe UI" w:hAnsi="Segoe UI"/>
          <w:color w:val="101820"/>
          <w:sz w:val="21"/>
        </w:rPr>
        <w:t>Point to Prepare Quotation Slip and Prepare Placement Slip, and to Slip PDF.</w:t>
      </w:r>
    </w:p>
    <w:p>
      <w:pPr>
        <w:pStyle w:val="Normal"/>
        <w:numPr>
          <w:ilvl w:val="0"/>
          <w:numId w:val="28"/>
        </w:numPr>
        <w:spacing w:before="0" w:after="60"/>
        <w:rPr/>
      </w:pPr>
      <w:r>
        <w:rPr>
          <w:rFonts w:eastAsia="Segoe UI" w:cs="Segoe UI" w:ascii="Segoe UI" w:hAnsi="Segoe UI"/>
          <w:color w:val="101820"/>
          <w:sz w:val="21"/>
        </w:rPr>
        <w:t>Operations &gt; Sales &amp; Marketing &gt; Placement Slips. Show the cards (Draft, Sent to insurer, Bound, Policy issued) and the Confirmed column (for example 1 / 1).</w:t>
      </w:r>
    </w:p>
    <w:p>
      <w:pPr>
        <w:pStyle w:val="Normal"/>
        <w:numPr>
          <w:ilvl w:val="0"/>
          <w:numId w:val="29"/>
        </w:numPr>
        <w:spacing w:before="0" w:after="60"/>
        <w:rPr/>
      </w:pPr>
      <w:r>
        <w:rPr>
          <w:rFonts w:eastAsia="Segoe UI" w:cs="Segoe UI" w:ascii="Segoe UI" w:hAnsi="Segoe UI"/>
          <w:color w:val="101820"/>
          <w:sz w:val="21"/>
        </w:rPr>
        <w:t>Open a slip with status Policy issued (for example PS-2026-00023). Show Security (participating insurers): share, premium, taxes, gross, commission, policy or certificate number. Show the link to the policy in the progress bar.</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"One risk, several insurers, one comparison. The shares of a co-insurance must total exactly 100% with one lead, and every insurer must confirm before the policy can be issued on fire, IAR, marine, casualty and engineering."</w:t>
      </w:r>
    </w:p>
    <w:p>
      <w:pPr>
        <w:pStyle w:val="Normal"/>
        <w:numPr>
          <w:ilvl w:val="0"/>
          <w:numId w:val="1"/>
        </w:numPr>
        <w:spacing w:before="0" w:after="60"/>
        <w:rPr/>
      </w:pPr>
      <w:r>
        <w:rPr>
          <w:rFonts w:eastAsia="Segoe UI" w:cs="Segoe UI" w:ascii="Segoe UI" w:hAnsi="Segoe UI"/>
          <w:color w:val="101820"/>
          <w:sz w:val="21"/>
        </w:rPr>
        <w:t>"From here on, the money follows the shares: one bill to the client, a payable and a commission line per insurer, a remittance per insurer, and claim recoveries by share."</w:t>
      </w:r>
    </w:p>
    <w:p>
      <w:pPr>
        <w:pStyle w:val="Normal"/>
        <w:spacing w:lineRule="auto" w:line="276" w:before="0" w:after="120"/>
        <w:rPr/>
      </w:pPr>
      <w:r>
        <w:rPr>
          <w:rFonts w:eastAsia="Segoe UI" w:cs="Segoe UI" w:ascii="Segoe UI" w:hAnsi="Segoe UI"/>
          <w:b/>
          <w:color w:val="101820"/>
          <w:sz w:val="21"/>
        </w:rPr>
        <w:t>Ask:</w:t>
      </w:r>
      <w:r>
        <w:rPr>
          <w:rFonts w:eastAsia="Segoe UI" w:cs="Segoe UI" w:ascii="Segoe UI" w:hAnsi="Segoe UI"/>
          <w:color w:val="101820"/>
          <w:sz w:val="21"/>
        </w:rPr>
        <w:t xml:space="preserve"> What share of your premium is co-insured? How do you track insurer confirmations today?</w:t>
      </w:r>
    </w:p>
    <w:p>
      <w:pPr>
        <w:pStyle w:val="Heading2"/>
        <w:rPr/>
      </w:pPr>
      <w:bookmarkStart w:id="20" w:name="__RefHeading___Toc2456_4285803909"/>
      <w:bookmarkEnd w:id="20"/>
      <w:r>
        <w:rPr>
          <w:rFonts w:eastAsia="Segoe UI" w:cs="Segoe UI"/>
          <w:b/>
          <w:color w:val="0F4761"/>
          <w:sz w:val="26"/>
        </w:rPr>
        <w:t>5.6  0:23 Servicing and claims (6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ana.buenaventura, then carlo.estrada.</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client Visayan Coconut Oil Mills Inc.; policy POL-2026-00019 (Rowena Lim, motor, gross premium PHP 64,461.24); claim CLM-2026-00007 (Renato Tan, motor, flood damage, estimate PHP 150,000.00, Processing).</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30"/>
        </w:numPr>
        <w:spacing w:before="0" w:after="60"/>
        <w:rPr/>
      </w:pPr>
      <w:r>
        <w:rPr>
          <w:rFonts w:eastAsia="Segoe UI" w:cs="Segoe UI" w:ascii="Segoe UI" w:hAnsi="Segoe UI"/>
          <w:color w:val="101820"/>
          <w:sz w:val="21"/>
        </w:rPr>
        <w:t>As ana.buenaventura: Operations &gt; Clients. Open Visayan Coconut Oil Mills Inc. Show the tabs Policy, Claim, Renewal, Endorsement, and the Data privacy tab (shown in the Controls part).</w:t>
      </w:r>
    </w:p>
    <w:p>
      <w:pPr>
        <w:pStyle w:val="Normal"/>
        <w:numPr>
          <w:ilvl w:val="0"/>
          <w:numId w:val="31"/>
        </w:numPr>
        <w:spacing w:before="0" w:after="60"/>
        <w:rPr/>
      </w:pPr>
      <w:r>
        <w:rPr>
          <w:rFonts w:eastAsia="Segoe UI" w:cs="Segoe UI" w:ascii="Segoe UI" w:hAnsi="Segoe UI"/>
          <w:color w:val="101820"/>
          <w:sz w:val="21"/>
        </w:rPr>
        <w:t>Operations &gt; Policy. Open POL-2026-00019. Show gross premium, expiry, client, Documents &amp; Billing (Generate Policy Invoice, Premium Accounting Entries) and Related Records (quotation, insurer).</w:t>
      </w:r>
    </w:p>
    <w:p>
      <w:pPr>
        <w:pStyle w:val="Normal"/>
        <w:numPr>
          <w:ilvl w:val="0"/>
          <w:numId w:val="32"/>
        </w:numPr>
        <w:spacing w:before="0" w:after="60"/>
        <w:rPr/>
      </w:pPr>
      <w:r>
        <w:rPr>
          <w:rFonts w:eastAsia="Segoe UI" w:cs="Segoe UI" w:ascii="Segoe UI" w:hAnsi="Segoe UI"/>
          <w:color w:val="101820"/>
          <w:sz w:val="21"/>
        </w:rPr>
        <w:t>Select Endorsement. Show the types: Personal Details Change, Motor Details Change, Coverage Change, Policy Extend, Policy Cancel. Close without saving.</w:t>
      </w:r>
    </w:p>
    <w:p>
      <w:pPr>
        <w:pStyle w:val="Normal"/>
        <w:numPr>
          <w:ilvl w:val="0"/>
          <w:numId w:val="33"/>
        </w:numPr>
        <w:spacing w:before="0" w:after="60"/>
        <w:rPr/>
      </w:pPr>
      <w:r>
        <w:rPr>
          <w:rFonts w:eastAsia="Segoe UI" w:cs="Segoe UI" w:ascii="Segoe UI" w:hAnsi="Segoe UI"/>
          <w:color w:val="101820"/>
          <w:sz w:val="21"/>
        </w:rPr>
        <w:t>Switch to carlo.estrada (lands on the Claims Dashboard): total open claims, claims overdue, highest claims line, claims by state.</w:t>
      </w:r>
    </w:p>
    <w:p>
      <w:pPr>
        <w:pStyle w:val="Normal"/>
        <w:numPr>
          <w:ilvl w:val="0"/>
          <w:numId w:val="34"/>
        </w:numPr>
        <w:spacing w:before="0" w:after="60"/>
        <w:rPr/>
      </w:pPr>
      <w:r>
        <w:rPr>
          <w:rFonts w:eastAsia="Segoe UI" w:cs="Segoe UI" w:ascii="Segoe UI" w:hAnsi="Segoe UI"/>
          <w:color w:val="101820"/>
          <w:sz w:val="21"/>
        </w:rPr>
        <w:t>Operations &gt; Claims. Open CLM-2026-00007. Show Claim Information, Incident Information, Driver Information and Policy Information.</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"A motor policy cannot be issued without the government ID, chassis, motor and plate or MV file number. That is checked by the server, not by a reminder."</w:t>
      </w:r>
    </w:p>
    <w:p>
      <w:pPr>
        <w:pStyle w:val="Normal"/>
        <w:numPr>
          <w:ilvl w:val="0"/>
          <w:numId w:val="1"/>
        </w:numPr>
        <w:spacing w:before="0" w:after="60"/>
        <w:rPr/>
      </w:pPr>
      <w:r>
        <w:rPr>
          <w:rFonts w:eastAsia="Segoe UI" w:cs="Segoe UI" w:ascii="Segoe UI" w:hAnsi="Segoe UI"/>
          <w:color w:val="101820"/>
          <w:sz w:val="21"/>
        </w:rPr>
        <w:t>"A claim is refused when the date of loss is outside the policy period, or while the premium is unpaid if you keep that rule on. The settlement needs a second Claims user. The Preliminary Loss Advice goes to the insurer by e-mail at registration."</w:t>
      </w:r>
    </w:p>
    <w:p>
      <w:pPr>
        <w:pStyle w:val="Normal"/>
        <w:spacing w:lineRule="auto" w:line="276" w:before="0" w:after="120"/>
        <w:rPr/>
      </w:pPr>
      <w:r>
        <w:rPr>
          <w:rFonts w:eastAsia="Segoe UI" w:cs="Segoe UI" w:ascii="Segoe UI" w:hAnsi="Segoe UI"/>
          <w:b/>
          <w:color w:val="101820"/>
          <w:sz w:val="21"/>
        </w:rPr>
        <w:t>Ask:</w:t>
      </w:r>
      <w:r>
        <w:rPr>
          <w:rFonts w:eastAsia="Segoe UI" w:cs="Segoe UI" w:ascii="Segoe UI" w:hAnsi="Segoe UI"/>
          <w:color w:val="101820"/>
          <w:sz w:val="21"/>
        </w:rPr>
        <w:t xml:space="preserve"> How many claims a month? Do any claim payments pass through your own bank account?</w:t>
      </w:r>
    </w:p>
    <w:p>
      <w:pPr>
        <w:pStyle w:val="Heading2"/>
        <w:rPr/>
      </w:pPr>
      <w:bookmarkStart w:id="21" w:name="__RefHeading___Toc2458_4285803909"/>
      <w:bookmarkEnd w:id="21"/>
      <w:r>
        <w:rPr>
          <w:rFonts w:eastAsia="Segoe UI" w:cs="Segoe UI"/>
          <w:b/>
          <w:color w:val="0F4761"/>
          <w:sz w:val="26"/>
        </w:rPr>
        <w:t>5.7  0:29 Renewals (4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ana.buenaventura.</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Renewal Queue with OLD-MC-2025-39204 (Joy Garcia, motor, 7 days to expiry, first notice sent).</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35"/>
        </w:numPr>
        <w:spacing w:before="0" w:after="60"/>
        <w:rPr/>
      </w:pPr>
      <w:r>
        <w:rPr>
          <w:rFonts w:eastAsia="Segoe UI" w:cs="Segoe UI" w:ascii="Segoe UI" w:hAnsi="Segoe UI"/>
          <w:color w:val="101820"/>
          <w:sz w:val="21"/>
        </w:rPr>
        <w:t>Operations &gt; Renewals &gt; Renewal Queue. Show days to expiry, status, risk, sales person, and the cards (total, due soon, at risk, in grace period).</w:t>
      </w:r>
    </w:p>
    <w:p>
      <w:pPr>
        <w:pStyle w:val="Normal"/>
        <w:numPr>
          <w:ilvl w:val="0"/>
          <w:numId w:val="36"/>
        </w:numPr>
        <w:spacing w:before="0" w:after="60"/>
        <w:rPr/>
      </w:pPr>
      <w:r>
        <w:rPr>
          <w:rFonts w:eastAsia="Segoe UI" w:cs="Segoe UI" w:ascii="Segoe UI" w:hAnsi="Segoe UI"/>
          <w:color w:val="101820"/>
          <w:sz w:val="21"/>
        </w:rPr>
        <w:t>Operations &gt; Renewals &gt; Negotiations. Open a negotiation and show the Timeline (reminder, first notice, renewal opened), Add note, Request approval and Send Communication.</w:t>
      </w:r>
    </w:p>
    <w:p>
      <w:pPr>
        <w:pStyle w:val="Normal"/>
        <w:numPr>
          <w:ilvl w:val="0"/>
          <w:numId w:val="37"/>
        </w:numPr>
        <w:spacing w:before="0" w:after="60"/>
        <w:rPr/>
      </w:pPr>
      <w:r>
        <w:rPr>
          <w:rFonts w:eastAsia="Segoe UI" w:cs="Segoe UI" w:ascii="Segoe UI" w:hAnsi="Segoe UI"/>
          <w:color w:val="101820"/>
          <w:sz w:val="21"/>
        </w:rPr>
        <w:t>Operations &gt; Renewals &gt; Retention Analytics: renewal rate and premium retention.</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"Every policy enters the pipeline 90 days before expiry. Notices go at 60, 30 and 15 days, in order. A policy not renewed 30 days after expiry lapses, and Lapse Management runs the win-back. All of these day counts are settings."</w:t>
      </w:r>
    </w:p>
    <w:p>
      <w:pPr>
        <w:pStyle w:val="Normal"/>
        <w:numPr>
          <w:ilvl w:val="0"/>
          <w:numId w:val="1"/>
        </w:numPr>
        <w:spacing w:before="0" w:after="60"/>
        <w:rPr/>
      </w:pPr>
      <w:r>
        <w:rPr>
          <w:rFonts w:eastAsia="Segoe UI" w:cs="Segoe UI" w:ascii="Segoe UI" w:hAnsi="Segoe UI"/>
          <w:color w:val="101820"/>
          <w:sz w:val="21"/>
        </w:rPr>
        <w:t>"Renewal terms go to the Processing Team for approval, and the renewed policy keeps paying commission to the original referrer."</w:t>
      </w:r>
    </w:p>
    <w:p>
      <w:pPr>
        <w:pStyle w:val="Heading2"/>
        <w:rPr/>
      </w:pPr>
      <w:bookmarkStart w:id="22" w:name="__RefHeading___Toc2460_4285803909"/>
      <w:bookmarkEnd w:id="22"/>
      <w:r>
        <w:rPr>
          <w:rFonts w:eastAsia="Segoe UI" w:cs="Segoe UI"/>
          <w:b/>
          <w:color w:val="0F4761"/>
          <w:sz w:val="26"/>
        </w:rPr>
        <w:t>5.8  0:33 Money in (6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liza.quiambao.</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receipt OR-2026-00035 (Hilaga Logistics and Warehousing Corp., policy POL-2026-00043); Premium Warranty Monitor with 4 policies in breach (PHP 445,301.58).</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38"/>
        </w:numPr>
        <w:spacing w:before="0" w:after="60"/>
        <w:rPr/>
      </w:pPr>
      <w:r>
        <w:rPr>
          <w:rFonts w:eastAsia="Segoe UI" w:cs="Segoe UI" w:ascii="Segoe UI" w:hAnsi="Segoe UI"/>
          <w:color w:val="101820"/>
          <w:sz w:val="21"/>
        </w:rPr>
        <w:t>Show the notification bell: "Premium payment to verify" from a payment captured by the front office (if one is waiting).</w:t>
      </w:r>
    </w:p>
    <w:p>
      <w:pPr>
        <w:pStyle w:val="Normal"/>
        <w:numPr>
          <w:ilvl w:val="0"/>
          <w:numId w:val="39"/>
        </w:numPr>
        <w:spacing w:before="0" w:after="60"/>
        <w:rPr/>
      </w:pPr>
      <w:r>
        <w:rPr>
          <w:rFonts w:eastAsia="Segoe UI" w:cs="Segoe UI" w:ascii="Segoe UI" w:hAnsi="Segoe UI"/>
          <w:color w:val="101820"/>
          <w:sz w:val="21"/>
        </w:rPr>
        <w:t>Accounts &gt; Receipts. Point to Receipt, Bulk Upload and Bulk Print. Open OR-2026-00035.</w:t>
      </w:r>
    </w:p>
    <w:p>
      <w:pPr>
        <w:pStyle w:val="Normal"/>
        <w:numPr>
          <w:ilvl w:val="0"/>
          <w:numId w:val="40"/>
        </w:numPr>
        <w:spacing w:before="0" w:after="60"/>
        <w:rPr/>
      </w:pPr>
      <w:r>
        <w:rPr>
          <w:rFonts w:eastAsia="Segoe UI" w:cs="Segoe UI" w:ascii="Segoe UI" w:hAnsi="Segoe UI"/>
          <w:color w:val="101820"/>
          <w:sz w:val="21"/>
        </w:rPr>
        <w:t>Select E-mail receipt. Show the side panel: To (the client's e-mail), Cc and a note. Send it.</w:t>
      </w:r>
    </w:p>
    <w:p>
      <w:pPr>
        <w:pStyle w:val="Normal"/>
        <w:numPr>
          <w:ilvl w:val="0"/>
          <w:numId w:val="41"/>
        </w:numPr>
        <w:spacing w:before="0" w:after="60"/>
        <w:rPr/>
      </w:pPr>
      <w:r>
        <w:rPr>
          <w:rFonts w:eastAsia="Segoe UI" w:cs="Segoe UI" w:ascii="Segoe UI" w:hAnsi="Segoe UI"/>
          <w:color w:val="101820"/>
          <w:sz w:val="21"/>
        </w:rPr>
        <w:t>Master &gt; E-mail Outbox (as beatriz.lacson, or skip if not signed in): the message with the official receipt PDF named under attachments, status Queued while sending is off.</w:t>
      </w:r>
    </w:p>
    <w:p>
      <w:pPr>
        <w:pStyle w:val="Normal"/>
        <w:numPr>
          <w:ilvl w:val="0"/>
          <w:numId w:val="42"/>
        </w:numPr>
        <w:spacing w:before="0" w:after="60"/>
        <w:rPr/>
      </w:pPr>
      <w:r>
        <w:rPr>
          <w:rFonts w:eastAsia="Segoe UI" w:cs="Segoe UI" w:ascii="Segoe UI" w:hAnsi="Segoe UI"/>
          <w:color w:val="101820"/>
          <w:sz w:val="21"/>
        </w:rPr>
        <w:t>Accounts &gt; Collections. Open a collection and point to E-mail invoice (premium invoice with the PDF attached).</w:t>
      </w:r>
    </w:p>
    <w:p>
      <w:pPr>
        <w:pStyle w:val="Normal"/>
        <w:numPr>
          <w:ilvl w:val="0"/>
          <w:numId w:val="43"/>
        </w:numPr>
        <w:spacing w:before="0" w:after="60"/>
        <w:rPr/>
      </w:pPr>
      <w:r>
        <w:rPr>
          <w:rFonts w:eastAsia="Segoe UI" w:cs="Segoe UI" w:ascii="Segoe UI" w:hAnsi="Segoe UI"/>
          <w:color w:val="101820"/>
          <w:sz w:val="21"/>
        </w:rPr>
        <w:t>Accounts &gt; Credit Control &gt; Premium Warranty Monitor. Show warranty breached, at risk and extensions to approve.</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"The front office records how the client paid; only Accounting issues the official receipt. That is your segregation of duties without a manual log."</w:t>
      </w:r>
    </w:p>
    <w:p>
      <w:pPr>
        <w:pStyle w:val="Normal"/>
        <w:numPr>
          <w:ilvl w:val="0"/>
          <w:numId w:val="1"/>
        </w:numPr>
        <w:spacing w:before="0" w:after="60"/>
        <w:rPr/>
      </w:pPr>
      <w:r>
        <w:rPr>
          <w:rFonts w:eastAsia="Segoe UI" w:cs="Segoe UI" w:ascii="Segoe UI" w:hAnsi="Segoe UI"/>
          <w:color w:val="101820"/>
          <w:sz w:val="21"/>
        </w:rPr>
        <w:t>"New in this release: the official receipt and the premium invoice go to the client by e-mail with the PDF attached, from the screen or automatically when you switch it on. The commission debit note goes to insurers with its PDF, and the policy issued e-mail carries the policy schedule."</w:t>
      </w:r>
    </w:p>
    <w:p>
      <w:pPr>
        <w:pStyle w:val="Normal"/>
        <w:numPr>
          <w:ilvl w:val="0"/>
          <w:numId w:val="1"/>
        </w:numPr>
        <w:spacing w:before="0" w:after="60"/>
        <w:rPr/>
      </w:pPr>
      <w:r>
        <w:rPr>
          <w:rFonts w:eastAsia="Segoe UI" w:cs="Segoe UI" w:ascii="Segoe UI" w:hAnsi="Segoe UI"/>
          <w:color w:val="101820"/>
          <w:sz w:val="21"/>
        </w:rPr>
        <w:t>"The warranty monitor shows broker-billed policies whose premium is unpaid near or past the insurer's payment warranty, so you act before the cover is at risk."</w:t>
      </w:r>
    </w:p>
    <w:p>
      <w:pPr>
        <w:pStyle w:val="Normal"/>
        <w:spacing w:lineRule="auto" w:line="276" w:before="0" w:after="120"/>
        <w:rPr/>
      </w:pPr>
      <w:r>
        <w:rPr>
          <w:rFonts w:eastAsia="Segoe UI" w:cs="Segoe UI" w:ascii="Segoe UI" w:hAnsi="Segoe UI"/>
          <w:b/>
          <w:color w:val="101820"/>
          <w:sz w:val="21"/>
        </w:rPr>
        <w:t>Ask:</w:t>
      </w:r>
      <w:r>
        <w:rPr>
          <w:rFonts w:eastAsia="Segoe UI" w:cs="Segoe UI" w:ascii="Segoe UI" w:hAnsi="Segoe UI"/>
          <w:color w:val="101820"/>
          <w:sz w:val="21"/>
        </w:rPr>
        <w:t xml:space="preserve"> How many official receipts do you issue a month? How do clients receive them today?</w:t>
      </w:r>
    </w:p>
    <w:p>
      <w:pPr>
        <w:pStyle w:val="Heading2"/>
        <w:rPr/>
      </w:pPr>
      <w:bookmarkStart w:id="23" w:name="__RefHeading___Toc2462_4285803909"/>
      <w:bookmarkEnd w:id="23"/>
      <w:r>
        <w:rPr>
          <w:rFonts w:eastAsia="Segoe UI" w:cs="Segoe UI"/>
          <w:b/>
          <w:color w:val="0F4761"/>
          <w:sz w:val="26"/>
        </w:rPr>
        <w:t>5.9  0:39 Money out (6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liza.quiambao, then nestor.pangilinan.</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remittance REM-2026-00018 (Pacific Crest Insurance Corp.); debit note DN-2026-00004 (Harbor Point Non-Life Insurance Inc.); a remittance or voucher left waiting for approval (step 4 of the day-before checks).</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44"/>
        </w:numPr>
        <w:spacing w:before="0" w:after="60"/>
        <w:rPr/>
      </w:pPr>
      <w:r>
        <w:rPr>
          <w:rFonts w:eastAsia="Segoe UI" w:cs="Segoe UI" w:ascii="Segoe UI" w:hAnsi="Segoe UI"/>
          <w:color w:val="101820"/>
          <w:sz w:val="21"/>
        </w:rPr>
        <w:t>Accounts &gt; Remittance &gt; Automated Processing: insurers Ready, Validate, Process Selected creates draft remittances. Do not run it unless the run sheet allows it.</w:t>
      </w:r>
    </w:p>
    <w:p>
      <w:pPr>
        <w:pStyle w:val="Normal"/>
        <w:numPr>
          <w:ilvl w:val="0"/>
          <w:numId w:val="45"/>
        </w:numPr>
        <w:spacing w:before="0" w:after="60"/>
        <w:rPr/>
      </w:pPr>
      <w:r>
        <w:rPr>
          <w:rFonts w:eastAsia="Segoe UI" w:cs="Segoe UI" w:ascii="Segoe UI" w:hAnsi="Segoe UI"/>
          <w:color w:val="101820"/>
          <w:sz w:val="21"/>
        </w:rPr>
        <w:t>Accounts &gt; Remittance &gt; Tracking. Show REM-2026-00018: gross amount, commission, net amount, status.</w:t>
      </w:r>
    </w:p>
    <w:p>
      <w:pPr>
        <w:pStyle w:val="Normal"/>
        <w:numPr>
          <w:ilvl w:val="0"/>
          <w:numId w:val="46"/>
        </w:numPr>
        <w:spacing w:before="0" w:after="60"/>
        <w:rPr/>
      </w:pPr>
      <w:r>
        <w:rPr>
          <w:rFonts w:eastAsia="Segoe UI" w:cs="Segoe UI" w:ascii="Segoe UI" w:hAnsi="Segoe UI"/>
          <w:color w:val="101820"/>
          <w:sz w:val="21"/>
        </w:rPr>
        <w:t>Switch to nestor.pangilinan. Show the bell: the approval request from liza.quiambao. Open Accounts &gt; Remittance &gt; Approval Workflow, open the pending item and Approve (or show Reject with a reason).</w:t>
      </w:r>
    </w:p>
    <w:p>
      <w:pPr>
        <w:pStyle w:val="Normal"/>
        <w:numPr>
          <w:ilvl w:val="0"/>
          <w:numId w:val="47"/>
        </w:numPr>
        <w:spacing w:before="0" w:after="60"/>
        <w:rPr/>
      </w:pPr>
      <w:r>
        <w:rPr>
          <w:rFonts w:eastAsia="Segoe UI" w:cs="Segoe UI" w:ascii="Segoe UI" w:hAnsi="Segoe UI"/>
          <w:color w:val="101820"/>
          <w:sz w:val="21"/>
        </w:rPr>
        <w:t>Switch back to liza.quiambao. Show the bell: the decision has arrived.</w:t>
      </w:r>
    </w:p>
    <w:p>
      <w:pPr>
        <w:pStyle w:val="Normal"/>
        <w:numPr>
          <w:ilvl w:val="0"/>
          <w:numId w:val="48"/>
        </w:numPr>
        <w:spacing w:before="0" w:after="60"/>
        <w:rPr/>
      </w:pPr>
      <w:r>
        <w:rPr>
          <w:rFonts w:eastAsia="Segoe UI" w:cs="Segoe UI" w:ascii="Segoe UI" w:hAnsi="Segoe UI"/>
          <w:color w:val="101820"/>
          <w:sz w:val="21"/>
        </w:rPr>
        <w:t>Accounts &gt; Remittance &gt; Direct Bill Processing &gt; Debit Notes. Show DN-2026-00004: commission, VAT, total due, collected, balance.</w:t>
      </w:r>
    </w:p>
    <w:p>
      <w:pPr>
        <w:pStyle w:val="Normal"/>
        <w:numPr>
          <w:ilvl w:val="0"/>
          <w:numId w:val="49"/>
        </w:numPr>
        <w:spacing w:before="0" w:after="60"/>
        <w:rPr/>
      </w:pPr>
      <w:r>
        <w:rPr>
          <w:rFonts w:eastAsia="Segoe UI" w:cs="Segoe UI" w:ascii="Segoe UI" w:hAnsi="Segoe UI"/>
          <w:color w:val="101820"/>
          <w:sz w:val="21"/>
        </w:rPr>
        <w:t>Commission &gt; Commission Dashboard: brokerage income, comsub (gross), net margin, outstanding payable, WHT.</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"The remittance is built from what was collected, per insurer and per share. The person who prepares it cannot approve it, and the approval level depends on the amount."</w:t>
      </w:r>
    </w:p>
    <w:p>
      <w:pPr>
        <w:pStyle w:val="Normal"/>
        <w:numPr>
          <w:ilvl w:val="0"/>
          <w:numId w:val="1"/>
        </w:numPr>
        <w:spacing w:before="0" w:after="60"/>
        <w:rPr/>
      </w:pPr>
      <w:r>
        <w:rPr>
          <w:rFonts w:eastAsia="Segoe UI" w:cs="Segoe UI" w:ascii="Segoe UI" w:hAnsi="Segoe UI"/>
          <w:color w:val="101820"/>
          <w:sz w:val="21"/>
        </w:rPr>
        <w:t>"New in this release: every maker-checker flow tells the approvers there is something waiting, and tells the maker the decision with the reason. One setting switches it on or off."</w:t>
      </w:r>
    </w:p>
    <w:p>
      <w:pPr>
        <w:pStyle w:val="Normal"/>
        <w:numPr>
          <w:ilvl w:val="0"/>
          <w:numId w:val="1"/>
        </w:numPr>
        <w:spacing w:before="0" w:after="60"/>
        <w:rPr/>
      </w:pPr>
      <w:r>
        <w:rPr>
          <w:rFonts w:eastAsia="Segoe UI" w:cs="Segoe UI" w:ascii="Segoe UI" w:hAnsi="Segoe UI"/>
          <w:color w:val="101820"/>
          <w:sz w:val="21"/>
        </w:rPr>
        <w:t>"Referrer commission becomes payable only when the premium is fully collected, and only to a referrer with a bank account on file."</w:t>
      </w:r>
    </w:p>
    <w:p>
      <w:pPr>
        <w:pStyle w:val="Heading2"/>
        <w:rPr/>
      </w:pPr>
      <w:bookmarkStart w:id="24" w:name="__RefHeading___Toc2464_4285803909"/>
      <w:bookmarkEnd w:id="24"/>
      <w:r>
        <w:rPr>
          <w:rFonts w:eastAsia="Segoe UI" w:cs="Segoe UI"/>
          <w:b/>
          <w:color w:val="0F4761"/>
          <w:sz w:val="26"/>
        </w:rPr>
        <w:t>5.10  0:45 Close and tax (6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liza.quiambao, then teresa.villaroman.</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bank account BDO-OPS (Operating Account), September 2026, reconciliation BRC-2026-00005; month-end close run MEC-2026-00005 for 2026-09; BIR Form 2307 for the fourth quarter of 2026.</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50"/>
        </w:numPr>
        <w:spacing w:before="0" w:after="60"/>
        <w:rPr/>
      </w:pPr>
      <w:r>
        <w:rPr>
          <w:rFonts w:eastAsia="Segoe UI" w:cs="Segoe UI" w:ascii="Segoe UI" w:hAnsi="Segoe UI"/>
          <w:color w:val="101820"/>
          <w:sz w:val="21"/>
        </w:rPr>
        <w:t>Accounts &gt; Bank Reconciliation &gt; Reconciliation Workspace. Choose BDO-OPS and the period. Show Balance per bank, Balance per books, unmatched lines and Difference. Point to Import statement, Auto-match and Stale cheques.</w:t>
      </w:r>
    </w:p>
    <w:p>
      <w:pPr>
        <w:pStyle w:val="Normal"/>
        <w:numPr>
          <w:ilvl w:val="0"/>
          <w:numId w:val="51"/>
        </w:numPr>
        <w:spacing w:before="0" w:after="60"/>
        <w:rPr/>
      </w:pPr>
      <w:r>
        <w:rPr>
          <w:rFonts w:eastAsia="Segoe UI" w:cs="Segoe UI" w:ascii="Segoe UI" w:hAnsi="Segoe UI"/>
          <w:color w:val="101820"/>
          <w:sz w:val="21"/>
        </w:rPr>
        <w:t>Accounts &gt; Bank Reconciliation &gt; Reconciliations: the list with preparer and approver.</w:t>
      </w:r>
    </w:p>
    <w:p>
      <w:pPr>
        <w:pStyle w:val="Normal"/>
        <w:numPr>
          <w:ilvl w:val="0"/>
          <w:numId w:val="52"/>
        </w:numPr>
        <w:spacing w:before="0" w:after="60"/>
        <w:rPr/>
      </w:pPr>
      <w:r>
        <w:rPr>
          <w:rFonts w:eastAsia="Segoe UI" w:cs="Segoe UI" w:ascii="Segoe UI" w:hAnsi="Segoe UI"/>
          <w:color w:val="101820"/>
          <w:sz w:val="21"/>
        </w:rPr>
        <w:t>Accounts &gt; Period End &gt; Month-End Close. Open MEC-2026-00005. Show the steps (accruals, recurring journals, commission deferral, FX revaluation) and the checklist with Passed, Warning and Failed items.</w:t>
      </w:r>
    </w:p>
    <w:p>
      <w:pPr>
        <w:pStyle w:val="Normal"/>
        <w:numPr>
          <w:ilvl w:val="0"/>
          <w:numId w:val="53"/>
        </w:numPr>
        <w:spacing w:before="0" w:after="60"/>
        <w:rPr/>
      </w:pPr>
      <w:r>
        <w:rPr>
          <w:rFonts w:eastAsia="Segoe UI" w:cs="Segoe UI" w:ascii="Segoe UI" w:hAnsi="Segoe UI"/>
          <w:color w:val="101820"/>
          <w:sz w:val="21"/>
        </w:rPr>
        <w:t>Switch to teresa.villaroman. Show that the approval of a close run and of a reconciliation is hers, not the preparer's.</w:t>
      </w:r>
    </w:p>
    <w:p>
      <w:pPr>
        <w:pStyle w:val="Normal"/>
        <w:numPr>
          <w:ilvl w:val="0"/>
          <w:numId w:val="54"/>
        </w:numPr>
        <w:spacing w:before="0" w:after="60"/>
        <w:rPr/>
      </w:pPr>
      <w:r>
        <w:rPr>
          <w:rFonts w:eastAsia="Segoe UI" w:cs="Segoe UI" w:ascii="Segoe UI" w:hAnsi="Segoe UI"/>
          <w:color w:val="101820"/>
          <w:sz w:val="21"/>
        </w:rPr>
        <w:t>As liza.quiambao: Accounts &gt; Tax &gt; BIR Form 2307. Show Issued by us and Received, the quarter, payees, TIN, ATC and tax withheld. Point to VAT Summary, SAWT, QAP and SLSP in the same menu.</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"The ledger is inside the system. Every event posts by a posting rule you can read, and a change to a rule needs a second approver."</w:t>
      </w:r>
    </w:p>
    <w:p>
      <w:pPr>
        <w:pStyle w:val="Normal"/>
        <w:numPr>
          <w:ilvl w:val="0"/>
          <w:numId w:val="1"/>
        </w:numPr>
        <w:spacing w:before="0" w:after="60"/>
        <w:rPr/>
      </w:pPr>
      <w:r>
        <w:rPr>
          <w:rFonts w:eastAsia="Segoe UI" w:cs="Segoe UI" w:ascii="Segoe UI" w:hAnsi="Segoe UI"/>
          <w:color w:val="101820"/>
          <w:sz w:val="21"/>
        </w:rPr>
        <w:t>"The close checklist will not let you submit while a blocking item has failed, for example a bank account with activity and no approved reconciliation."</w:t>
      </w:r>
    </w:p>
    <w:p>
      <w:pPr>
        <w:pStyle w:val="Normal"/>
        <w:numPr>
          <w:ilvl w:val="0"/>
          <w:numId w:val="1"/>
        </w:numPr>
        <w:spacing w:before="0" w:after="60"/>
        <w:rPr/>
      </w:pPr>
      <w:r>
        <w:rPr>
          <w:rFonts w:eastAsia="Segoe UI" w:cs="Segoe UI" w:ascii="Segoe UI" w:hAnsi="Segoe UI"/>
          <w:color w:val="101820"/>
          <w:sz w:val="21"/>
        </w:rPr>
        <w:t>"The BIR working papers come from the same ledger lines, so they agree with the books."</w:t>
      </w:r>
    </w:p>
    <w:p>
      <w:pPr>
        <w:pStyle w:val="Normal"/>
        <w:spacing w:lineRule="auto" w:line="276" w:before="0" w:after="120"/>
        <w:rPr/>
      </w:pPr>
      <w:r>
        <w:rPr>
          <w:rFonts w:eastAsia="Segoe UI" w:cs="Segoe UI" w:ascii="Segoe UI" w:hAnsi="Segoe UI"/>
          <w:b/>
          <w:color w:val="101820"/>
          <w:sz w:val="21"/>
        </w:rPr>
        <w:t>Ask:</w:t>
      </w:r>
      <w:r>
        <w:rPr>
          <w:rFonts w:eastAsia="Segoe UI" w:cs="Segoe UI" w:ascii="Segoe UI" w:hAnsi="Segoe UI"/>
          <w:color w:val="101820"/>
          <w:sz w:val="21"/>
        </w:rPr>
        <w:t xml:space="preserve"> How many days does your month-end take today? Who prepares your BIR returns?</w:t>
      </w:r>
    </w:p>
    <w:p>
      <w:pPr>
        <w:pStyle w:val="Heading2"/>
        <w:rPr/>
      </w:pPr>
      <w:bookmarkStart w:id="25" w:name="__RefHeading___Toc2466_4285803909"/>
      <w:bookmarkEnd w:id="25"/>
      <w:r>
        <w:rPr>
          <w:rFonts w:eastAsia="Segoe UI" w:cs="Segoe UI"/>
          <w:b/>
          <w:color w:val="0F4761"/>
          <w:sz w:val="26"/>
        </w:rPr>
        <w:t>5.11  0:51 Controls and data privacy (4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beatriz.lacson, then ana.buenaventura.</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55"/>
        </w:numPr>
        <w:spacing w:before="0" w:after="60"/>
        <w:rPr/>
      </w:pPr>
      <w:r>
        <w:rPr>
          <w:rFonts w:eastAsia="Segoe UI" w:cs="Segoe UI" w:ascii="Segoe UI" w:hAnsi="Segoe UI"/>
          <w:color w:val="101820"/>
          <w:sz w:val="21"/>
        </w:rPr>
        <w:t>Master &gt; Generals &gt; User Management &gt; Authority Matrix: approval limits per transaction type and role, in PHP. Point to Limit for one person.</w:t>
      </w:r>
    </w:p>
    <w:p>
      <w:pPr>
        <w:pStyle w:val="Normal"/>
        <w:numPr>
          <w:ilvl w:val="0"/>
          <w:numId w:val="56"/>
        </w:numPr>
        <w:spacing w:before="0" w:after="60"/>
        <w:rPr/>
      </w:pPr>
      <w:r>
        <w:rPr>
          <w:rFonts w:eastAsia="Segoe UI" w:cs="Segoe UI" w:ascii="Segoe UI" w:hAnsi="Segoe UI"/>
          <w:color w:val="101820"/>
          <w:sz w:val="21"/>
        </w:rPr>
        <w:t>Master &gt; Generals &gt; User Management &gt; Segregation of Duties: block and warn rules on pairs of roles.</w:t>
      </w:r>
    </w:p>
    <w:p>
      <w:pPr>
        <w:pStyle w:val="Normal"/>
        <w:numPr>
          <w:ilvl w:val="0"/>
          <w:numId w:val="57"/>
        </w:numPr>
        <w:spacing w:before="0" w:after="60"/>
        <w:rPr/>
      </w:pPr>
      <w:r>
        <w:rPr>
          <w:rFonts w:eastAsia="Segoe UI" w:cs="Segoe UI" w:ascii="Segoe UI" w:hAnsi="Segoe UI"/>
          <w:color w:val="101820"/>
          <w:sz w:val="21"/>
        </w:rPr>
        <w:t>Master &gt; Audit Trail: filter by a user or a record; show a change with its before and after values.</w:t>
      </w:r>
    </w:p>
    <w:p>
      <w:pPr>
        <w:pStyle w:val="Normal"/>
        <w:numPr>
          <w:ilvl w:val="0"/>
          <w:numId w:val="58"/>
        </w:numPr>
        <w:spacing w:before="0" w:after="60"/>
        <w:rPr/>
      </w:pPr>
      <w:r>
        <w:rPr>
          <w:rFonts w:eastAsia="Segoe UI" w:cs="Segoe UI" w:ascii="Segoe UI" w:hAnsi="Segoe UI"/>
          <w:color w:val="101820"/>
          <w:sz w:val="21"/>
        </w:rPr>
        <w:t>Master &gt; Data Privacy &gt; Data Subject Requests. Select Log request: requester, request type (Access, Rectification, Erasure or blocking, Objection, Data portability, Withdraw consent), date received; the due date follows. Point to Export personal data (JSON or Excel) and Anonymise. Cancel without saving unless the run sheet allows it.</w:t>
      </w:r>
    </w:p>
    <w:p>
      <w:pPr>
        <w:pStyle w:val="Normal"/>
        <w:numPr>
          <w:ilvl w:val="0"/>
          <w:numId w:val="59"/>
        </w:numPr>
        <w:spacing w:before="0" w:after="60"/>
        <w:rPr/>
      </w:pPr>
      <w:r>
        <w:rPr>
          <w:rFonts w:eastAsia="Segoe UI" w:cs="Segoe UI" w:ascii="Segoe UI" w:hAnsi="Segoe UI"/>
          <w:color w:val="101820"/>
          <w:sz w:val="21"/>
        </w:rPr>
        <w:t>Master &gt; Data Privacy &gt; Consent Register: consents given, refused and withdrawn.</w:t>
      </w:r>
    </w:p>
    <w:p>
      <w:pPr>
        <w:pStyle w:val="Normal"/>
        <w:numPr>
          <w:ilvl w:val="0"/>
          <w:numId w:val="60"/>
        </w:numPr>
        <w:spacing w:before="0" w:after="60"/>
        <w:rPr/>
      </w:pPr>
      <w:r>
        <w:rPr>
          <w:rFonts w:eastAsia="Segoe UI" w:cs="Segoe UI" w:ascii="Segoe UI" w:hAnsi="Segoe UI"/>
          <w:color w:val="101820"/>
          <w:sz w:val="21"/>
        </w:rPr>
        <w:t>As ana.buenaventura: open a client, tab Data privacy. Show the consent per purpose (Processing, Marketing, Sharing with insurers) and Record consent.</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"The Data Privacy Act functions are new in this release: consent per purpose with the evidence, a register of data subject requests with due dates, export of everything held about a person, and anonymisation once the retention period is over. Anonymisation is refused while there is open business or the records must still be kept, and amounts, numbers and dates stay for the books."</w:t>
      </w:r>
    </w:p>
    <w:p>
      <w:pPr>
        <w:pStyle w:val="Normal"/>
        <w:numPr>
          <w:ilvl w:val="0"/>
          <w:numId w:val="1"/>
        </w:numPr>
        <w:spacing w:before="0" w:after="60"/>
        <w:rPr/>
      </w:pPr>
      <w:r>
        <w:rPr>
          <w:rFonts w:eastAsia="Segoe UI" w:cs="Segoe UI" w:ascii="Segoe UI" w:hAnsi="Segoe UI"/>
          <w:color w:val="101820"/>
          <w:sz w:val="21"/>
        </w:rPr>
        <w:t>"Your DPO decides the retention years, the due days and the privacy notice version. They are settings."</w:t>
      </w:r>
    </w:p>
    <w:p>
      <w:pPr>
        <w:pStyle w:val="Heading2"/>
        <w:rPr/>
      </w:pPr>
      <w:bookmarkStart w:id="26" w:name="__RefHeading___Toc2468_4285803909"/>
      <w:bookmarkEnd w:id="26"/>
      <w:r>
        <w:rPr>
          <w:rFonts w:eastAsia="Segoe UI" w:cs="Segoe UI"/>
          <w:b/>
          <w:color w:val="0F4761"/>
          <w:sz w:val="26"/>
        </w:rPr>
        <w:t>5.12  0:55 Close (5 minutes)</w:t>
      </w:r>
    </w:p>
    <w:p>
      <w:pPr>
        <w:pStyle w:val="Normal"/>
        <w:spacing w:lineRule="auto" w:line="276" w:before="0" w:after="120"/>
        <w:rPr/>
      </w:pPr>
      <w:r>
        <w:rPr>
          <w:rFonts w:eastAsia="Segoe UI" w:cs="Segoe UI" w:ascii="Segoe UI" w:hAnsi="Segoe UI"/>
          <w:b/>
          <w:color w:val="101820"/>
          <w:sz w:val="21"/>
        </w:rPr>
        <w:t>Show:</w:t>
      </w:r>
      <w:r>
        <w:rPr>
          <w:rFonts w:eastAsia="Segoe UI" w:cs="Segoe UI" w:ascii="Segoe UI" w:hAnsi="Segoe UI"/>
          <w:color w:val="101820"/>
          <w:sz w:val="21"/>
        </w:rPr>
        <w:t xml:space="preserve"> slides 25 to 28 (commercial models, indicative investment, why iorta TechNXT, next steps).</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Summarise in three points, using the prospect's own answers from the discovery questions.</w:t>
      </w:r>
    </w:p>
    <w:p>
      <w:pPr>
        <w:pStyle w:val="Normal"/>
        <w:numPr>
          <w:ilvl w:val="0"/>
          <w:numId w:val="1"/>
        </w:numPr>
        <w:spacing w:before="0" w:after="60"/>
        <w:rPr/>
      </w:pPr>
      <w:r>
        <w:rPr>
          <w:rFonts w:eastAsia="Segoe UI" w:cs="Segoe UI" w:ascii="Segoe UI" w:hAnsi="Segoe UI"/>
          <w:color w:val="101820"/>
          <w:sz w:val="21"/>
        </w:rPr>
        <w:t>"The next step we suggest is a half-day workshop with your process owners. It confirms users, lines, insurers, volumes and hosting, and it lets us size the implementation and the proposal."</w:t>
      </w:r>
    </w:p>
    <w:p>
      <w:pPr>
        <w:pStyle w:val="Normal"/>
        <w:spacing w:lineRule="auto" w:line="276" w:before="0" w:after="120"/>
        <w:rPr/>
      </w:pPr>
      <w:r>
        <w:rPr>
          <w:rFonts w:eastAsia="Segoe UI" w:cs="Segoe UI" w:ascii="Segoe UI" w:hAnsi="Segoe UI"/>
          <w:b/>
          <w:color w:val="101820"/>
          <w:sz w:val="21"/>
        </w:rPr>
        <w:t>Agree before leaving:</w:t>
      </w:r>
      <w:r>
        <w:rPr>
          <w:rFonts w:eastAsia="Segoe UI" w:cs="Segoe UI" w:ascii="Segoe UI" w:hAnsi="Segoe UI"/>
          <w:color w:val="101820"/>
          <w:sz w:val="21"/>
        </w:rPr>
        <w:t xml:space="preserve"> the workshop date, the attendees, and who sends the sample documents (two or three policies, one claim, one remittance).</w:t>
      </w:r>
      <w:r>
        <w:br w:type="page"/>
      </w:r>
    </w:p>
    <w:p>
      <w:pPr>
        <w:pStyle w:val="Heading1"/>
        <w:rPr/>
      </w:pPr>
      <w:bookmarkStart w:id="27" w:name="__RefHeading___Toc2470_4285803909"/>
      <w:bookmarkEnd w:id="27"/>
      <w:r>
        <w:rPr>
          <w:rFonts w:eastAsia="Segoe UI" w:cs="Segoe UI" w:ascii="Segoe UI" w:hAnsi="Segoe UI"/>
          <w:b/>
          <w:color w:val="0F4761"/>
          <w:sz w:val="32"/>
        </w:rPr>
        <w:t>6.  Short demonstration: 30 minutes</w:t>
      </w:r>
    </w:p>
    <w:p>
      <w:pPr>
        <w:pStyle w:val="Heading2"/>
        <w:rPr/>
      </w:pPr>
      <w:bookmarkStart w:id="28" w:name="__RefHeading___Toc2472_4285803909"/>
      <w:bookmarkEnd w:id="28"/>
      <w:r>
        <w:rPr>
          <w:rFonts w:eastAsia="Segoe UI" w:cs="Segoe UI"/>
          <w:b/>
          <w:color w:val="0F4761"/>
          <w:sz w:val="26"/>
        </w:rPr>
        <w:t>6.1  Running order</w:t>
      </w:r>
    </w:p>
    <w:tbl>
      <w:tblPr>
        <w:tblStyle w:val="TableGrid"/>
        <w:tblW w:w="90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blHeader w:val="true"/>
        </w:trPr>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Time</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Login</w:t>
            </w:r>
          </w:p>
        </w:tc>
        <w:tc>
          <w:tcPr>
            <w:tcW w:w="22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the audience sees</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0:00</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Opening</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(slides)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 and one or two questions</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0:03</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maria.rivera</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Executive Dashboard</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0:06</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maria.rivera</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list, Order Summary with taxes, Send for Customer Approval</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0:10</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jose.bernardo</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BS-2026-00047 Compare offers; a Placement Slip with Policy issued</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0:15</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Money</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liza.quiambao, nestor.pangilinan</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 and E-mail receipt; remittance approval with the notification</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0:21</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and tax</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liza.quiambao</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workspace, Month-End Close checklist, BIR Form 2307</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0:25</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beatriz.lacson</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 Audit Trail, Data Subject Requests</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0:27</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(slides)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Commercial models and next steps</w:t>
            </w:r>
          </w:p>
        </w:tc>
      </w:tr>
    </w:tbl>
    <w:p>
      <w:pPr>
        <w:pStyle w:val="Normal"/>
        <w:spacing w:before="0" w:after="80"/>
        <w:rPr/>
      </w:pPr>
      <w:r>
        <w:rPr/>
      </w:r>
    </w:p>
    <w:p>
      <w:pPr>
        <w:pStyle w:val="Heading2"/>
        <w:rPr/>
      </w:pPr>
      <w:bookmarkStart w:id="29" w:name="__RefHeading___Toc2474_4285803909"/>
      <w:bookmarkEnd w:id="29"/>
      <w:r>
        <w:rPr>
          <w:rFonts w:eastAsia="Segoe UI" w:cs="Segoe UI"/>
          <w:b/>
          <w:color w:val="0F4761"/>
          <w:sz w:val="26"/>
        </w:rPr>
        <w:t>6.2  What to leave out</w:t>
      </w:r>
    </w:p>
    <w:p>
      <w:pPr>
        <w:pStyle w:val="Normal"/>
        <w:numPr>
          <w:ilvl w:val="0"/>
          <w:numId w:val="1"/>
        </w:numPr>
        <w:spacing w:before="0" w:after="60"/>
        <w:rPr/>
      </w:pPr>
      <w:r>
        <w:rPr>
          <w:rFonts w:eastAsia="Segoe UI" w:cs="Segoe UI" w:ascii="Segoe UI" w:hAnsi="Segoe UI"/>
          <w:color w:val="101820"/>
          <w:sz w:val="21"/>
        </w:rPr>
        <w:t>Prospect creation, endorsements, claims and renewals: mention them in one sentence each and offer the full demo.</w:t>
      </w:r>
    </w:p>
    <w:p>
      <w:pPr>
        <w:pStyle w:val="Normal"/>
        <w:numPr>
          <w:ilvl w:val="0"/>
          <w:numId w:val="1"/>
        </w:numPr>
        <w:spacing w:before="0" w:after="60"/>
        <w:rPr/>
      </w:pPr>
      <w:r>
        <w:rPr>
          <w:rFonts w:eastAsia="Segoe UI" w:cs="Segoe UI" w:ascii="Segoe UI" w:hAnsi="Segoe UI"/>
          <w:color w:val="101820"/>
          <w:sz w:val="21"/>
        </w:rPr>
        <w:t>Automated Processing of remittances and direct bill: show the approval only.</w:t>
      </w:r>
    </w:p>
    <w:p>
      <w:pPr>
        <w:pStyle w:val="Normal"/>
        <w:numPr>
          <w:ilvl w:val="0"/>
          <w:numId w:val="1"/>
        </w:numPr>
        <w:spacing w:before="0" w:after="60"/>
        <w:rPr/>
      </w:pPr>
      <w:r>
        <w:rPr>
          <w:rFonts w:eastAsia="Segoe UI" w:cs="Segoe UI" w:ascii="Segoe UI" w:hAnsi="Segoe UI"/>
          <w:color w:val="101820"/>
          <w:sz w:val="21"/>
        </w:rPr>
        <w:t>Reinsurance: mention only if the prospect is an insurance and reinsurance broker.</w:t>
      </w:r>
    </w:p>
    <w:p>
      <w:pPr>
        <w:pStyle w:val="Heading2"/>
        <w:rPr/>
      </w:pPr>
      <w:bookmarkStart w:id="30" w:name="__RefHeading___Toc2476_4285803909"/>
      <w:bookmarkEnd w:id="30"/>
      <w:r>
        <w:rPr>
          <w:rFonts w:eastAsia="Segoe UI" w:cs="Segoe UI"/>
          <w:b/>
          <w:color w:val="0F4761"/>
          <w:sz w:val="26"/>
        </w:rPr>
        <w:t>6.3  What to keep</w:t>
      </w:r>
    </w:p>
    <w:p>
      <w:pPr>
        <w:pStyle w:val="Normal"/>
        <w:numPr>
          <w:ilvl w:val="0"/>
          <w:numId w:val="1"/>
        </w:numPr>
        <w:spacing w:before="0" w:after="60"/>
        <w:rPr/>
      </w:pPr>
      <w:r>
        <w:rPr>
          <w:rFonts w:eastAsia="Segoe UI" w:cs="Segoe UI" w:ascii="Segoe UI" w:hAnsi="Segoe UI"/>
          <w:color w:val="101820"/>
          <w:sz w:val="21"/>
        </w:rPr>
        <w:t>The live dashboard, because owners look at it first.</w:t>
      </w:r>
    </w:p>
    <w:p>
      <w:pPr>
        <w:pStyle w:val="Normal"/>
        <w:numPr>
          <w:ilvl w:val="0"/>
          <w:numId w:val="1"/>
        </w:numPr>
        <w:spacing w:before="0" w:after="60"/>
        <w:rPr/>
      </w:pPr>
      <w:r>
        <w:rPr>
          <w:rFonts w:eastAsia="Segoe UI" w:cs="Segoe UI" w:ascii="Segoe UI" w:hAnsi="Segoe UI"/>
          <w:color w:val="101820"/>
          <w:sz w:val="21"/>
        </w:rPr>
        <w:t>The comparison of insurer offers, because it shows that the system understands broking and not only sales.</w:t>
      </w:r>
    </w:p>
    <w:p>
      <w:pPr>
        <w:pStyle w:val="Normal"/>
        <w:numPr>
          <w:ilvl w:val="0"/>
          <w:numId w:val="1"/>
        </w:numPr>
        <w:spacing w:before="0" w:after="60"/>
        <w:rPr/>
      </w:pPr>
      <w:r>
        <w:rPr>
          <w:rFonts w:eastAsia="Segoe UI" w:cs="Segoe UI" w:ascii="Segoe UI" w:hAnsi="Segoe UI"/>
          <w:color w:val="101820"/>
          <w:sz w:val="21"/>
        </w:rPr>
        <w:t>The approval notification between two users, because it shows control without extra work.</w:t>
      </w:r>
    </w:p>
    <w:p>
      <w:pPr>
        <w:pStyle w:val="Normal"/>
        <w:numPr>
          <w:ilvl w:val="0"/>
          <w:numId w:val="1"/>
        </w:numPr>
        <w:spacing w:before="0" w:after="60"/>
        <w:rPr/>
      </w:pPr>
      <w:r>
        <w:rPr>
          <w:rFonts w:eastAsia="Segoe UI" w:cs="Segoe UI" w:ascii="Segoe UI" w:hAnsi="Segoe UI"/>
          <w:color w:val="101820"/>
          <w:sz w:val="21"/>
        </w:rPr>
        <w:t>The month-end checklist and BIR Form 2307, because the CFO decides on these.</w:t>
      </w:r>
    </w:p>
    <w:p>
      <w:pPr>
        <w:pStyle w:val="Heading2"/>
        <w:rPr/>
      </w:pPr>
      <w:bookmarkStart w:id="31" w:name="__RefHeading___Toc2478_4285803909"/>
      <w:bookmarkEnd w:id="31"/>
      <w:r>
        <w:rPr>
          <w:rFonts w:eastAsia="Segoe UI" w:cs="Segoe UI"/>
          <w:b/>
          <w:color w:val="0F4761"/>
          <w:sz w:val="26"/>
        </w:rPr>
        <w:t>6.4  Talking points for an owner or a CFO</w:t>
      </w:r>
    </w:p>
    <w:p>
      <w:pPr>
        <w:pStyle w:val="Normal"/>
        <w:numPr>
          <w:ilvl w:val="0"/>
          <w:numId w:val="1"/>
        </w:numPr>
        <w:spacing w:before="0" w:after="60"/>
        <w:rPr/>
      </w:pPr>
      <w:r>
        <w:rPr>
          <w:rFonts w:eastAsia="Segoe UI" w:cs="Segoe UI" w:ascii="Segoe UI" w:hAnsi="Segoe UI"/>
          <w:color w:val="101820"/>
          <w:sz w:val="21"/>
        </w:rPr>
        <w:t>One system for the front office, the money and the books: no second accounting package to reconcile.</w:t>
      </w:r>
    </w:p>
    <w:p>
      <w:pPr>
        <w:pStyle w:val="Normal"/>
        <w:numPr>
          <w:ilvl w:val="0"/>
          <w:numId w:val="1"/>
        </w:numPr>
        <w:spacing w:before="0" w:after="60"/>
        <w:rPr/>
      </w:pPr>
      <w:r>
        <w:rPr>
          <w:rFonts w:eastAsia="Segoe UI" w:cs="Segoe UI" w:ascii="Segoe UI" w:hAnsi="Segoe UI"/>
          <w:color w:val="101820"/>
          <w:sz w:val="21"/>
        </w:rPr>
        <w:t>Controls an auditor expects are in the product: maker-checker, signing authority, segregation of duties, audit trail.</w:t>
      </w:r>
    </w:p>
    <w:p>
      <w:pPr>
        <w:pStyle w:val="Normal"/>
        <w:numPr>
          <w:ilvl w:val="0"/>
          <w:numId w:val="1"/>
        </w:numPr>
        <w:spacing w:before="0" w:after="60"/>
        <w:rPr/>
      </w:pPr>
      <w:r>
        <w:rPr>
          <w:rFonts w:eastAsia="Segoe UI" w:cs="Segoe UI" w:ascii="Segoe UI" w:hAnsi="Segoe UI"/>
          <w:color w:val="101820"/>
          <w:sz w:val="21"/>
        </w:rPr>
        <w:t>Built for the Philippines: premium taxes by line and LGU, BIR working papers, local bank statement formats, local payment gateways, Data Privacy Act functions.</w:t>
      </w:r>
    </w:p>
    <w:p>
      <w:pPr>
        <w:pStyle w:val="Normal"/>
        <w:numPr>
          <w:ilvl w:val="0"/>
          <w:numId w:val="1"/>
        </w:numPr>
        <w:spacing w:before="0" w:after="60"/>
        <w:rPr/>
      </w:pPr>
      <w:r>
        <w:rPr>
          <w:rFonts w:eastAsia="Segoe UI" w:cs="Segoe UI" w:ascii="Segoe UI" w:hAnsi="Segoe UI"/>
          <w:color w:val="101820"/>
          <w:sz w:val="21"/>
        </w:rPr>
        <w:t>A predictable project: configure, do not customise; 8, 12 or 16 to 20 weeks by size; hypercare through the first month-end close.</w:t>
      </w:r>
    </w:p>
    <w:p>
      <w:pPr>
        <w:pStyle w:val="Normal"/>
        <w:numPr>
          <w:ilvl w:val="0"/>
          <w:numId w:val="1"/>
        </w:numPr>
        <w:spacing w:before="0" w:after="60"/>
        <w:rPr/>
      </w:pPr>
      <w:r>
        <w:rPr>
          <w:rFonts w:eastAsia="Segoe UI" w:cs="Segoe UI" w:ascii="Segoe UI" w:hAnsi="Segoe UI"/>
          <w:color w:val="101820"/>
          <w:sz w:val="21"/>
        </w:rPr>
        <w:t>Two price models: subscription for lower Year 1 cash, perpetual for lower five-year cost.</w:t>
      </w:r>
      <w:r>
        <w:br w:type="page"/>
      </w:r>
    </w:p>
    <w:p>
      <w:pPr>
        <w:pStyle w:val="Heading1"/>
        <w:rPr/>
      </w:pPr>
      <w:bookmarkStart w:id="32" w:name="__RefHeading___Toc2480_4285803909"/>
      <w:bookmarkEnd w:id="32"/>
      <w:r>
        <w:rPr>
          <w:rFonts w:eastAsia="Segoe UI" w:cs="Segoe UI" w:ascii="Segoe UI" w:hAnsi="Segoe UI"/>
          <w:b/>
          <w:color w:val="0F4761"/>
          <w:sz w:val="32"/>
        </w:rPr>
        <w:t>7.  Discovery questions</w:t>
      </w:r>
    </w:p>
    <w:p>
      <w:pPr>
        <w:pStyle w:val="Normal"/>
        <w:spacing w:lineRule="auto" w:line="276" w:before="0" w:after="120"/>
        <w:rPr/>
      </w:pPr>
      <w:r>
        <w:rPr>
          <w:rFonts w:eastAsia="Segoe UI" w:cs="Segoe UI" w:ascii="Segoe UI" w:hAnsi="Segoe UI"/>
          <w:color w:val="101820"/>
          <w:sz w:val="21"/>
        </w:rPr>
        <w:t>Ask these during the demo, not as a list at the start. The note taker records the answers; they feed the workshop and the proposal.</w:t>
      </w:r>
    </w:p>
    <w:p>
      <w:pPr>
        <w:pStyle w:val="Heading2"/>
        <w:rPr/>
      </w:pPr>
      <w:bookmarkStart w:id="33" w:name="__RefHeading___Toc2482_4285803909"/>
      <w:bookmarkEnd w:id="33"/>
      <w:r>
        <w:rPr>
          <w:rFonts w:eastAsia="Segoe UI" w:cs="Segoe UI"/>
          <w:b/>
          <w:color w:val="0F4761"/>
          <w:sz w:val="26"/>
        </w:rPr>
        <w:t>7.1  Business and volumes</w:t>
      </w:r>
    </w:p>
    <w:p>
      <w:pPr>
        <w:pStyle w:val="Normal"/>
        <w:numPr>
          <w:ilvl w:val="0"/>
          <w:numId w:val="1"/>
        </w:numPr>
        <w:spacing w:before="0" w:after="60"/>
        <w:rPr/>
      </w:pPr>
      <w:r>
        <w:rPr>
          <w:rFonts w:eastAsia="Segoe UI" w:cs="Segoe UI" w:ascii="Segoe UI" w:hAnsi="Segoe UI"/>
          <w:color w:val="101820"/>
          <w:sz w:val="21"/>
        </w:rPr>
        <w:t>How many named users would sign in, per team (sales, placement, servicing, claims, accounting, management)?</w:t>
      </w:r>
    </w:p>
    <w:p>
      <w:pPr>
        <w:pStyle w:val="Normal"/>
        <w:numPr>
          <w:ilvl w:val="0"/>
          <w:numId w:val="1"/>
        </w:numPr>
        <w:spacing w:before="0" w:after="60"/>
        <w:rPr/>
      </w:pPr>
      <w:r>
        <w:rPr>
          <w:rFonts w:eastAsia="Segoe UI" w:cs="Segoe UI" w:ascii="Segoe UI" w:hAnsi="Segoe UI"/>
          <w:color w:val="101820"/>
          <w:sz w:val="21"/>
        </w:rPr>
        <w:t>Which lines of business do you write, and which three carry most of the premium?</w:t>
      </w:r>
    </w:p>
    <w:p>
      <w:pPr>
        <w:pStyle w:val="Normal"/>
        <w:numPr>
          <w:ilvl w:val="0"/>
          <w:numId w:val="1"/>
        </w:numPr>
        <w:spacing w:before="0" w:after="60"/>
        <w:rPr/>
      </w:pPr>
      <w:r>
        <w:rPr>
          <w:rFonts w:eastAsia="Segoe UI" w:cs="Segoe UI" w:ascii="Segoe UI" w:hAnsi="Segoe UI"/>
          <w:color w:val="101820"/>
          <w:sz w:val="21"/>
        </w:rPr>
        <w:t>How many insurers do you place with, and which are on direct bill?</w:t>
      </w:r>
    </w:p>
    <w:p>
      <w:pPr>
        <w:pStyle w:val="Normal"/>
        <w:numPr>
          <w:ilvl w:val="0"/>
          <w:numId w:val="1"/>
        </w:numPr>
        <w:spacing w:before="0" w:after="60"/>
        <w:rPr/>
      </w:pPr>
      <w:r>
        <w:rPr>
          <w:rFonts w:eastAsia="Segoe UI" w:cs="Segoe UI" w:ascii="Segoe UI" w:hAnsi="Segoe UI"/>
          <w:color w:val="101820"/>
          <w:sz w:val="21"/>
        </w:rPr>
        <w:t>How many policies are in force, and how many new policies and renewals a month?</w:t>
      </w:r>
    </w:p>
    <w:p>
      <w:pPr>
        <w:pStyle w:val="Normal"/>
        <w:numPr>
          <w:ilvl w:val="0"/>
          <w:numId w:val="1"/>
        </w:numPr>
        <w:spacing w:before="0" w:after="60"/>
        <w:rPr/>
      </w:pPr>
      <w:r>
        <w:rPr>
          <w:rFonts w:eastAsia="Segoe UI" w:cs="Segoe UI" w:ascii="Segoe UI" w:hAnsi="Segoe UI"/>
          <w:color w:val="101820"/>
          <w:sz w:val="21"/>
        </w:rPr>
        <w:t>Do you use referrers or sub-agents, and how many are paid each month?</w:t>
      </w:r>
    </w:p>
    <w:p>
      <w:pPr>
        <w:pStyle w:val="Heading2"/>
        <w:rPr/>
      </w:pPr>
      <w:bookmarkStart w:id="34" w:name="__RefHeading___Toc2484_4285803909"/>
      <w:bookmarkEnd w:id="34"/>
      <w:r>
        <w:rPr>
          <w:rFonts w:eastAsia="Segoe UI" w:cs="Segoe UI"/>
          <w:b/>
          <w:color w:val="0F4761"/>
          <w:sz w:val="26"/>
        </w:rPr>
        <w:t>7.2  Process and pain</w:t>
      </w:r>
    </w:p>
    <w:p>
      <w:pPr>
        <w:pStyle w:val="Normal"/>
        <w:numPr>
          <w:ilvl w:val="0"/>
          <w:numId w:val="1"/>
        </w:numPr>
        <w:spacing w:before="0" w:after="60"/>
        <w:rPr/>
      </w:pPr>
      <w:r>
        <w:rPr>
          <w:rFonts w:eastAsia="Segoe UI" w:cs="Segoe UI" w:ascii="Segoe UI" w:hAnsi="Segoe UI"/>
          <w:color w:val="101820"/>
          <w:sz w:val="21"/>
        </w:rPr>
        <w:t>Where does a policy's information live today, and how many times is it typed again?</w:t>
      </w:r>
    </w:p>
    <w:p>
      <w:pPr>
        <w:pStyle w:val="Normal"/>
        <w:numPr>
          <w:ilvl w:val="0"/>
          <w:numId w:val="1"/>
        </w:numPr>
        <w:spacing w:before="0" w:after="60"/>
        <w:rPr/>
      </w:pPr>
      <w:r>
        <w:rPr>
          <w:rFonts w:eastAsia="Segoe UI" w:cs="Segoe UI" w:ascii="Segoe UI" w:hAnsi="Segoe UI"/>
          <w:color w:val="101820"/>
          <w:sz w:val="21"/>
        </w:rPr>
        <w:t>How do you know which premium has been collected but not yet remitted, per insurer?</w:t>
      </w:r>
    </w:p>
    <w:p>
      <w:pPr>
        <w:pStyle w:val="Normal"/>
        <w:numPr>
          <w:ilvl w:val="0"/>
          <w:numId w:val="1"/>
        </w:numPr>
        <w:spacing w:before="0" w:after="60"/>
        <w:rPr/>
      </w:pPr>
      <w:r>
        <w:rPr>
          <w:rFonts w:eastAsia="Segoe UI" w:cs="Segoe UI" w:ascii="Segoe UI" w:hAnsi="Segoe UI"/>
          <w:color w:val="101820"/>
          <w:sz w:val="21"/>
        </w:rPr>
        <w:t>How long does the month-end close take, and what holds it up?</w:t>
      </w:r>
    </w:p>
    <w:p>
      <w:pPr>
        <w:pStyle w:val="Normal"/>
        <w:numPr>
          <w:ilvl w:val="0"/>
          <w:numId w:val="1"/>
        </w:numPr>
        <w:spacing w:before="0" w:after="60"/>
        <w:rPr/>
      </w:pPr>
      <w:r>
        <w:rPr>
          <w:rFonts w:eastAsia="Segoe UI" w:cs="Segoe UI" w:ascii="Segoe UI" w:hAnsi="Segoe UI"/>
          <w:color w:val="101820"/>
          <w:sz w:val="21"/>
        </w:rPr>
        <w:t>How are BIR Form 2307 and the quarterly alphalists prepared today?</w:t>
      </w:r>
    </w:p>
    <w:p>
      <w:pPr>
        <w:pStyle w:val="Normal"/>
        <w:numPr>
          <w:ilvl w:val="0"/>
          <w:numId w:val="1"/>
        </w:numPr>
        <w:spacing w:before="0" w:after="60"/>
        <w:rPr/>
      </w:pPr>
      <w:r>
        <w:rPr>
          <w:rFonts w:eastAsia="Segoe UI" w:cs="Segoe UI" w:ascii="Segoe UI" w:hAnsi="Segoe UI"/>
          <w:color w:val="101820"/>
          <w:sz w:val="21"/>
        </w:rPr>
        <w:t>How do you handle a client's request to see or delete their personal data?</w:t>
      </w:r>
    </w:p>
    <w:p>
      <w:pPr>
        <w:pStyle w:val="Heading2"/>
        <w:rPr/>
      </w:pPr>
      <w:bookmarkStart w:id="35" w:name="__RefHeading___Toc2486_4285803909"/>
      <w:bookmarkEnd w:id="35"/>
      <w:r>
        <w:rPr>
          <w:rFonts w:eastAsia="Segoe UI" w:cs="Segoe UI"/>
          <w:b/>
          <w:color w:val="0F4761"/>
          <w:sz w:val="26"/>
        </w:rPr>
        <w:t>7.3  Decision</w:t>
      </w:r>
    </w:p>
    <w:p>
      <w:pPr>
        <w:pStyle w:val="Normal"/>
        <w:numPr>
          <w:ilvl w:val="0"/>
          <w:numId w:val="1"/>
        </w:numPr>
        <w:spacing w:before="0" w:after="60"/>
        <w:rPr/>
      </w:pPr>
      <w:r>
        <w:rPr>
          <w:rFonts w:eastAsia="Segoe UI" w:cs="Segoe UI" w:ascii="Segoe UI" w:hAnsi="Segoe UI"/>
          <w:color w:val="101820"/>
          <w:sz w:val="21"/>
        </w:rPr>
        <w:t>Who decides, who signs, and who else must agree (IT, compliance, the board, a parent company)?</w:t>
      </w:r>
    </w:p>
    <w:p>
      <w:pPr>
        <w:pStyle w:val="Normal"/>
        <w:numPr>
          <w:ilvl w:val="0"/>
          <w:numId w:val="1"/>
        </w:numPr>
        <w:spacing w:before="0" w:after="60"/>
        <w:rPr/>
      </w:pPr>
      <w:r>
        <w:rPr>
          <w:rFonts w:eastAsia="Segoe UI" w:cs="Segoe UI" w:ascii="Segoe UI" w:hAnsi="Segoe UI"/>
          <w:color w:val="101820"/>
          <w:sz w:val="21"/>
        </w:rPr>
        <w:t>Is there a date that drives the project: a system contract ending, an audit, a new branch?</w:t>
      </w:r>
    </w:p>
    <w:p>
      <w:pPr>
        <w:pStyle w:val="Normal"/>
        <w:numPr>
          <w:ilvl w:val="0"/>
          <w:numId w:val="1"/>
        </w:numPr>
        <w:spacing w:before="0" w:after="60"/>
        <w:rPr/>
      </w:pPr>
      <w:r>
        <w:rPr>
          <w:rFonts w:eastAsia="Segoe UI" w:cs="Segoe UI" w:ascii="Segoe UI" w:hAnsi="Segoe UI"/>
          <w:color w:val="101820"/>
          <w:sz w:val="21"/>
        </w:rPr>
        <w:t>Do you prefer to host in the cloud, with a Philippine partner, or in your own data centre?</w:t>
      </w:r>
    </w:p>
    <w:p>
      <w:pPr>
        <w:pStyle w:val="Normal"/>
        <w:numPr>
          <w:ilvl w:val="0"/>
          <w:numId w:val="1"/>
        </w:numPr>
        <w:spacing w:before="0" w:after="60"/>
        <w:rPr/>
      </w:pPr>
      <w:r>
        <w:rPr>
          <w:rFonts w:eastAsia="Segoe UI" w:cs="Segoe UI" w:ascii="Segoe UI" w:hAnsi="Segoe UI"/>
          <w:color w:val="101820"/>
          <w:sz w:val="21"/>
        </w:rPr>
        <w:t>Is the budget for a one-time licence, a monthly subscription, or not yet set?</w:t>
      </w:r>
      <w:r>
        <w:br w:type="page"/>
      </w:r>
    </w:p>
    <w:p>
      <w:pPr>
        <w:pStyle w:val="Heading1"/>
        <w:rPr/>
      </w:pPr>
      <w:bookmarkStart w:id="36" w:name="__RefHeading___Toc2488_4285803909"/>
      <w:bookmarkEnd w:id="36"/>
      <w:r>
        <w:rPr>
          <w:rFonts w:eastAsia="Segoe UI" w:cs="Segoe UI" w:ascii="Segoe UI" w:hAnsi="Segoe UI"/>
          <w:b/>
          <w:color w:val="0F4761"/>
          <w:sz w:val="32"/>
        </w:rPr>
        <w:t>8.  Run sheet</w:t>
      </w:r>
    </w:p>
    <w:p>
      <w:pPr>
        <w:pStyle w:val="Heading2"/>
        <w:rPr/>
      </w:pPr>
      <w:bookmarkStart w:id="37" w:name="__RefHeading___Toc2490_4285803909"/>
      <w:bookmarkEnd w:id="37"/>
      <w:r>
        <w:rPr>
          <w:rFonts w:eastAsia="Segoe UI" w:cs="Segoe UI"/>
          <w:b/>
          <w:color w:val="0F4761"/>
          <w:sz w:val="26"/>
        </w:rPr>
        <w:t>8.1  Records to confirm the day before</w:t>
      </w:r>
    </w:p>
    <w:tbl>
      <w:tblPr>
        <w:tblStyle w:val="TableGrid"/>
        <w:tblW w:w="90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blHeader w:val="true"/>
        </w:trPr>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Record in this script</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shows</w:t>
            </w:r>
          </w:p>
        </w:tc>
        <w:tc>
          <w:tcPr>
            <w:tcW w:w="22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Actual number in the demo environment</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LD-2026-00061 Gregorio Evangelista</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 detail, Create Quote</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QT-2026-00072 Bernard Bautista</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Converted to Policy</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quotation in Pending Customer</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Share, approval link</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BS-2026-00047 Visayan Coconut Oil Mills Inc.</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Market responses, Compare offers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PS-2026-00023 Longsod Builders and Developers Corp.</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Policy issued</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POL-2026-00019 Rowena Lim</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detail, endorsement types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CLM-2026-00007 Renato Tan</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detail</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OLD-MC-2025-39204 Joy Garcia</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Queue</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OR-2026-00035 Hilaga Logistics and Warehousing Corp.</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receipt</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REM-2026-00018 Pacific Crest Insurance Corp.</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Tracking</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remittance, voucher or journal waiting</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 notification</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Debit note</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DN-2026-00004 Harbor Point Non-Life Insurance Inc.</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Direct bill</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BRC-2026-00005, BDO-OPS, September 2026</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Workspace, Reconciliations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MEC-2026-00005, 2026-09</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Steps and checklist</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Form 2307</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Fourth quarter 2026, Issued by us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Payees and tax withheld</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bl>
    <w:p>
      <w:pPr>
        <w:pStyle w:val="Normal"/>
        <w:spacing w:before="0" w:after="80"/>
        <w:rPr/>
      </w:pPr>
      <w:r>
        <w:rPr/>
      </w:r>
    </w:p>
    <w:p>
      <w:pPr>
        <w:pStyle w:val="Heading2"/>
        <w:rPr/>
      </w:pPr>
      <w:bookmarkStart w:id="38" w:name="__RefHeading___Toc2492_4285803909"/>
      <w:bookmarkEnd w:id="38"/>
      <w:r>
        <w:rPr>
          <w:rFonts w:eastAsia="Segoe UI" w:cs="Segoe UI"/>
          <w:b/>
          <w:color w:val="0F4761"/>
          <w:sz w:val="26"/>
        </w:rPr>
        <w:t>8.2  If something goes wrong</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happens</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to do</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screen is slow to load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talking about the screen from the slide; reload once. Never sign in again in front of the audience.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user is signed out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Switch to the next part and sign in again while the presenter talks.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record is missing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 the next record of the same kind in the list; the point is the screen, not the number.</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question about a feature that is not in OOTB</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Say so plainly, note it for the fit-gap register, and explain that a change request is priced at the published day rates.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question on price during the demo</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Answer with the per-user price range from the slide and promise the full figures in the proposal.</w:t>
            </w:r>
          </w:p>
        </w:tc>
      </w:tr>
    </w:tbl>
    <w:p>
      <w:pPr>
        <w:pStyle w:val="Normal"/>
        <w:spacing w:before="0" w:after="80"/>
        <w:rPr/>
      </w:pPr>
      <w:r>
        <w:rPr/>
      </w:r>
      <w:r>
        <w:br w:type="page"/>
      </w:r>
    </w:p>
    <w:p>
      <w:pPr>
        <w:pStyle w:val="Heading1"/>
        <w:rPr/>
      </w:pPr>
      <w:bookmarkStart w:id="39" w:name="__RefHeading___Toc2494_4285803909"/>
      <w:bookmarkEnd w:id="39"/>
      <w:r>
        <w:rPr>
          <w:rFonts w:eastAsia="Segoe UI" w:cs="Segoe UI" w:ascii="Segoe UI" w:hAnsi="Segoe UI"/>
          <w:b/>
          <w:color w:val="0F4761"/>
          <w:sz w:val="32"/>
        </w:rPr>
        <w:t>9.  After the demonstration</w:t>
      </w:r>
    </w:p>
    <w:p>
      <w:pPr>
        <w:pStyle w:val="Heading2"/>
        <w:rPr/>
      </w:pPr>
      <w:bookmarkStart w:id="40" w:name="__RefHeading___Toc2496_4285803909"/>
      <w:bookmarkEnd w:id="40"/>
      <w:r>
        <w:rPr>
          <w:rFonts w:eastAsia="Segoe UI" w:cs="Segoe UI"/>
          <w:b/>
          <w:color w:val="0F4761"/>
          <w:sz w:val="26"/>
        </w:rPr>
        <w:t>9.1  Within one working day</w:t>
      </w:r>
    </w:p>
    <w:p>
      <w:pPr>
        <w:pStyle w:val="Normal"/>
        <w:numPr>
          <w:ilvl w:val="0"/>
          <w:numId w:val="1"/>
        </w:numPr>
        <w:spacing w:before="0" w:after="60"/>
        <w:rPr/>
      </w:pPr>
      <w:r>
        <w:rPr>
          <w:rFonts w:eastAsia="Segoe UI" w:cs="Segoe UI" w:ascii="Segoe UI" w:hAnsi="Segoe UI"/>
          <w:color w:val="101820"/>
          <w:sz w:val="21"/>
        </w:rPr>
        <w:t>Send the thank-you e-mail with the brochure and the functionality document (see the Prospect E-mail Templates).</w:t>
      </w:r>
    </w:p>
    <w:p>
      <w:pPr>
        <w:pStyle w:val="Normal"/>
        <w:numPr>
          <w:ilvl w:val="0"/>
          <w:numId w:val="1"/>
        </w:numPr>
        <w:spacing w:before="0" w:after="60"/>
        <w:rPr/>
      </w:pPr>
      <w:r>
        <w:rPr>
          <w:rFonts w:eastAsia="Segoe UI" w:cs="Segoe UI" w:ascii="Segoe UI" w:hAnsi="Segoe UI"/>
          <w:color w:val="101820"/>
          <w:sz w:val="21"/>
        </w:rPr>
        <w:t>Write up the answers to the discovery questions and share them inside iorta TechNXT.</w:t>
      </w:r>
    </w:p>
    <w:p>
      <w:pPr>
        <w:pStyle w:val="Normal"/>
        <w:numPr>
          <w:ilvl w:val="0"/>
          <w:numId w:val="1"/>
        </w:numPr>
        <w:spacing w:before="0" w:after="60"/>
        <w:rPr/>
      </w:pPr>
      <w:r>
        <w:rPr>
          <w:rFonts w:eastAsia="Segoe UI" w:cs="Segoe UI" w:ascii="Segoe UI" w:hAnsi="Segoe UI"/>
          <w:color w:val="101820"/>
          <w:sz w:val="21"/>
        </w:rPr>
        <w:t>Book the workshop, or the follow-up demo for the parts the prospect asked to see in more depth.</w:t>
      </w:r>
    </w:p>
    <w:p>
      <w:pPr>
        <w:pStyle w:val="Heading2"/>
        <w:rPr/>
      </w:pPr>
      <w:bookmarkStart w:id="41" w:name="__RefHeading___Toc2498_4285803909"/>
      <w:bookmarkEnd w:id="41"/>
      <w:r>
        <w:rPr>
          <w:rFonts w:eastAsia="Segoe UI" w:cs="Segoe UI"/>
          <w:b/>
          <w:color w:val="0F4761"/>
          <w:sz w:val="26"/>
        </w:rPr>
        <w:t>9.2  Before the proposal</w:t>
      </w:r>
    </w:p>
    <w:p>
      <w:pPr>
        <w:pStyle w:val="Normal"/>
        <w:numPr>
          <w:ilvl w:val="0"/>
          <w:numId w:val="1"/>
        </w:numPr>
        <w:spacing w:before="0" w:after="60"/>
        <w:rPr/>
      </w:pPr>
      <w:r>
        <w:rPr>
          <w:rFonts w:eastAsia="Segoe UI" w:cs="Segoe UI" w:ascii="Segoe UI" w:hAnsi="Segoe UI"/>
          <w:color w:val="101820"/>
          <w:sz w:val="21"/>
        </w:rPr>
        <w:t>Run the pricing workbook with the user count and lines of business from the workshop.</w:t>
      </w:r>
    </w:p>
    <w:p>
      <w:pPr>
        <w:pStyle w:val="Normal"/>
        <w:numPr>
          <w:ilvl w:val="0"/>
          <w:numId w:val="1"/>
        </w:numPr>
        <w:spacing w:before="0" w:after="60"/>
        <w:rPr/>
      </w:pPr>
      <w:r>
        <w:rPr>
          <w:rFonts w:eastAsia="Segoe UI" w:cs="Segoe UI" w:ascii="Segoe UI" w:hAnsi="Segoe UI"/>
          <w:color w:val="101820"/>
          <w:sz w:val="21"/>
        </w:rPr>
        <w:t>Pick the hosting option and add it as a separate line.</w:t>
      </w:r>
    </w:p>
    <w:p>
      <w:pPr>
        <w:pStyle w:val="Normal"/>
        <w:numPr>
          <w:ilvl w:val="0"/>
          <w:numId w:val="1"/>
        </w:numPr>
        <w:spacing w:before="0" w:after="60"/>
        <w:rPr/>
      </w:pPr>
      <w:r>
        <w:rPr>
          <w:rFonts w:eastAsia="Segoe UI" w:cs="Segoe UI" w:ascii="Segoe UI" w:hAnsi="Segoe UI"/>
          <w:color w:val="101820"/>
          <w:sz w:val="21"/>
        </w:rPr>
        <w:t>Note every gap found in the demo or the workshop, with whether configuration covers it or a change request is needed.</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42" w:name="__RefHeading___Toc2500_4285803909"/>
      <w:bookmarkStart w:id="43" w:name="_Toc233203395"/>
      <w:bookmarkEnd w:id="42"/>
      <w:r>
        <w:rPr>
          <w:rStyle w:val="BookTitle"/>
          <w:bCs w:val="false"/>
          <w:i w:val="false"/>
          <w:iCs w:val="false"/>
          <w:spacing w:val="0"/>
        </w:rPr>
        <w:t>10.  Document Sign-Off</w:t>
      </w:r>
      <w:bookmarkEnd w:id="43"/>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Closed</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7">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6">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6">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2"/>
    <w:lvlOverride w:ilvl="0">
      <w:startOverride w:val="1"/>
    </w:lvlOverride>
  </w:num>
  <w:num w:numId="14">
    <w:abstractNumId w:val="2"/>
    <w:lvlOverride w:ilvl="0">
      <w:startOverride w:val="1"/>
    </w:lvlOverride>
  </w:num>
  <w:num w:numId="15">
    <w:abstractNumId w:val="2"/>
  </w:num>
  <w:num w:numId="16">
    <w:abstractNumId w:val="2"/>
  </w:num>
  <w:num w:numId="17">
    <w:abstractNumId w:val="2"/>
  </w:num>
  <w:num w:numId="18">
    <w:abstractNumId w:val="2"/>
    <w:lvlOverride w:ilvl="0">
      <w:startOverride w:val="1"/>
    </w:lvlOverride>
  </w:num>
  <w:num w:numId="19">
    <w:abstractNumId w:val="2"/>
  </w:num>
  <w:num w:numId="20">
    <w:abstractNumId w:val="2"/>
  </w:num>
  <w:num w:numId="21">
    <w:abstractNumId w:val="2"/>
  </w:num>
  <w:num w:numId="22">
    <w:abstractNumId w:val="2"/>
  </w:num>
  <w:num w:numId="23">
    <w:abstractNumId w:val="2"/>
  </w:num>
  <w:num w:numId="24">
    <w:abstractNumId w:val="2"/>
    <w:lvlOverride w:ilvl="0">
      <w:startOverride w:val="1"/>
    </w:lvlOverride>
  </w:num>
  <w:num w:numId="25">
    <w:abstractNumId w:val="2"/>
  </w:num>
  <w:num w:numId="26">
    <w:abstractNumId w:val="2"/>
  </w:num>
  <w:num w:numId="27">
    <w:abstractNumId w:val="2"/>
  </w:num>
  <w:num w:numId="28">
    <w:abstractNumId w:val="2"/>
  </w:num>
  <w:num w:numId="29">
    <w:abstractNumId w:val="2"/>
  </w:num>
  <w:num w:numId="30">
    <w:abstractNumId w:val="2"/>
    <w:lvlOverride w:ilvl="0">
      <w:startOverride w:val="1"/>
    </w:lvlOverride>
  </w:num>
  <w:num w:numId="31">
    <w:abstractNumId w:val="2"/>
  </w:num>
  <w:num w:numId="32">
    <w:abstractNumId w:val="2"/>
  </w:num>
  <w:num w:numId="33">
    <w:abstractNumId w:val="2"/>
  </w:num>
  <w:num w:numId="34">
    <w:abstractNumId w:val="2"/>
  </w:num>
  <w:num w:numId="35">
    <w:abstractNumId w:val="2"/>
    <w:lvlOverride w:ilvl="0">
      <w:startOverride w:val="1"/>
    </w:lvlOverride>
  </w:num>
  <w:num w:numId="36">
    <w:abstractNumId w:val="2"/>
  </w:num>
  <w:num w:numId="37">
    <w:abstractNumId w:val="2"/>
  </w:num>
  <w:num w:numId="38">
    <w:abstractNumId w:val="2"/>
    <w:lvlOverride w:ilvl="0">
      <w:startOverride w:val="1"/>
    </w:lvlOverride>
  </w:num>
  <w:num w:numId="39">
    <w:abstractNumId w:val="2"/>
  </w:num>
  <w:num w:numId="40">
    <w:abstractNumId w:val="2"/>
  </w:num>
  <w:num w:numId="41">
    <w:abstractNumId w:val="2"/>
  </w:num>
  <w:num w:numId="42">
    <w:abstractNumId w:val="2"/>
  </w:num>
  <w:num w:numId="43">
    <w:abstractNumId w:val="2"/>
  </w:num>
  <w:num w:numId="44">
    <w:abstractNumId w:val="2"/>
    <w:lvlOverride w:ilvl="0">
      <w:startOverride w:val="1"/>
    </w:lvlOverride>
  </w:num>
  <w:num w:numId="45">
    <w:abstractNumId w:val="2"/>
  </w:num>
  <w:num w:numId="46">
    <w:abstractNumId w:val="2"/>
  </w:num>
  <w:num w:numId="47">
    <w:abstractNumId w:val="2"/>
  </w:num>
  <w:num w:numId="48">
    <w:abstractNumId w:val="2"/>
  </w:num>
  <w:num w:numId="49">
    <w:abstractNumId w:val="2"/>
  </w:num>
  <w:num w:numId="50">
    <w:abstractNumId w:val="2"/>
    <w:lvlOverride w:ilvl="0">
      <w:startOverride w:val="1"/>
    </w:lvlOverride>
  </w:num>
  <w:num w:numId="51">
    <w:abstractNumId w:val="2"/>
  </w:num>
  <w:num w:numId="52">
    <w:abstractNumId w:val="2"/>
  </w:num>
  <w:num w:numId="53">
    <w:abstractNumId w:val="2"/>
  </w:num>
  <w:num w:numId="54">
    <w:abstractNumId w:val="2"/>
  </w:num>
  <w:num w:numId="55">
    <w:abstractNumId w:val="2"/>
    <w:lvlOverride w:ilvl="0">
      <w:startOverride w:val="1"/>
    </w:lvlOverride>
  </w:num>
  <w:num w:numId="56">
    <w:abstractNumId w:val="2"/>
  </w:num>
  <w:num w:numId="57">
    <w:abstractNumId w:val="2"/>
  </w:num>
  <w:num w:numId="58">
    <w:abstractNumId w:val="2"/>
  </w:num>
  <w:num w:numId="59">
    <w:abstractNumId w:val="2"/>
  </w:num>
  <w:num w:numId="60">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2026-10-03T18:04:52Z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