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5103"/>
        <w:gridCol w:w="5216"/>
      </w:tblGrid>
      <w:tr>
        <w:tc>
          <w:tcPr>
            <w:tcW w:type="dxa" w:w="5102"/>
          </w:tcPr>
          <w:p>
            <w:pPr>
              <w:spacing w:before="0" w:after="0" w:line="240" w:lineRule="auto"/>
            </w:pPr>
            <w:r>
              <w:drawing>
                <wp:inline xmlns:a="http://schemas.openxmlformats.org/drawingml/2006/main" xmlns:pic="http://schemas.openxmlformats.org/drawingml/2006/picture">
                  <wp:extent cx="2232000" cy="634692"/>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2232000" cy="634692"/>
                          </a:xfrm>
                          <a:prstGeom prst="rect"/>
                        </pic:spPr>
                      </pic:pic>
                    </a:graphicData>
                  </a:graphic>
                </wp:inline>
              </w:drawing>
            </w:r>
          </w:p>
        </w:tc>
        <w:tc>
          <w:tcPr>
            <w:tcW w:type="dxa" w:w="5216"/>
            <w:vAlign w:val="center"/>
          </w:tcPr>
          <w:p>
            <w:pPr>
              <w:spacing w:before="0" w:after="0" w:line="269" w:lineRule="auto"/>
              <w:jc w:val="right"/>
            </w:pPr>
            <w:r>
              <w:rPr>
                <w:rFonts w:ascii="Segoe UI" w:hAnsi="Segoe UI" w:cs="Segoe UI" w:eastAsia="Segoe UI"/>
                <w:b/>
                <w:i w:val="0"/>
                <w:color w:val="0B2A4A"/>
                <w:sz w:val="18"/>
              </w:rPr>
              <w:t>Product brochure</w:t>
            </w:r>
          </w:p>
          <w:p>
            <w:pPr>
              <w:spacing w:before="0" w:after="0" w:line="269" w:lineRule="auto"/>
              <w:jc w:val="right"/>
            </w:pPr>
            <w:r>
              <w:rPr>
                <w:rFonts w:ascii="Segoe UI" w:hAnsi="Segoe UI" w:cs="Segoe UI" w:eastAsia="Segoe UI"/>
                <w:b w:val="0"/>
                <w:i w:val="0"/>
                <w:color w:val="51606F"/>
                <w:sz w:val="18"/>
              </w:rPr>
              <w:t>Out-of-the-box (OOTB) edition</w:t>
            </w:r>
          </w:p>
        </w:tc>
      </w:tr>
    </w:tbl>
    <w:p>
      <w:pPr>
        <w:spacing w:before="0" w:after="0" w:line="280" w:lineRule="exact"/>
      </w:pPr>
      <w:r>
        <w:rPr>
          <w:rFonts w:ascii="Segoe UI" w:hAnsi="Segoe UI" w:cs="Segoe UI" w:eastAsia="Segoe UI"/>
          <w:b w:val="0"/>
          <w:i w:val="0"/>
          <w:color w:val="1E2B38"/>
          <w:sz w:val="2"/>
        </w:rPr>
        <w:t xml:space="preserve"> </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10319"/>
      </w:tblGrid>
      <w:tr>
        <w:trPr>
          <w:trHeight w:val="10658" w:hRule="atLeast"/>
        </w:trPr>
        <w:tc>
          <w:tcPr>
            <w:tcW w:type="dxa" w:w="10318"/>
            <w:shd w:val="clear" w:color="auto" w:fill="0B2A4A"/>
            <w:tcMar>
              <w:top w:w="510" w:type="dxa"/>
              <w:start w:w="510" w:type="dxa"/>
              <w:left w:w="510" w:type="dxa"/>
              <w:bottom w:w="396" w:type="dxa"/>
              <w:end w:w="510" w:type="dxa"/>
              <w:right w:w="510" w:type="dxa"/>
            </w:tcMar>
          </w:tcPr>
          <w:p>
            <w:pPr>
              <w:spacing w:before="0" w:after="120" w:line="269" w:lineRule="auto"/>
            </w:pPr>
            <w:r>
              <w:rPr>
                <w:rFonts w:ascii="Segoe UI" w:hAnsi="Segoe UI" w:cs="Segoe UI" w:eastAsia="Segoe UI"/>
                <w:b/>
                <w:i w:val="0"/>
                <w:color w:val="9CC9F5"/>
                <w:sz w:val="18"/>
                <w:spacing w:val="40"/>
              </w:rPr>
              <w:t>INSURANCE BROKING PLATFORM FOR THE PHILIPPINES</w:t>
            </w:r>
          </w:p>
          <w:p>
            <w:pPr>
              <w:spacing w:before="0" w:after="80" w:line="240" w:lineRule="auto"/>
            </w:pPr>
            <w:r>
              <w:rPr>
                <w:rFonts w:ascii="Segoe UI" w:hAnsi="Segoe UI" w:cs="Segoe UI" w:eastAsia="Segoe UI"/>
                <w:b w:val="0"/>
                <w:i w:val="0"/>
                <w:color w:val="FFFFFF"/>
                <w:sz w:val="80"/>
              </w:rPr>
              <w:t xml:space="preserve">iNXT </w:t>
            </w:r>
            <w:r>
              <w:rPr>
                <w:rFonts w:ascii="Segoe UI" w:hAnsi="Segoe UI" w:cs="Segoe UI" w:eastAsia="Segoe UI"/>
                <w:b/>
                <w:i w:val="0"/>
                <w:color w:val="FFFFFF"/>
                <w:sz w:val="80"/>
              </w:rPr>
              <w:t>BrokerVerse</w:t>
            </w:r>
          </w:p>
          <w:p>
            <w:pPr>
              <w:spacing w:before="0" w:after="280" w:line="276" w:lineRule="auto"/>
            </w:pPr>
            <w:r>
              <w:rPr>
                <w:rFonts w:ascii="Segoe UI" w:hAnsi="Segoe UI" w:cs="Segoe UI" w:eastAsia="Segoe UI"/>
                <w:b w:val="0"/>
                <w:i w:val="0"/>
                <w:color w:val="FFFFFF"/>
                <w:sz w:val="30"/>
              </w:rPr>
              <w:t>Placement, policy servicing, broker accounting and BIR working papers in one system, built for Philippine non-life insurance brokers.</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5738" w:type="dxa"/>
              <w:tblCellMar>
                <w:left w:w="0" w:type="dxa"/>
                <w:right w:w="0" w:type="dxa"/>
              </w:tblCellMar>
            </w:tblPr>
            <w:tblGrid>
              <w:gridCol w:w="68"/>
              <w:gridCol w:w="5670"/>
            </w:tblGrid>
            <w:tr>
              <w:tc>
                <w:tcPr>
                  <w:tcW w:type="dxa" w:w="68"/>
                  <w:shd w:val="clear" w:color="auto" w:fill="0072D8"/>
                </w:tcPr>
                <w:p/>
              </w:tc>
              <w:tc>
                <w:tcPr>
                  <w:tcW w:type="dxa" w:w="5669"/>
                  <w:tcMar>
                    <w:top w:w="0" w:type="dxa"/>
                    <w:start w:w="198" w:type="dxa"/>
                    <w:left w:w="198" w:type="dxa"/>
                    <w:bottom w:w="0" w:type="dxa"/>
                    <w:end w:w="56" w:type="dxa"/>
                    <w:right w:w="56" w:type="dxa"/>
                  </w:tcMar>
                </w:tcPr>
                <w:p>
                  <w:pPr>
                    <w:spacing w:before="0" w:after="0" w:line="288" w:lineRule="auto"/>
                  </w:pPr>
                  <w:r>
                    <w:rPr>
                      <w:rFonts w:ascii="Segoe UI" w:hAnsi="Segoe UI" w:cs="Segoe UI" w:eastAsia="Segoe UI"/>
                      <w:b w:val="0"/>
                      <w:i w:val="0"/>
                      <w:color w:val="D3E6FA"/>
                      <w:sz w:val="20"/>
                    </w:rPr>
                    <w:t>From the first quotation to the month-end close: every slip, policy, receipt, remittance and journal in one place, with maker-checker on the money and an audit trail on every change.</w:t>
                  </w:r>
                </w:p>
              </w:tc>
            </w:tr>
          </w:tbl>
          <w:p/>
          <w:p>
            <w:pPr>
              <w:spacing w:before="0" w:after="0" w:line="320" w:lineRule="exact"/>
            </w:pPr>
            <w:r>
              <w:rPr>
                <w:rFonts w:ascii="Segoe UI" w:hAnsi="Segoe UI" w:cs="Segoe UI" w:eastAsia="Segoe UI"/>
                <w:b w:val="0"/>
                <w:i w:val="0"/>
                <w:color w:val="1E2B38"/>
                <w:sz w:val="2"/>
              </w:rPr>
              <w:t xml:space="preserve"> </w:t>
            </w:r>
          </w:p>
          <w:p>
            <w:pPr>
              <w:spacing w:before="0" w:after="0" w:line="240" w:lineRule="auto"/>
              <w:jc w:val="center"/>
            </w:pPr>
            <w:r>
              <w:drawing>
                <wp:inline xmlns:a="http://schemas.openxmlformats.org/drawingml/2006/main" xmlns:pic="http://schemas.openxmlformats.org/drawingml/2006/picture">
                  <wp:extent cx="5903999" cy="2728824"/>
                  <wp:docPr id="2" name="Picture 2"/>
                  <wp:cNvGraphicFramePr>
                    <a:graphicFrameLocks noChangeAspect="1"/>
                  </wp:cNvGraphicFramePr>
                  <a:graphic>
                    <a:graphicData uri="http://schemas.openxmlformats.org/drawingml/2006/picture">
                      <pic:pic>
                        <pic:nvPicPr>
                          <pic:cNvPr id="0" name="s-exec-dashboard.png"/>
                          <pic:cNvPicPr/>
                        </pic:nvPicPr>
                        <pic:blipFill>
                          <a:blip r:embed="rId11"/>
                          <a:stretch>
                            <a:fillRect/>
                          </a:stretch>
                        </pic:blipFill>
                        <pic:spPr>
                          <a:xfrm>
                            <a:off x="0" y="0"/>
                            <a:ext cx="5903999" cy="2728824"/>
                          </a:xfrm>
                          <a:prstGeom prst="rect"/>
                        </pic:spPr>
                      </pic:pic>
                    </a:graphicData>
                  </a:graphic>
                </wp:inline>
              </w:drawing>
            </w:r>
          </w:p>
          <w:p>
            <w:pPr>
              <w:spacing w:before="80" w:after="0" w:line="269" w:lineRule="auto"/>
            </w:pPr>
            <w:r>
              <w:rPr>
                <w:rFonts w:ascii="Segoe UI" w:hAnsi="Segoe UI" w:cs="Segoe UI" w:eastAsia="Segoe UI"/>
                <w:b w:val="0"/>
                <w:i/>
                <w:color w:val="9CC9F5"/>
                <w:sz w:val="16"/>
              </w:rPr>
              <w:t>Executive Dashboard: premium, policies, new business, claims, retention and receivables against target.</w:t>
            </w:r>
          </w:p>
        </w:tc>
      </w:tr>
    </w:tbl>
    <w:p>
      <w:pPr>
        <w:spacing w:before="0" w:after="0" w:line="200" w:lineRule="exact"/>
      </w:pPr>
      <w:r>
        <w:rPr>
          <w:rFonts w:ascii="Segoe UI" w:hAnsi="Segoe UI" w:cs="Segoe UI" w:eastAsia="Segoe UI"/>
          <w:b w:val="0"/>
          <w:i w:val="0"/>
          <w:color w:val="1E2B38"/>
          <w:sz w:val="2"/>
        </w:rPr>
        <w:t xml:space="preserve"> </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1982"/>
        <w:gridCol w:w="102"/>
        <w:gridCol w:w="1982"/>
        <w:gridCol w:w="102"/>
        <w:gridCol w:w="1982"/>
        <w:gridCol w:w="102"/>
        <w:gridCol w:w="1982"/>
        <w:gridCol w:w="102"/>
        <w:gridCol w:w="1982"/>
      </w:tblGrid>
      <w:tr>
        <w:tc>
          <w:tcPr>
            <w:tcW w:type="dxa" w:w="1982"/>
            <w:shd w:val="clear" w:color="auto" w:fill="E8F2FC"/>
            <w:tcMar>
              <w:top w:w="102" w:type="dxa"/>
              <w:start w:w="85" w:type="dxa"/>
              <w:left w:w="85" w:type="dxa"/>
              <w:bottom w:w="102" w:type="dxa"/>
              <w:end w:w="85" w:type="dxa"/>
              <w:right w:w="85" w:type="dxa"/>
            </w:tcMar>
            <w:vAlign w:val="center"/>
          </w:tcPr>
          <w:p>
            <w:pPr>
              <w:spacing w:before="0" w:after="0" w:line="240" w:lineRule="auto"/>
              <w:jc w:val="center"/>
            </w:pPr>
            <w:r>
              <w:rPr>
                <w:rFonts w:ascii="Segoe UI" w:hAnsi="Segoe UI" w:cs="Segoe UI" w:eastAsia="Segoe UI"/>
                <w:b/>
                <w:i w:val="0"/>
                <w:color w:val="0B2A4A"/>
                <w:sz w:val="40"/>
              </w:rPr>
              <w:t>854</w:t>
            </w:r>
          </w:p>
          <w:p>
            <w:pPr>
              <w:spacing w:before="0" w:after="0" w:line="240" w:lineRule="auto"/>
              <w:jc w:val="center"/>
            </w:pPr>
            <w:r>
              <w:rPr>
                <w:rFonts w:ascii="Segoe UI" w:hAnsi="Segoe UI" w:cs="Segoe UI" w:eastAsia="Segoe UI"/>
                <w:b w:val="0"/>
                <w:i w:val="0"/>
                <w:color w:val="51606F"/>
                <w:sz w:val="17"/>
              </w:rPr>
              <w:t>APIs</w:t>
            </w:r>
          </w:p>
        </w:tc>
        <w:tc>
          <w:tcPr>
            <w:tcW w:type="dxa" w:w="102"/>
          </w:tcPr>
          <w:p/>
        </w:tc>
        <w:tc>
          <w:tcPr>
            <w:tcW w:type="dxa" w:w="1982"/>
            <w:shd w:val="clear" w:color="auto" w:fill="E8F2FC"/>
            <w:tcMar>
              <w:top w:w="102" w:type="dxa"/>
              <w:start w:w="85" w:type="dxa"/>
              <w:left w:w="85" w:type="dxa"/>
              <w:bottom w:w="102" w:type="dxa"/>
              <w:end w:w="85" w:type="dxa"/>
              <w:right w:w="85" w:type="dxa"/>
            </w:tcMar>
            <w:vAlign w:val="center"/>
          </w:tcPr>
          <w:p>
            <w:pPr>
              <w:spacing w:before="0" w:after="0" w:line="240" w:lineRule="auto"/>
              <w:jc w:val="center"/>
            </w:pPr>
            <w:r>
              <w:rPr>
                <w:rFonts w:ascii="Segoe UI" w:hAnsi="Segoe UI" w:cs="Segoe UI" w:eastAsia="Segoe UI"/>
                <w:b/>
                <w:i w:val="0"/>
                <w:color w:val="0B2A4A"/>
                <w:sz w:val="40"/>
              </w:rPr>
              <w:t>39</w:t>
            </w:r>
          </w:p>
          <w:p>
            <w:pPr>
              <w:spacing w:before="0" w:after="0" w:line="240" w:lineRule="auto"/>
              <w:jc w:val="center"/>
            </w:pPr>
            <w:r>
              <w:rPr>
                <w:rFonts w:ascii="Segoe UI" w:hAnsi="Segoe UI" w:cs="Segoe UI" w:eastAsia="Segoe UI"/>
                <w:b w:val="0"/>
                <w:i w:val="0"/>
                <w:color w:val="51606F"/>
                <w:sz w:val="17"/>
              </w:rPr>
              <w:t>reports</w:t>
            </w:r>
          </w:p>
        </w:tc>
        <w:tc>
          <w:tcPr>
            <w:tcW w:type="dxa" w:w="102"/>
          </w:tcPr>
          <w:p/>
        </w:tc>
        <w:tc>
          <w:tcPr>
            <w:tcW w:type="dxa" w:w="1982"/>
            <w:shd w:val="clear" w:color="auto" w:fill="E8F2FC"/>
            <w:tcMar>
              <w:top w:w="102" w:type="dxa"/>
              <w:start w:w="85" w:type="dxa"/>
              <w:left w:w="85" w:type="dxa"/>
              <w:bottom w:w="102" w:type="dxa"/>
              <w:end w:w="85" w:type="dxa"/>
              <w:right w:w="85" w:type="dxa"/>
            </w:tcMar>
            <w:vAlign w:val="center"/>
          </w:tcPr>
          <w:p>
            <w:pPr>
              <w:spacing w:before="0" w:after="0" w:line="240" w:lineRule="auto"/>
              <w:jc w:val="center"/>
            </w:pPr>
            <w:r>
              <w:rPr>
                <w:rFonts w:ascii="Segoe UI" w:hAnsi="Segoe UI" w:cs="Segoe UI" w:eastAsia="Segoe UI"/>
                <w:b/>
                <w:i w:val="0"/>
                <w:color w:val="0B2A4A"/>
                <w:sz w:val="40"/>
              </w:rPr>
              <w:t>16</w:t>
            </w:r>
          </w:p>
          <w:p>
            <w:pPr>
              <w:spacing w:before="0" w:after="0" w:line="240" w:lineRule="auto"/>
              <w:jc w:val="center"/>
            </w:pPr>
            <w:r>
              <w:rPr>
                <w:rFonts w:ascii="Segoe UI" w:hAnsi="Segoe UI" w:cs="Segoe UI" w:eastAsia="Segoe UI"/>
                <w:b w:val="0"/>
                <w:i w:val="0"/>
                <w:color w:val="51606F"/>
                <w:sz w:val="17"/>
              </w:rPr>
              <w:t>scheduled jobs</w:t>
            </w:r>
          </w:p>
        </w:tc>
        <w:tc>
          <w:tcPr>
            <w:tcW w:type="dxa" w:w="102"/>
          </w:tcPr>
          <w:p/>
        </w:tc>
        <w:tc>
          <w:tcPr>
            <w:tcW w:type="dxa" w:w="1982"/>
            <w:shd w:val="clear" w:color="auto" w:fill="E8F2FC"/>
            <w:tcMar>
              <w:top w:w="102" w:type="dxa"/>
              <w:start w:w="85" w:type="dxa"/>
              <w:left w:w="85" w:type="dxa"/>
              <w:bottom w:w="102" w:type="dxa"/>
              <w:end w:w="85" w:type="dxa"/>
              <w:right w:w="85" w:type="dxa"/>
            </w:tcMar>
            <w:vAlign w:val="center"/>
          </w:tcPr>
          <w:p>
            <w:pPr>
              <w:spacing w:before="0" w:after="0" w:line="240" w:lineRule="auto"/>
              <w:jc w:val="center"/>
            </w:pPr>
            <w:r>
              <w:rPr>
                <w:rFonts w:ascii="Segoe UI" w:hAnsi="Segoe UI" w:cs="Segoe UI" w:eastAsia="Segoe UI"/>
                <w:b/>
                <w:i w:val="0"/>
                <w:color w:val="0B2A4A"/>
                <w:sz w:val="40"/>
              </w:rPr>
              <w:t>7</w:t>
            </w:r>
          </w:p>
          <w:p>
            <w:pPr>
              <w:spacing w:before="0" w:after="0" w:line="240" w:lineRule="auto"/>
              <w:jc w:val="center"/>
            </w:pPr>
            <w:r>
              <w:rPr>
                <w:rFonts w:ascii="Segoe UI" w:hAnsi="Segoe UI" w:cs="Segoe UI" w:eastAsia="Segoe UI"/>
                <w:b w:val="0"/>
                <w:i w:val="0"/>
                <w:color w:val="51606F"/>
                <w:sz w:val="17"/>
              </w:rPr>
              <w:t>personas</w:t>
            </w:r>
          </w:p>
        </w:tc>
        <w:tc>
          <w:tcPr>
            <w:tcW w:type="dxa" w:w="102"/>
          </w:tcPr>
          <w:p/>
        </w:tc>
        <w:tc>
          <w:tcPr>
            <w:tcW w:type="dxa" w:w="1982"/>
            <w:shd w:val="clear" w:color="auto" w:fill="E8F2FC"/>
            <w:tcMar>
              <w:top w:w="102" w:type="dxa"/>
              <w:start w:w="85" w:type="dxa"/>
              <w:left w:w="85" w:type="dxa"/>
              <w:bottom w:w="102" w:type="dxa"/>
              <w:end w:w="85" w:type="dxa"/>
              <w:right w:w="85" w:type="dxa"/>
            </w:tcMar>
            <w:vAlign w:val="center"/>
          </w:tcPr>
          <w:p>
            <w:pPr>
              <w:spacing w:before="0" w:after="0" w:line="240" w:lineRule="auto"/>
              <w:jc w:val="center"/>
            </w:pPr>
            <w:r>
              <w:rPr>
                <w:rFonts w:ascii="Segoe UI" w:hAnsi="Segoe UI" w:cs="Segoe UI" w:eastAsia="Segoe UI"/>
                <w:b/>
                <w:i w:val="0"/>
                <w:color w:val="0B2A4A"/>
                <w:sz w:val="40"/>
              </w:rPr>
              <w:t>497</w:t>
            </w:r>
          </w:p>
          <w:p>
            <w:pPr>
              <w:spacing w:before="0" w:after="0" w:line="240" w:lineRule="auto"/>
              <w:jc w:val="center"/>
            </w:pPr>
            <w:r>
              <w:rPr>
                <w:rFonts w:ascii="Segoe UI" w:hAnsi="Segoe UI" w:cs="Segoe UI" w:eastAsia="Segoe UI"/>
                <w:b w:val="0"/>
                <w:i w:val="0"/>
                <w:color w:val="51606F"/>
                <w:sz w:val="17"/>
              </w:rPr>
              <w:t>test cases</w:t>
            </w:r>
          </w:p>
        </w:tc>
      </w:tr>
    </w:tbl>
    <w:p>
      <w:pPr>
        <w:spacing w:before="100" w:after="0" w:line="269" w:lineRule="auto"/>
        <w:jc w:val="center"/>
      </w:pPr>
      <w:r>
        <w:rPr>
          <w:rFonts w:ascii="Segoe UI" w:hAnsi="Segoe UI" w:cs="Segoe UI" w:eastAsia="Segoe UI"/>
          <w:b w:val="0"/>
          <w:i w:val="0"/>
          <w:color w:val="51606F"/>
          <w:sz w:val="15"/>
        </w:rPr>
        <w:t>Figures of the OOTB release test of 03 and 04 October 2026: 480 of the 497 test cases passed, a 23-step policy life cycle passed end to end, and every role was checked on all 173 menu screens.</w:t>
      </w:r>
    </w:p>
    <w:p>
      <w:pPr>
        <w:spacing w:before="0" w:after="0" w:line="240" w:lineRule="auto"/>
      </w:pPr>
      <w:r>
        <w:br w:type="page"/>
      </w:r>
    </w:p>
    <w:p>
      <w:pPr>
        <w:spacing w:before="0" w:after="40" w:line="269" w:lineRule="auto"/>
      </w:pPr>
      <w:r>
        <w:rPr>
          <w:rFonts w:ascii="Segoe UI" w:hAnsi="Segoe UI" w:cs="Segoe UI" w:eastAsia="Segoe UI"/>
          <w:b/>
          <w:i w:val="0"/>
          <w:color w:val="0072D8"/>
          <w:sz w:val="17"/>
          <w:spacing w:val="30"/>
        </w:rPr>
        <w:t>WHY BROKERS CHANGE SYSTEMS</w:t>
      </w:r>
    </w:p>
    <w:p>
      <w:pPr>
        <w:spacing w:before="0" w:after="120" w:line="240" w:lineRule="auto"/>
      </w:pPr>
      <w:r>
        <w:rPr>
          <w:rFonts w:ascii="Segoe UI" w:hAnsi="Segoe UI" w:cs="Segoe UI" w:eastAsia="Segoe UI"/>
          <w:b/>
          <w:i w:val="0"/>
          <w:color w:val="0B2A4A"/>
          <w:sz w:val="40"/>
        </w:rPr>
        <w:t>Where a broker’s time goes today</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1247"/>
        <w:gridCol w:w="9072"/>
      </w:tblGrid>
      <w:tr>
        <w:trPr>
          <w:trHeight w:val="51" w:hRule="exact"/>
        </w:trPr>
        <w:tc>
          <w:tcPr>
            <w:tcW w:type="dxa" w:w="1247"/>
            <w:shd w:val="clear" w:color="auto" w:fill="0072D8"/>
          </w:tcPr>
          <w:p>
            <w:pPr>
              <w:spacing w:before="0" w:after="0" w:line="20" w:lineRule="exact"/>
            </w:pPr>
          </w:p>
        </w:tc>
        <w:tc>
          <w:tcPr>
            <w:tcW w:type="dxa" w:w="9071"/>
          </w:tcPr>
          <w:p>
            <w:pPr>
              <w:spacing w:before="0" w:after="0" w:line="20" w:lineRule="exact"/>
            </w:pPr>
          </w:p>
        </w:tc>
      </w:tr>
    </w:tbl>
    <w:p>
      <w:pPr>
        <w:spacing w:before="160" w:after="160" w:line="283" w:lineRule="auto"/>
      </w:pPr>
      <w:r>
        <w:rPr>
          <w:rFonts w:ascii="Segoe UI" w:hAnsi="Segoe UI" w:cs="Segoe UI" w:eastAsia="Segoe UI"/>
          <w:b w:val="0"/>
          <w:i w:val="0"/>
          <w:color w:val="51606F"/>
          <w:sz w:val="21"/>
        </w:rPr>
        <w:t>A Philippine non-life broker earns its commission on placement and service, yet much of the day goes to re-keying the same risk, premium and share into e-mails, spreadsheets and ledgers. These are the five gaps we hear most, and what BrokerVerse does about each of them.</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3742"/>
        <w:gridCol w:w="141"/>
        <w:gridCol w:w="6435"/>
      </w:tblGrid>
      <w:tr>
        <w:tc>
          <w:tcPr>
            <w:tcW w:type="dxa" w:w="3742"/>
          </w:tcPr>
          <w:p>
            <w:pPr>
              <w:spacing w:before="0" w:after="60" w:line="269" w:lineRule="auto"/>
            </w:pPr>
            <w:r>
              <w:rPr>
                <w:rFonts w:ascii="Segoe UI" w:hAnsi="Segoe UI" w:cs="Segoe UI" w:eastAsia="Segoe UI"/>
                <w:b/>
                <w:i w:val="0"/>
                <w:color w:val="51606F"/>
                <w:sz w:val="17"/>
                <w:spacing w:val="30"/>
              </w:rPr>
              <w:t>TODAY</w:t>
            </w:r>
          </w:p>
        </w:tc>
        <w:tc>
          <w:tcPr>
            <w:tcW w:type="dxa" w:w="142"/>
          </w:tcPr>
          <w:p/>
        </w:tc>
        <w:tc>
          <w:tcPr>
            <w:tcW w:type="dxa" w:w="6435"/>
          </w:tcPr>
          <w:p>
            <w:pPr>
              <w:spacing w:before="0" w:after="60" w:line="269" w:lineRule="auto"/>
            </w:pPr>
            <w:r>
              <w:rPr>
                <w:rFonts w:ascii="Segoe UI" w:hAnsi="Segoe UI" w:cs="Segoe UI" w:eastAsia="Segoe UI"/>
                <w:b/>
                <w:i w:val="0"/>
                <w:color w:val="0072D8"/>
                <w:sz w:val="17"/>
                <w:spacing w:val="30"/>
              </w:rPr>
              <w:t>WITH BROKERVERSE</w:t>
            </w:r>
          </w:p>
        </w:tc>
      </w:tr>
      <w:tr>
        <w:trPr>
          <w:cantSplit/>
        </w:trPr>
        <w:tc>
          <w:tcPr>
            <w:tcW w:type="dxa" w:w="3742"/>
            <w:shd w:val="clear" w:color="auto" w:fill="F1F3F6"/>
            <w:tcMar>
              <w:top w:w="141" w:type="dxa"/>
              <w:start w:w="170" w:type="dxa"/>
              <w:left w:w="170" w:type="dxa"/>
              <w:bottom w:w="141" w:type="dxa"/>
              <w:end w:w="170" w:type="dxa"/>
              <w:right w:w="170" w:type="dxa"/>
            </w:tcMar>
          </w:tcPr>
          <w:p>
            <w:pPr>
              <w:spacing w:before="0" w:after="40" w:line="240" w:lineRule="auto"/>
            </w:pPr>
            <w:r>
              <w:rPr>
                <w:rFonts w:ascii="Segoe UI" w:hAnsi="Segoe UI" w:cs="Segoe UI" w:eastAsia="Segoe UI"/>
                <w:b/>
                <w:i w:val="0"/>
                <w:color w:val="0B2A4A"/>
                <w:sz w:val="22"/>
              </w:rPr>
              <w:t>Manual placement</w:t>
            </w:r>
          </w:p>
          <w:p>
            <w:pPr>
              <w:spacing w:before="0" w:after="0" w:line="276" w:lineRule="auto"/>
            </w:pPr>
            <w:r>
              <w:rPr>
                <w:rFonts w:ascii="Segoe UI" w:hAnsi="Segoe UI" w:cs="Segoe UI" w:eastAsia="Segoe UI"/>
                <w:b w:val="0"/>
                <w:i w:val="0"/>
                <w:color w:val="51606F"/>
                <w:sz w:val="17"/>
              </w:rPr>
              <w:t>Broker slips go out by e-mail, offers come back as PDFs, and the chosen shares are typed again into the quotation, the policy and the bill.</w:t>
            </w:r>
          </w:p>
        </w:tc>
        <w:tc>
          <w:tcPr>
            <w:tcW w:type="dxa" w:w="141"/>
          </w:tcPr>
          <w:p/>
        </w:tc>
        <w:tc>
          <w:tcPr>
            <w:tcW w:type="dxa" w:w="6435"/>
            <w:shd w:val="clear" w:color="auto" w:fill="E8F2FC"/>
            <w:tcMar>
              <w:top w:w="141" w:type="dxa"/>
              <w:start w:w="198" w:type="dxa"/>
              <w:left w:w="198" w:type="dxa"/>
              <w:bottom w:w="141" w:type="dxa"/>
              <w:end w:w="170" w:type="dxa"/>
              <w:right w:w="170" w:type="dxa"/>
            </w:tcMar>
            <w:tcBorders>
              <w:left w:val="single" w:sz="24" w:space="0" w:color="0072D8"/>
            </w:tcBorders>
            <w:vAlign w:val="center"/>
          </w:tcPr>
          <w:p>
            <w:pPr>
              <w:spacing w:before="0" w:after="0" w:line="283" w:lineRule="auto"/>
            </w:pPr>
            <w:r>
              <w:rPr>
                <w:rFonts w:ascii="Segoe UI" w:hAnsi="Segoe UI" w:cs="Segoe UI" w:eastAsia="Segoe UI"/>
                <w:b w:val="0"/>
                <w:i w:val="0"/>
                <w:color w:val="1E2B38"/>
                <w:sz w:val="18"/>
              </w:rPr>
              <w:t>Request for Quotation sends one slip to every insurer approached, records each offer or decline, ranks the offers and carries the chosen lead and co-insurer shares into the Placement Slip and the policy.</w:t>
            </w:r>
          </w:p>
        </w:tc>
      </w:tr>
      <w:tr>
        <w:trPr>
          <w:trHeight w:val="125" w:hRule="exact"/>
        </w:trPr>
        <w:tc>
          <w:tcPr>
            <w:tcW w:type="dxa" w:w="3742"/>
          </w:tcPr>
          <w:p/>
        </w:tc>
        <w:tc>
          <w:tcPr>
            <w:tcW w:type="dxa" w:w="141"/>
          </w:tcPr>
          <w:p/>
        </w:tc>
        <w:tc>
          <w:tcPr>
            <w:tcW w:type="dxa" w:w="6435"/>
          </w:tcPr>
          <w:p/>
        </w:tc>
      </w:tr>
      <w:tr>
        <w:trPr>
          <w:cantSplit/>
        </w:trPr>
        <w:tc>
          <w:tcPr>
            <w:tcW w:type="dxa" w:w="3742"/>
            <w:shd w:val="clear" w:color="auto" w:fill="F1F3F6"/>
            <w:tcMar>
              <w:top w:w="141" w:type="dxa"/>
              <w:start w:w="170" w:type="dxa"/>
              <w:left w:w="170" w:type="dxa"/>
              <w:bottom w:w="141" w:type="dxa"/>
              <w:end w:w="170" w:type="dxa"/>
              <w:right w:w="170" w:type="dxa"/>
            </w:tcMar>
          </w:tcPr>
          <w:p>
            <w:pPr>
              <w:spacing w:before="0" w:after="40" w:line="240" w:lineRule="auto"/>
            </w:pPr>
            <w:r>
              <w:rPr>
                <w:rFonts w:ascii="Segoe UI" w:hAnsi="Segoe UI" w:cs="Segoe UI" w:eastAsia="Segoe UI"/>
                <w:b/>
                <w:i w:val="0"/>
                <w:color w:val="0B2A4A"/>
                <w:sz w:val="22"/>
              </w:rPr>
              <w:t>Spreadsheets for remittance</w:t>
            </w:r>
          </w:p>
          <w:p>
            <w:pPr>
              <w:spacing w:before="0" w:after="0" w:line="276" w:lineRule="auto"/>
            </w:pPr>
            <w:r>
              <w:rPr>
                <w:rFonts w:ascii="Segoe UI" w:hAnsi="Segoe UI" w:cs="Segoe UI" w:eastAsia="Segoe UI"/>
                <w:b w:val="0"/>
                <w:i w:val="0"/>
                <w:color w:val="51606F"/>
                <w:sz w:val="17"/>
              </w:rPr>
              <w:t>Premium collected for each insurer is worked out by hand, net of commission and per co-insurer share, month after month.</w:t>
            </w:r>
          </w:p>
        </w:tc>
        <w:tc>
          <w:tcPr>
            <w:tcW w:type="dxa" w:w="141"/>
          </w:tcPr>
          <w:p/>
        </w:tc>
        <w:tc>
          <w:tcPr>
            <w:tcW w:type="dxa" w:w="6435"/>
            <w:shd w:val="clear" w:color="auto" w:fill="E8F2FC"/>
            <w:tcMar>
              <w:top w:w="141" w:type="dxa"/>
              <w:start w:w="198" w:type="dxa"/>
              <w:left w:w="198" w:type="dxa"/>
              <w:bottom w:w="141" w:type="dxa"/>
              <w:end w:w="170" w:type="dxa"/>
              <w:right w:w="170" w:type="dxa"/>
            </w:tcMar>
            <w:tcBorders>
              <w:left w:val="single" w:sz="24" w:space="0" w:color="0072D8"/>
            </w:tcBorders>
            <w:vAlign w:val="center"/>
          </w:tcPr>
          <w:p>
            <w:pPr>
              <w:spacing w:before="0" w:after="0" w:line="283" w:lineRule="auto"/>
            </w:pPr>
            <w:r>
              <w:rPr>
                <w:rFonts w:ascii="Segoe UI" w:hAnsi="Segoe UI" w:cs="Segoe UI" w:eastAsia="Segoe UI"/>
                <w:b w:val="0"/>
                <w:i w:val="0"/>
                <w:color w:val="1E2B38"/>
                <w:sz w:val="18"/>
              </w:rPr>
              <w:t>Automated Processing builds the remittance per insurer from collected premium, net of commission and by share, with approval levels by amount, a settlement voucher and Remittance Ageing on each insurer’s terms.</w:t>
            </w:r>
          </w:p>
        </w:tc>
      </w:tr>
      <w:tr>
        <w:trPr>
          <w:trHeight w:val="125" w:hRule="exact"/>
        </w:trPr>
        <w:tc>
          <w:tcPr>
            <w:tcW w:type="dxa" w:w="3742"/>
          </w:tcPr>
          <w:p/>
        </w:tc>
        <w:tc>
          <w:tcPr>
            <w:tcW w:type="dxa" w:w="141"/>
          </w:tcPr>
          <w:p/>
        </w:tc>
        <w:tc>
          <w:tcPr>
            <w:tcW w:type="dxa" w:w="6435"/>
          </w:tcPr>
          <w:p/>
        </w:tc>
      </w:tr>
      <w:tr>
        <w:trPr>
          <w:cantSplit/>
        </w:trPr>
        <w:tc>
          <w:tcPr>
            <w:tcW w:type="dxa" w:w="3742"/>
            <w:shd w:val="clear" w:color="auto" w:fill="F1F3F6"/>
            <w:tcMar>
              <w:top w:w="141" w:type="dxa"/>
              <w:start w:w="170" w:type="dxa"/>
              <w:left w:w="170" w:type="dxa"/>
              <w:bottom w:w="141" w:type="dxa"/>
              <w:end w:w="170" w:type="dxa"/>
              <w:right w:w="170" w:type="dxa"/>
            </w:tcMar>
          </w:tcPr>
          <w:p>
            <w:pPr>
              <w:spacing w:before="0" w:after="40" w:line="240" w:lineRule="auto"/>
            </w:pPr>
            <w:r>
              <w:rPr>
                <w:rFonts w:ascii="Segoe UI" w:hAnsi="Segoe UI" w:cs="Segoe UI" w:eastAsia="Segoe UI"/>
                <w:b/>
                <w:i w:val="0"/>
                <w:color w:val="0B2A4A"/>
                <w:sz w:val="22"/>
              </w:rPr>
              <w:t>BIR compliance effort</w:t>
            </w:r>
          </w:p>
          <w:p>
            <w:pPr>
              <w:spacing w:before="0" w:after="0" w:line="276" w:lineRule="auto"/>
            </w:pPr>
            <w:r>
              <w:rPr>
                <w:rFonts w:ascii="Segoe UI" w:hAnsi="Segoe UI" w:cs="Segoe UI" w:eastAsia="Segoe UI"/>
                <w:b w:val="0"/>
                <w:i w:val="0"/>
                <w:color w:val="51606F"/>
                <w:sz w:val="17"/>
              </w:rPr>
              <w:t>VAT, withholding tax and alphalists are rebuilt from the books at each deadline, and Forms 2307 are tracked in folders.</w:t>
            </w:r>
          </w:p>
        </w:tc>
        <w:tc>
          <w:tcPr>
            <w:tcW w:type="dxa" w:w="141"/>
          </w:tcPr>
          <w:p/>
        </w:tc>
        <w:tc>
          <w:tcPr>
            <w:tcW w:type="dxa" w:w="6435"/>
            <w:shd w:val="clear" w:color="auto" w:fill="E8F2FC"/>
            <w:tcMar>
              <w:top w:w="141" w:type="dxa"/>
              <w:start w:w="198" w:type="dxa"/>
              <w:left w:w="198" w:type="dxa"/>
              <w:bottom w:w="141" w:type="dxa"/>
              <w:end w:w="170" w:type="dxa"/>
              <w:right w:w="170" w:type="dxa"/>
            </w:tcMar>
            <w:tcBorders>
              <w:left w:val="single" w:sz="24" w:space="0" w:color="0072D8"/>
            </w:tcBorders>
            <w:vAlign w:val="center"/>
          </w:tcPr>
          <w:p>
            <w:pPr>
              <w:spacing w:before="0" w:after="0" w:line="283" w:lineRule="auto"/>
            </w:pPr>
            <w:r>
              <w:rPr>
                <w:rFonts w:ascii="Segoe UI" w:hAnsi="Segoe UI" w:cs="Segoe UI" w:eastAsia="Segoe UI"/>
                <w:b w:val="0"/>
                <w:i w:val="0"/>
                <w:color w:val="1E2B38"/>
                <w:sz w:val="18"/>
              </w:rPr>
              <w:t>Taxes are split when the policy is billed. VAT Summary, SAWT, QAP and SLSP come out of the ledger in the BIR column order, and BIR Form 2307 is issued and received with its own number series.</w:t>
            </w:r>
          </w:p>
        </w:tc>
      </w:tr>
      <w:tr>
        <w:trPr>
          <w:trHeight w:val="125" w:hRule="exact"/>
        </w:trPr>
        <w:tc>
          <w:tcPr>
            <w:tcW w:type="dxa" w:w="3742"/>
          </w:tcPr>
          <w:p/>
        </w:tc>
        <w:tc>
          <w:tcPr>
            <w:tcW w:type="dxa" w:w="141"/>
          </w:tcPr>
          <w:p/>
        </w:tc>
        <w:tc>
          <w:tcPr>
            <w:tcW w:type="dxa" w:w="6435"/>
          </w:tcPr>
          <w:p/>
        </w:tc>
      </w:tr>
      <w:tr>
        <w:trPr>
          <w:cantSplit/>
        </w:trPr>
        <w:tc>
          <w:tcPr>
            <w:tcW w:type="dxa" w:w="3742"/>
            <w:shd w:val="clear" w:color="auto" w:fill="F1F3F6"/>
            <w:tcMar>
              <w:top w:w="141" w:type="dxa"/>
              <w:start w:w="170" w:type="dxa"/>
              <w:left w:w="170" w:type="dxa"/>
              <w:bottom w:w="141" w:type="dxa"/>
              <w:end w:w="170" w:type="dxa"/>
              <w:right w:w="170" w:type="dxa"/>
            </w:tcMar>
          </w:tcPr>
          <w:p>
            <w:pPr>
              <w:spacing w:before="0" w:after="40" w:line="240" w:lineRule="auto"/>
            </w:pPr>
            <w:r>
              <w:rPr>
                <w:rFonts w:ascii="Segoe UI" w:hAnsi="Segoe UI" w:cs="Segoe UI" w:eastAsia="Segoe UI"/>
                <w:b/>
                <w:i w:val="0"/>
                <w:color w:val="0B2A4A"/>
                <w:sz w:val="22"/>
              </w:rPr>
              <w:t>Slow renewals</w:t>
            </w:r>
          </w:p>
          <w:p>
            <w:pPr>
              <w:spacing w:before="0" w:after="0" w:line="276" w:lineRule="auto"/>
            </w:pPr>
            <w:r>
              <w:rPr>
                <w:rFonts w:ascii="Segoe UI" w:hAnsi="Segoe UI" w:cs="Segoe UI" w:eastAsia="Segoe UI"/>
                <w:b w:val="0"/>
                <w:i w:val="0"/>
                <w:color w:val="51606F"/>
                <w:sz w:val="17"/>
              </w:rPr>
              <w:t>Expiring policies are found late, notices depend on someone remembering, and lapses are noticed after the fact.</w:t>
            </w:r>
          </w:p>
        </w:tc>
        <w:tc>
          <w:tcPr>
            <w:tcW w:type="dxa" w:w="141"/>
          </w:tcPr>
          <w:p/>
        </w:tc>
        <w:tc>
          <w:tcPr>
            <w:tcW w:type="dxa" w:w="6435"/>
            <w:shd w:val="clear" w:color="auto" w:fill="E8F2FC"/>
            <w:tcMar>
              <w:top w:w="141" w:type="dxa"/>
              <w:start w:w="198" w:type="dxa"/>
              <w:left w:w="198" w:type="dxa"/>
              <w:bottom w:w="141" w:type="dxa"/>
              <w:end w:w="170" w:type="dxa"/>
              <w:right w:w="170" w:type="dxa"/>
            </w:tcMar>
            <w:tcBorders>
              <w:left w:val="single" w:sz="24" w:space="0" w:color="0072D8"/>
            </w:tcBorders>
            <w:vAlign w:val="center"/>
          </w:tcPr>
          <w:p>
            <w:pPr>
              <w:spacing w:before="0" w:after="0" w:line="283" w:lineRule="auto"/>
            </w:pPr>
            <w:r>
              <w:rPr>
                <w:rFonts w:ascii="Segoe UI" w:hAnsi="Segoe UI" w:cs="Segoe UI" w:eastAsia="Segoe UI"/>
                <w:b w:val="0"/>
                <w:i w:val="0"/>
                <w:color w:val="1E2B38"/>
                <w:sz w:val="18"/>
              </w:rPr>
              <w:t>Every policy enters the renewal pipeline 90 days before expiry, notices go out at 60, 30 and 15 days, at-risk policies are scored, and lapses after the 30-day grace period are tracked for win-back.</w:t>
            </w:r>
          </w:p>
        </w:tc>
      </w:tr>
      <w:tr>
        <w:trPr>
          <w:trHeight w:val="125" w:hRule="exact"/>
        </w:trPr>
        <w:tc>
          <w:tcPr>
            <w:tcW w:type="dxa" w:w="3742"/>
          </w:tcPr>
          <w:p/>
        </w:tc>
        <w:tc>
          <w:tcPr>
            <w:tcW w:type="dxa" w:w="141"/>
          </w:tcPr>
          <w:p/>
        </w:tc>
        <w:tc>
          <w:tcPr>
            <w:tcW w:type="dxa" w:w="6435"/>
          </w:tcPr>
          <w:p/>
        </w:tc>
      </w:tr>
      <w:tr>
        <w:trPr>
          <w:cantSplit/>
        </w:trPr>
        <w:tc>
          <w:tcPr>
            <w:tcW w:type="dxa" w:w="3742"/>
            <w:shd w:val="clear" w:color="auto" w:fill="F1F3F6"/>
            <w:tcMar>
              <w:top w:w="141" w:type="dxa"/>
              <w:start w:w="170" w:type="dxa"/>
              <w:left w:w="170" w:type="dxa"/>
              <w:bottom w:w="141" w:type="dxa"/>
              <w:end w:w="170" w:type="dxa"/>
              <w:right w:w="170" w:type="dxa"/>
            </w:tcMar>
          </w:tcPr>
          <w:p>
            <w:pPr>
              <w:spacing w:before="0" w:after="40" w:line="240" w:lineRule="auto"/>
            </w:pPr>
            <w:r>
              <w:rPr>
                <w:rFonts w:ascii="Segoe UI" w:hAnsi="Segoe UI" w:cs="Segoe UI" w:eastAsia="Segoe UI"/>
                <w:b/>
                <w:i w:val="0"/>
                <w:color w:val="0B2A4A"/>
                <w:sz w:val="22"/>
              </w:rPr>
              <w:t>Audit gaps</w:t>
            </w:r>
          </w:p>
          <w:p>
            <w:pPr>
              <w:spacing w:before="0" w:after="0" w:line="276" w:lineRule="auto"/>
            </w:pPr>
            <w:r>
              <w:rPr>
                <w:rFonts w:ascii="Segoe UI" w:hAnsi="Segoe UI" w:cs="Segoe UI" w:eastAsia="Segoe UI"/>
                <w:b w:val="0"/>
                <w:i w:val="0"/>
                <w:color w:val="51606F"/>
                <w:sz w:val="17"/>
              </w:rPr>
              <w:t>Approvals happen by e-mail or signature, changes leave no trace, and the books stay open after the month is reported.</w:t>
            </w:r>
          </w:p>
        </w:tc>
        <w:tc>
          <w:tcPr>
            <w:tcW w:type="dxa" w:w="141"/>
          </w:tcPr>
          <w:p/>
        </w:tc>
        <w:tc>
          <w:tcPr>
            <w:tcW w:type="dxa" w:w="6435"/>
            <w:shd w:val="clear" w:color="auto" w:fill="E8F2FC"/>
            <w:tcMar>
              <w:top w:w="141" w:type="dxa"/>
              <w:start w:w="198" w:type="dxa"/>
              <w:left w:w="198" w:type="dxa"/>
              <w:bottom w:w="141" w:type="dxa"/>
              <w:end w:w="170" w:type="dxa"/>
              <w:right w:w="170" w:type="dxa"/>
            </w:tcMar>
            <w:tcBorders>
              <w:left w:val="single" w:sz="24" w:space="0" w:color="0072D8"/>
            </w:tcBorders>
            <w:vAlign w:val="center"/>
          </w:tcPr>
          <w:p>
            <w:pPr>
              <w:spacing w:before="0" w:after="0" w:line="283" w:lineRule="auto"/>
            </w:pPr>
            <w:r>
              <w:rPr>
                <w:rFonts w:ascii="Segoe UI" w:hAnsi="Segoe UI" w:cs="Segoe UI" w:eastAsia="Segoe UI"/>
                <w:b w:val="0"/>
                <w:i w:val="0"/>
                <w:color w:val="1E2B38"/>
                <w:sz w:val="18"/>
              </w:rPr>
              <w:t>Maker-checker on quotations, vouchers, remittances, settlements and closes, with notifications to the approvers; an audit trail with before and after values; 52 number series; periods that soft-close, close and lock.</w:t>
            </w:r>
          </w:p>
        </w:tc>
      </w:tr>
      <w:tr>
        <w:trPr>
          <w:trHeight w:val="125" w:hRule="exact"/>
        </w:trPr>
        <w:tc>
          <w:tcPr>
            <w:tcW w:type="dxa" w:w="3742"/>
          </w:tcPr>
          <w:p/>
        </w:tc>
        <w:tc>
          <w:tcPr>
            <w:tcW w:type="dxa" w:w="141"/>
          </w:tcPr>
          <w:p/>
        </w:tc>
        <w:tc>
          <w:tcPr>
            <w:tcW w:type="dxa" w:w="6435"/>
          </w:tcPr>
          <w:p/>
        </w:tc>
      </w:tr>
    </w:tbl>
    <w:p>
      <w:pPr>
        <w:spacing w:before="0" w:after="0" w:line="120" w:lineRule="exact"/>
      </w:pPr>
      <w:r>
        <w:rPr>
          <w:rFonts w:ascii="Segoe UI" w:hAnsi="Segoe UI" w:cs="Segoe UI" w:eastAsia="Segoe UI"/>
          <w:b w:val="0"/>
          <w:i w:val="0"/>
          <w:color w:val="1E2B38"/>
          <w:sz w:val="2"/>
        </w:rPr>
        <w:t xml:space="preserve"> </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10319"/>
      </w:tblGrid>
      <w:tr>
        <w:tc>
          <w:tcPr>
            <w:tcW w:type="dxa" w:w="10318"/>
            <w:shd w:val="clear" w:color="auto" w:fill="0B2A4A"/>
            <w:tcMar>
              <w:top w:w="198" w:type="dxa"/>
              <w:start w:w="283" w:type="dxa"/>
              <w:left w:w="283" w:type="dxa"/>
              <w:bottom w:w="198" w:type="dxa"/>
              <w:end w:w="283" w:type="dxa"/>
              <w:right w:w="283" w:type="dxa"/>
            </w:tcMar>
          </w:tcPr>
          <w:p>
            <w:pPr>
              <w:spacing w:before="0" w:after="0" w:line="288" w:lineRule="auto"/>
            </w:pPr>
            <w:r>
              <w:rPr>
                <w:rFonts w:ascii="Segoe UI" w:hAnsi="Segoe UI" w:cs="Segoe UI" w:eastAsia="Segoe UI"/>
                <w:b/>
                <w:i w:val="0"/>
                <w:color w:val="FFFFFF"/>
                <w:sz w:val="21"/>
              </w:rPr>
              <w:t xml:space="preserve">One record, many teams. </w:t>
            </w:r>
            <w:r>
              <w:rPr>
                <w:rFonts w:ascii="Segoe UI" w:hAnsi="Segoe UI" w:cs="Segoe UI" w:eastAsia="Segoe UI"/>
                <w:b w:val="0"/>
                <w:i w:val="0"/>
                <w:color w:val="D3E6FA"/>
                <w:sz w:val="20"/>
              </w:rPr>
              <w:t>A risk entered once by Sales &amp; Marketing is the same record the Processing Team places, Operations services, Claims settles and Accounting bills, receipts, remits and closes. Each step leaves a numbered document and a journal from its posting rule.</w:t>
            </w:r>
          </w:p>
        </w:tc>
      </w:tr>
    </w:tbl>
    <w:p>
      <w:pPr>
        <w:spacing w:before="0" w:after="0" w:line="240" w:lineRule="auto"/>
      </w:pPr>
      <w:r>
        <w:br w:type="page"/>
      </w:r>
    </w:p>
    <w:p>
      <w:pPr>
        <w:spacing w:before="0" w:after="40" w:line="269" w:lineRule="auto"/>
      </w:pPr>
      <w:r>
        <w:rPr>
          <w:rFonts w:ascii="Segoe UI" w:hAnsi="Segoe UI" w:cs="Segoe UI" w:eastAsia="Segoe UI"/>
          <w:b/>
          <w:i w:val="0"/>
          <w:color w:val="0072D8"/>
          <w:sz w:val="17"/>
          <w:spacing w:val="30"/>
        </w:rPr>
        <w:t>THE PLATFORM</w:t>
      </w:r>
    </w:p>
    <w:p>
      <w:pPr>
        <w:spacing w:before="0" w:after="120" w:line="240" w:lineRule="auto"/>
      </w:pPr>
      <w:r>
        <w:rPr>
          <w:rFonts w:ascii="Segoe UI" w:hAnsi="Segoe UI" w:cs="Segoe UI" w:eastAsia="Segoe UI"/>
          <w:b/>
          <w:i w:val="0"/>
          <w:color w:val="0B2A4A"/>
          <w:sz w:val="40"/>
        </w:rPr>
        <w:t>One system, end to end</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1247"/>
        <w:gridCol w:w="9072"/>
      </w:tblGrid>
      <w:tr>
        <w:trPr>
          <w:trHeight w:val="51" w:hRule="exact"/>
        </w:trPr>
        <w:tc>
          <w:tcPr>
            <w:tcW w:type="dxa" w:w="1247"/>
            <w:shd w:val="clear" w:color="auto" w:fill="0072D8"/>
          </w:tcPr>
          <w:p>
            <w:pPr>
              <w:spacing w:before="0" w:after="0" w:line="20" w:lineRule="exact"/>
            </w:pPr>
          </w:p>
        </w:tc>
        <w:tc>
          <w:tcPr>
            <w:tcW w:type="dxa" w:w="9071"/>
          </w:tcPr>
          <w:p>
            <w:pPr>
              <w:spacing w:before="0" w:after="0" w:line="20" w:lineRule="exact"/>
            </w:pPr>
          </w:p>
        </w:tc>
      </w:tr>
    </w:tbl>
    <w:p>
      <w:pPr>
        <w:spacing w:before="160" w:after="160" w:line="283" w:lineRule="auto"/>
      </w:pPr>
      <w:r>
        <w:rPr>
          <w:rFonts w:ascii="Segoe UI" w:hAnsi="Segoe UI" w:cs="Segoe UI" w:eastAsia="Segoe UI"/>
          <w:b w:val="0"/>
          <w:i w:val="0"/>
          <w:color w:val="51606F"/>
          <w:sz w:val="21"/>
        </w:rPr>
        <w:t>BrokerVerse covers the whole broking cycle and the accounting of a broker. The flow below is the path every piece of business takes; the modules that follow are all part of the OOTB edition.</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1146"/>
        <w:gridCol w:w="1146"/>
        <w:gridCol w:w="1146"/>
        <w:gridCol w:w="1146"/>
        <w:gridCol w:w="1146"/>
        <w:gridCol w:w="1146"/>
        <w:gridCol w:w="1146"/>
        <w:gridCol w:w="1146"/>
        <w:gridCol w:w="1146"/>
      </w:tblGrid>
      <w:tr>
        <w:trPr>
          <w:trHeight w:val="709" w:hRule="atLeast"/>
        </w:trPr>
        <w:tc>
          <w:tcPr>
            <w:tcW w:type="dxa" w:w="1146"/>
            <w:shd w:val="clear" w:color="auto" w:fill="0B2A4A"/>
            <w:vAlign w:val="center"/>
            <w:tcMar>
              <w:top w:w="56" w:type="dxa"/>
              <w:start w:w="28" w:type="dxa"/>
              <w:left w:w="28" w:type="dxa"/>
              <w:bottom w:w="56" w:type="dxa"/>
              <w:end w:w="28" w:type="dxa"/>
              <w:right w:w="28" w:type="dxa"/>
            </w:tcMar>
          </w:tcPr>
          <w:p>
            <w:pPr>
              <w:spacing w:before="0" w:after="0" w:line="240" w:lineRule="auto"/>
              <w:jc w:val="center"/>
            </w:pPr>
            <w:r>
              <w:rPr>
                <w:rFonts w:ascii="Segoe UI" w:hAnsi="Segoe UI" w:cs="Segoe UI" w:eastAsia="Segoe UI"/>
                <w:b/>
                <w:i w:val="0"/>
                <w:color w:val="FFFFFF"/>
                <w:sz w:val="16"/>
              </w:rPr>
              <w:t>Prospect</w:t>
            </w:r>
          </w:p>
        </w:tc>
        <w:tc>
          <w:tcPr>
            <w:tcW w:type="dxa" w:w="1146"/>
            <w:shd w:val="clear" w:color="auto" w:fill="0072D8"/>
            <w:vAlign w:val="center"/>
            <w:tcMar>
              <w:top w:w="56" w:type="dxa"/>
              <w:start w:w="28" w:type="dxa"/>
              <w:left w:w="28" w:type="dxa"/>
              <w:bottom w:w="56" w:type="dxa"/>
              <w:end w:w="28" w:type="dxa"/>
              <w:right w:w="28" w:type="dxa"/>
            </w:tcMar>
          </w:tcPr>
          <w:p>
            <w:pPr>
              <w:spacing w:before="0" w:after="0" w:line="240" w:lineRule="auto"/>
              <w:jc w:val="center"/>
            </w:pPr>
            <w:r>
              <w:rPr>
                <w:rFonts w:ascii="Segoe UI" w:hAnsi="Segoe UI" w:cs="Segoe UI" w:eastAsia="Segoe UI"/>
                <w:b/>
                <w:i w:val="0"/>
                <w:color w:val="FFFFFF"/>
                <w:sz w:val="16"/>
              </w:rPr>
              <w:t>Request for</w:t>
            </w:r>
          </w:p>
          <w:p>
            <w:pPr>
              <w:spacing w:before="0" w:after="0" w:line="240" w:lineRule="auto"/>
              <w:jc w:val="center"/>
            </w:pPr>
            <w:r>
              <w:rPr>
                <w:rFonts w:ascii="Segoe UI" w:hAnsi="Segoe UI" w:cs="Segoe UI" w:eastAsia="Segoe UI"/>
                <w:b/>
                <w:i w:val="0"/>
                <w:color w:val="FFFFFF"/>
                <w:sz w:val="16"/>
              </w:rPr>
              <w:t>Quotation</w:t>
            </w:r>
          </w:p>
        </w:tc>
        <w:tc>
          <w:tcPr>
            <w:tcW w:type="dxa" w:w="1146"/>
            <w:shd w:val="clear" w:color="auto" w:fill="0B2A4A"/>
            <w:vAlign w:val="center"/>
            <w:tcMar>
              <w:top w:w="56" w:type="dxa"/>
              <w:start w:w="28" w:type="dxa"/>
              <w:left w:w="28" w:type="dxa"/>
              <w:bottom w:w="56" w:type="dxa"/>
              <w:end w:w="28" w:type="dxa"/>
              <w:right w:w="28" w:type="dxa"/>
            </w:tcMar>
          </w:tcPr>
          <w:p>
            <w:pPr>
              <w:spacing w:before="0" w:after="0" w:line="240" w:lineRule="auto"/>
              <w:jc w:val="center"/>
            </w:pPr>
            <w:r>
              <w:rPr>
                <w:rFonts w:ascii="Segoe UI" w:hAnsi="Segoe UI" w:cs="Segoe UI" w:eastAsia="Segoe UI"/>
                <w:b/>
                <w:i w:val="0"/>
                <w:color w:val="FFFFFF"/>
                <w:sz w:val="16"/>
              </w:rPr>
              <w:t>Quotation</w:t>
            </w:r>
          </w:p>
        </w:tc>
        <w:tc>
          <w:tcPr>
            <w:tcW w:type="dxa" w:w="1146"/>
            <w:shd w:val="clear" w:color="auto" w:fill="0072D8"/>
            <w:vAlign w:val="center"/>
            <w:tcMar>
              <w:top w:w="56" w:type="dxa"/>
              <w:start w:w="28" w:type="dxa"/>
              <w:left w:w="28" w:type="dxa"/>
              <w:bottom w:w="56" w:type="dxa"/>
              <w:end w:w="28" w:type="dxa"/>
              <w:right w:w="28" w:type="dxa"/>
            </w:tcMar>
          </w:tcPr>
          <w:p>
            <w:pPr>
              <w:spacing w:before="0" w:after="0" w:line="240" w:lineRule="auto"/>
              <w:jc w:val="center"/>
            </w:pPr>
            <w:r>
              <w:rPr>
                <w:rFonts w:ascii="Segoe UI" w:hAnsi="Segoe UI" w:cs="Segoe UI" w:eastAsia="Segoe UI"/>
                <w:b/>
                <w:i w:val="0"/>
                <w:color w:val="FFFFFF"/>
                <w:sz w:val="16"/>
              </w:rPr>
              <w:t>Placement</w:t>
            </w:r>
          </w:p>
          <w:p>
            <w:pPr>
              <w:spacing w:before="0" w:after="0" w:line="240" w:lineRule="auto"/>
              <w:jc w:val="center"/>
            </w:pPr>
            <w:r>
              <w:rPr>
                <w:rFonts w:ascii="Segoe UI" w:hAnsi="Segoe UI" w:cs="Segoe UI" w:eastAsia="Segoe UI"/>
                <w:b/>
                <w:i w:val="0"/>
                <w:color w:val="FFFFFF"/>
                <w:sz w:val="16"/>
              </w:rPr>
              <w:t>Slip</w:t>
            </w:r>
          </w:p>
        </w:tc>
        <w:tc>
          <w:tcPr>
            <w:tcW w:type="dxa" w:w="1146"/>
            <w:shd w:val="clear" w:color="auto" w:fill="0B2A4A"/>
            <w:vAlign w:val="center"/>
            <w:tcMar>
              <w:top w:w="56" w:type="dxa"/>
              <w:start w:w="28" w:type="dxa"/>
              <w:left w:w="28" w:type="dxa"/>
              <w:bottom w:w="56" w:type="dxa"/>
              <w:end w:w="28" w:type="dxa"/>
              <w:right w:w="28" w:type="dxa"/>
            </w:tcMar>
          </w:tcPr>
          <w:p>
            <w:pPr>
              <w:spacing w:before="0" w:after="0" w:line="240" w:lineRule="auto"/>
              <w:jc w:val="center"/>
            </w:pPr>
            <w:r>
              <w:rPr>
                <w:rFonts w:ascii="Segoe UI" w:hAnsi="Segoe UI" w:cs="Segoe UI" w:eastAsia="Segoe UI"/>
                <w:b/>
                <w:i w:val="0"/>
                <w:color w:val="FFFFFF"/>
                <w:sz w:val="16"/>
              </w:rPr>
              <w:t>Policy</w:t>
            </w:r>
          </w:p>
        </w:tc>
        <w:tc>
          <w:tcPr>
            <w:tcW w:type="dxa" w:w="1146"/>
            <w:shd w:val="clear" w:color="auto" w:fill="0072D8"/>
            <w:vAlign w:val="center"/>
            <w:tcMar>
              <w:top w:w="56" w:type="dxa"/>
              <w:start w:w="28" w:type="dxa"/>
              <w:left w:w="28" w:type="dxa"/>
              <w:bottom w:w="56" w:type="dxa"/>
              <w:end w:w="28" w:type="dxa"/>
              <w:right w:w="28" w:type="dxa"/>
            </w:tcMar>
          </w:tcPr>
          <w:p>
            <w:pPr>
              <w:spacing w:before="0" w:after="0" w:line="240" w:lineRule="auto"/>
              <w:jc w:val="center"/>
            </w:pPr>
            <w:r>
              <w:rPr>
                <w:rFonts w:ascii="Segoe UI" w:hAnsi="Segoe UI" w:cs="Segoe UI" w:eastAsia="Segoe UI"/>
                <w:b/>
                <w:i w:val="0"/>
                <w:color w:val="FFFFFF"/>
                <w:sz w:val="16"/>
              </w:rPr>
              <w:t>Bill and</w:t>
            </w:r>
          </w:p>
          <w:p>
            <w:pPr>
              <w:spacing w:before="0" w:after="0" w:line="240" w:lineRule="auto"/>
              <w:jc w:val="center"/>
            </w:pPr>
            <w:r>
              <w:rPr>
                <w:rFonts w:ascii="Segoe UI" w:hAnsi="Segoe UI" w:cs="Segoe UI" w:eastAsia="Segoe UI"/>
                <w:b/>
                <w:i w:val="0"/>
                <w:color w:val="FFFFFF"/>
                <w:sz w:val="16"/>
              </w:rPr>
              <w:t>official receipt</w:t>
            </w:r>
          </w:p>
        </w:tc>
        <w:tc>
          <w:tcPr>
            <w:tcW w:type="dxa" w:w="1146"/>
            <w:shd w:val="clear" w:color="auto" w:fill="0B2A4A"/>
            <w:vAlign w:val="center"/>
            <w:tcMar>
              <w:top w:w="56" w:type="dxa"/>
              <w:start w:w="28" w:type="dxa"/>
              <w:left w:w="28" w:type="dxa"/>
              <w:bottom w:w="56" w:type="dxa"/>
              <w:end w:w="28" w:type="dxa"/>
              <w:right w:w="28" w:type="dxa"/>
            </w:tcMar>
          </w:tcPr>
          <w:p>
            <w:pPr>
              <w:spacing w:before="0" w:after="0" w:line="240" w:lineRule="auto"/>
              <w:jc w:val="center"/>
            </w:pPr>
            <w:r>
              <w:rPr>
                <w:rFonts w:ascii="Segoe UI" w:hAnsi="Segoe UI" w:cs="Segoe UI" w:eastAsia="Segoe UI"/>
                <w:b/>
                <w:i w:val="0"/>
                <w:color w:val="FFFFFF"/>
                <w:sz w:val="16"/>
              </w:rPr>
              <w:t>Remittance</w:t>
            </w:r>
          </w:p>
        </w:tc>
        <w:tc>
          <w:tcPr>
            <w:tcW w:type="dxa" w:w="1146"/>
            <w:shd w:val="clear" w:color="auto" w:fill="0072D8"/>
            <w:vAlign w:val="center"/>
            <w:tcMar>
              <w:top w:w="56" w:type="dxa"/>
              <w:start w:w="28" w:type="dxa"/>
              <w:left w:w="28" w:type="dxa"/>
              <w:bottom w:w="56" w:type="dxa"/>
              <w:end w:w="28" w:type="dxa"/>
              <w:right w:w="28" w:type="dxa"/>
            </w:tcMar>
          </w:tcPr>
          <w:p>
            <w:pPr>
              <w:spacing w:before="0" w:after="0" w:line="240" w:lineRule="auto"/>
              <w:jc w:val="center"/>
            </w:pPr>
            <w:r>
              <w:rPr>
                <w:rFonts w:ascii="Segoe UI" w:hAnsi="Segoe UI" w:cs="Segoe UI" w:eastAsia="Segoe UI"/>
                <w:b/>
                <w:i w:val="0"/>
                <w:color w:val="FFFFFF"/>
                <w:sz w:val="16"/>
              </w:rPr>
              <w:t>Commission</w:t>
            </w:r>
          </w:p>
        </w:tc>
        <w:tc>
          <w:tcPr>
            <w:tcW w:type="dxa" w:w="1146"/>
            <w:shd w:val="clear" w:color="auto" w:fill="0B2A4A"/>
            <w:vAlign w:val="center"/>
            <w:tcMar>
              <w:top w:w="56" w:type="dxa"/>
              <w:start w:w="28" w:type="dxa"/>
              <w:left w:w="28" w:type="dxa"/>
              <w:bottom w:w="56" w:type="dxa"/>
              <w:end w:w="28" w:type="dxa"/>
              <w:right w:w="28" w:type="dxa"/>
            </w:tcMar>
          </w:tcPr>
          <w:p>
            <w:pPr>
              <w:spacing w:before="0" w:after="0" w:line="240" w:lineRule="auto"/>
              <w:jc w:val="center"/>
            </w:pPr>
            <w:r>
              <w:rPr>
                <w:rFonts w:ascii="Segoe UI" w:hAnsi="Segoe UI" w:cs="Segoe UI" w:eastAsia="Segoe UI"/>
                <w:b/>
                <w:i w:val="0"/>
                <w:color w:val="FFFFFF"/>
                <w:sz w:val="16"/>
              </w:rPr>
              <w:t>Close and</w:t>
            </w:r>
          </w:p>
          <w:p>
            <w:pPr>
              <w:spacing w:before="0" w:after="0" w:line="240" w:lineRule="auto"/>
              <w:jc w:val="center"/>
            </w:pPr>
            <w:r>
              <w:rPr>
                <w:rFonts w:ascii="Segoe UI" w:hAnsi="Segoe UI" w:cs="Segoe UI" w:eastAsia="Segoe UI"/>
                <w:b/>
                <w:i w:val="0"/>
                <w:color w:val="FFFFFF"/>
                <w:sz w:val="16"/>
              </w:rPr>
              <w:t>BIR</w:t>
            </w:r>
          </w:p>
        </w:tc>
      </w:tr>
    </w:tbl>
    <w:p>
      <w:pPr>
        <w:spacing w:before="80" w:after="160" w:line="269" w:lineRule="auto"/>
        <w:jc w:val="center"/>
      </w:pPr>
      <w:r>
        <w:rPr>
          <w:rFonts w:ascii="Segoe UI" w:hAnsi="Segoe UI" w:cs="Segoe UI" w:eastAsia="Segoe UI"/>
          <w:b w:val="0"/>
          <w:i w:val="0"/>
          <w:color w:val="51606F"/>
          <w:sz w:val="16"/>
        </w:rPr>
        <w:t>Endorsements, claims and renewals run on the issued policy. Collections, reconciliation and period end run on the money that follows.</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5074"/>
        <w:gridCol w:w="170"/>
        <w:gridCol w:w="5074"/>
      </w:tblGrid>
      <w:tr>
        <w:trPr>
          <w:cantSplit/>
        </w:trPr>
        <w:tc>
          <w:tcPr>
            <w:tcW w:type="dxa" w:w="5074"/>
            <w:shd w:val="clear" w:color="auto" w:fill="F4F8FC"/>
            <w:tcMar>
              <w:top w:w="124" w:type="dxa"/>
              <w:start w:w="141" w:type="dxa"/>
              <w:left w:w="141" w:type="dxa"/>
              <w:bottom w:w="113" w:type="dxa"/>
              <w:end w:w="141" w:type="dxa"/>
              <w:right w:w="141" w:type="dxa"/>
            </w:tcMar>
            <w:tcBorders>
              <w:left w:val="single" w:sz="24" w:space="0" w:color="0072D8"/>
            </w:tcBorders>
          </w:tcPr>
          <w:p>
            <w:pPr>
              <w:spacing w:before="0" w:after="40" w:line="240" w:lineRule="auto"/>
            </w:pPr>
            <w:r>
              <w:rPr>
                <w:rFonts w:ascii="Segoe UI" w:hAnsi="Segoe UI" w:cs="Segoe UI" w:eastAsia="Segoe UI"/>
                <w:b/>
                <w:i w:val="0"/>
                <w:color w:val="0072D8"/>
                <w:sz w:val="18"/>
              </w:rPr>
              <w:t xml:space="preserve">01  </w:t>
            </w:r>
            <w:r>
              <w:rPr>
                <w:rFonts w:ascii="Segoe UI" w:hAnsi="Segoe UI" w:cs="Segoe UI" w:eastAsia="Segoe UI"/>
                <w:b/>
                <w:i w:val="0"/>
                <w:color w:val="0B2A4A"/>
                <w:sz w:val="21"/>
              </w:rPr>
              <w:t>Sales and quotation</w:t>
            </w:r>
          </w:p>
          <w:p>
            <w:pPr>
              <w:spacing w:before="0" w:after="0" w:line="269" w:lineRule="auto"/>
            </w:pPr>
            <w:r>
              <w:rPr>
                <w:rFonts w:ascii="Segoe UI" w:hAnsi="Segoe UI" w:cs="Segoe UI" w:eastAsia="Segoe UI"/>
                <w:b w:val="0"/>
                <w:i w:val="0"/>
                <w:color w:val="1E2B38"/>
                <w:sz w:val="17"/>
              </w:rPr>
              <w:t>Prospects with bulk upload, Quick Quote and Compare Insurers for packaged products, and a five-step motor quotation with CTPL and Auto Passenger PA. The server re-prices every quotation from the configured rates. The client approves online through a signed link.</w:t>
            </w:r>
          </w:p>
        </w:tc>
        <w:tc>
          <w:tcPr>
            <w:tcW w:type="dxa" w:w="170"/>
          </w:tcPr>
          <w:p/>
        </w:tc>
        <w:tc>
          <w:tcPr>
            <w:tcW w:type="dxa" w:w="5074"/>
            <w:shd w:val="clear" w:color="auto" w:fill="F4F8FC"/>
            <w:tcMar>
              <w:top w:w="124" w:type="dxa"/>
              <w:start w:w="141" w:type="dxa"/>
              <w:left w:w="141" w:type="dxa"/>
              <w:bottom w:w="113" w:type="dxa"/>
              <w:end w:w="141" w:type="dxa"/>
              <w:right w:w="141" w:type="dxa"/>
            </w:tcMar>
            <w:tcBorders>
              <w:left w:val="single" w:sz="24" w:space="0" w:color="0072D8"/>
            </w:tcBorders>
          </w:tcPr>
          <w:p>
            <w:pPr>
              <w:spacing w:before="0" w:after="40" w:line="240" w:lineRule="auto"/>
            </w:pPr>
            <w:r>
              <w:rPr>
                <w:rFonts w:ascii="Segoe UI" w:hAnsi="Segoe UI" w:cs="Segoe UI" w:eastAsia="Segoe UI"/>
                <w:b/>
                <w:i w:val="0"/>
                <w:color w:val="0072D8"/>
                <w:sz w:val="18"/>
              </w:rPr>
              <w:t xml:space="preserve">02  </w:t>
            </w:r>
            <w:r>
              <w:rPr>
                <w:rFonts w:ascii="Segoe UI" w:hAnsi="Segoe UI" w:cs="Segoe UI" w:eastAsia="Segoe UI"/>
                <w:b/>
                <w:i w:val="0"/>
                <w:color w:val="0B2A4A"/>
                <w:sz w:val="21"/>
              </w:rPr>
              <w:t>Placement with insurers</w:t>
            </w:r>
          </w:p>
          <w:p>
            <w:pPr>
              <w:spacing w:before="0" w:after="0" w:line="269" w:lineRule="auto"/>
            </w:pPr>
            <w:r>
              <w:rPr>
                <w:rFonts w:ascii="Segoe UI" w:hAnsi="Segoe UI" w:cs="Segoe UI" w:eastAsia="Segoe UI"/>
                <w:b w:val="0"/>
                <w:i w:val="0"/>
                <w:color w:val="1E2B38"/>
                <w:sz w:val="17"/>
              </w:rPr>
              <w:t>Request for Quotation (broker slip) to several insurers, offers and declines recorded, Compare offers with the best offer and market capacity. Placement Slip firm order with each insurer’s confirmation; shares total 100% with one lead.</w:t>
            </w:r>
          </w:p>
        </w:tc>
      </w:tr>
      <w:tr>
        <w:trPr>
          <w:trHeight w:val="159" w:hRule="exact"/>
        </w:trPr>
        <w:tc>
          <w:tcPr>
            <w:tcW w:type="dxa" w:w="5074"/>
          </w:tcPr>
          <w:p/>
        </w:tc>
        <w:tc>
          <w:tcPr>
            <w:tcW w:type="dxa" w:w="170"/>
          </w:tcPr>
          <w:p/>
        </w:tc>
        <w:tc>
          <w:tcPr>
            <w:tcW w:type="dxa" w:w="5074"/>
          </w:tcPr>
          <w:p/>
        </w:tc>
      </w:tr>
      <w:tr>
        <w:trPr>
          <w:cantSplit/>
        </w:trPr>
        <w:tc>
          <w:tcPr>
            <w:tcW w:type="dxa" w:w="5074"/>
            <w:shd w:val="clear" w:color="auto" w:fill="F4F8FC"/>
            <w:tcMar>
              <w:top w:w="124" w:type="dxa"/>
              <w:start w:w="141" w:type="dxa"/>
              <w:left w:w="141" w:type="dxa"/>
              <w:bottom w:w="113" w:type="dxa"/>
              <w:end w:w="141" w:type="dxa"/>
              <w:right w:w="141" w:type="dxa"/>
            </w:tcMar>
            <w:tcBorders>
              <w:left w:val="single" w:sz="24" w:space="0" w:color="0072D8"/>
            </w:tcBorders>
          </w:tcPr>
          <w:p>
            <w:pPr>
              <w:spacing w:before="0" w:after="40" w:line="240" w:lineRule="auto"/>
            </w:pPr>
            <w:r>
              <w:rPr>
                <w:rFonts w:ascii="Segoe UI" w:hAnsi="Segoe UI" w:cs="Segoe UI" w:eastAsia="Segoe UI"/>
                <w:b/>
                <w:i w:val="0"/>
                <w:color w:val="0072D8"/>
                <w:sz w:val="18"/>
              </w:rPr>
              <w:t xml:space="preserve">03  </w:t>
            </w:r>
            <w:r>
              <w:rPr>
                <w:rFonts w:ascii="Segoe UI" w:hAnsi="Segoe UI" w:cs="Segoe UI" w:eastAsia="Segoe UI"/>
                <w:b/>
                <w:i w:val="0"/>
                <w:color w:val="0B2A4A"/>
                <w:sz w:val="21"/>
              </w:rPr>
              <w:t>Policy issuance and servicing</w:t>
            </w:r>
          </w:p>
          <w:p>
            <w:pPr>
              <w:spacing w:before="0" w:after="0" w:line="269" w:lineRule="auto"/>
            </w:pPr>
            <w:r>
              <w:rPr>
                <w:rFonts w:ascii="Segoe UI" w:hAnsi="Segoe UI" w:cs="Segoe UI" w:eastAsia="Segoe UI"/>
                <w:b w:val="0"/>
                <w:i w:val="0"/>
                <w:color w:val="1E2B38"/>
                <w:sz w:val="17"/>
              </w:rPr>
              <w:t>Issue from a bound Placement Slip, from an accepted quotation, or with Record Issued Policy. The client, the bill and the commission are created at issue. Motor issue requires government ID, chassis, motor and plate or MV file number.</w:t>
            </w:r>
          </w:p>
        </w:tc>
        <w:tc>
          <w:tcPr>
            <w:tcW w:type="dxa" w:w="170"/>
          </w:tcPr>
          <w:p/>
        </w:tc>
        <w:tc>
          <w:tcPr>
            <w:tcW w:type="dxa" w:w="5074"/>
            <w:shd w:val="clear" w:color="auto" w:fill="F4F8FC"/>
            <w:tcMar>
              <w:top w:w="124" w:type="dxa"/>
              <w:start w:w="141" w:type="dxa"/>
              <w:left w:w="141" w:type="dxa"/>
              <w:bottom w:w="113" w:type="dxa"/>
              <w:end w:w="141" w:type="dxa"/>
              <w:right w:w="141" w:type="dxa"/>
            </w:tcMar>
            <w:tcBorders>
              <w:left w:val="single" w:sz="24" w:space="0" w:color="0072D8"/>
            </w:tcBorders>
          </w:tcPr>
          <w:p>
            <w:pPr>
              <w:spacing w:before="0" w:after="40" w:line="240" w:lineRule="auto"/>
            </w:pPr>
            <w:r>
              <w:rPr>
                <w:rFonts w:ascii="Segoe UI" w:hAnsi="Segoe UI" w:cs="Segoe UI" w:eastAsia="Segoe UI"/>
                <w:b/>
                <w:i w:val="0"/>
                <w:color w:val="0072D8"/>
                <w:sz w:val="18"/>
              </w:rPr>
              <w:t xml:space="preserve">04  </w:t>
            </w:r>
            <w:r>
              <w:rPr>
                <w:rFonts w:ascii="Segoe UI" w:hAnsi="Segoe UI" w:cs="Segoe UI" w:eastAsia="Segoe UI"/>
                <w:b/>
                <w:i w:val="0"/>
                <w:color w:val="0B2A4A"/>
                <w:sz w:val="21"/>
              </w:rPr>
              <w:t>Endorsements</w:t>
            </w:r>
          </w:p>
          <w:p>
            <w:pPr>
              <w:spacing w:before="0" w:after="0" w:line="269" w:lineRule="auto"/>
            </w:pPr>
            <w:r>
              <w:rPr>
                <w:rFonts w:ascii="Segoe UI" w:hAnsi="Segoe UI" w:cs="Segoe UI" w:eastAsia="Segoe UI"/>
                <w:b w:val="0"/>
                <w:i w:val="0"/>
                <w:color w:val="1E2B38"/>
                <w:sz w:val="17"/>
              </w:rPr>
              <w:t>Personal details, motor details and coverage changes, extensions and cancellations (full, partial, pro-rata). Coverage changes are priced again; additional premium is billed and return premium is credited and netted on the insurer’s next remittance.</w:t>
            </w:r>
          </w:p>
        </w:tc>
      </w:tr>
      <w:tr>
        <w:trPr>
          <w:trHeight w:val="159" w:hRule="exact"/>
        </w:trPr>
        <w:tc>
          <w:tcPr>
            <w:tcW w:type="dxa" w:w="5074"/>
          </w:tcPr>
          <w:p/>
        </w:tc>
        <w:tc>
          <w:tcPr>
            <w:tcW w:type="dxa" w:w="170"/>
          </w:tcPr>
          <w:p/>
        </w:tc>
        <w:tc>
          <w:tcPr>
            <w:tcW w:type="dxa" w:w="5074"/>
          </w:tcPr>
          <w:p/>
        </w:tc>
      </w:tr>
      <w:tr>
        <w:trPr>
          <w:cantSplit/>
        </w:trPr>
        <w:tc>
          <w:tcPr>
            <w:tcW w:type="dxa" w:w="5074"/>
            <w:shd w:val="clear" w:color="auto" w:fill="F4F8FC"/>
            <w:tcMar>
              <w:top w:w="124" w:type="dxa"/>
              <w:start w:w="141" w:type="dxa"/>
              <w:left w:w="141" w:type="dxa"/>
              <w:bottom w:w="113" w:type="dxa"/>
              <w:end w:w="141" w:type="dxa"/>
              <w:right w:w="141" w:type="dxa"/>
            </w:tcMar>
            <w:tcBorders>
              <w:left w:val="single" w:sz="24" w:space="0" w:color="0072D8"/>
            </w:tcBorders>
          </w:tcPr>
          <w:p>
            <w:pPr>
              <w:spacing w:before="0" w:after="40" w:line="240" w:lineRule="auto"/>
            </w:pPr>
            <w:r>
              <w:rPr>
                <w:rFonts w:ascii="Segoe UI" w:hAnsi="Segoe UI" w:cs="Segoe UI" w:eastAsia="Segoe UI"/>
                <w:b/>
                <w:i w:val="0"/>
                <w:color w:val="0072D8"/>
                <w:sz w:val="18"/>
              </w:rPr>
              <w:t xml:space="preserve">05  </w:t>
            </w:r>
            <w:r>
              <w:rPr>
                <w:rFonts w:ascii="Segoe UI" w:hAnsi="Segoe UI" w:cs="Segoe UI" w:eastAsia="Segoe UI"/>
                <w:b/>
                <w:i w:val="0"/>
                <w:color w:val="0B2A4A"/>
                <w:sz w:val="21"/>
              </w:rPr>
              <w:t>Claims</w:t>
            </w:r>
          </w:p>
          <w:p>
            <w:pPr>
              <w:spacing w:before="0" w:after="0" w:line="269" w:lineRule="auto"/>
            </w:pPr>
            <w:r>
              <w:rPr>
                <w:rFonts w:ascii="Segoe UI" w:hAnsi="Segoe UI" w:cs="Segoe UI" w:eastAsia="Segoe UI"/>
                <w:b w:val="0"/>
                <w:i w:val="0"/>
                <w:color w:val="1E2B38"/>
                <w:sz w:val="17"/>
              </w:rPr>
              <w:t>Claim registration with the Preliminary Loss Advice to the insurer, adjuster follow-up, settlement by maker and approval by a second Claims user, co-insurer shares, claims paid through the broker, claim letters on the letterhead.</w:t>
            </w:r>
          </w:p>
        </w:tc>
        <w:tc>
          <w:tcPr>
            <w:tcW w:type="dxa" w:w="170"/>
          </w:tcPr>
          <w:p/>
        </w:tc>
        <w:tc>
          <w:tcPr>
            <w:tcW w:type="dxa" w:w="5074"/>
            <w:shd w:val="clear" w:color="auto" w:fill="F4F8FC"/>
            <w:tcMar>
              <w:top w:w="124" w:type="dxa"/>
              <w:start w:w="141" w:type="dxa"/>
              <w:left w:w="141" w:type="dxa"/>
              <w:bottom w:w="113" w:type="dxa"/>
              <w:end w:w="141" w:type="dxa"/>
              <w:right w:w="141" w:type="dxa"/>
            </w:tcMar>
            <w:tcBorders>
              <w:left w:val="single" w:sz="24" w:space="0" w:color="0072D8"/>
            </w:tcBorders>
          </w:tcPr>
          <w:p>
            <w:pPr>
              <w:spacing w:before="0" w:after="40" w:line="240" w:lineRule="auto"/>
            </w:pPr>
            <w:r>
              <w:rPr>
                <w:rFonts w:ascii="Segoe UI" w:hAnsi="Segoe UI" w:cs="Segoe UI" w:eastAsia="Segoe UI"/>
                <w:b/>
                <w:i w:val="0"/>
                <w:color w:val="0072D8"/>
                <w:sz w:val="18"/>
              </w:rPr>
              <w:t xml:space="preserve">06  </w:t>
            </w:r>
            <w:r>
              <w:rPr>
                <w:rFonts w:ascii="Segoe UI" w:hAnsi="Segoe UI" w:cs="Segoe UI" w:eastAsia="Segoe UI"/>
                <w:b/>
                <w:i w:val="0"/>
                <w:color w:val="0B2A4A"/>
                <w:sz w:val="21"/>
              </w:rPr>
              <w:t>Renewals</w:t>
            </w:r>
          </w:p>
          <w:p>
            <w:pPr>
              <w:spacing w:before="0" w:after="0" w:line="269" w:lineRule="auto"/>
            </w:pPr>
            <w:r>
              <w:rPr>
                <w:rFonts w:ascii="Segoe UI" w:hAnsi="Segoe UI" w:cs="Segoe UI" w:eastAsia="Segoe UI"/>
                <w:b w:val="0"/>
                <w:i w:val="0"/>
                <w:color w:val="1E2B38"/>
                <w:sz w:val="17"/>
              </w:rPr>
              <w:t>Renewal pipeline 90 days ahead, notices at 60, 30 and 15 days, renewal batches of up to 500 policies, Renewal Queue, At-Risk Policies, Negotiations, Lapse Management with win-back campaigns, Retention Analytics.</w:t>
            </w:r>
          </w:p>
        </w:tc>
      </w:tr>
      <w:tr>
        <w:trPr>
          <w:trHeight w:val="159" w:hRule="exact"/>
        </w:trPr>
        <w:tc>
          <w:tcPr>
            <w:tcW w:type="dxa" w:w="5074"/>
          </w:tcPr>
          <w:p/>
        </w:tc>
        <w:tc>
          <w:tcPr>
            <w:tcW w:type="dxa" w:w="170"/>
          </w:tcPr>
          <w:p/>
        </w:tc>
        <w:tc>
          <w:tcPr>
            <w:tcW w:type="dxa" w:w="5074"/>
          </w:tcPr>
          <w:p/>
        </w:tc>
      </w:tr>
      <w:tr>
        <w:trPr>
          <w:cantSplit/>
        </w:trPr>
        <w:tc>
          <w:tcPr>
            <w:tcW w:type="dxa" w:w="5074"/>
            <w:shd w:val="clear" w:color="auto" w:fill="F4F8FC"/>
            <w:tcMar>
              <w:top w:w="124" w:type="dxa"/>
              <w:start w:w="141" w:type="dxa"/>
              <w:left w:w="141" w:type="dxa"/>
              <w:bottom w:w="113" w:type="dxa"/>
              <w:end w:w="141" w:type="dxa"/>
              <w:right w:w="141" w:type="dxa"/>
            </w:tcMar>
            <w:tcBorders>
              <w:left w:val="single" w:sz="24" w:space="0" w:color="0072D8"/>
            </w:tcBorders>
          </w:tcPr>
          <w:p>
            <w:pPr>
              <w:spacing w:before="0" w:after="40" w:line="240" w:lineRule="auto"/>
            </w:pPr>
            <w:r>
              <w:rPr>
                <w:rFonts w:ascii="Segoe UI" w:hAnsi="Segoe UI" w:cs="Segoe UI" w:eastAsia="Segoe UI"/>
                <w:b/>
                <w:i w:val="0"/>
                <w:color w:val="0072D8"/>
                <w:sz w:val="18"/>
              </w:rPr>
              <w:t xml:space="preserve">07  </w:t>
            </w:r>
            <w:r>
              <w:rPr>
                <w:rFonts w:ascii="Segoe UI" w:hAnsi="Segoe UI" w:cs="Segoe UI" w:eastAsia="Segoe UI"/>
                <w:b/>
                <w:i w:val="0"/>
                <w:color w:val="0B2A4A"/>
                <w:sz w:val="21"/>
              </w:rPr>
              <w:t>Billing and official receipts</w:t>
            </w:r>
          </w:p>
          <w:p>
            <w:pPr>
              <w:spacing w:before="0" w:after="0" w:line="269" w:lineRule="auto"/>
            </w:pPr>
            <w:r>
              <w:rPr>
                <w:rFonts w:ascii="Segoe UI" w:hAnsi="Segoe UI" w:cs="Segoe UI" w:eastAsia="Segoe UI"/>
                <w:b w:val="0"/>
                <w:i w:val="0"/>
                <w:color w:val="1E2B38"/>
                <w:sz w:val="17"/>
              </w:rPr>
              <w:t>Premium invoices on issue, endorsement and renewal. Official receipts from the OR series, posted only by Accounting after verifying the payment. Receipt and invoice PDFs e-mailed to the client. Payment links through PayMongo or Dragonpay.</w:t>
            </w:r>
          </w:p>
        </w:tc>
        <w:tc>
          <w:tcPr>
            <w:tcW w:type="dxa" w:w="170"/>
          </w:tcPr>
          <w:p/>
        </w:tc>
        <w:tc>
          <w:tcPr>
            <w:tcW w:type="dxa" w:w="5074"/>
            <w:shd w:val="clear" w:color="auto" w:fill="F4F8FC"/>
            <w:tcMar>
              <w:top w:w="124" w:type="dxa"/>
              <w:start w:w="141" w:type="dxa"/>
              <w:left w:w="141" w:type="dxa"/>
              <w:bottom w:w="113" w:type="dxa"/>
              <w:end w:w="141" w:type="dxa"/>
              <w:right w:w="141" w:type="dxa"/>
            </w:tcMar>
            <w:tcBorders>
              <w:left w:val="single" w:sz="24" w:space="0" w:color="0072D8"/>
            </w:tcBorders>
          </w:tcPr>
          <w:p>
            <w:pPr>
              <w:spacing w:before="0" w:after="40" w:line="240" w:lineRule="auto"/>
            </w:pPr>
            <w:r>
              <w:rPr>
                <w:rFonts w:ascii="Segoe UI" w:hAnsi="Segoe UI" w:cs="Segoe UI" w:eastAsia="Segoe UI"/>
                <w:b/>
                <w:i w:val="0"/>
                <w:color w:val="0072D8"/>
                <w:sz w:val="18"/>
              </w:rPr>
              <w:t xml:space="preserve">08  </w:t>
            </w:r>
            <w:r>
              <w:rPr>
                <w:rFonts w:ascii="Segoe UI" w:hAnsi="Segoe UI" w:cs="Segoe UI" w:eastAsia="Segoe UI"/>
                <w:b/>
                <w:i w:val="0"/>
                <w:color w:val="0B2A4A"/>
                <w:sz w:val="21"/>
              </w:rPr>
              <w:t>Collections and credit control</w:t>
            </w:r>
          </w:p>
          <w:p>
            <w:pPr>
              <w:spacing w:before="0" w:after="0" w:line="269" w:lineRule="auto"/>
            </w:pPr>
            <w:r>
              <w:rPr>
                <w:rFonts w:ascii="Segoe UI" w:hAnsi="Segoe UI" w:cs="Segoe UI" w:eastAsia="Segoe UI"/>
                <w:b w:val="0"/>
                <w:i w:val="0"/>
                <w:color w:val="1E2B38"/>
                <w:sz w:val="17"/>
              </w:rPr>
              <w:t>Collections with ageing (current, 1-30, 31-60, 61-90, over 90 days) and daily reminders. Instalment Plans, Premium Warranty Monitor, Client Credit Limits and Remittance Ageing under Credit Control.</w:t>
            </w:r>
          </w:p>
        </w:tc>
      </w:tr>
      <w:tr>
        <w:trPr>
          <w:trHeight w:val="159" w:hRule="exact"/>
        </w:trPr>
        <w:tc>
          <w:tcPr>
            <w:tcW w:type="dxa" w:w="5074"/>
          </w:tcPr>
          <w:p/>
        </w:tc>
        <w:tc>
          <w:tcPr>
            <w:tcW w:type="dxa" w:w="170"/>
          </w:tcPr>
          <w:p/>
        </w:tc>
        <w:tc>
          <w:tcPr>
            <w:tcW w:type="dxa" w:w="5074"/>
          </w:tcPr>
          <w:p/>
        </w:tc>
      </w:tr>
    </w:tbl>
    <w:p>
      <w:pPr>
        <w:spacing w:before="0" w:after="0" w:line="80" w:lineRule="exact"/>
      </w:pPr>
      <w:r>
        <w:rPr>
          <w:rFonts w:ascii="Segoe UI" w:hAnsi="Segoe UI" w:cs="Segoe UI" w:eastAsia="Segoe UI"/>
          <w:b w:val="0"/>
          <w:i w:val="0"/>
          <w:color w:val="1E2B38"/>
          <w:sz w:val="2"/>
        </w:rPr>
        <w:t xml:space="preserve"> </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10319"/>
      </w:tblGrid>
      <w:tr>
        <w:tc>
          <w:tcPr>
            <w:tcW w:type="dxa" w:w="10318"/>
          </w:tcPr>
          <w:p>
            <w:pPr>
              <w:spacing w:before="0" w:after="0" w:line="240" w:lineRule="auto"/>
              <w:jc w:val="center"/>
            </w:pPr>
            <w:r>
              <w:drawing>
                <wp:inline xmlns:a="http://schemas.openxmlformats.org/drawingml/2006/main" xmlns:pic="http://schemas.openxmlformats.org/drawingml/2006/picture">
                  <wp:extent cx="5328000" cy="2279505"/>
                  <wp:docPr id="3" name="Picture 3"/>
                  <wp:cNvGraphicFramePr>
                    <a:graphicFrameLocks noChangeAspect="1"/>
                  </wp:cNvGraphicFramePr>
                  <a:graphic>
                    <a:graphicData uri="http://schemas.openxmlformats.org/drawingml/2006/picture">
                      <pic:pic>
                        <pic:nvPicPr>
                          <pic:cNvPr id="0" name="p-rfq-compare.png"/>
                          <pic:cNvPicPr/>
                        </pic:nvPicPr>
                        <pic:blipFill>
                          <a:blip r:embed="rId12"/>
                          <a:stretch>
                            <a:fillRect/>
                          </a:stretch>
                        </pic:blipFill>
                        <pic:spPr>
                          <a:xfrm>
                            <a:off x="0" y="0"/>
                            <a:ext cx="5328000" cy="2279505"/>
                          </a:xfrm>
                          <a:prstGeom prst="rect"/>
                        </pic:spPr>
                      </pic:pic>
                    </a:graphicData>
                  </a:graphic>
                </wp:inline>
              </w:drawing>
            </w:r>
          </w:p>
          <w:p>
            <w:pPr>
              <w:spacing w:before="40" w:after="0" w:line="269" w:lineRule="auto"/>
            </w:pPr>
            <w:r>
              <w:rPr>
                <w:rFonts w:ascii="Segoe UI" w:hAnsi="Segoe UI" w:cs="Segoe UI" w:eastAsia="Segoe UI"/>
                <w:b w:val="0"/>
                <w:i/>
                <w:color w:val="51606F"/>
                <w:sz w:val="15"/>
              </w:rPr>
              <w:t xml:space="preserve">        Request for Quotation BS-2026-00047, tab Compare offers: offers ranked by gross premium, best offer marked, lead and shares chosen for the Placement Slip.</w:t>
            </w:r>
          </w:p>
        </w:tc>
      </w:tr>
    </w:tbl>
    <w:p>
      <w:pPr>
        <w:spacing w:before="0" w:after="0" w:line="240" w:lineRule="auto"/>
      </w:pPr>
      <w:r>
        <w:br w:type="page"/>
      </w:r>
    </w:p>
    <w:p>
      <w:pPr>
        <w:spacing w:before="0" w:after="40" w:line="269" w:lineRule="auto"/>
      </w:pPr>
      <w:r>
        <w:rPr>
          <w:rFonts w:ascii="Segoe UI" w:hAnsi="Segoe UI" w:cs="Segoe UI" w:eastAsia="Segoe UI"/>
          <w:b/>
          <w:i w:val="0"/>
          <w:color w:val="0072D8"/>
          <w:sz w:val="17"/>
          <w:spacing w:val="30"/>
        </w:rPr>
        <w:t>THE PLATFORM, CONTINUED</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5074"/>
        <w:gridCol w:w="170"/>
        <w:gridCol w:w="5074"/>
      </w:tblGrid>
      <w:tr>
        <w:trPr>
          <w:cantSplit/>
        </w:trPr>
        <w:tc>
          <w:tcPr>
            <w:tcW w:type="dxa" w:w="5074"/>
            <w:shd w:val="clear" w:color="auto" w:fill="F4F8FC"/>
            <w:tcMar>
              <w:top w:w="124" w:type="dxa"/>
              <w:start w:w="141" w:type="dxa"/>
              <w:left w:w="141" w:type="dxa"/>
              <w:bottom w:w="113" w:type="dxa"/>
              <w:end w:w="141" w:type="dxa"/>
              <w:right w:w="141" w:type="dxa"/>
            </w:tcMar>
            <w:tcBorders>
              <w:left w:val="single" w:sz="24" w:space="0" w:color="0072D8"/>
            </w:tcBorders>
          </w:tcPr>
          <w:p>
            <w:pPr>
              <w:spacing w:before="0" w:after="40" w:line="240" w:lineRule="auto"/>
            </w:pPr>
            <w:r>
              <w:rPr>
                <w:rFonts w:ascii="Segoe UI" w:hAnsi="Segoe UI" w:cs="Segoe UI" w:eastAsia="Segoe UI"/>
                <w:b/>
                <w:i w:val="0"/>
                <w:color w:val="0072D8"/>
                <w:sz w:val="18"/>
              </w:rPr>
              <w:t xml:space="preserve">09  </w:t>
            </w:r>
            <w:r>
              <w:rPr>
                <w:rFonts w:ascii="Segoe UI" w:hAnsi="Segoe UI" w:cs="Segoe UI" w:eastAsia="Segoe UI"/>
                <w:b/>
                <w:i w:val="0"/>
                <w:color w:val="0B2A4A"/>
                <w:sz w:val="21"/>
              </w:rPr>
              <w:t>Remittance and direct bill</w:t>
            </w:r>
          </w:p>
          <w:p>
            <w:pPr>
              <w:spacing w:before="0" w:after="0" w:line="269" w:lineRule="auto"/>
            </w:pPr>
            <w:r>
              <w:rPr>
                <w:rFonts w:ascii="Segoe UI" w:hAnsi="Segoe UI" w:cs="Segoe UI" w:eastAsia="Segoe UI"/>
                <w:b w:val="0"/>
                <w:i w:val="0"/>
                <w:color w:val="1E2B38"/>
                <w:sz w:val="17"/>
              </w:rPr>
              <w:t>Remittance per insurer and per co-insurer share, approval levels by amount (PHP 100,000 and PHP 1,000,000), settlement and insurer payment voucher. Direct bill: commission debit notes with 12% VAT, collection net of 10% EWT.</w:t>
            </w:r>
          </w:p>
        </w:tc>
        <w:tc>
          <w:tcPr>
            <w:tcW w:type="dxa" w:w="170"/>
          </w:tcPr>
          <w:p/>
        </w:tc>
        <w:tc>
          <w:tcPr>
            <w:tcW w:type="dxa" w:w="5074"/>
            <w:shd w:val="clear" w:color="auto" w:fill="F4F8FC"/>
            <w:tcMar>
              <w:top w:w="124" w:type="dxa"/>
              <w:start w:w="141" w:type="dxa"/>
              <w:left w:w="141" w:type="dxa"/>
              <w:bottom w:w="113" w:type="dxa"/>
              <w:end w:w="141" w:type="dxa"/>
              <w:right w:w="141" w:type="dxa"/>
            </w:tcMar>
            <w:tcBorders>
              <w:left w:val="single" w:sz="24" w:space="0" w:color="0072D8"/>
            </w:tcBorders>
          </w:tcPr>
          <w:p>
            <w:pPr>
              <w:spacing w:before="0" w:after="40" w:line="240" w:lineRule="auto"/>
            </w:pPr>
            <w:r>
              <w:rPr>
                <w:rFonts w:ascii="Segoe UI" w:hAnsi="Segoe UI" w:cs="Segoe UI" w:eastAsia="Segoe UI"/>
                <w:b/>
                <w:i w:val="0"/>
                <w:color w:val="0072D8"/>
                <w:sz w:val="18"/>
              </w:rPr>
              <w:t xml:space="preserve">10  </w:t>
            </w:r>
            <w:r>
              <w:rPr>
                <w:rFonts w:ascii="Segoe UI" w:hAnsi="Segoe UI" w:cs="Segoe UI" w:eastAsia="Segoe UI"/>
                <w:b/>
                <w:i w:val="0"/>
                <w:color w:val="0B2A4A"/>
                <w:sz w:val="21"/>
              </w:rPr>
              <w:t>Commission</w:t>
            </w:r>
          </w:p>
          <w:p>
            <w:pPr>
              <w:spacing w:before="0" w:after="0" w:line="269" w:lineRule="auto"/>
            </w:pPr>
            <w:r>
              <w:rPr>
                <w:rFonts w:ascii="Segoe UI" w:hAnsi="Segoe UI" w:cs="Segoe UI" w:eastAsia="Segoe UI"/>
                <w:b w:val="0"/>
                <w:i w:val="0"/>
                <w:color w:val="1E2B38"/>
                <w:sz w:val="17"/>
              </w:rPr>
              <w:t>Commission Rate Matrix by insurer, product, line and policy type. Accrued at issue, payable to referrers when the premium is fully collected, paid by voucher less withholding tax, clawed back on return premium.</w:t>
            </w:r>
          </w:p>
        </w:tc>
      </w:tr>
      <w:tr>
        <w:trPr>
          <w:trHeight w:val="159" w:hRule="exact"/>
        </w:trPr>
        <w:tc>
          <w:tcPr>
            <w:tcW w:type="dxa" w:w="5074"/>
          </w:tcPr>
          <w:p/>
        </w:tc>
        <w:tc>
          <w:tcPr>
            <w:tcW w:type="dxa" w:w="170"/>
          </w:tcPr>
          <w:p/>
        </w:tc>
        <w:tc>
          <w:tcPr>
            <w:tcW w:type="dxa" w:w="5074"/>
          </w:tcPr>
          <w:p/>
        </w:tc>
      </w:tr>
      <w:tr>
        <w:trPr>
          <w:cantSplit/>
        </w:trPr>
        <w:tc>
          <w:tcPr>
            <w:tcW w:type="dxa" w:w="5074"/>
            <w:shd w:val="clear" w:color="auto" w:fill="F4F8FC"/>
            <w:tcMar>
              <w:top w:w="124" w:type="dxa"/>
              <w:start w:w="141" w:type="dxa"/>
              <w:left w:w="141" w:type="dxa"/>
              <w:bottom w:w="113" w:type="dxa"/>
              <w:end w:w="141" w:type="dxa"/>
              <w:right w:w="141" w:type="dxa"/>
            </w:tcMar>
            <w:tcBorders>
              <w:left w:val="single" w:sz="24" w:space="0" w:color="0072D8"/>
            </w:tcBorders>
          </w:tcPr>
          <w:p>
            <w:pPr>
              <w:spacing w:before="0" w:after="40" w:line="240" w:lineRule="auto"/>
            </w:pPr>
            <w:r>
              <w:rPr>
                <w:rFonts w:ascii="Segoe UI" w:hAnsi="Segoe UI" w:cs="Segoe UI" w:eastAsia="Segoe UI"/>
                <w:b/>
                <w:i w:val="0"/>
                <w:color w:val="0072D8"/>
                <w:sz w:val="18"/>
              </w:rPr>
              <w:t xml:space="preserve">11  </w:t>
            </w:r>
            <w:r>
              <w:rPr>
                <w:rFonts w:ascii="Segoe UI" w:hAnsi="Segoe UI" w:cs="Segoe UI" w:eastAsia="Segoe UI"/>
                <w:b/>
                <w:i w:val="0"/>
                <w:color w:val="0B2A4A"/>
                <w:sz w:val="21"/>
              </w:rPr>
              <w:t>General ledger and period end</w:t>
            </w:r>
          </w:p>
          <w:p>
            <w:pPr>
              <w:spacing w:before="0" w:after="0" w:line="269" w:lineRule="auto"/>
            </w:pPr>
            <w:r>
              <w:rPr>
                <w:rFonts w:ascii="Segoe UI" w:hAnsi="Segoe UI" w:cs="Segoe UI" w:eastAsia="Segoe UI"/>
                <w:b w:val="0"/>
                <w:i w:val="0"/>
                <w:color w:val="1E2B38"/>
                <w:sz w:val="17"/>
              </w:rPr>
              <w:t>Posting rules turn each business event into a balanced journal. Journal, Correction and Reversal JV with approval, Recurring Journals, Month-End Close with checklist, Year-End Close and Financial Statements.</w:t>
            </w:r>
          </w:p>
        </w:tc>
        <w:tc>
          <w:tcPr>
            <w:tcW w:type="dxa" w:w="170"/>
          </w:tcPr>
          <w:p/>
        </w:tc>
        <w:tc>
          <w:tcPr>
            <w:tcW w:type="dxa" w:w="5074"/>
            <w:shd w:val="clear" w:color="auto" w:fill="F4F8FC"/>
            <w:tcMar>
              <w:top w:w="124" w:type="dxa"/>
              <w:start w:w="141" w:type="dxa"/>
              <w:left w:w="141" w:type="dxa"/>
              <w:bottom w:w="113" w:type="dxa"/>
              <w:end w:w="141" w:type="dxa"/>
              <w:right w:w="141" w:type="dxa"/>
            </w:tcMar>
            <w:tcBorders>
              <w:left w:val="single" w:sz="24" w:space="0" w:color="0072D8"/>
            </w:tcBorders>
          </w:tcPr>
          <w:p>
            <w:pPr>
              <w:spacing w:before="0" w:after="40" w:line="240" w:lineRule="auto"/>
            </w:pPr>
            <w:r>
              <w:rPr>
                <w:rFonts w:ascii="Segoe UI" w:hAnsi="Segoe UI" w:cs="Segoe UI" w:eastAsia="Segoe UI"/>
                <w:b/>
                <w:i w:val="0"/>
                <w:color w:val="0072D8"/>
                <w:sz w:val="18"/>
              </w:rPr>
              <w:t xml:space="preserve">12  </w:t>
            </w:r>
            <w:r>
              <w:rPr>
                <w:rFonts w:ascii="Segoe UI" w:hAnsi="Segoe UI" w:cs="Segoe UI" w:eastAsia="Segoe UI"/>
                <w:b/>
                <w:i w:val="0"/>
                <w:color w:val="0B2A4A"/>
                <w:sz w:val="21"/>
              </w:rPr>
              <w:t>Bank and insurer reconciliation</w:t>
            </w:r>
          </w:p>
          <w:p>
            <w:pPr>
              <w:spacing w:before="0" w:after="0" w:line="269" w:lineRule="auto"/>
            </w:pPr>
            <w:r>
              <w:rPr>
                <w:rFonts w:ascii="Segoe UI" w:hAnsi="Segoe UI" w:cs="Segoe UI" w:eastAsia="Segoe UI"/>
                <w:b w:val="0"/>
                <w:i w:val="0"/>
                <w:color w:val="1E2B38"/>
                <w:sz w:val="17"/>
              </w:rPr>
              <w:t>Bank statements imported in BDO, BPI, Metrobank or generic layout, six matching rules, adjustments, stale cheques, reconciliation approved by the Accounting Manager. Insurer statements imported with a differences report.</w:t>
            </w:r>
          </w:p>
        </w:tc>
      </w:tr>
      <w:tr>
        <w:trPr>
          <w:trHeight w:val="159" w:hRule="exact"/>
        </w:trPr>
        <w:tc>
          <w:tcPr>
            <w:tcW w:type="dxa" w:w="5074"/>
          </w:tcPr>
          <w:p/>
        </w:tc>
        <w:tc>
          <w:tcPr>
            <w:tcW w:type="dxa" w:w="170"/>
          </w:tcPr>
          <w:p/>
        </w:tc>
        <w:tc>
          <w:tcPr>
            <w:tcW w:type="dxa" w:w="5074"/>
          </w:tcPr>
          <w:p/>
        </w:tc>
      </w:tr>
      <w:tr>
        <w:trPr>
          <w:cantSplit/>
        </w:trPr>
        <w:tc>
          <w:tcPr>
            <w:tcW w:type="dxa" w:w="5074"/>
            <w:shd w:val="clear" w:color="auto" w:fill="F4F8FC"/>
            <w:tcMar>
              <w:top w:w="124" w:type="dxa"/>
              <w:start w:w="141" w:type="dxa"/>
              <w:left w:w="141" w:type="dxa"/>
              <w:bottom w:w="113" w:type="dxa"/>
              <w:end w:w="141" w:type="dxa"/>
              <w:right w:w="141" w:type="dxa"/>
            </w:tcMar>
            <w:tcBorders>
              <w:left w:val="single" w:sz="24" w:space="0" w:color="0072D8"/>
            </w:tcBorders>
          </w:tcPr>
          <w:p>
            <w:pPr>
              <w:spacing w:before="0" w:after="40" w:line="240" w:lineRule="auto"/>
            </w:pPr>
            <w:r>
              <w:rPr>
                <w:rFonts w:ascii="Segoe UI" w:hAnsi="Segoe UI" w:cs="Segoe UI" w:eastAsia="Segoe UI"/>
                <w:b/>
                <w:i w:val="0"/>
                <w:color w:val="0072D8"/>
                <w:sz w:val="18"/>
              </w:rPr>
              <w:t xml:space="preserve">13  </w:t>
            </w:r>
            <w:r>
              <w:rPr>
                <w:rFonts w:ascii="Segoe UI" w:hAnsi="Segoe UI" w:cs="Segoe UI" w:eastAsia="Segoe UI"/>
                <w:b/>
                <w:i w:val="0"/>
                <w:color w:val="0B2A4A"/>
                <w:sz w:val="21"/>
              </w:rPr>
              <w:t>BIR tax</w:t>
            </w:r>
          </w:p>
          <w:p>
            <w:pPr>
              <w:spacing w:before="0" w:after="0" w:line="269" w:lineRule="auto"/>
            </w:pPr>
            <w:r>
              <w:rPr>
                <w:rFonts w:ascii="Segoe UI" w:hAnsi="Segoe UI" w:cs="Segoe UI" w:eastAsia="Segoe UI"/>
                <w:b w:val="0"/>
                <w:i w:val="0"/>
                <w:color w:val="1E2B38"/>
                <w:sz w:val="17"/>
              </w:rPr>
              <w:t>BIR Form 2307 issued by the broker and received from insurers and clients, VAT Summary, SAWT, QAP, SLSP Sales and SLSP Purchases. Tax codes carry rate, BIR ATC and GL account.</w:t>
            </w:r>
          </w:p>
        </w:tc>
        <w:tc>
          <w:tcPr>
            <w:tcW w:type="dxa" w:w="170"/>
          </w:tcPr>
          <w:p/>
        </w:tc>
        <w:tc>
          <w:tcPr>
            <w:tcW w:type="dxa" w:w="5074"/>
            <w:shd w:val="clear" w:color="auto" w:fill="F4F8FC"/>
            <w:tcMar>
              <w:top w:w="124" w:type="dxa"/>
              <w:start w:w="141" w:type="dxa"/>
              <w:left w:w="141" w:type="dxa"/>
              <w:bottom w:w="113" w:type="dxa"/>
              <w:end w:w="141" w:type="dxa"/>
              <w:right w:w="141" w:type="dxa"/>
            </w:tcMar>
            <w:tcBorders>
              <w:left w:val="single" w:sz="24" w:space="0" w:color="0072D8"/>
            </w:tcBorders>
          </w:tcPr>
          <w:p>
            <w:pPr>
              <w:spacing w:before="0" w:after="40" w:line="240" w:lineRule="auto"/>
            </w:pPr>
            <w:r>
              <w:rPr>
                <w:rFonts w:ascii="Segoe UI" w:hAnsi="Segoe UI" w:cs="Segoe UI" w:eastAsia="Segoe UI"/>
                <w:b/>
                <w:i w:val="0"/>
                <w:color w:val="0072D8"/>
                <w:sz w:val="18"/>
              </w:rPr>
              <w:t xml:space="preserve">14  </w:t>
            </w:r>
            <w:r>
              <w:rPr>
                <w:rFonts w:ascii="Segoe UI" w:hAnsi="Segoe UI" w:cs="Segoe UI" w:eastAsia="Segoe UI"/>
                <w:b/>
                <w:i w:val="0"/>
                <w:color w:val="0B2A4A"/>
                <w:sz w:val="21"/>
              </w:rPr>
              <w:t>Reinsurance</w:t>
            </w:r>
          </w:p>
          <w:p>
            <w:pPr>
              <w:spacing w:before="0" w:after="0" w:line="269" w:lineRule="auto"/>
            </w:pPr>
            <w:r>
              <w:rPr>
                <w:rFonts w:ascii="Segoe UI" w:hAnsi="Segoe UI" w:cs="Segoe UI" w:eastAsia="Segoe UI"/>
                <w:b w:val="0"/>
                <w:i w:val="0"/>
                <w:color w:val="1E2B38"/>
                <w:sz w:val="17"/>
              </w:rPr>
              <w:t>Treaties (quota share, surplus, excess of loss, stop loss) with approval, cession tracking and bordereaux, claims recovery, reinsurer statement reconciliation and treaty analytics.</w:t>
            </w:r>
          </w:p>
        </w:tc>
      </w:tr>
      <w:tr>
        <w:trPr>
          <w:trHeight w:val="159" w:hRule="exact"/>
        </w:trPr>
        <w:tc>
          <w:tcPr>
            <w:tcW w:type="dxa" w:w="5074"/>
          </w:tcPr>
          <w:p/>
        </w:tc>
        <w:tc>
          <w:tcPr>
            <w:tcW w:type="dxa" w:w="170"/>
          </w:tcPr>
          <w:p/>
        </w:tc>
        <w:tc>
          <w:tcPr>
            <w:tcW w:type="dxa" w:w="5074"/>
          </w:tcPr>
          <w:p/>
        </w:tc>
      </w:tr>
      <w:tr>
        <w:trPr>
          <w:cantSplit/>
        </w:trPr>
        <w:tc>
          <w:tcPr>
            <w:tcW w:type="dxa" w:w="5074"/>
            <w:shd w:val="clear" w:color="auto" w:fill="F4F8FC"/>
            <w:tcMar>
              <w:top w:w="124" w:type="dxa"/>
              <w:start w:w="141" w:type="dxa"/>
              <w:left w:w="141" w:type="dxa"/>
              <w:bottom w:w="113" w:type="dxa"/>
              <w:end w:w="141" w:type="dxa"/>
              <w:right w:w="141" w:type="dxa"/>
            </w:tcMar>
            <w:tcBorders>
              <w:left w:val="single" w:sz="24" w:space="0" w:color="0072D8"/>
            </w:tcBorders>
          </w:tcPr>
          <w:p>
            <w:pPr>
              <w:spacing w:before="0" w:after="40" w:line="240" w:lineRule="auto"/>
            </w:pPr>
            <w:r>
              <w:rPr>
                <w:rFonts w:ascii="Segoe UI" w:hAnsi="Segoe UI" w:cs="Segoe UI" w:eastAsia="Segoe UI"/>
                <w:b/>
                <w:i w:val="0"/>
                <w:color w:val="0072D8"/>
                <w:sz w:val="18"/>
              </w:rPr>
              <w:t xml:space="preserve">15  </w:t>
            </w:r>
            <w:r>
              <w:rPr>
                <w:rFonts w:ascii="Segoe UI" w:hAnsi="Segoe UI" w:cs="Segoe UI" w:eastAsia="Segoe UI"/>
                <w:b/>
                <w:i w:val="0"/>
                <w:color w:val="0B2A4A"/>
                <w:sz w:val="21"/>
              </w:rPr>
              <w:t>Incentives</w:t>
            </w:r>
          </w:p>
          <w:p>
            <w:pPr>
              <w:spacing w:before="0" w:after="0" w:line="269" w:lineRule="auto"/>
            </w:pPr>
            <w:r>
              <w:rPr>
                <w:rFonts w:ascii="Segoe UI" w:hAnsi="Segoe UI" w:cs="Segoe UI" w:eastAsia="Segoe UI"/>
                <w:b w:val="0"/>
                <w:i w:val="0"/>
                <w:color w:val="1E2B38"/>
                <w:sz w:val="17"/>
              </w:rPr>
              <w:t>Incentive programmes for account executives on premium, policy count, renewal rate or conversion. Calculations approved by a second Accounting user, statements per person, accrual and payment through posting rules.</w:t>
            </w:r>
          </w:p>
        </w:tc>
        <w:tc>
          <w:tcPr>
            <w:tcW w:type="dxa" w:w="170"/>
          </w:tcPr>
          <w:p/>
        </w:tc>
        <w:tc>
          <w:tcPr>
            <w:tcW w:type="dxa" w:w="5074"/>
            <w:shd w:val="clear" w:color="auto" w:fill="F4F8FC"/>
            <w:tcMar>
              <w:top w:w="124" w:type="dxa"/>
              <w:start w:w="141" w:type="dxa"/>
              <w:left w:w="141" w:type="dxa"/>
              <w:bottom w:w="113" w:type="dxa"/>
              <w:end w:w="141" w:type="dxa"/>
              <w:right w:w="141" w:type="dxa"/>
            </w:tcMar>
            <w:tcBorders>
              <w:left w:val="single" w:sz="24" w:space="0" w:color="0072D8"/>
            </w:tcBorders>
          </w:tcPr>
          <w:p>
            <w:pPr>
              <w:spacing w:before="0" w:after="40" w:line="240" w:lineRule="auto"/>
            </w:pPr>
            <w:r>
              <w:rPr>
                <w:rFonts w:ascii="Segoe UI" w:hAnsi="Segoe UI" w:cs="Segoe UI" w:eastAsia="Segoe UI"/>
                <w:b/>
                <w:i w:val="0"/>
                <w:color w:val="0072D8"/>
                <w:sz w:val="18"/>
              </w:rPr>
              <w:t xml:space="preserve">16  </w:t>
            </w:r>
            <w:r>
              <w:rPr>
                <w:rFonts w:ascii="Segoe UI" w:hAnsi="Segoe UI" w:cs="Segoe UI" w:eastAsia="Segoe UI"/>
                <w:b/>
                <w:i w:val="0"/>
                <w:color w:val="0B2A4A"/>
                <w:sz w:val="21"/>
              </w:rPr>
              <w:t>Reports and dashboards</w:t>
            </w:r>
          </w:p>
          <w:p>
            <w:pPr>
              <w:spacing w:before="0" w:after="0" w:line="269" w:lineRule="auto"/>
            </w:pPr>
            <w:r>
              <w:rPr>
                <w:rFonts w:ascii="Segoe UI" w:hAnsi="Segoe UI" w:cs="Segoe UI" w:eastAsia="Segoe UI"/>
                <w:b w:val="0"/>
                <w:i w:val="0"/>
                <w:color w:val="1E2B38"/>
                <w:sz w:val="17"/>
              </w:rPr>
              <w:t>39 catalogue reports on screen, in Excel, CSV or PDF on the company letterhead, with scheduled delivery by e-mail. Executive, Sales, Processing, Claims and Commission dashboards with live figures.</w:t>
            </w:r>
          </w:p>
        </w:tc>
      </w:tr>
      <w:tr>
        <w:trPr>
          <w:trHeight w:val="159" w:hRule="exact"/>
        </w:trPr>
        <w:tc>
          <w:tcPr>
            <w:tcW w:type="dxa" w:w="5074"/>
          </w:tcPr>
          <w:p/>
        </w:tc>
        <w:tc>
          <w:tcPr>
            <w:tcW w:type="dxa" w:w="170"/>
          </w:tcPr>
          <w:p/>
        </w:tc>
        <w:tc>
          <w:tcPr>
            <w:tcW w:type="dxa" w:w="5074"/>
          </w:tcPr>
          <w:p/>
        </w:tc>
      </w:tr>
      <w:tr>
        <w:trPr>
          <w:cantSplit/>
        </w:trPr>
        <w:tc>
          <w:tcPr>
            <w:tcW w:type="dxa" w:w="5074"/>
            <w:shd w:val="clear" w:color="auto" w:fill="F4F8FC"/>
            <w:tcMar>
              <w:top w:w="124" w:type="dxa"/>
              <w:start w:w="141" w:type="dxa"/>
              <w:left w:w="141" w:type="dxa"/>
              <w:bottom w:w="113" w:type="dxa"/>
              <w:end w:w="141" w:type="dxa"/>
              <w:right w:w="141" w:type="dxa"/>
            </w:tcMar>
            <w:tcBorders>
              <w:left w:val="single" w:sz="24" w:space="0" w:color="0072D8"/>
            </w:tcBorders>
          </w:tcPr>
          <w:p>
            <w:pPr>
              <w:spacing w:before="0" w:after="40" w:line="240" w:lineRule="auto"/>
            </w:pPr>
            <w:r>
              <w:rPr>
                <w:rFonts w:ascii="Segoe UI" w:hAnsi="Segoe UI" w:cs="Segoe UI" w:eastAsia="Segoe UI"/>
                <w:b/>
                <w:i w:val="0"/>
                <w:color w:val="0072D8"/>
                <w:sz w:val="18"/>
              </w:rPr>
              <w:t xml:space="preserve">17  </w:t>
            </w:r>
            <w:r>
              <w:rPr>
                <w:rFonts w:ascii="Segoe UI" w:hAnsi="Segoe UI" w:cs="Segoe UI" w:eastAsia="Segoe UI"/>
                <w:b/>
                <w:i w:val="0"/>
                <w:color w:val="0B2A4A"/>
                <w:sz w:val="21"/>
              </w:rPr>
              <w:t>Security and control</w:t>
            </w:r>
          </w:p>
          <w:p>
            <w:pPr>
              <w:spacing w:before="0" w:after="0" w:line="269" w:lineRule="auto"/>
            </w:pPr>
            <w:r>
              <w:rPr>
                <w:rFonts w:ascii="Segoe UI" w:hAnsi="Segoe UI" w:cs="Segoe UI" w:eastAsia="Segoe UI"/>
                <w:b w:val="0"/>
                <w:i w:val="0"/>
                <w:color w:val="1E2B38"/>
                <w:sz w:val="17"/>
              </w:rPr>
              <w:t>Seven roles checked by the server on every request, two-step verification, lockout and password policy, Authority Matrix, Delegations, Segregation of Duties, Access Reviews and an Audit Trail with before and after values.</w:t>
            </w:r>
          </w:p>
        </w:tc>
        <w:tc>
          <w:tcPr>
            <w:tcW w:type="dxa" w:w="170"/>
          </w:tcPr>
          <w:p/>
        </w:tc>
        <w:tc>
          <w:tcPr>
            <w:tcW w:type="dxa" w:w="5074"/>
            <w:shd w:val="clear" w:color="auto" w:fill="F4F8FC"/>
            <w:tcMar>
              <w:top w:w="124" w:type="dxa"/>
              <w:start w:w="141" w:type="dxa"/>
              <w:left w:w="141" w:type="dxa"/>
              <w:bottom w:w="113" w:type="dxa"/>
              <w:end w:w="141" w:type="dxa"/>
              <w:right w:w="141" w:type="dxa"/>
            </w:tcMar>
            <w:tcBorders>
              <w:left w:val="single" w:sz="24" w:space="0" w:color="0072D8"/>
            </w:tcBorders>
          </w:tcPr>
          <w:p>
            <w:pPr>
              <w:spacing w:before="0" w:after="40" w:line="240" w:lineRule="auto"/>
            </w:pPr>
            <w:r>
              <w:rPr>
                <w:rFonts w:ascii="Segoe UI" w:hAnsi="Segoe UI" w:cs="Segoe UI" w:eastAsia="Segoe UI"/>
                <w:b/>
                <w:i w:val="0"/>
                <w:color w:val="0072D8"/>
                <w:sz w:val="18"/>
              </w:rPr>
              <w:t xml:space="preserve">18  </w:t>
            </w:r>
            <w:r>
              <w:rPr>
                <w:rFonts w:ascii="Segoe UI" w:hAnsi="Segoe UI" w:cs="Segoe UI" w:eastAsia="Segoe UI"/>
                <w:b/>
                <w:i w:val="0"/>
                <w:color w:val="0B2A4A"/>
                <w:sz w:val="21"/>
              </w:rPr>
              <w:t>Data privacy</w:t>
            </w:r>
          </w:p>
          <w:p>
            <w:pPr>
              <w:spacing w:before="0" w:after="0" w:line="269" w:lineRule="auto"/>
            </w:pPr>
            <w:r>
              <w:rPr>
                <w:rFonts w:ascii="Segoe UI" w:hAnsi="Segoe UI" w:cs="Segoe UI" w:eastAsia="Segoe UI"/>
                <w:b w:val="0"/>
                <w:i w:val="0"/>
                <w:color w:val="1E2B38"/>
                <w:sz w:val="17"/>
              </w:rPr>
              <w:t>Consent Register per purpose, Data Subject Requests register with due dates, personal data export for access and portability, and anonymisation once the retention period of the records has passed.</w:t>
            </w:r>
          </w:p>
        </w:tc>
      </w:tr>
      <w:tr>
        <w:trPr>
          <w:trHeight w:val="159" w:hRule="exact"/>
        </w:trPr>
        <w:tc>
          <w:tcPr>
            <w:tcW w:type="dxa" w:w="5074"/>
          </w:tcPr>
          <w:p/>
        </w:tc>
        <w:tc>
          <w:tcPr>
            <w:tcW w:type="dxa" w:w="170"/>
          </w:tcPr>
          <w:p/>
        </w:tc>
        <w:tc>
          <w:tcPr>
            <w:tcW w:type="dxa" w:w="5074"/>
          </w:tcPr>
          <w:p/>
        </w:tc>
      </w:tr>
    </w:tbl>
    <w:p>
      <w:pPr>
        <w:spacing w:before="0" w:after="0" w:line="80" w:lineRule="exact"/>
      </w:pPr>
      <w:r>
        <w:rPr>
          <w:rFonts w:ascii="Segoe UI" w:hAnsi="Segoe UI" w:cs="Segoe UI" w:eastAsia="Segoe UI"/>
          <w:b w:val="0"/>
          <w:i w:val="0"/>
          <w:color w:val="1E2B38"/>
          <w:sz w:val="2"/>
        </w:rPr>
        <w:t xml:space="preserve"> </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5046"/>
        <w:gridCol w:w="226"/>
        <w:gridCol w:w="5046"/>
      </w:tblGrid>
      <w:tr>
        <w:tc>
          <w:tcPr>
            <w:tcW w:type="dxa" w:w="5046"/>
          </w:tcPr>
          <w:p>
            <w:pPr>
              <w:spacing w:before="0" w:after="0" w:line="240" w:lineRule="auto"/>
              <w:jc w:val="center"/>
            </w:pPr>
            <w:r>
              <w:drawing>
                <wp:inline xmlns:a="http://schemas.openxmlformats.org/drawingml/2006/main" xmlns:pic="http://schemas.openxmlformats.org/drawingml/2006/picture">
                  <wp:extent cx="3204000" cy="1480887"/>
                  <wp:docPr id="4" name="Picture 4"/>
                  <wp:cNvGraphicFramePr>
                    <a:graphicFrameLocks noChangeAspect="1"/>
                  </wp:cNvGraphicFramePr>
                  <a:graphic>
                    <a:graphicData uri="http://schemas.openxmlformats.org/drawingml/2006/picture">
                      <pic:pic>
                        <pic:nvPicPr>
                          <pic:cNvPr id="0" name="a-receipts.png"/>
                          <pic:cNvPicPr/>
                        </pic:nvPicPr>
                        <pic:blipFill>
                          <a:blip r:embed="rId13"/>
                          <a:stretch>
                            <a:fillRect/>
                          </a:stretch>
                        </pic:blipFill>
                        <pic:spPr>
                          <a:xfrm>
                            <a:off x="0" y="0"/>
                            <a:ext cx="3204000" cy="1480887"/>
                          </a:xfrm>
                          <a:prstGeom prst="rect"/>
                        </pic:spPr>
                      </pic:pic>
                    </a:graphicData>
                  </a:graphic>
                </wp:inline>
              </w:drawing>
            </w:r>
          </w:p>
          <w:p>
            <w:pPr>
              <w:spacing w:before="40" w:after="0" w:line="269" w:lineRule="auto"/>
            </w:pPr>
            <w:r>
              <w:rPr>
                <w:rFonts w:ascii="Segoe UI" w:hAnsi="Segoe UI" w:cs="Segoe UI" w:eastAsia="Segoe UI"/>
                <w:b w:val="0"/>
                <w:i/>
                <w:color w:val="51606F"/>
                <w:sz w:val="15"/>
              </w:rPr>
              <w:t>Accounts &gt; Receipts: official receipts against open bills.</w:t>
            </w:r>
          </w:p>
        </w:tc>
        <w:tc>
          <w:tcPr>
            <w:tcW w:type="dxa" w:w="227"/>
          </w:tcPr>
          <w:p/>
        </w:tc>
        <w:tc>
          <w:tcPr>
            <w:tcW w:type="dxa" w:w="5046"/>
          </w:tcPr>
          <w:p>
            <w:pPr>
              <w:spacing w:before="0" w:after="0" w:line="240" w:lineRule="auto"/>
              <w:jc w:val="center"/>
            </w:pPr>
            <w:r>
              <w:drawing>
                <wp:inline xmlns:a="http://schemas.openxmlformats.org/drawingml/2006/main" xmlns:pic="http://schemas.openxmlformats.org/drawingml/2006/picture">
                  <wp:extent cx="3204000" cy="1480887"/>
                  <wp:docPr id="5" name="Picture 5"/>
                  <wp:cNvGraphicFramePr>
                    <a:graphicFrameLocks noChangeAspect="1"/>
                  </wp:cNvGraphicFramePr>
                  <a:graphic>
                    <a:graphicData uri="http://schemas.openxmlformats.org/drawingml/2006/picture">
                      <pic:pic>
                        <pic:nvPicPr>
                          <pic:cNvPr id="0" name="a-br-workspace.png"/>
                          <pic:cNvPicPr/>
                        </pic:nvPicPr>
                        <pic:blipFill>
                          <a:blip r:embed="rId14"/>
                          <a:stretch>
                            <a:fillRect/>
                          </a:stretch>
                        </pic:blipFill>
                        <pic:spPr>
                          <a:xfrm>
                            <a:off x="0" y="0"/>
                            <a:ext cx="3204000" cy="1480887"/>
                          </a:xfrm>
                          <a:prstGeom prst="rect"/>
                        </pic:spPr>
                      </pic:pic>
                    </a:graphicData>
                  </a:graphic>
                </wp:inline>
              </w:drawing>
            </w:r>
          </w:p>
          <w:p>
            <w:pPr>
              <w:spacing w:before="40" w:after="0" w:line="269" w:lineRule="auto"/>
            </w:pPr>
            <w:r>
              <w:rPr>
                <w:rFonts w:ascii="Segoe UI" w:hAnsi="Segoe UI" w:cs="Segoe UI" w:eastAsia="Segoe UI"/>
                <w:b w:val="0"/>
                <w:i/>
                <w:color w:val="51606F"/>
                <w:sz w:val="15"/>
              </w:rPr>
              <w:t>Bank Reconciliation: balance per bank and per books agree.</w:t>
            </w:r>
          </w:p>
        </w:tc>
      </w:tr>
    </w:tbl>
    <w:p>
      <w:pPr>
        <w:spacing w:before="0" w:after="0" w:line="240" w:lineRule="exact"/>
      </w:pPr>
      <w:r>
        <w:rPr>
          <w:rFonts w:ascii="Segoe UI" w:hAnsi="Segoe UI" w:cs="Segoe UI" w:eastAsia="Segoe UI"/>
          <w:b w:val="0"/>
          <w:i w:val="0"/>
          <w:color w:val="1E2B38"/>
          <w:sz w:val="2"/>
        </w:rPr>
        <w:t xml:space="preserve"> </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10319"/>
      </w:tblGrid>
      <w:tr>
        <w:tc>
          <w:tcPr>
            <w:tcW w:type="dxa" w:w="10318"/>
            <w:shd w:val="clear" w:color="auto" w:fill="0B2A4A"/>
            <w:tcMar>
              <w:top w:w="226" w:type="dxa"/>
              <w:start w:w="283" w:type="dxa"/>
              <w:left w:w="283" w:type="dxa"/>
              <w:bottom w:w="226" w:type="dxa"/>
              <w:end w:w="283" w:type="dxa"/>
              <w:right w:w="283" w:type="dxa"/>
            </w:tcMar>
          </w:tcPr>
          <w:p>
            <w:pPr>
              <w:spacing w:before="0" w:after="120" w:line="269" w:lineRule="auto"/>
            </w:pPr>
            <w:r>
              <w:rPr>
                <w:rFonts w:ascii="Segoe UI" w:hAnsi="Segoe UI" w:cs="Segoe UI" w:eastAsia="Segoe UI"/>
                <w:b/>
                <w:i w:val="0"/>
                <w:color w:val="9CC9F5"/>
                <w:sz w:val="17"/>
                <w:spacing w:val="30"/>
              </w:rPr>
              <w:t>NEW IN THIS RELEASE</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9752" w:type="dxa"/>
              <w:tblCellMar>
                <w:left w:w="0" w:type="dxa"/>
                <w:right w:w="0" w:type="dxa"/>
              </w:tblCellMar>
            </w:tblPr>
            <w:tblGrid>
              <w:gridCol w:w="3175"/>
              <w:gridCol w:w="170"/>
              <w:gridCol w:w="3175"/>
              <w:gridCol w:w="170"/>
              <w:gridCol w:w="3061"/>
            </w:tblGrid>
            <w:tr>
              <w:tc>
                <w:tcPr>
                  <w:tcW w:type="dxa" w:w="3175"/>
                </w:tcPr>
                <w:p>
                  <w:pPr>
                    <w:spacing w:before="0" w:after="40" w:line="240" w:lineRule="auto"/>
                  </w:pPr>
                  <w:r>
                    <w:rPr>
                      <w:rFonts w:ascii="Segoe UI" w:hAnsi="Segoe UI" w:cs="Segoe UI" w:eastAsia="Segoe UI"/>
                      <w:b/>
                      <w:i w:val="0"/>
                      <w:color w:val="FFFFFF"/>
                      <w:sz w:val="20"/>
                    </w:rPr>
                    <w:t>Approval notifications</w:t>
                  </w:r>
                </w:p>
                <w:p>
                  <w:pPr>
                    <w:spacing w:before="0" w:after="0" w:line="276" w:lineRule="auto"/>
                  </w:pPr>
                  <w:r>
                    <w:rPr>
                      <w:rFonts w:ascii="Segoe UI" w:hAnsi="Segoe UI" w:cs="Segoe UI" w:eastAsia="Segoe UI"/>
                      <w:b w:val="0"/>
                      <w:i w:val="0"/>
                      <w:color w:val="D3E6FA"/>
                      <w:sz w:val="16"/>
                    </w:rPr>
                    <w:t>Every maker-checker flow tells the people who can approve it, and the maker hears of the approval or rejection with the reason.</w:t>
                  </w:r>
                </w:p>
              </w:tc>
              <w:tc>
                <w:tcPr>
                  <w:tcW w:type="dxa" w:w="170"/>
                </w:tcPr>
                <w:p/>
              </w:tc>
              <w:tc>
                <w:tcPr>
                  <w:tcW w:type="dxa" w:w="3175"/>
                </w:tcPr>
                <w:p>
                  <w:pPr>
                    <w:spacing w:before="0" w:after="40" w:line="240" w:lineRule="auto"/>
                  </w:pPr>
                  <w:r>
                    <w:rPr>
                      <w:rFonts w:ascii="Segoe UI" w:hAnsi="Segoe UI" w:cs="Segoe UI" w:eastAsia="Segoe UI"/>
                      <w:b/>
                      <w:i w:val="0"/>
                      <w:color w:val="FFFFFF"/>
                      <w:sz w:val="20"/>
                    </w:rPr>
                    <w:t>Documents by e-mail</w:t>
                  </w:r>
                </w:p>
                <w:p>
                  <w:pPr>
                    <w:spacing w:before="0" w:after="0" w:line="276" w:lineRule="auto"/>
                  </w:pPr>
                  <w:r>
                    <w:rPr>
                      <w:rFonts w:ascii="Segoe UI" w:hAnsi="Segoe UI" w:cs="Segoe UI" w:eastAsia="Segoe UI"/>
                      <w:b w:val="0"/>
                      <w:i w:val="0"/>
                      <w:color w:val="D3E6FA"/>
                      <w:sz w:val="16"/>
                    </w:rPr>
                    <w:t>Official receipts and premium invoices e-mailed to the client with the PDF attached; debit notes and policy schedules attached too.</w:t>
                  </w:r>
                </w:p>
              </w:tc>
              <w:tc>
                <w:tcPr>
                  <w:tcW w:type="dxa" w:w="170"/>
                </w:tcPr>
                <w:p/>
              </w:tc>
              <w:tc>
                <w:tcPr>
                  <w:tcW w:type="dxa" w:w="3061"/>
                </w:tcPr>
                <w:p>
                  <w:pPr>
                    <w:spacing w:before="0" w:after="40" w:line="240" w:lineRule="auto"/>
                  </w:pPr>
                  <w:r>
                    <w:rPr>
                      <w:rFonts w:ascii="Segoe UI" w:hAnsi="Segoe UI" w:cs="Segoe UI" w:eastAsia="Segoe UI"/>
                      <w:b/>
                      <w:i w:val="0"/>
                      <w:color w:val="FFFFFF"/>
                      <w:sz w:val="20"/>
                    </w:rPr>
                    <w:t>Data privacy registers</w:t>
                  </w:r>
                </w:p>
                <w:p>
                  <w:pPr>
                    <w:spacing w:before="0" w:after="0" w:line="276" w:lineRule="auto"/>
                  </w:pPr>
                  <w:r>
                    <w:rPr>
                      <w:rFonts w:ascii="Segoe UI" w:hAnsi="Segoe UI" w:cs="Segoe UI" w:eastAsia="Segoe UI"/>
                      <w:b w:val="0"/>
                      <w:i w:val="0"/>
                      <w:color w:val="D3E6FA"/>
                      <w:sz w:val="16"/>
                    </w:rPr>
                    <w:t>Consent Register and Data Subject Requests under Master &gt; Data Privacy, with personal data export and anonymisation.</w:t>
                  </w:r>
                </w:p>
              </w:tc>
            </w:tr>
          </w:tbl>
          <w:p/>
        </w:tc>
      </w:tr>
    </w:tbl>
    <w:p>
      <w:pPr>
        <w:spacing w:before="0" w:after="0" w:line="240" w:lineRule="auto"/>
      </w:pPr>
      <w:r>
        <w:br w:type="page"/>
      </w:r>
    </w:p>
    <w:p>
      <w:pPr>
        <w:spacing w:before="0" w:after="40" w:line="269" w:lineRule="auto"/>
      </w:pPr>
      <w:r>
        <w:rPr>
          <w:rFonts w:ascii="Segoe UI" w:hAnsi="Segoe UI" w:cs="Segoe UI" w:eastAsia="Segoe UI"/>
          <w:b/>
          <w:i w:val="0"/>
          <w:color w:val="0072D8"/>
          <w:sz w:val="17"/>
          <w:spacing w:val="30"/>
        </w:rPr>
        <w:t>SEVEN PERSONAS</w:t>
      </w:r>
    </w:p>
    <w:p>
      <w:pPr>
        <w:spacing w:before="0" w:after="120" w:line="240" w:lineRule="auto"/>
      </w:pPr>
      <w:r>
        <w:rPr>
          <w:rFonts w:ascii="Segoe UI" w:hAnsi="Segoe UI" w:cs="Segoe UI" w:eastAsia="Segoe UI"/>
          <w:b/>
          <w:i w:val="0"/>
          <w:color w:val="0B2A4A"/>
          <w:sz w:val="40"/>
        </w:rPr>
        <w:t>Built around the people who do the work</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1247"/>
        <w:gridCol w:w="9072"/>
      </w:tblGrid>
      <w:tr>
        <w:trPr>
          <w:trHeight w:val="51" w:hRule="exact"/>
        </w:trPr>
        <w:tc>
          <w:tcPr>
            <w:tcW w:type="dxa" w:w="1247"/>
            <w:shd w:val="clear" w:color="auto" w:fill="0072D8"/>
          </w:tcPr>
          <w:p>
            <w:pPr>
              <w:spacing w:before="0" w:after="0" w:line="20" w:lineRule="exact"/>
            </w:pPr>
          </w:p>
        </w:tc>
        <w:tc>
          <w:tcPr>
            <w:tcW w:type="dxa" w:w="9071"/>
          </w:tcPr>
          <w:p>
            <w:pPr>
              <w:spacing w:before="0" w:after="0" w:line="20" w:lineRule="exact"/>
            </w:pPr>
          </w:p>
        </w:tc>
      </w:tr>
    </w:tbl>
    <w:p>
      <w:pPr>
        <w:spacing w:before="160" w:after="160" w:line="283" w:lineRule="auto"/>
      </w:pPr>
      <w:r>
        <w:rPr>
          <w:rFonts w:ascii="Segoe UI" w:hAnsi="Segoe UI" w:cs="Segoe UI" w:eastAsia="Segoe UI"/>
          <w:b w:val="0"/>
          <w:i w:val="0"/>
          <w:color w:val="51606F"/>
          <w:sz w:val="21"/>
        </w:rPr>
        <w:t>Each user signs in with a personal ID and sees only the menus of the role. The server applies the same permissions on every request, and the person who enters a transaction cannot approve it.</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2608"/>
        <w:gridCol w:w="7711"/>
      </w:tblGrid>
      <w:tr>
        <w:trPr>
          <w:cantSplit/>
        </w:trPr>
        <w:tc>
          <w:tcPr>
            <w:tcW w:type="dxa" w:w="2608"/>
            <w:shd w:val="clear" w:color="auto" w:fill="0B2A4A"/>
            <w:tcMar>
              <w:top w:w="90" w:type="dxa"/>
              <w:start w:w="170" w:type="dxa"/>
              <w:left w:w="170" w:type="dxa"/>
              <w:bottom w:w="90" w:type="dxa"/>
              <w:end w:w="113" w:type="dxa"/>
              <w:right w:w="113" w:type="dxa"/>
            </w:tcMar>
            <w:vAlign w:val="center"/>
          </w:tcPr>
          <w:p>
            <w:pPr>
              <w:spacing w:before="0" w:after="0" w:line="240" w:lineRule="auto"/>
            </w:pPr>
            <w:r>
              <w:rPr>
                <w:rFonts w:ascii="Segoe UI" w:hAnsi="Segoe UI" w:cs="Segoe UI" w:eastAsia="Segoe UI"/>
                <w:b/>
                <w:i w:val="0"/>
                <w:color w:val="FFFFFF"/>
                <w:sz w:val="20"/>
              </w:rPr>
              <w:t>Sales &amp; Marketing</w:t>
            </w:r>
          </w:p>
          <w:p>
            <w:pPr>
              <w:spacing w:before="0" w:after="0" w:line="240" w:lineRule="auto"/>
            </w:pPr>
            <w:r>
              <w:rPr>
                <w:rFonts w:ascii="Segoe UI" w:hAnsi="Segoe UI" w:cs="Segoe UI" w:eastAsia="Segoe UI"/>
                <w:b w:val="0"/>
                <w:i w:val="0"/>
                <w:color w:val="9CC9F5"/>
                <w:sz w:val="15"/>
              </w:rPr>
              <w:t>Account executives</w:t>
            </w:r>
          </w:p>
        </w:tc>
        <w:tc>
          <w:tcPr>
            <w:tcW w:type="dxa" w:w="7711"/>
            <w:shd w:val="clear" w:color="auto" w:fill="F4F8FC"/>
            <w:tcMar>
              <w:top w:w="90" w:type="dxa"/>
              <w:start w:w="198" w:type="dxa"/>
              <w:left w:w="198" w:type="dxa"/>
              <w:bottom w:w="90" w:type="dxa"/>
              <w:end w:w="170" w:type="dxa"/>
              <w:right w:w="170" w:type="dxa"/>
            </w:tcMar>
            <w:vAlign w:val="center"/>
          </w:tcPr>
          <w:p>
            <w:pPr>
              <w:spacing w:before="0" w:after="0" w:line="276" w:lineRule="auto"/>
            </w:pPr>
            <w:r>
              <w:rPr>
                <w:rFonts w:ascii="Segoe UI" w:hAnsi="Segoe UI" w:cs="Segoe UI" w:eastAsia="Segoe UI"/>
                <w:b w:val="0"/>
                <w:i w:val="0"/>
                <w:color w:val="1E2B38"/>
                <w:sz w:val="17"/>
              </w:rPr>
              <w:t>Prospects, quick quotes and motor quotations sent for online approval; own pipeline, premium and commission on the Sales Dashboard; renewal follow-up.</w:t>
            </w:r>
          </w:p>
        </w:tc>
      </w:tr>
      <w:tr>
        <w:trPr>
          <w:cantSplit/>
        </w:trPr>
        <w:tc>
          <w:tcPr>
            <w:tcW w:type="dxa" w:w="2608"/>
            <w:shd w:val="clear" w:color="auto" w:fill="0F4761"/>
            <w:tcMar>
              <w:top w:w="90" w:type="dxa"/>
              <w:start w:w="170" w:type="dxa"/>
              <w:left w:w="170" w:type="dxa"/>
              <w:bottom w:w="90" w:type="dxa"/>
              <w:end w:w="113" w:type="dxa"/>
              <w:right w:w="113" w:type="dxa"/>
            </w:tcMar>
            <w:vAlign w:val="center"/>
          </w:tcPr>
          <w:p>
            <w:pPr>
              <w:spacing w:before="0" w:after="0" w:line="240" w:lineRule="auto"/>
            </w:pPr>
            <w:r>
              <w:rPr>
                <w:rFonts w:ascii="Segoe UI" w:hAnsi="Segoe UI" w:cs="Segoe UI" w:eastAsia="Segoe UI"/>
                <w:b/>
                <w:i w:val="0"/>
                <w:color w:val="FFFFFF"/>
                <w:sz w:val="20"/>
              </w:rPr>
              <w:t>Processing Team</w:t>
            </w:r>
          </w:p>
          <w:p>
            <w:pPr>
              <w:spacing w:before="0" w:after="0" w:line="240" w:lineRule="auto"/>
            </w:pPr>
            <w:r>
              <w:rPr>
                <w:rFonts w:ascii="Segoe UI" w:hAnsi="Segoe UI" w:cs="Segoe UI" w:eastAsia="Segoe UI"/>
                <w:b w:val="0"/>
                <w:i w:val="0"/>
                <w:color w:val="9CC9F5"/>
                <w:sz w:val="15"/>
              </w:rPr>
              <w:t>Placement and policy processing</w:t>
            </w:r>
          </w:p>
        </w:tc>
        <w:tc>
          <w:tcPr>
            <w:tcW w:type="dxa" w:w="7711"/>
            <w:shd w:val="clear" w:color="auto" w:fill="FFFFFF"/>
            <w:tcMar>
              <w:top w:w="90" w:type="dxa"/>
              <w:start w:w="198" w:type="dxa"/>
              <w:left w:w="198" w:type="dxa"/>
              <w:bottom w:w="90" w:type="dxa"/>
              <w:end w:w="170" w:type="dxa"/>
              <w:right w:w="170" w:type="dxa"/>
            </w:tcMar>
            <w:vAlign w:val="center"/>
          </w:tcPr>
          <w:p>
            <w:pPr>
              <w:spacing w:before="0" w:after="0" w:line="276" w:lineRule="auto"/>
            </w:pPr>
            <w:r>
              <w:rPr>
                <w:rFonts w:ascii="Segoe UI" w:hAnsi="Segoe UI" w:cs="Segoe UI" w:eastAsia="Segoe UI"/>
                <w:b w:val="0"/>
                <w:i w:val="0"/>
                <w:color w:val="1E2B38"/>
                <w:sz w:val="17"/>
              </w:rPr>
              <w:t>Request for Quotation to the market, offer comparison, Placement Slips, policy issue, endorsements, renewal approvals, motor tariff and products, reinsurance.</w:t>
            </w:r>
          </w:p>
        </w:tc>
      </w:tr>
      <w:tr>
        <w:trPr>
          <w:cantSplit/>
        </w:trPr>
        <w:tc>
          <w:tcPr>
            <w:tcW w:type="dxa" w:w="2608"/>
            <w:shd w:val="clear" w:color="auto" w:fill="0B2A4A"/>
            <w:tcMar>
              <w:top w:w="90" w:type="dxa"/>
              <w:start w:w="170" w:type="dxa"/>
              <w:left w:w="170" w:type="dxa"/>
              <w:bottom w:w="90" w:type="dxa"/>
              <w:end w:w="113" w:type="dxa"/>
              <w:right w:w="113" w:type="dxa"/>
            </w:tcMar>
            <w:vAlign w:val="center"/>
          </w:tcPr>
          <w:p>
            <w:pPr>
              <w:spacing w:before="0" w:after="0" w:line="240" w:lineRule="auto"/>
            </w:pPr>
            <w:r>
              <w:rPr>
                <w:rFonts w:ascii="Segoe UI" w:hAnsi="Segoe UI" w:cs="Segoe UI" w:eastAsia="Segoe UI"/>
                <w:b/>
                <w:i w:val="0"/>
                <w:color w:val="FFFFFF"/>
                <w:sz w:val="20"/>
              </w:rPr>
              <w:t>Operations</w:t>
            </w:r>
          </w:p>
          <w:p>
            <w:pPr>
              <w:spacing w:before="0" w:after="0" w:line="240" w:lineRule="auto"/>
            </w:pPr>
            <w:r>
              <w:rPr>
                <w:rFonts w:ascii="Segoe UI" w:hAnsi="Segoe UI" w:cs="Segoe UI" w:eastAsia="Segoe UI"/>
                <w:b w:val="0"/>
                <w:i w:val="0"/>
                <w:color w:val="9CC9F5"/>
                <w:sz w:val="15"/>
              </w:rPr>
              <w:t>Client servicing</w:t>
            </w:r>
          </w:p>
        </w:tc>
        <w:tc>
          <w:tcPr>
            <w:tcW w:type="dxa" w:w="7711"/>
            <w:shd w:val="clear" w:color="auto" w:fill="F4F8FC"/>
            <w:tcMar>
              <w:top w:w="90" w:type="dxa"/>
              <w:start w:w="198" w:type="dxa"/>
              <w:left w:w="198" w:type="dxa"/>
              <w:bottom w:w="90" w:type="dxa"/>
              <w:end w:w="170" w:type="dxa"/>
              <w:right w:w="170" w:type="dxa"/>
            </w:tcMar>
            <w:vAlign w:val="center"/>
          </w:tcPr>
          <w:p>
            <w:pPr>
              <w:spacing w:before="0" w:after="0" w:line="276" w:lineRule="auto"/>
            </w:pPr>
            <w:r>
              <w:rPr>
                <w:rFonts w:ascii="Segoe UI" w:hAnsi="Segoe UI" w:cs="Segoe UI" w:eastAsia="Segoe UI"/>
                <w:b w:val="0"/>
                <w:i w:val="0"/>
                <w:color w:val="1E2B38"/>
                <w:sz w:val="17"/>
              </w:rPr>
              <w:t>Clients and their policies in one view, endorsement requests, payment capture for verification, Open Items worklist of expiring policies and pending payments.</w:t>
            </w:r>
          </w:p>
        </w:tc>
      </w:tr>
      <w:tr>
        <w:trPr>
          <w:cantSplit/>
        </w:trPr>
        <w:tc>
          <w:tcPr>
            <w:tcW w:type="dxa" w:w="2608"/>
            <w:shd w:val="clear" w:color="auto" w:fill="0F4761"/>
            <w:tcMar>
              <w:top w:w="90" w:type="dxa"/>
              <w:start w:w="170" w:type="dxa"/>
              <w:left w:w="170" w:type="dxa"/>
              <w:bottom w:w="90" w:type="dxa"/>
              <w:end w:w="113" w:type="dxa"/>
              <w:right w:w="113" w:type="dxa"/>
            </w:tcMar>
            <w:vAlign w:val="center"/>
          </w:tcPr>
          <w:p>
            <w:pPr>
              <w:spacing w:before="0" w:after="0" w:line="240" w:lineRule="auto"/>
            </w:pPr>
            <w:r>
              <w:rPr>
                <w:rFonts w:ascii="Segoe UI" w:hAnsi="Segoe UI" w:cs="Segoe UI" w:eastAsia="Segoe UI"/>
                <w:b/>
                <w:i w:val="0"/>
                <w:color w:val="FFFFFF"/>
                <w:sz w:val="20"/>
              </w:rPr>
              <w:t>Claims</w:t>
            </w:r>
          </w:p>
          <w:p>
            <w:pPr>
              <w:spacing w:before="0" w:after="0" w:line="240" w:lineRule="auto"/>
            </w:pPr>
            <w:r>
              <w:rPr>
                <w:rFonts w:ascii="Segoe UI" w:hAnsi="Segoe UI" w:cs="Segoe UI" w:eastAsia="Segoe UI"/>
                <w:b w:val="0"/>
                <w:i w:val="0"/>
                <w:color w:val="9CC9F5"/>
                <w:sz w:val="15"/>
              </w:rPr>
              <w:t>Claims officers</w:t>
            </w:r>
          </w:p>
        </w:tc>
        <w:tc>
          <w:tcPr>
            <w:tcW w:type="dxa" w:w="7711"/>
            <w:shd w:val="clear" w:color="auto" w:fill="FFFFFF"/>
            <w:tcMar>
              <w:top w:w="90" w:type="dxa"/>
              <w:start w:w="198" w:type="dxa"/>
              <w:left w:w="198" w:type="dxa"/>
              <w:bottom w:w="90" w:type="dxa"/>
              <w:end w:w="170" w:type="dxa"/>
              <w:right w:w="170" w:type="dxa"/>
            </w:tcMar>
            <w:vAlign w:val="center"/>
          </w:tcPr>
          <w:p>
            <w:pPr>
              <w:spacing w:before="0" w:after="0" w:line="276" w:lineRule="auto"/>
            </w:pPr>
            <w:r>
              <w:rPr>
                <w:rFonts w:ascii="Segoe UI" w:hAnsi="Segoe UI" w:cs="Segoe UI" w:eastAsia="Segoe UI"/>
                <w:b w:val="0"/>
                <w:i w:val="0"/>
                <w:color w:val="1E2B38"/>
                <w:sz w:val="17"/>
              </w:rPr>
              <w:t>Claims Dashboard, registration with the insurer notice, adjuster follow-up, settlement with a second approver, claim letters, reinsurance recoveries.</w:t>
            </w:r>
          </w:p>
        </w:tc>
      </w:tr>
      <w:tr>
        <w:trPr>
          <w:cantSplit/>
        </w:trPr>
        <w:tc>
          <w:tcPr>
            <w:tcW w:type="dxa" w:w="2608"/>
            <w:shd w:val="clear" w:color="auto" w:fill="0B2A4A"/>
            <w:tcMar>
              <w:top w:w="90" w:type="dxa"/>
              <w:start w:w="170" w:type="dxa"/>
              <w:left w:w="170" w:type="dxa"/>
              <w:bottom w:w="90" w:type="dxa"/>
              <w:end w:w="113" w:type="dxa"/>
              <w:right w:w="113" w:type="dxa"/>
            </w:tcMar>
            <w:vAlign w:val="center"/>
          </w:tcPr>
          <w:p>
            <w:pPr>
              <w:spacing w:before="0" w:after="0" w:line="240" w:lineRule="auto"/>
            </w:pPr>
            <w:r>
              <w:rPr>
                <w:rFonts w:ascii="Segoe UI" w:hAnsi="Segoe UI" w:cs="Segoe UI" w:eastAsia="Segoe UI"/>
                <w:b/>
                <w:i w:val="0"/>
                <w:color w:val="FFFFFF"/>
                <w:sz w:val="20"/>
              </w:rPr>
              <w:t>Accounting</w:t>
            </w:r>
          </w:p>
          <w:p>
            <w:pPr>
              <w:spacing w:before="0" w:after="0" w:line="240" w:lineRule="auto"/>
            </w:pPr>
            <w:r>
              <w:rPr>
                <w:rFonts w:ascii="Segoe UI" w:hAnsi="Segoe UI" w:cs="Segoe UI" w:eastAsia="Segoe UI"/>
                <w:b w:val="0"/>
                <w:i w:val="0"/>
                <w:color w:val="9CC9F5"/>
                <w:sz w:val="15"/>
              </w:rPr>
              <w:t>Finance team</w:t>
            </w:r>
          </w:p>
        </w:tc>
        <w:tc>
          <w:tcPr>
            <w:tcW w:type="dxa" w:w="7711"/>
            <w:shd w:val="clear" w:color="auto" w:fill="F4F8FC"/>
            <w:tcMar>
              <w:top w:w="90" w:type="dxa"/>
              <w:start w:w="198" w:type="dxa"/>
              <w:left w:w="198" w:type="dxa"/>
              <w:bottom w:w="90" w:type="dxa"/>
              <w:end w:w="170" w:type="dxa"/>
              <w:right w:w="170" w:type="dxa"/>
            </w:tcMar>
            <w:vAlign w:val="center"/>
          </w:tcPr>
          <w:p>
            <w:pPr>
              <w:spacing w:before="0" w:after="0" w:line="276" w:lineRule="auto"/>
            </w:pPr>
            <w:r>
              <w:rPr>
                <w:rFonts w:ascii="Segoe UI" w:hAnsi="Segoe UI" w:cs="Segoe UI" w:eastAsia="Segoe UI"/>
                <w:b w:val="0"/>
                <w:i w:val="0"/>
                <w:color w:val="1E2B38"/>
                <w:sz w:val="17"/>
              </w:rPr>
              <w:t>Receipts, collections, remittance, direct bill, commission payouts, vouchers, journals, bank reconciliation, month-end preparation, BIR reports and Form 2307.</w:t>
            </w:r>
          </w:p>
        </w:tc>
      </w:tr>
      <w:tr>
        <w:trPr>
          <w:cantSplit/>
        </w:trPr>
        <w:tc>
          <w:tcPr>
            <w:tcW w:type="dxa" w:w="2608"/>
            <w:shd w:val="clear" w:color="auto" w:fill="0F4761"/>
            <w:tcMar>
              <w:top w:w="90" w:type="dxa"/>
              <w:start w:w="170" w:type="dxa"/>
              <w:left w:w="170" w:type="dxa"/>
              <w:bottom w:w="90" w:type="dxa"/>
              <w:end w:w="113" w:type="dxa"/>
              <w:right w:w="113" w:type="dxa"/>
            </w:tcMar>
            <w:vAlign w:val="center"/>
          </w:tcPr>
          <w:p>
            <w:pPr>
              <w:spacing w:before="0" w:after="0" w:line="240" w:lineRule="auto"/>
            </w:pPr>
            <w:r>
              <w:rPr>
                <w:rFonts w:ascii="Segoe UI" w:hAnsi="Segoe UI" w:cs="Segoe UI" w:eastAsia="Segoe UI"/>
                <w:b/>
                <w:i w:val="0"/>
                <w:color w:val="FFFFFF"/>
                <w:sz w:val="20"/>
              </w:rPr>
              <w:t>Accounting Manager</w:t>
            </w:r>
          </w:p>
          <w:p>
            <w:pPr>
              <w:spacing w:before="0" w:after="0" w:line="240" w:lineRule="auto"/>
            </w:pPr>
            <w:r>
              <w:rPr>
                <w:rFonts w:ascii="Segoe UI" w:hAnsi="Segoe UI" w:cs="Segoe UI" w:eastAsia="Segoe UI"/>
                <w:b w:val="0"/>
                <w:i w:val="0"/>
                <w:color w:val="9CC9F5"/>
                <w:sz w:val="15"/>
              </w:rPr>
              <w:t>Finance approver</w:t>
            </w:r>
          </w:p>
        </w:tc>
        <w:tc>
          <w:tcPr>
            <w:tcW w:type="dxa" w:w="7711"/>
            <w:shd w:val="clear" w:color="auto" w:fill="FFFFFF"/>
            <w:tcMar>
              <w:top w:w="90" w:type="dxa"/>
              <w:start w:w="198" w:type="dxa"/>
              <w:left w:w="198" w:type="dxa"/>
              <w:bottom w:w="90" w:type="dxa"/>
              <w:end w:w="170" w:type="dxa"/>
              <w:right w:w="170" w:type="dxa"/>
            </w:tcMar>
            <w:vAlign w:val="center"/>
          </w:tcPr>
          <w:p>
            <w:pPr>
              <w:spacing w:before="0" w:after="0" w:line="276" w:lineRule="auto"/>
            </w:pPr>
            <w:r>
              <w:rPr>
                <w:rFonts w:ascii="Segoe UI" w:hAnsi="Segoe UI" w:cs="Segoe UI" w:eastAsia="Segoe UI"/>
                <w:b w:val="0"/>
                <w:i w:val="0"/>
                <w:color w:val="1E2B38"/>
                <w:sz w:val="17"/>
              </w:rPr>
              <w:t>Approves month-end and year-end close and bank reconciliations, reopens periods, posts into soft-closed periods, reviews the close status.</w:t>
            </w:r>
          </w:p>
        </w:tc>
      </w:tr>
      <w:tr>
        <w:trPr>
          <w:cantSplit/>
        </w:trPr>
        <w:tc>
          <w:tcPr>
            <w:tcW w:type="dxa" w:w="2608"/>
            <w:shd w:val="clear" w:color="auto" w:fill="0B2A4A"/>
            <w:tcMar>
              <w:top w:w="90" w:type="dxa"/>
              <w:start w:w="170" w:type="dxa"/>
              <w:left w:w="170" w:type="dxa"/>
              <w:bottom w:w="90" w:type="dxa"/>
              <w:end w:w="113" w:type="dxa"/>
              <w:right w:w="113" w:type="dxa"/>
            </w:tcMar>
            <w:vAlign w:val="center"/>
          </w:tcPr>
          <w:p>
            <w:pPr>
              <w:spacing w:before="0" w:after="0" w:line="240" w:lineRule="auto"/>
            </w:pPr>
            <w:r>
              <w:rPr>
                <w:rFonts w:ascii="Segoe UI" w:hAnsi="Segoe UI" w:cs="Segoe UI" w:eastAsia="Segoe UI"/>
                <w:b/>
                <w:i w:val="0"/>
                <w:color w:val="FFFFFF"/>
                <w:sz w:val="20"/>
              </w:rPr>
              <w:t>System Administrator</w:t>
            </w:r>
          </w:p>
          <w:p>
            <w:pPr>
              <w:spacing w:before="0" w:after="0" w:line="240" w:lineRule="auto"/>
            </w:pPr>
            <w:r>
              <w:rPr>
                <w:rFonts w:ascii="Segoe UI" w:hAnsi="Segoe UI" w:cs="Segoe UI" w:eastAsia="Segoe UI"/>
                <w:b w:val="0"/>
                <w:i w:val="0"/>
                <w:color w:val="9CC9F5"/>
                <w:sz w:val="15"/>
              </w:rPr>
              <w:t>IT and set-up</w:t>
            </w:r>
          </w:p>
        </w:tc>
        <w:tc>
          <w:tcPr>
            <w:tcW w:type="dxa" w:w="7711"/>
            <w:shd w:val="clear" w:color="auto" w:fill="F4F8FC"/>
            <w:tcMar>
              <w:top w:w="90" w:type="dxa"/>
              <w:start w:w="198" w:type="dxa"/>
              <w:left w:w="198" w:type="dxa"/>
              <w:bottom w:w="90" w:type="dxa"/>
              <w:end w:w="170" w:type="dxa"/>
              <w:right w:w="170" w:type="dxa"/>
            </w:tcMar>
            <w:vAlign w:val="center"/>
          </w:tcPr>
          <w:p>
            <w:pPr>
              <w:spacing w:before="0" w:after="0" w:line="276" w:lineRule="auto"/>
            </w:pPr>
            <w:r>
              <w:rPr>
                <w:rFonts w:ascii="Segoe UI" w:hAnsi="Segoe UI" w:cs="Segoe UI" w:eastAsia="Segoe UI"/>
                <w:b w:val="0"/>
                <w:i w:val="0"/>
                <w:color w:val="1E2B38"/>
                <w:sz w:val="17"/>
              </w:rPr>
              <w:t>Users and roles, company and letterhead, insurers and credit terms, number series, posting rules, configuration, schedules and the audit trail.</w:t>
            </w:r>
          </w:p>
        </w:tc>
      </w:tr>
    </w:tbl>
    <w:p>
      <w:pPr>
        <w:spacing w:before="0" w:after="0" w:line="280" w:lineRule="exact"/>
      </w:pPr>
      <w:r>
        <w:rPr>
          <w:rFonts w:ascii="Segoe UI" w:hAnsi="Segoe UI" w:cs="Segoe UI" w:eastAsia="Segoe UI"/>
          <w:b w:val="0"/>
          <w:i w:val="0"/>
          <w:color w:val="1E2B38"/>
          <w:sz w:val="2"/>
        </w:rPr>
        <w:t xml:space="preserve"> </w:t>
      </w:r>
    </w:p>
    <w:p>
      <w:pPr>
        <w:spacing w:before="0" w:after="40" w:line="269" w:lineRule="auto"/>
      </w:pPr>
      <w:r>
        <w:rPr>
          <w:rFonts w:ascii="Segoe UI" w:hAnsi="Segoe UI" w:cs="Segoe UI" w:eastAsia="Segoe UI"/>
          <w:b/>
          <w:i w:val="0"/>
          <w:color w:val="0072D8"/>
          <w:sz w:val="17"/>
          <w:spacing w:val="30"/>
        </w:rPr>
        <w:t>PHILIPPINE RULES BUILT IN</w:t>
      </w:r>
    </w:p>
    <w:p>
      <w:pPr>
        <w:spacing w:before="0" w:after="120" w:line="240" w:lineRule="auto"/>
      </w:pPr>
      <w:r>
        <w:rPr>
          <w:rFonts w:ascii="Segoe UI" w:hAnsi="Segoe UI" w:cs="Segoe UI" w:eastAsia="Segoe UI"/>
          <w:b/>
          <w:i w:val="0"/>
          <w:color w:val="0B2A4A"/>
          <w:sz w:val="30"/>
        </w:rPr>
        <w:t>Configured for the Philippine market from day one</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3345"/>
        <w:gridCol w:w="141"/>
        <w:gridCol w:w="3345"/>
        <w:gridCol w:w="141"/>
        <w:gridCol w:w="3345"/>
      </w:tblGrid>
      <w:tr>
        <w:trPr>
          <w:cantSplit/>
        </w:trPr>
        <w:tc>
          <w:tcPr>
            <w:tcW w:type="dxa" w:w="3345"/>
            <w:shd w:val="clear" w:color="auto" w:fill="E8F2FC"/>
            <w:tcMar>
              <w:top w:w="113" w:type="dxa"/>
              <w:start w:w="141" w:type="dxa"/>
              <w:left w:w="141" w:type="dxa"/>
              <w:bottom w:w="113" w:type="dxa"/>
              <w:end w:w="141" w:type="dxa"/>
              <w:right w:w="141" w:type="dxa"/>
            </w:tcMar>
            <w:tcBorders>
              <w:top w:val="single" w:sz="24" w:space="0" w:color="0072D8"/>
            </w:tcBorders>
          </w:tcPr>
          <w:p>
            <w:pPr>
              <w:spacing w:before="0" w:after="80" w:line="240" w:lineRule="auto"/>
            </w:pPr>
            <w:r>
              <w:rPr>
                <w:rFonts w:ascii="Segoe UI" w:hAnsi="Segoe UI" w:cs="Segoe UI" w:eastAsia="Segoe UI"/>
                <w:b/>
                <w:i w:val="0"/>
                <w:color w:val="0B2A4A"/>
                <w:sz w:val="20"/>
              </w:rPr>
              <w:t>CTPL and motor</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CTPL 1-year and 3-year tariff per vehicle class in the motor template</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CTPL inclusive of taxes and never discounted</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Auto Passenger PA priced per seat</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Certificate number and authentication code on the policy</w:t>
            </w:r>
          </w:p>
        </w:tc>
        <w:tc>
          <w:tcPr>
            <w:tcW w:type="dxa" w:w="141"/>
          </w:tcPr>
          <w:p/>
        </w:tc>
        <w:tc>
          <w:tcPr>
            <w:tcW w:type="dxa" w:w="3345"/>
            <w:shd w:val="clear" w:color="auto" w:fill="E8F2FC"/>
            <w:tcMar>
              <w:top w:w="113" w:type="dxa"/>
              <w:start w:w="141" w:type="dxa"/>
              <w:left w:w="141" w:type="dxa"/>
              <w:bottom w:w="113" w:type="dxa"/>
              <w:end w:w="141" w:type="dxa"/>
              <w:right w:w="141" w:type="dxa"/>
            </w:tcMar>
            <w:tcBorders>
              <w:top w:val="single" w:sz="24" w:space="0" w:color="0072D8"/>
            </w:tcBorders>
          </w:tcPr>
          <w:p>
            <w:pPr>
              <w:spacing w:before="0" w:after="80" w:line="240" w:lineRule="auto"/>
            </w:pPr>
            <w:r>
              <w:rPr>
                <w:rFonts w:ascii="Segoe UI" w:hAnsi="Segoe UI" w:cs="Segoe UI" w:eastAsia="Segoe UI"/>
                <w:b/>
                <w:i w:val="0"/>
                <w:color w:val="0B2A4A"/>
                <w:sz w:val="20"/>
              </w:rPr>
              <w:t>Taxes on premium</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DST 12.5%, LGT 0.75%, VAT 12%, FST 2% on fire and IAR</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Taxes per line of business and LGU rates per city</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Premium taxes booked to their own accounts, due to insurers</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Return premium reverses the taxes</w:t>
            </w:r>
          </w:p>
        </w:tc>
        <w:tc>
          <w:tcPr>
            <w:tcW w:type="dxa" w:w="141"/>
          </w:tcPr>
          <w:p/>
        </w:tc>
        <w:tc>
          <w:tcPr>
            <w:tcW w:type="dxa" w:w="3345"/>
            <w:shd w:val="clear" w:color="auto" w:fill="E8F2FC"/>
            <w:tcMar>
              <w:top w:w="113" w:type="dxa"/>
              <w:start w:w="141" w:type="dxa"/>
              <w:left w:w="141" w:type="dxa"/>
              <w:bottom w:w="113" w:type="dxa"/>
              <w:end w:w="141" w:type="dxa"/>
              <w:right w:w="141" w:type="dxa"/>
            </w:tcMar>
            <w:tcBorders>
              <w:top w:val="single" w:sz="24" w:space="0" w:color="0072D8"/>
            </w:tcBorders>
          </w:tcPr>
          <w:p>
            <w:pPr>
              <w:spacing w:before="0" w:after="80" w:line="240" w:lineRule="auto"/>
            </w:pPr>
            <w:r>
              <w:rPr>
                <w:rFonts w:ascii="Segoe UI" w:hAnsi="Segoe UI" w:cs="Segoe UI" w:eastAsia="Segoe UI"/>
                <w:b/>
                <w:i w:val="0"/>
                <w:color w:val="0B2A4A"/>
                <w:sz w:val="20"/>
              </w:rPr>
              <w:t>BIR outputs</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BIR Form 2307 issued and received, CWT series</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VAT Summary for the VAT return</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SAWT, QAP, SLSP Sales and Purchases in BIR column order</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EWT codes with ATC, for example WI139, WC139, WI515</w:t>
            </w:r>
          </w:p>
        </w:tc>
      </w:tr>
      <w:tr>
        <w:trPr>
          <w:trHeight w:val="142" w:hRule="exact"/>
        </w:trPr>
        <w:tc>
          <w:tcPr>
            <w:tcW w:type="dxa" w:w="3345"/>
          </w:tcPr>
          <w:p/>
        </w:tc>
        <w:tc>
          <w:tcPr>
            <w:tcW w:type="dxa" w:w="141"/>
          </w:tcPr>
          <w:p/>
        </w:tc>
        <w:tc>
          <w:tcPr>
            <w:tcW w:type="dxa" w:w="3345"/>
          </w:tcPr>
          <w:p/>
        </w:tc>
        <w:tc>
          <w:tcPr>
            <w:tcW w:type="dxa" w:w="141"/>
          </w:tcPr>
          <w:p/>
        </w:tc>
        <w:tc>
          <w:tcPr>
            <w:tcW w:type="dxa" w:w="3345"/>
          </w:tcPr>
          <w:p/>
        </w:tc>
      </w:tr>
      <w:tr>
        <w:trPr>
          <w:cantSplit/>
        </w:trPr>
        <w:tc>
          <w:tcPr>
            <w:tcW w:type="dxa" w:w="3345"/>
            <w:shd w:val="clear" w:color="auto" w:fill="E8F2FC"/>
            <w:tcMar>
              <w:top w:w="113" w:type="dxa"/>
              <w:start w:w="141" w:type="dxa"/>
              <w:left w:w="141" w:type="dxa"/>
              <w:bottom w:w="113" w:type="dxa"/>
              <w:end w:w="141" w:type="dxa"/>
              <w:right w:w="141" w:type="dxa"/>
            </w:tcMar>
            <w:tcBorders>
              <w:top w:val="single" w:sz="24" w:space="0" w:color="0072D8"/>
            </w:tcBorders>
          </w:tcPr>
          <w:p>
            <w:pPr>
              <w:spacing w:before="0" w:after="80" w:line="240" w:lineRule="auto"/>
            </w:pPr>
            <w:r>
              <w:rPr>
                <w:rFonts w:ascii="Segoe UI" w:hAnsi="Segoe UI" w:cs="Segoe UI" w:eastAsia="Segoe UI"/>
                <w:b/>
                <w:i w:val="0"/>
                <w:color w:val="0B2A4A"/>
                <w:sz w:val="20"/>
              </w:rPr>
              <w:t>Insurance Commission records</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Registers of slips, placements, policies, claims and renewals</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Premium due to insurers kept apart from commission income</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Remittance terms per insurer and Remittance Ageing</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Reports in Excel, CSV and PDF for examination</w:t>
            </w:r>
          </w:p>
        </w:tc>
        <w:tc>
          <w:tcPr>
            <w:tcW w:type="dxa" w:w="141"/>
          </w:tcPr>
          <w:p/>
        </w:tc>
        <w:tc>
          <w:tcPr>
            <w:tcW w:type="dxa" w:w="3345"/>
            <w:shd w:val="clear" w:color="auto" w:fill="E8F2FC"/>
            <w:tcMar>
              <w:top w:w="113" w:type="dxa"/>
              <w:start w:w="141" w:type="dxa"/>
              <w:left w:w="141" w:type="dxa"/>
              <w:bottom w:w="113" w:type="dxa"/>
              <w:end w:w="141" w:type="dxa"/>
              <w:right w:w="141" w:type="dxa"/>
            </w:tcMar>
            <w:tcBorders>
              <w:top w:val="single" w:sz="24" w:space="0" w:color="0072D8"/>
            </w:tcBorders>
          </w:tcPr>
          <w:p>
            <w:pPr>
              <w:spacing w:before="0" w:after="80" w:line="240" w:lineRule="auto"/>
            </w:pPr>
            <w:r>
              <w:rPr>
                <w:rFonts w:ascii="Segoe UI" w:hAnsi="Segoe UI" w:cs="Segoe UI" w:eastAsia="Segoe UI"/>
                <w:b/>
                <w:i w:val="0"/>
                <w:color w:val="0B2A4A"/>
                <w:sz w:val="20"/>
              </w:rPr>
              <w:t>Data Privacy Act</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Consent per purpose with notice version and channel</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Data subject requests numbered DSR- with due dates</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Personal data export and anonymisation with retention rules</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Role-based access, audit trail, signed document links</w:t>
            </w:r>
          </w:p>
        </w:tc>
        <w:tc>
          <w:tcPr>
            <w:tcW w:type="dxa" w:w="141"/>
          </w:tcPr>
          <w:p/>
        </w:tc>
        <w:tc>
          <w:tcPr>
            <w:tcW w:type="dxa" w:w="3345"/>
            <w:shd w:val="clear" w:color="auto" w:fill="E8F2FC"/>
            <w:tcMar>
              <w:top w:w="113" w:type="dxa"/>
              <w:start w:w="141" w:type="dxa"/>
              <w:left w:w="141" w:type="dxa"/>
              <w:bottom w:w="113" w:type="dxa"/>
              <w:end w:w="141" w:type="dxa"/>
              <w:right w:w="141" w:type="dxa"/>
            </w:tcMar>
            <w:tcBorders>
              <w:top w:val="single" w:sz="24" w:space="0" w:color="0072D8"/>
            </w:tcBorders>
          </w:tcPr>
          <w:p>
            <w:pPr>
              <w:spacing w:before="0" w:after="80" w:line="240" w:lineRule="auto"/>
            </w:pPr>
            <w:r>
              <w:rPr>
                <w:rFonts w:ascii="Segoe UI" w:hAnsi="Segoe UI" w:cs="Segoe UI" w:eastAsia="Segoe UI"/>
                <w:b/>
                <w:i w:val="0"/>
                <w:color w:val="0B2A4A"/>
                <w:sz w:val="20"/>
              </w:rPr>
              <w:t>Local formats</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PHP amounts and Asia/Manila business time</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TIN, 4-digit ZIP code, Philippine mobile numbers</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PhilSys ID, UMID, passport and other KYC IDs</w:t>
            </w:r>
          </w:p>
          <w:p>
            <w:pPr>
              <w:spacing w:before="0" w:after="40" w:line="264" w:lineRule="auto"/>
              <w:ind w:left="198" w:hanging="198"/>
            </w:pPr>
            <w:r>
              <w:rPr>
                <w:rFonts w:ascii="Segoe UI" w:hAnsi="Segoe UI" w:cs="Segoe UI" w:eastAsia="Segoe UI"/>
                <w:b/>
                <w:i w:val="0"/>
                <w:color w:val="0072D8"/>
                <w:sz w:val="10"/>
              </w:rPr>
              <w:t xml:space="preserve">■  </w:t>
            </w:r>
            <w:r>
              <w:rPr>
                <w:rFonts w:ascii="Segoe UI" w:hAnsi="Segoe UI" w:cs="Segoe UI" w:eastAsia="Segoe UI"/>
                <w:b w:val="0"/>
                <w:i w:val="0"/>
                <w:color w:val="1E2B38"/>
                <w:sz w:val="16"/>
              </w:rPr>
              <w:t>Bank statement layouts for BDO, BPI and Metrobank</w:t>
            </w:r>
          </w:p>
        </w:tc>
      </w:tr>
      <w:tr>
        <w:trPr>
          <w:trHeight w:val="142" w:hRule="exact"/>
        </w:trPr>
        <w:tc>
          <w:tcPr>
            <w:tcW w:type="dxa" w:w="3345"/>
          </w:tcPr>
          <w:p/>
        </w:tc>
        <w:tc>
          <w:tcPr>
            <w:tcW w:type="dxa" w:w="141"/>
          </w:tcPr>
          <w:p/>
        </w:tc>
        <w:tc>
          <w:tcPr>
            <w:tcW w:type="dxa" w:w="3345"/>
          </w:tcPr>
          <w:p/>
        </w:tc>
        <w:tc>
          <w:tcPr>
            <w:tcW w:type="dxa" w:w="141"/>
          </w:tcPr>
          <w:p/>
        </w:tc>
        <w:tc>
          <w:tcPr>
            <w:tcW w:type="dxa" w:w="3345"/>
          </w:tcPr>
          <w:p/>
        </w:tc>
      </w:tr>
    </w:tbl>
    <w:p>
      <w:pPr>
        <w:spacing w:before="0" w:after="0" w:line="240" w:lineRule="auto"/>
      </w:pPr>
      <w:r>
        <w:br w:type="page"/>
      </w:r>
    </w:p>
    <w:p>
      <w:pPr>
        <w:spacing w:before="0" w:after="40" w:line="269" w:lineRule="auto"/>
      </w:pPr>
      <w:r>
        <w:rPr>
          <w:rFonts w:ascii="Segoe UI" w:hAnsi="Segoe UI" w:cs="Segoe UI" w:eastAsia="Segoe UI"/>
          <w:b/>
          <w:i w:val="0"/>
          <w:color w:val="0072D8"/>
          <w:sz w:val="17"/>
          <w:spacing w:val="30"/>
        </w:rPr>
        <w:t>DEPLOYMENT</w:t>
      </w:r>
    </w:p>
    <w:p>
      <w:pPr>
        <w:spacing w:before="0" w:after="120" w:line="240" w:lineRule="auto"/>
      </w:pPr>
      <w:r>
        <w:rPr>
          <w:rFonts w:ascii="Segoe UI" w:hAnsi="Segoe UI" w:cs="Segoe UI" w:eastAsia="Segoe UI"/>
          <w:b/>
          <w:i w:val="0"/>
          <w:color w:val="0B2A4A"/>
          <w:sz w:val="40"/>
        </w:rPr>
        <w:t>Hosted where your data should live</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1247"/>
        <w:gridCol w:w="9072"/>
      </w:tblGrid>
      <w:tr>
        <w:trPr>
          <w:trHeight w:val="51" w:hRule="exact"/>
        </w:trPr>
        <w:tc>
          <w:tcPr>
            <w:tcW w:type="dxa" w:w="1247"/>
            <w:shd w:val="clear" w:color="auto" w:fill="0072D8"/>
          </w:tcPr>
          <w:p>
            <w:pPr>
              <w:spacing w:before="0" w:after="0" w:line="20" w:lineRule="exact"/>
            </w:pPr>
          </w:p>
        </w:tc>
        <w:tc>
          <w:tcPr>
            <w:tcW w:type="dxa" w:w="9071"/>
          </w:tcPr>
          <w:p>
            <w:pPr>
              <w:spacing w:before="0" w:after="0" w:line="20" w:lineRule="exact"/>
            </w:pPr>
          </w:p>
        </w:tc>
      </w:tr>
    </w:tbl>
    <w:p>
      <w:pPr>
        <w:spacing w:before="160" w:after="160" w:line="283" w:lineRule="auto"/>
      </w:pPr>
      <w:r>
        <w:rPr>
          <w:rFonts w:ascii="Segoe UI" w:hAnsi="Segoe UI" w:cs="Segoe UI" w:eastAsia="Segoe UI"/>
          <w:b w:val="0"/>
          <w:i w:val="0"/>
          <w:color w:val="51606F"/>
          <w:sz w:val="21"/>
        </w:rPr>
        <w:t>The same build runs in the cloud or in a Philippine data centre: a web application, a stateless API, PostgreSQL 16 and a file store. Each option is sized to the broker and confirmed by a performance test in UAT.</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2473"/>
        <w:gridCol w:w="141"/>
        <w:gridCol w:w="2473"/>
        <w:gridCol w:w="141"/>
        <w:gridCol w:w="2473"/>
        <w:gridCol w:w="141"/>
        <w:gridCol w:w="2473"/>
      </w:tblGrid>
      <w:tr>
        <w:tc>
          <w:tcPr>
            <w:tcW w:type="dxa" w:w="2473"/>
            <w:shd w:val="clear" w:color="auto" w:fill="F4F8FC"/>
            <w:tcMar>
              <w:top w:w="0" w:type="dxa"/>
              <w:start w:w="0" w:type="dxa"/>
              <w:left w:w="0" w:type="dxa"/>
              <w:bottom w:w="113" w:type="dxa"/>
              <w:end w:w="0" w:type="dxa"/>
              <w:right w:w="0" w:type="dxa"/>
            </w:tcMar>
          </w:tcP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2473" w:type="dxa"/>
              <w:tblCellMar>
                <w:left w:w="0" w:type="dxa"/>
                <w:right w:w="0" w:type="dxa"/>
              </w:tblCellMar>
            </w:tblPr>
            <w:tblGrid>
              <w:gridCol w:w="2473"/>
            </w:tblGrid>
            <w:tr>
              <w:tc>
                <w:tcPr>
                  <w:tcW w:type="dxa" w:w="2473"/>
                  <w:shd w:val="clear" w:color="auto" w:fill="0B2A4A"/>
                  <w:tcMar>
                    <w:top w:w="113" w:type="dxa"/>
                    <w:start w:w="141" w:type="dxa"/>
                    <w:left w:w="141" w:type="dxa"/>
                    <w:bottom w:w="113" w:type="dxa"/>
                    <w:end w:w="113" w:type="dxa"/>
                    <w:right w:w="113" w:type="dxa"/>
                  </w:tcMar>
                </w:tcPr>
                <w:p>
                  <w:pPr>
                    <w:spacing w:before="0" w:after="0" w:line="240" w:lineRule="auto"/>
                  </w:pPr>
                  <w:r>
                    <w:rPr>
                      <w:rFonts w:ascii="Segoe UI" w:hAnsi="Segoe UI" w:cs="Segoe UI" w:eastAsia="Segoe UI"/>
                      <w:b/>
                      <w:i w:val="0"/>
                      <w:color w:val="FFFFFF"/>
                      <w:sz w:val="23"/>
                    </w:rPr>
                    <w:t>AWS</w:t>
                  </w:r>
                </w:p>
                <w:p>
                  <w:pPr>
                    <w:spacing w:before="0" w:after="0" w:line="240" w:lineRule="auto"/>
                  </w:pPr>
                  <w:r>
                    <w:rPr>
                      <w:rFonts w:ascii="Segoe UI" w:hAnsi="Segoe UI" w:cs="Segoe UI" w:eastAsia="Segoe UI"/>
                      <w:b w:val="0"/>
                      <w:i w:val="0"/>
                      <w:color w:val="D3E6FA"/>
                      <w:sz w:val="16"/>
                    </w:rPr>
                    <w:t>Singapore region</w:t>
                  </w:r>
                </w:p>
              </w:tc>
            </w:tr>
          </w:tbl>
          <w:p/>
          <w:p>
            <w:pPr>
              <w:spacing w:before="0" w:after="0" w:line="120" w:lineRule="exact"/>
            </w:pPr>
            <w:r>
              <w:rPr>
                <w:rFonts w:ascii="Segoe UI" w:hAnsi="Segoe UI" w:cs="Segoe UI" w:eastAsia="Segoe UI"/>
                <w:b w:val="0"/>
                <w:i w:val="0"/>
                <w:color w:val="1E2B38"/>
                <w:sz w:val="2"/>
              </w:rPr>
              <w:t xml:space="preserve"> </w:t>
            </w:r>
          </w:p>
          <w:p>
            <w:pPr>
              <w:spacing w:before="0" w:after="40" w:line="264" w:lineRule="auto"/>
              <w:ind w:left="312" w:hanging="170" w:right="113"/>
            </w:pPr>
            <w:r>
              <w:rPr>
                <w:rFonts w:ascii="Segoe UI" w:hAnsi="Segoe UI" w:cs="Segoe UI" w:eastAsia="Segoe UI"/>
                <w:b/>
                <w:i w:val="0"/>
                <w:color w:val="0072D8"/>
                <w:sz w:val="11"/>
              </w:rPr>
              <w:t xml:space="preserve">■ </w:t>
            </w:r>
            <w:r>
              <w:rPr>
                <w:rFonts w:ascii="Segoe UI" w:hAnsi="Segoe UI" w:cs="Segoe UI" w:eastAsia="Segoe UI"/>
                <w:b w:val="0"/>
                <w:i w:val="0"/>
                <w:color w:val="1E2B38"/>
                <w:sz w:val="16"/>
              </w:rPr>
              <w:t>Reference deployment</w:t>
            </w:r>
          </w:p>
          <w:p>
            <w:pPr>
              <w:spacing w:before="0" w:after="40" w:line="264" w:lineRule="auto"/>
              <w:ind w:left="312" w:hanging="170" w:right="113"/>
            </w:pPr>
            <w:r>
              <w:rPr>
                <w:rFonts w:ascii="Segoe UI" w:hAnsi="Segoe UI" w:cs="Segoe UI" w:eastAsia="Segoe UI"/>
                <w:b/>
                <w:i w:val="0"/>
                <w:color w:val="0072D8"/>
                <w:sz w:val="11"/>
              </w:rPr>
              <w:t xml:space="preserve">■ </w:t>
            </w:r>
            <w:r>
              <w:rPr>
                <w:rFonts w:ascii="Segoe UI" w:hAnsi="Segoe UI" w:cs="Segoe UI" w:eastAsia="Segoe UI"/>
                <w:b w:val="0"/>
                <w:i w:val="0"/>
                <w:color w:val="1E2B38"/>
                <w:sz w:val="16"/>
              </w:rPr>
              <w:t>CloudFront, load balancer, containers</w:t>
            </w:r>
          </w:p>
          <w:p>
            <w:pPr>
              <w:spacing w:before="0" w:after="40" w:line="264" w:lineRule="auto"/>
              <w:ind w:left="312" w:hanging="170" w:right="113"/>
            </w:pPr>
            <w:r>
              <w:rPr>
                <w:rFonts w:ascii="Segoe UI" w:hAnsi="Segoe UI" w:cs="Segoe UI" w:eastAsia="Segoe UI"/>
                <w:b/>
                <w:i w:val="0"/>
                <w:color w:val="0072D8"/>
                <w:sz w:val="11"/>
              </w:rPr>
              <w:t xml:space="preserve">■ </w:t>
            </w:r>
            <w:r>
              <w:rPr>
                <w:rFonts w:ascii="Segoe UI" w:hAnsi="Segoe UI" w:cs="Segoe UI" w:eastAsia="Segoe UI"/>
                <w:b w:val="0"/>
                <w:i w:val="0"/>
                <w:color w:val="1E2B38"/>
                <w:sz w:val="16"/>
              </w:rPr>
              <w:t>RDS PostgreSQL Multi-AZ, encrypted</w:t>
            </w:r>
          </w:p>
          <w:p>
            <w:pPr>
              <w:spacing w:before="0" w:after="40" w:line="264" w:lineRule="auto"/>
              <w:ind w:left="312" w:hanging="170" w:right="113"/>
            </w:pPr>
            <w:r>
              <w:rPr>
                <w:rFonts w:ascii="Segoe UI" w:hAnsi="Segoe UI" w:cs="Segoe UI" w:eastAsia="Segoe UI"/>
                <w:b/>
                <w:i w:val="0"/>
                <w:color w:val="0072D8"/>
                <w:sz w:val="11"/>
              </w:rPr>
              <w:t xml:space="preserve">■ </w:t>
            </w:r>
            <w:r>
              <w:rPr>
                <w:rFonts w:ascii="Segoe UI" w:hAnsi="Segoe UI" w:cs="Segoe UI" w:eastAsia="Segoe UI"/>
                <w:b w:val="0"/>
                <w:i w:val="0"/>
                <w:color w:val="1E2B38"/>
                <w:sz w:val="16"/>
              </w:rPr>
              <w:t>Automated backups with point-in-time restore</w:t>
            </w:r>
          </w:p>
        </w:tc>
        <w:tc>
          <w:tcPr>
            <w:tcW w:type="dxa" w:w="142"/>
          </w:tcPr>
          <w:p/>
        </w:tc>
        <w:tc>
          <w:tcPr>
            <w:tcW w:type="dxa" w:w="2473"/>
            <w:shd w:val="clear" w:color="auto" w:fill="F4F8FC"/>
            <w:tcMar>
              <w:top w:w="0" w:type="dxa"/>
              <w:start w:w="0" w:type="dxa"/>
              <w:left w:w="0" w:type="dxa"/>
              <w:bottom w:w="113" w:type="dxa"/>
              <w:end w:w="0" w:type="dxa"/>
              <w:right w:w="0" w:type="dxa"/>
            </w:tcMar>
          </w:tcP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2473" w:type="dxa"/>
              <w:tblCellMar>
                <w:left w:w="0" w:type="dxa"/>
                <w:right w:w="0" w:type="dxa"/>
              </w:tblCellMar>
            </w:tblPr>
            <w:tblGrid>
              <w:gridCol w:w="2473"/>
            </w:tblGrid>
            <w:tr>
              <w:tc>
                <w:tcPr>
                  <w:tcW w:type="dxa" w:w="2473"/>
                  <w:shd w:val="clear" w:color="auto" w:fill="0072D8"/>
                  <w:tcMar>
                    <w:top w:w="113" w:type="dxa"/>
                    <w:start w:w="141" w:type="dxa"/>
                    <w:left w:w="141" w:type="dxa"/>
                    <w:bottom w:w="113" w:type="dxa"/>
                    <w:end w:w="113" w:type="dxa"/>
                    <w:right w:w="113" w:type="dxa"/>
                  </w:tcMar>
                </w:tcPr>
                <w:p>
                  <w:pPr>
                    <w:spacing w:before="0" w:after="0" w:line="240" w:lineRule="auto"/>
                  </w:pPr>
                  <w:r>
                    <w:rPr>
                      <w:rFonts w:ascii="Segoe UI" w:hAnsi="Segoe UI" w:cs="Segoe UI" w:eastAsia="Segoe UI"/>
                      <w:b/>
                      <w:i w:val="0"/>
                      <w:color w:val="FFFFFF"/>
                      <w:sz w:val="23"/>
                    </w:rPr>
                    <w:t>Microsoft Azure</w:t>
                  </w:r>
                </w:p>
                <w:p>
                  <w:pPr>
                    <w:spacing w:before="0" w:after="0" w:line="240" w:lineRule="auto"/>
                  </w:pPr>
                  <w:r>
                    <w:rPr>
                      <w:rFonts w:ascii="Segoe UI" w:hAnsi="Segoe UI" w:cs="Segoe UI" w:eastAsia="Segoe UI"/>
                      <w:b w:val="0"/>
                      <w:i w:val="0"/>
                      <w:color w:val="D3E6FA"/>
                      <w:sz w:val="16"/>
                    </w:rPr>
                    <w:t>Southeast Asia region</w:t>
                  </w:r>
                </w:p>
              </w:tc>
            </w:tr>
          </w:tbl>
          <w:p/>
          <w:p>
            <w:pPr>
              <w:spacing w:before="0" w:after="0" w:line="120" w:lineRule="exact"/>
            </w:pPr>
            <w:r>
              <w:rPr>
                <w:rFonts w:ascii="Segoe UI" w:hAnsi="Segoe UI" w:cs="Segoe UI" w:eastAsia="Segoe UI"/>
                <w:b w:val="0"/>
                <w:i w:val="0"/>
                <w:color w:val="1E2B38"/>
                <w:sz w:val="2"/>
              </w:rPr>
              <w:t xml:space="preserve"> </w:t>
            </w:r>
          </w:p>
          <w:p>
            <w:pPr>
              <w:spacing w:before="0" w:after="40" w:line="264" w:lineRule="auto"/>
              <w:ind w:left="312" w:hanging="170" w:right="113"/>
            </w:pPr>
            <w:r>
              <w:rPr>
                <w:rFonts w:ascii="Segoe UI" w:hAnsi="Segoe UI" w:cs="Segoe UI" w:eastAsia="Segoe UI"/>
                <w:b/>
                <w:i w:val="0"/>
                <w:color w:val="0072D8"/>
                <w:sz w:val="11"/>
              </w:rPr>
              <w:t xml:space="preserve">■ </w:t>
            </w:r>
            <w:r>
              <w:rPr>
                <w:rFonts w:ascii="Segoe UI" w:hAnsi="Segoe UI" w:cs="Segoe UI" w:eastAsia="Segoe UI"/>
                <w:b w:val="0"/>
                <w:i w:val="0"/>
                <w:color w:val="1E2B38"/>
                <w:sz w:val="16"/>
              </w:rPr>
              <w:t>No code change needed</w:t>
            </w:r>
          </w:p>
          <w:p>
            <w:pPr>
              <w:spacing w:before="0" w:after="40" w:line="264" w:lineRule="auto"/>
              <w:ind w:left="312" w:hanging="170" w:right="113"/>
            </w:pPr>
            <w:r>
              <w:rPr>
                <w:rFonts w:ascii="Segoe UI" w:hAnsi="Segoe UI" w:cs="Segoe UI" w:eastAsia="Segoe UI"/>
                <w:b/>
                <w:i w:val="0"/>
                <w:color w:val="0072D8"/>
                <w:sz w:val="11"/>
              </w:rPr>
              <w:t xml:space="preserve">■ </w:t>
            </w:r>
            <w:r>
              <w:rPr>
                <w:rFonts w:ascii="Segoe UI" w:hAnsi="Segoe UI" w:cs="Segoe UI" w:eastAsia="Segoe UI"/>
                <w:b w:val="0"/>
                <w:i w:val="0"/>
                <w:color w:val="1E2B38"/>
                <w:sz w:val="16"/>
              </w:rPr>
              <w:t>Front Door with WAF</w:t>
            </w:r>
          </w:p>
          <w:p>
            <w:pPr>
              <w:spacing w:before="0" w:after="40" w:line="264" w:lineRule="auto"/>
              <w:ind w:left="312" w:hanging="170" w:right="113"/>
            </w:pPr>
            <w:r>
              <w:rPr>
                <w:rFonts w:ascii="Segoe UI" w:hAnsi="Segoe UI" w:cs="Segoe UI" w:eastAsia="Segoe UI"/>
                <w:b/>
                <w:i w:val="0"/>
                <w:color w:val="0072D8"/>
                <w:sz w:val="11"/>
              </w:rPr>
              <w:t xml:space="preserve">■ </w:t>
            </w:r>
            <w:r>
              <w:rPr>
                <w:rFonts w:ascii="Segoe UI" w:hAnsi="Segoe UI" w:cs="Segoe UI" w:eastAsia="Segoe UI"/>
                <w:b w:val="0"/>
                <w:i w:val="0"/>
                <w:color w:val="1E2B38"/>
                <w:sz w:val="16"/>
              </w:rPr>
              <w:t>Container Apps, PostgreSQL Flexible Server</w:t>
            </w:r>
          </w:p>
          <w:p>
            <w:pPr>
              <w:spacing w:before="0" w:after="40" w:line="264" w:lineRule="auto"/>
              <w:ind w:left="312" w:hanging="170" w:right="113"/>
            </w:pPr>
            <w:r>
              <w:rPr>
                <w:rFonts w:ascii="Segoe UI" w:hAnsi="Segoe UI" w:cs="Segoe UI" w:eastAsia="Segoe UI"/>
                <w:b/>
                <w:i w:val="0"/>
                <w:color w:val="0072D8"/>
                <w:sz w:val="11"/>
              </w:rPr>
              <w:t xml:space="preserve">■ </w:t>
            </w:r>
            <w:r>
              <w:rPr>
                <w:rFonts w:ascii="Segoe UI" w:hAnsi="Segoe UI" w:cs="Segoe UI" w:eastAsia="Segoe UI"/>
                <w:b w:val="0"/>
                <w:i w:val="0"/>
                <w:color w:val="1E2B38"/>
                <w:sz w:val="16"/>
              </w:rPr>
              <w:t>Zone-redundant high availability</w:t>
            </w:r>
          </w:p>
        </w:tc>
        <w:tc>
          <w:tcPr>
            <w:tcW w:type="dxa" w:w="142"/>
          </w:tcPr>
          <w:p/>
        </w:tc>
        <w:tc>
          <w:tcPr>
            <w:tcW w:type="dxa" w:w="2473"/>
            <w:shd w:val="clear" w:color="auto" w:fill="F4F8FC"/>
            <w:tcMar>
              <w:top w:w="0" w:type="dxa"/>
              <w:start w:w="0" w:type="dxa"/>
              <w:left w:w="0" w:type="dxa"/>
              <w:bottom w:w="113" w:type="dxa"/>
              <w:end w:w="0" w:type="dxa"/>
              <w:right w:w="0" w:type="dxa"/>
            </w:tcMar>
          </w:tcP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2473" w:type="dxa"/>
              <w:tblCellMar>
                <w:left w:w="0" w:type="dxa"/>
                <w:right w:w="0" w:type="dxa"/>
              </w:tblCellMar>
            </w:tblPr>
            <w:tblGrid>
              <w:gridCol w:w="2473"/>
            </w:tblGrid>
            <w:tr>
              <w:tc>
                <w:tcPr>
                  <w:tcW w:type="dxa" w:w="2473"/>
                  <w:shd w:val="clear" w:color="auto" w:fill="0B2A4A"/>
                  <w:tcMar>
                    <w:top w:w="113" w:type="dxa"/>
                    <w:start w:w="141" w:type="dxa"/>
                    <w:left w:w="141" w:type="dxa"/>
                    <w:bottom w:w="113" w:type="dxa"/>
                    <w:end w:w="113" w:type="dxa"/>
                    <w:right w:w="113" w:type="dxa"/>
                  </w:tcMar>
                </w:tcPr>
                <w:p>
                  <w:pPr>
                    <w:spacing w:before="0" w:after="0" w:line="240" w:lineRule="auto"/>
                  </w:pPr>
                  <w:r>
                    <w:rPr>
                      <w:rFonts w:ascii="Segoe UI" w:hAnsi="Segoe UI" w:cs="Segoe UI" w:eastAsia="Segoe UI"/>
                      <w:b/>
                      <w:i w:val="0"/>
                      <w:color w:val="FFFFFF"/>
                      <w:sz w:val="23"/>
                    </w:rPr>
                    <w:t>Local partner</w:t>
                  </w:r>
                </w:p>
                <w:p>
                  <w:pPr>
                    <w:spacing w:before="0" w:after="0" w:line="240" w:lineRule="auto"/>
                  </w:pPr>
                  <w:r>
                    <w:rPr>
                      <w:rFonts w:ascii="Segoe UI" w:hAnsi="Segoe UI" w:cs="Segoe UI" w:eastAsia="Segoe UI"/>
                      <w:b w:val="0"/>
                      <w:i w:val="0"/>
                      <w:color w:val="D3E6FA"/>
                      <w:sz w:val="16"/>
                    </w:rPr>
                    <w:t>Philippine data centre</w:t>
                  </w:r>
                </w:p>
              </w:tc>
            </w:tr>
          </w:tbl>
          <w:p/>
          <w:p>
            <w:pPr>
              <w:spacing w:before="0" w:after="0" w:line="120" w:lineRule="exact"/>
            </w:pPr>
            <w:r>
              <w:rPr>
                <w:rFonts w:ascii="Segoe UI" w:hAnsi="Segoe UI" w:cs="Segoe UI" w:eastAsia="Segoe UI"/>
                <w:b w:val="0"/>
                <w:i w:val="0"/>
                <w:color w:val="1E2B38"/>
                <w:sz w:val="2"/>
              </w:rPr>
              <w:t xml:space="preserve"> </w:t>
            </w:r>
          </w:p>
          <w:p>
            <w:pPr>
              <w:spacing w:before="0" w:after="40" w:line="264" w:lineRule="auto"/>
              <w:ind w:left="312" w:hanging="170" w:right="113"/>
            </w:pPr>
            <w:r>
              <w:rPr>
                <w:rFonts w:ascii="Segoe UI" w:hAnsi="Segoe UI" w:cs="Segoe UI" w:eastAsia="Segoe UI"/>
                <w:b/>
                <w:i w:val="0"/>
                <w:color w:val="0072D8"/>
                <w:sz w:val="11"/>
              </w:rPr>
              <w:t xml:space="preserve">■ </w:t>
            </w:r>
            <w:r>
              <w:rPr>
                <w:rFonts w:ascii="Segoe UI" w:hAnsi="Segoe UI" w:cs="Segoe UI" w:eastAsia="Segoe UI"/>
                <w:b w:val="0"/>
                <w:i w:val="0"/>
                <w:color w:val="1E2B38"/>
                <w:sz w:val="16"/>
              </w:rPr>
              <w:t>Data held in the Philippines</w:t>
            </w:r>
          </w:p>
          <w:p>
            <w:pPr>
              <w:spacing w:before="0" w:after="40" w:line="264" w:lineRule="auto"/>
              <w:ind w:left="312" w:hanging="170" w:right="113"/>
            </w:pPr>
            <w:r>
              <w:rPr>
                <w:rFonts w:ascii="Segoe UI" w:hAnsi="Segoe UI" w:cs="Segoe UI" w:eastAsia="Segoe UI"/>
                <w:b/>
                <w:i w:val="0"/>
                <w:color w:val="0072D8"/>
                <w:sz w:val="11"/>
              </w:rPr>
              <w:t xml:space="preserve">■ </w:t>
            </w:r>
            <w:r>
              <w:rPr>
                <w:rFonts w:ascii="Segoe UI" w:hAnsi="Segoe UI" w:cs="Segoe UI" w:eastAsia="Segoe UI"/>
                <w:b w:val="0"/>
                <w:i w:val="0"/>
                <w:color w:val="1E2B38"/>
                <w:sz w:val="16"/>
              </w:rPr>
              <w:t>Managed virtual machines</w:t>
            </w:r>
          </w:p>
          <w:p>
            <w:pPr>
              <w:spacing w:before="0" w:after="40" w:line="264" w:lineRule="auto"/>
              <w:ind w:left="312" w:hanging="170" w:right="113"/>
            </w:pPr>
            <w:r>
              <w:rPr>
                <w:rFonts w:ascii="Segoe UI" w:hAnsi="Segoe UI" w:cs="Segoe UI" w:eastAsia="Segoe UI"/>
                <w:b/>
                <w:i w:val="0"/>
                <w:color w:val="0072D8"/>
                <w:sz w:val="11"/>
              </w:rPr>
              <w:t xml:space="preserve">■ </w:t>
            </w:r>
            <w:r>
              <w:rPr>
                <w:rFonts w:ascii="Segoe UI" w:hAnsi="Segoe UI" w:cs="Segoe UI" w:eastAsia="Segoe UI"/>
                <w:b w:val="0"/>
                <w:i w:val="0"/>
                <w:color w:val="1E2B38"/>
                <w:sz w:val="16"/>
              </w:rPr>
              <w:t>PostgreSQL with streaming standby</w:t>
            </w:r>
          </w:p>
          <w:p>
            <w:pPr>
              <w:spacing w:before="0" w:after="40" w:line="264" w:lineRule="auto"/>
              <w:ind w:left="312" w:hanging="170" w:right="113"/>
            </w:pPr>
            <w:r>
              <w:rPr>
                <w:rFonts w:ascii="Segoe UI" w:hAnsi="Segoe UI" w:cs="Segoe UI" w:eastAsia="Segoe UI"/>
                <w:b/>
                <w:i w:val="0"/>
                <w:color w:val="0072D8"/>
                <w:sz w:val="11"/>
              </w:rPr>
              <w:t xml:space="preserve">■ </w:t>
            </w:r>
            <w:r>
              <w:rPr>
                <w:rFonts w:ascii="Segoe UI" w:hAnsi="Segoe UI" w:cs="Segoe UI" w:eastAsia="Segoe UI"/>
                <w:b w:val="0"/>
                <w:i w:val="0"/>
                <w:color w:val="1E2B38"/>
                <w:sz w:val="16"/>
              </w:rPr>
              <w:t>Off-site copy in a second site</w:t>
            </w:r>
          </w:p>
        </w:tc>
        <w:tc>
          <w:tcPr>
            <w:tcW w:type="dxa" w:w="142"/>
          </w:tcPr>
          <w:p/>
        </w:tc>
        <w:tc>
          <w:tcPr>
            <w:tcW w:type="dxa" w:w="2473"/>
            <w:shd w:val="clear" w:color="auto" w:fill="F4F8FC"/>
            <w:tcMar>
              <w:top w:w="0" w:type="dxa"/>
              <w:start w:w="0" w:type="dxa"/>
              <w:left w:w="0" w:type="dxa"/>
              <w:bottom w:w="113" w:type="dxa"/>
              <w:end w:w="0" w:type="dxa"/>
              <w:right w:w="0" w:type="dxa"/>
            </w:tcMar>
          </w:tcP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2473" w:type="dxa"/>
              <w:tblCellMar>
                <w:left w:w="0" w:type="dxa"/>
                <w:right w:w="0" w:type="dxa"/>
              </w:tblCellMar>
            </w:tblPr>
            <w:tblGrid>
              <w:gridCol w:w="2473"/>
            </w:tblGrid>
            <w:tr>
              <w:tc>
                <w:tcPr>
                  <w:tcW w:type="dxa" w:w="2473"/>
                  <w:shd w:val="clear" w:color="auto" w:fill="0072D8"/>
                  <w:tcMar>
                    <w:top w:w="113" w:type="dxa"/>
                    <w:start w:w="141" w:type="dxa"/>
                    <w:left w:w="141" w:type="dxa"/>
                    <w:bottom w:w="113" w:type="dxa"/>
                    <w:end w:w="113" w:type="dxa"/>
                    <w:right w:w="113" w:type="dxa"/>
                  </w:tcMar>
                </w:tcPr>
                <w:p>
                  <w:pPr>
                    <w:spacing w:before="0" w:after="0" w:line="240" w:lineRule="auto"/>
                  </w:pPr>
                  <w:r>
                    <w:rPr>
                      <w:rFonts w:ascii="Segoe UI" w:hAnsi="Segoe UI" w:cs="Segoe UI" w:eastAsia="Segoe UI"/>
                      <w:b/>
                      <w:i w:val="0"/>
                      <w:color w:val="FFFFFF"/>
                      <w:sz w:val="23"/>
                    </w:rPr>
                    <w:t>On-premise</w:t>
                  </w:r>
                </w:p>
                <w:p>
                  <w:pPr>
                    <w:spacing w:before="0" w:after="0" w:line="240" w:lineRule="auto"/>
                  </w:pPr>
                  <w:r>
                    <w:rPr>
                      <w:rFonts w:ascii="Segoe UI" w:hAnsi="Segoe UI" w:cs="Segoe UI" w:eastAsia="Segoe UI"/>
                      <w:b w:val="0"/>
                      <w:i w:val="0"/>
                      <w:color w:val="D3E6FA"/>
                      <w:sz w:val="16"/>
                    </w:rPr>
                    <w:t>Broker’s own servers</w:t>
                  </w:r>
                </w:p>
              </w:tc>
            </w:tr>
          </w:tbl>
          <w:p/>
          <w:p>
            <w:pPr>
              <w:spacing w:before="0" w:after="0" w:line="120" w:lineRule="exact"/>
            </w:pPr>
            <w:r>
              <w:rPr>
                <w:rFonts w:ascii="Segoe UI" w:hAnsi="Segoe UI" w:cs="Segoe UI" w:eastAsia="Segoe UI"/>
                <w:b w:val="0"/>
                <w:i w:val="0"/>
                <w:color w:val="1E2B38"/>
                <w:sz w:val="2"/>
              </w:rPr>
              <w:t xml:space="preserve"> </w:t>
            </w:r>
          </w:p>
          <w:p>
            <w:pPr>
              <w:spacing w:before="0" w:after="40" w:line="264" w:lineRule="auto"/>
              <w:ind w:left="312" w:hanging="170" w:right="113"/>
            </w:pPr>
            <w:r>
              <w:rPr>
                <w:rFonts w:ascii="Segoe UI" w:hAnsi="Segoe UI" w:cs="Segoe UI" w:eastAsia="Segoe UI"/>
                <w:b/>
                <w:i w:val="0"/>
                <w:color w:val="0072D8"/>
                <w:sz w:val="11"/>
              </w:rPr>
              <w:t xml:space="preserve">■ </w:t>
            </w:r>
            <w:r>
              <w:rPr>
                <w:rFonts w:ascii="Segoe UI" w:hAnsi="Segoe UI" w:cs="Segoe UI" w:eastAsia="Segoe UI"/>
                <w:b w:val="0"/>
                <w:i w:val="0"/>
                <w:color w:val="1E2B38"/>
                <w:sz w:val="16"/>
              </w:rPr>
              <w:t>Docker or Node.js with PM2</w:t>
            </w:r>
          </w:p>
          <w:p>
            <w:pPr>
              <w:spacing w:before="0" w:after="40" w:line="264" w:lineRule="auto"/>
              <w:ind w:left="312" w:hanging="170" w:right="113"/>
            </w:pPr>
            <w:r>
              <w:rPr>
                <w:rFonts w:ascii="Segoe UI" w:hAnsi="Segoe UI" w:cs="Segoe UI" w:eastAsia="Segoe UI"/>
                <w:b/>
                <w:i w:val="0"/>
                <w:color w:val="0072D8"/>
                <w:sz w:val="11"/>
              </w:rPr>
              <w:t xml:space="preserve">■ </w:t>
            </w:r>
            <w:r>
              <w:rPr>
                <w:rFonts w:ascii="Segoe UI" w:hAnsi="Segoe UI" w:cs="Segoe UI" w:eastAsia="Segoe UI"/>
                <w:b w:val="0"/>
                <w:i w:val="0"/>
                <w:color w:val="1E2B38"/>
                <w:sz w:val="16"/>
              </w:rPr>
              <w:t>nginx reverse proxy and TLS</w:t>
            </w:r>
          </w:p>
          <w:p>
            <w:pPr>
              <w:spacing w:before="0" w:after="40" w:line="264" w:lineRule="auto"/>
              <w:ind w:left="312" w:hanging="170" w:right="113"/>
            </w:pPr>
            <w:r>
              <w:rPr>
                <w:rFonts w:ascii="Segoe UI" w:hAnsi="Segoe UI" w:cs="Segoe UI" w:eastAsia="Segoe UI"/>
                <w:b/>
                <w:i w:val="0"/>
                <w:color w:val="0072D8"/>
                <w:sz w:val="11"/>
              </w:rPr>
              <w:t xml:space="preserve">■ </w:t>
            </w:r>
            <w:r>
              <w:rPr>
                <w:rFonts w:ascii="Segoe UI" w:hAnsi="Segoe UI" w:cs="Segoe UI" w:eastAsia="Segoe UI"/>
                <w:b w:val="0"/>
                <w:i w:val="0"/>
                <w:color w:val="1E2B38"/>
                <w:sz w:val="16"/>
              </w:rPr>
              <w:t>Backups with WAL archiving</w:t>
            </w:r>
          </w:p>
          <w:p>
            <w:pPr>
              <w:spacing w:before="0" w:after="40" w:line="264" w:lineRule="auto"/>
              <w:ind w:left="312" w:hanging="170" w:right="113"/>
            </w:pPr>
            <w:r>
              <w:rPr>
                <w:rFonts w:ascii="Segoe UI" w:hAnsi="Segoe UI" w:cs="Segoe UI" w:eastAsia="Segoe UI"/>
                <w:b/>
                <w:i w:val="0"/>
                <w:color w:val="0072D8"/>
                <w:sz w:val="11"/>
              </w:rPr>
              <w:t xml:space="preserve">■ </w:t>
            </w:r>
            <w:r>
              <w:rPr>
                <w:rFonts w:ascii="Segoe UI" w:hAnsi="Segoe UI" w:cs="Segoe UI" w:eastAsia="Segoe UI"/>
                <w:b w:val="0"/>
                <w:i w:val="0"/>
                <w:color w:val="1E2B38"/>
                <w:sz w:val="16"/>
              </w:rPr>
              <w:t>Broker IT runs the platform</w:t>
            </w:r>
          </w:p>
        </w:tc>
      </w:tr>
    </w:tbl>
    <w:p>
      <w:pPr>
        <w:spacing w:before="120" w:after="160" w:line="269" w:lineRule="auto"/>
      </w:pPr>
      <w:r>
        <w:rPr>
          <w:rFonts w:ascii="Segoe UI" w:hAnsi="Segoe UI" w:cs="Segoe UI" w:eastAsia="Segoe UI"/>
          <w:b w:val="0"/>
          <w:i/>
          <w:color w:val="51606F"/>
          <w:sz w:val="16"/>
        </w:rPr>
        <w:t>The Data Privacy Act does not require data to stay in the Philippines but keeps the broker accountable for data held abroad. Brokers who want the system of record in the country choose a local partner or on-premise hosting.</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2503"/>
        <w:gridCol w:w="102"/>
        <w:gridCol w:w="2503"/>
        <w:gridCol w:w="102"/>
        <w:gridCol w:w="2503"/>
        <w:gridCol w:w="102"/>
        <w:gridCol w:w="2503"/>
      </w:tblGrid>
      <w:tr>
        <w:tc>
          <w:tcPr>
            <w:tcW w:type="dxa" w:w="2503"/>
            <w:shd w:val="clear" w:color="auto" w:fill="F4F8FC"/>
            <w:tcMar>
              <w:top w:w="102" w:type="dxa"/>
              <w:start w:w="85" w:type="dxa"/>
              <w:left w:w="85" w:type="dxa"/>
              <w:bottom w:w="102" w:type="dxa"/>
              <w:end w:w="85" w:type="dxa"/>
              <w:right w:w="85" w:type="dxa"/>
            </w:tcMar>
            <w:vAlign w:val="center"/>
          </w:tcPr>
          <w:p>
            <w:pPr>
              <w:spacing w:before="0" w:after="0" w:line="240" w:lineRule="auto"/>
              <w:jc w:val="center"/>
            </w:pPr>
            <w:r>
              <w:rPr>
                <w:rFonts w:ascii="Segoe UI" w:hAnsi="Segoe UI" w:cs="Segoe UI" w:eastAsia="Segoe UI"/>
                <w:b/>
                <w:i w:val="0"/>
                <w:color w:val="0B2A4A"/>
                <w:sz w:val="26"/>
              </w:rPr>
              <w:t>PostgreSQL 16</w:t>
            </w:r>
          </w:p>
          <w:p>
            <w:pPr>
              <w:spacing w:before="0" w:after="0" w:line="240" w:lineRule="auto"/>
              <w:jc w:val="center"/>
            </w:pPr>
            <w:r>
              <w:rPr>
                <w:rFonts w:ascii="Segoe UI" w:hAnsi="Segoe UI" w:cs="Segoe UI" w:eastAsia="Segoe UI"/>
                <w:b w:val="0"/>
                <w:i w:val="0"/>
                <w:color w:val="51606F"/>
                <w:sz w:val="17"/>
              </w:rPr>
              <w:t>database of record</w:t>
            </w:r>
          </w:p>
        </w:tc>
        <w:tc>
          <w:tcPr>
            <w:tcW w:type="dxa" w:w="102"/>
          </w:tcPr>
          <w:p/>
        </w:tc>
        <w:tc>
          <w:tcPr>
            <w:tcW w:type="dxa" w:w="2503"/>
            <w:shd w:val="clear" w:color="auto" w:fill="F4F8FC"/>
            <w:tcMar>
              <w:top w:w="102" w:type="dxa"/>
              <w:start w:w="85" w:type="dxa"/>
              <w:left w:w="85" w:type="dxa"/>
              <w:bottom w:w="102" w:type="dxa"/>
              <w:end w:w="85" w:type="dxa"/>
              <w:right w:w="85" w:type="dxa"/>
            </w:tcMar>
            <w:vAlign w:val="center"/>
          </w:tcPr>
          <w:p>
            <w:pPr>
              <w:spacing w:before="0" w:after="0" w:line="240" w:lineRule="auto"/>
              <w:jc w:val="center"/>
            </w:pPr>
            <w:r>
              <w:rPr>
                <w:rFonts w:ascii="Segoe UI" w:hAnsi="Segoe UI" w:cs="Segoe UI" w:eastAsia="Segoe UI"/>
                <w:b/>
                <w:i w:val="0"/>
                <w:color w:val="0B2A4A"/>
                <w:sz w:val="26"/>
              </w:rPr>
              <w:t>Node.js 22</w:t>
            </w:r>
          </w:p>
          <w:p>
            <w:pPr>
              <w:spacing w:before="0" w:after="0" w:line="240" w:lineRule="auto"/>
              <w:jc w:val="center"/>
            </w:pPr>
            <w:r>
              <w:rPr>
                <w:rFonts w:ascii="Segoe UI" w:hAnsi="Segoe UI" w:cs="Segoe UI" w:eastAsia="Segoe UI"/>
                <w:b w:val="0"/>
                <w:i w:val="0"/>
                <w:color w:val="51606F"/>
                <w:sz w:val="17"/>
              </w:rPr>
              <w:t>stateless API</w:t>
            </w:r>
          </w:p>
        </w:tc>
        <w:tc>
          <w:tcPr>
            <w:tcW w:type="dxa" w:w="102"/>
          </w:tcPr>
          <w:p/>
        </w:tc>
        <w:tc>
          <w:tcPr>
            <w:tcW w:type="dxa" w:w="2503"/>
            <w:shd w:val="clear" w:color="auto" w:fill="F4F8FC"/>
            <w:tcMar>
              <w:top w:w="102" w:type="dxa"/>
              <w:start w:w="85" w:type="dxa"/>
              <w:left w:w="85" w:type="dxa"/>
              <w:bottom w:w="102" w:type="dxa"/>
              <w:end w:w="85" w:type="dxa"/>
              <w:right w:w="85" w:type="dxa"/>
            </w:tcMar>
            <w:vAlign w:val="center"/>
          </w:tcPr>
          <w:p>
            <w:pPr>
              <w:spacing w:before="0" w:after="0" w:line="240" w:lineRule="auto"/>
              <w:jc w:val="center"/>
            </w:pPr>
            <w:r>
              <w:rPr>
                <w:rFonts w:ascii="Segoe UI" w:hAnsi="Segoe UI" w:cs="Segoe UI" w:eastAsia="Segoe UI"/>
                <w:b/>
                <w:i w:val="0"/>
                <w:color w:val="0B2A4A"/>
                <w:sz w:val="26"/>
              </w:rPr>
              <w:t>React 18</w:t>
            </w:r>
          </w:p>
          <w:p>
            <w:pPr>
              <w:spacing w:before="0" w:after="0" w:line="240" w:lineRule="auto"/>
              <w:jc w:val="center"/>
            </w:pPr>
            <w:r>
              <w:rPr>
                <w:rFonts w:ascii="Segoe UI" w:hAnsi="Segoe UI" w:cs="Segoe UI" w:eastAsia="Segoe UI"/>
                <w:b w:val="0"/>
                <w:i w:val="0"/>
                <w:color w:val="51606F"/>
                <w:sz w:val="17"/>
              </w:rPr>
              <w:t>browser application, no install</w:t>
            </w:r>
          </w:p>
        </w:tc>
        <w:tc>
          <w:tcPr>
            <w:tcW w:type="dxa" w:w="102"/>
          </w:tcPr>
          <w:p/>
        </w:tc>
        <w:tc>
          <w:tcPr>
            <w:tcW w:type="dxa" w:w="2503"/>
            <w:shd w:val="clear" w:color="auto" w:fill="F4F8FC"/>
            <w:tcMar>
              <w:top w:w="102" w:type="dxa"/>
              <w:start w:w="85" w:type="dxa"/>
              <w:left w:w="85" w:type="dxa"/>
              <w:bottom w:w="102" w:type="dxa"/>
              <w:end w:w="85" w:type="dxa"/>
              <w:right w:w="85" w:type="dxa"/>
            </w:tcMar>
            <w:vAlign w:val="center"/>
          </w:tcPr>
          <w:p>
            <w:pPr>
              <w:spacing w:before="0" w:after="0" w:line="240" w:lineRule="auto"/>
              <w:jc w:val="center"/>
            </w:pPr>
            <w:r>
              <w:rPr>
                <w:rFonts w:ascii="Segoe UI" w:hAnsi="Segoe UI" w:cs="Segoe UI" w:eastAsia="Segoe UI"/>
                <w:b/>
                <w:i w:val="0"/>
                <w:color w:val="0B2A4A"/>
                <w:sz w:val="26"/>
              </w:rPr>
              <w:t>Asia/Manila</w:t>
            </w:r>
          </w:p>
          <w:p>
            <w:pPr>
              <w:spacing w:before="0" w:after="0" w:line="240" w:lineRule="auto"/>
              <w:jc w:val="center"/>
            </w:pPr>
            <w:r>
              <w:rPr>
                <w:rFonts w:ascii="Segoe UI" w:hAnsi="Segoe UI" w:cs="Segoe UI" w:eastAsia="Segoe UI"/>
                <w:b w:val="0"/>
                <w:i w:val="0"/>
                <w:color w:val="51606F"/>
                <w:sz w:val="17"/>
              </w:rPr>
              <w:t>business time zone</w:t>
            </w:r>
          </w:p>
        </w:tc>
      </w:tr>
    </w:tbl>
    <w:p>
      <w:pPr>
        <w:spacing w:before="0" w:after="0" w:line="280" w:lineRule="exact"/>
      </w:pPr>
      <w:r>
        <w:rPr>
          <w:rFonts w:ascii="Segoe UI" w:hAnsi="Segoe UI" w:cs="Segoe UI" w:eastAsia="Segoe UI"/>
          <w:b w:val="0"/>
          <w:i w:val="0"/>
          <w:color w:val="1E2B38"/>
          <w:sz w:val="2"/>
        </w:rPr>
        <w:t xml:space="preserve"> </w:t>
      </w:r>
    </w:p>
    <w:p>
      <w:pPr>
        <w:spacing w:before="0" w:after="40" w:line="269" w:lineRule="auto"/>
      </w:pPr>
      <w:r>
        <w:rPr>
          <w:rFonts w:ascii="Segoe UI" w:hAnsi="Segoe UI" w:cs="Segoe UI" w:eastAsia="Segoe UI"/>
          <w:b/>
          <w:i w:val="0"/>
          <w:color w:val="0072D8"/>
          <w:sz w:val="17"/>
          <w:spacing w:val="30"/>
        </w:rPr>
        <w:t>IMPLEMENTATION</w:t>
      </w:r>
    </w:p>
    <w:p>
      <w:pPr>
        <w:spacing w:before="0" w:after="80" w:line="240" w:lineRule="auto"/>
      </w:pPr>
      <w:r>
        <w:rPr>
          <w:rFonts w:ascii="Segoe UI" w:hAnsi="Segoe UI" w:cs="Segoe UI" w:eastAsia="Segoe UI"/>
          <w:b/>
          <w:i w:val="0"/>
          <w:color w:val="0B2A4A"/>
          <w:sz w:val="30"/>
        </w:rPr>
        <w:t>Live in 8, 12 or 16 to 20 weeks</w:t>
      </w:r>
    </w:p>
    <w:p>
      <w:pPr>
        <w:spacing w:before="0" w:after="160" w:line="283" w:lineRule="auto"/>
      </w:pPr>
      <w:r>
        <w:rPr>
          <w:rFonts w:ascii="Segoe UI" w:hAnsi="Segoe UI" w:cs="Segoe UI" w:eastAsia="Segoe UI"/>
          <w:b/>
          <w:i w:val="0"/>
          <w:color w:val="1E2B38"/>
          <w:sz w:val="18"/>
        </w:rPr>
        <w:t>Configure, do not customise.</w:t>
      </w:r>
      <w:r>
        <w:rPr>
          <w:rFonts w:ascii="Segoe UI" w:hAnsi="Segoe UI" w:cs="Segoe UI" w:eastAsia="Segoe UI"/>
          <w:b w:val="0"/>
          <w:i w:val="0"/>
          <w:color w:val="1E2B38"/>
          <w:sz w:val="18"/>
        </w:rPr>
        <w:t xml:space="preserve"> BrokerVerse is fitted to the broker through master data and settings: insurers and credit terms, products and the motor tariff, commission, tax codes, chart of accounts, posting rules, number series and approvals. Hypercare lasts until the first month-end close is done.</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3345"/>
        <w:gridCol w:w="141"/>
        <w:gridCol w:w="3345"/>
        <w:gridCol w:w="141"/>
        <w:gridCol w:w="3345"/>
      </w:tblGrid>
      <w:tr>
        <w:tc>
          <w:tcPr>
            <w:tcW w:type="dxa" w:w="3345"/>
            <w:shd w:val="clear" w:color="auto" w:fill="E8F2FC"/>
            <w:tcMar>
              <w:top w:w="141" w:type="dxa"/>
              <w:start w:w="170" w:type="dxa"/>
              <w:left w:w="170" w:type="dxa"/>
              <w:bottom w:w="141" w:type="dxa"/>
              <w:end w:w="170" w:type="dxa"/>
              <w:right w:w="170" w:type="dxa"/>
            </w:tcMar>
          </w:tcPr>
          <w:p>
            <w:pPr>
              <w:spacing w:before="0" w:after="0" w:line="240" w:lineRule="auto"/>
            </w:pPr>
            <w:r>
              <w:rPr>
                <w:rFonts w:ascii="Segoe UI" w:hAnsi="Segoe UI" w:cs="Segoe UI" w:eastAsia="Segoe UI"/>
                <w:b/>
                <w:i w:val="0"/>
                <w:color w:val="0072D8"/>
                <w:sz w:val="52"/>
              </w:rPr>
              <w:t>8</w:t>
            </w:r>
            <w:r>
              <w:rPr>
                <w:rFonts w:ascii="Segoe UI" w:hAnsi="Segoe UI" w:cs="Segoe UI" w:eastAsia="Segoe UI"/>
                <w:b/>
                <w:i w:val="0"/>
                <w:color w:val="0B2A4A"/>
                <w:sz w:val="20"/>
              </w:rPr>
              <w:t xml:space="preserve"> weeks</w:t>
            </w:r>
          </w:p>
          <w:p>
            <w:pPr>
              <w:spacing w:before="0" w:after="60" w:line="240" w:lineRule="auto"/>
            </w:pPr>
            <w:r>
              <w:rPr>
                <w:rFonts w:ascii="Segoe UI" w:hAnsi="Segoe UI" w:cs="Segoe UI" w:eastAsia="Segoe UI"/>
                <w:b/>
                <w:i w:val="0"/>
                <w:color w:val="0B2A4A"/>
                <w:sz w:val="21"/>
              </w:rPr>
              <w:t>Small broker</w:t>
            </w:r>
          </w:p>
          <w:p>
            <w:pPr>
              <w:spacing w:before="0" w:after="60" w:line="269" w:lineRule="auto"/>
            </w:pPr>
            <w:r>
              <w:rPr>
                <w:rFonts w:ascii="Segoe UI" w:hAnsi="Segoe UI" w:cs="Segoe UI" w:eastAsia="Segoe UI"/>
                <w:b w:val="0"/>
                <w:i w:val="0"/>
                <w:color w:val="1E2B38"/>
                <w:sz w:val="16"/>
              </w:rPr>
              <w:t>One office, up to 25 users, up to 10 insurers, up to 5,000 in-force policies.</w:t>
            </w:r>
          </w:p>
          <w:p>
            <w:pPr>
              <w:spacing w:before="0" w:after="0" w:line="269" w:lineRule="auto"/>
            </w:pPr>
            <w:r>
              <w:rPr>
                <w:rFonts w:ascii="Segoe UI" w:hAnsi="Segoe UI" w:cs="Segoe UI" w:eastAsia="Segoe UI"/>
                <w:b/>
                <w:i w:val="0"/>
                <w:color w:val="0F4761"/>
                <w:sz w:val="16"/>
              </w:rPr>
              <w:t>Go-live at the start of week 7; hypercare weeks 7 and 8.</w:t>
            </w:r>
          </w:p>
        </w:tc>
        <w:tc>
          <w:tcPr>
            <w:tcW w:type="dxa" w:w="142"/>
          </w:tcPr>
          <w:p/>
        </w:tc>
        <w:tc>
          <w:tcPr>
            <w:tcW w:type="dxa" w:w="3345"/>
            <w:shd w:val="clear" w:color="auto" w:fill="E8F2FC"/>
            <w:tcMar>
              <w:top w:w="141" w:type="dxa"/>
              <w:start w:w="170" w:type="dxa"/>
              <w:left w:w="170" w:type="dxa"/>
              <w:bottom w:w="141" w:type="dxa"/>
              <w:end w:w="170" w:type="dxa"/>
              <w:right w:w="170" w:type="dxa"/>
            </w:tcMar>
          </w:tcPr>
          <w:p>
            <w:pPr>
              <w:spacing w:before="0" w:after="0" w:line="240" w:lineRule="auto"/>
            </w:pPr>
            <w:r>
              <w:rPr>
                <w:rFonts w:ascii="Segoe UI" w:hAnsi="Segoe UI" w:cs="Segoe UI" w:eastAsia="Segoe UI"/>
                <w:b/>
                <w:i w:val="0"/>
                <w:color w:val="0072D8"/>
                <w:sz w:val="52"/>
              </w:rPr>
              <w:t>12</w:t>
            </w:r>
            <w:r>
              <w:rPr>
                <w:rFonts w:ascii="Segoe UI" w:hAnsi="Segoe UI" w:cs="Segoe UI" w:eastAsia="Segoe UI"/>
                <w:b/>
                <w:i w:val="0"/>
                <w:color w:val="0B2A4A"/>
                <w:sz w:val="20"/>
              </w:rPr>
              <w:t xml:space="preserve"> weeks</w:t>
            </w:r>
          </w:p>
          <w:p>
            <w:pPr>
              <w:spacing w:before="0" w:after="60" w:line="240" w:lineRule="auto"/>
            </w:pPr>
            <w:r>
              <w:rPr>
                <w:rFonts w:ascii="Segoe UI" w:hAnsi="Segoe UI" w:cs="Segoe UI" w:eastAsia="Segoe UI"/>
                <w:b/>
                <w:i w:val="0"/>
                <w:color w:val="0B2A4A"/>
                <w:sz w:val="21"/>
              </w:rPr>
              <w:t>Medium broker</w:t>
            </w:r>
          </w:p>
          <w:p>
            <w:pPr>
              <w:spacing w:before="0" w:after="60" w:line="269" w:lineRule="auto"/>
            </w:pPr>
            <w:r>
              <w:rPr>
                <w:rFonts w:ascii="Segoe UI" w:hAnsi="Segoe UI" w:cs="Segoe UI" w:eastAsia="Segoe UI"/>
                <w:b w:val="0"/>
                <w:i w:val="0"/>
                <w:color w:val="1E2B38"/>
                <w:sz w:val="16"/>
              </w:rPr>
              <w:t>Up to 3 offices, 26 to 75 users, up to 25 insurers, up to 25,000 in-force policies.</w:t>
            </w:r>
          </w:p>
          <w:p>
            <w:pPr>
              <w:spacing w:before="0" w:after="0" w:line="269" w:lineRule="auto"/>
            </w:pPr>
            <w:r>
              <w:rPr>
                <w:rFonts w:ascii="Segoe UI" w:hAnsi="Segoe UI" w:cs="Segoe UI" w:eastAsia="Segoe UI"/>
                <w:b/>
                <w:i w:val="0"/>
                <w:color w:val="0F4761"/>
                <w:sz w:val="16"/>
              </w:rPr>
              <w:t>Go-live at the start of week 10; hypercare weeks 10 to 12.</w:t>
            </w:r>
          </w:p>
        </w:tc>
        <w:tc>
          <w:tcPr>
            <w:tcW w:type="dxa" w:w="142"/>
          </w:tcPr>
          <w:p/>
        </w:tc>
        <w:tc>
          <w:tcPr>
            <w:tcW w:type="dxa" w:w="3345"/>
            <w:shd w:val="clear" w:color="auto" w:fill="E8F2FC"/>
            <w:tcMar>
              <w:top w:w="141" w:type="dxa"/>
              <w:start w:w="170" w:type="dxa"/>
              <w:left w:w="170" w:type="dxa"/>
              <w:bottom w:w="141" w:type="dxa"/>
              <w:end w:w="170" w:type="dxa"/>
              <w:right w:w="170" w:type="dxa"/>
            </w:tcMar>
          </w:tcPr>
          <w:p>
            <w:pPr>
              <w:spacing w:before="0" w:after="0" w:line="240" w:lineRule="auto"/>
            </w:pPr>
            <w:r>
              <w:rPr>
                <w:rFonts w:ascii="Segoe UI" w:hAnsi="Segoe UI" w:cs="Segoe UI" w:eastAsia="Segoe UI"/>
                <w:b/>
                <w:i w:val="0"/>
                <w:color w:val="0072D8"/>
                <w:sz w:val="52"/>
              </w:rPr>
              <w:t>16-20</w:t>
            </w:r>
            <w:r>
              <w:rPr>
                <w:rFonts w:ascii="Segoe UI" w:hAnsi="Segoe UI" w:cs="Segoe UI" w:eastAsia="Segoe UI"/>
                <w:b/>
                <w:i w:val="0"/>
                <w:color w:val="0B2A4A"/>
                <w:sz w:val="20"/>
              </w:rPr>
              <w:t xml:space="preserve"> weeks</w:t>
            </w:r>
          </w:p>
          <w:p>
            <w:pPr>
              <w:spacing w:before="0" w:after="60" w:line="240" w:lineRule="auto"/>
            </w:pPr>
            <w:r>
              <w:rPr>
                <w:rFonts w:ascii="Segoe UI" w:hAnsi="Segoe UI" w:cs="Segoe UI" w:eastAsia="Segoe UI"/>
                <w:b/>
                <w:i w:val="0"/>
                <w:color w:val="0B2A4A"/>
                <w:sz w:val="21"/>
              </w:rPr>
              <w:t>Large broker</w:t>
            </w:r>
          </w:p>
          <w:p>
            <w:pPr>
              <w:spacing w:before="0" w:after="60" w:line="269" w:lineRule="auto"/>
            </w:pPr>
            <w:r>
              <w:rPr>
                <w:rFonts w:ascii="Segoe UI" w:hAnsi="Segoe UI" w:cs="Segoe UI" w:eastAsia="Segoe UI"/>
                <w:b w:val="0"/>
                <w:i w:val="0"/>
                <w:color w:val="1E2B38"/>
                <w:sz w:val="16"/>
              </w:rPr>
              <w:t>More than 3 offices and 75 users, many insurers, more than 25,000 in-force policies.</w:t>
            </w:r>
          </w:p>
          <w:p>
            <w:pPr>
              <w:spacing w:before="0" w:after="0" w:line="269" w:lineRule="auto"/>
            </w:pPr>
            <w:r>
              <w:rPr>
                <w:rFonts w:ascii="Segoe UI" w:hAnsi="Segoe UI" w:cs="Segoe UI" w:eastAsia="Segoe UI"/>
                <w:b/>
                <w:i w:val="0"/>
                <w:color w:val="0F4761"/>
                <w:sz w:val="16"/>
              </w:rPr>
              <w:t>Go-live at the start of week 15 (20-week plan); hypercare to week 20.</w:t>
            </w:r>
          </w:p>
        </w:tc>
      </w:tr>
    </w:tbl>
    <w:p>
      <w:pPr>
        <w:spacing w:before="0" w:after="0" w:line="200" w:lineRule="exact"/>
      </w:pPr>
      <w:r>
        <w:rPr>
          <w:rFonts w:ascii="Segoe UI" w:hAnsi="Segoe UI" w:cs="Segoe UI" w:eastAsia="Segoe UI"/>
          <w:b w:val="0"/>
          <w:i w:val="0"/>
          <w:color w:val="1E2B38"/>
          <w:sz w:val="2"/>
        </w:rPr>
        <w:t xml:space="preserve"> </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938"/>
        <w:gridCol w:w="938"/>
        <w:gridCol w:w="938"/>
        <w:gridCol w:w="938"/>
        <w:gridCol w:w="938"/>
        <w:gridCol w:w="938"/>
        <w:gridCol w:w="938"/>
        <w:gridCol w:w="938"/>
        <w:gridCol w:w="938"/>
        <w:gridCol w:w="938"/>
        <w:gridCol w:w="938"/>
      </w:tblGrid>
      <w:tr>
        <w:trPr>
          <w:trHeight w:val="510" w:hRule="atLeast"/>
        </w:trPr>
        <w:tc>
          <w:tcPr>
            <w:tcW w:type="dxa" w:w="938"/>
            <w:shd w:val="clear" w:color="auto" w:fill="0B2A4A"/>
            <w:vAlign w:val="center"/>
            <w:tcMar>
              <w:top w:w="28" w:type="dxa"/>
              <w:start w:w="11" w:type="dxa"/>
              <w:left w:w="11" w:type="dxa"/>
              <w:bottom w:w="28" w:type="dxa"/>
              <w:end w:w="11" w:type="dxa"/>
              <w:right w:w="11" w:type="dxa"/>
            </w:tcMar>
          </w:tcPr>
          <w:p>
            <w:pPr>
              <w:spacing w:before="0" w:after="0" w:line="240" w:lineRule="auto"/>
              <w:jc w:val="center"/>
            </w:pPr>
            <w:r>
              <w:rPr>
                <w:rFonts w:ascii="Segoe UI" w:hAnsi="Segoe UI" w:cs="Segoe UI" w:eastAsia="Segoe UI"/>
                <w:b/>
                <w:i w:val="0"/>
                <w:color w:val="FFFFFF"/>
                <w:sz w:val="15"/>
              </w:rPr>
              <w:t>Mobilise</w:t>
            </w:r>
          </w:p>
        </w:tc>
        <w:tc>
          <w:tcPr>
            <w:tcW w:type="dxa" w:w="938"/>
            <w:vAlign w:val="center"/>
            <w:tcMar>
              <w:top w:w="28" w:type="dxa"/>
              <w:start w:w="11" w:type="dxa"/>
              <w:left w:w="11" w:type="dxa"/>
              <w:bottom w:w="28" w:type="dxa"/>
              <w:end w:w="11" w:type="dxa"/>
              <w:right w:w="11" w:type="dxa"/>
            </w:tcMar>
            <w:shd w:val="clear" w:color="auto" w:fill="0F4761"/>
          </w:tcPr>
          <w:p>
            <w:pPr>
              <w:spacing w:before="0" w:after="0" w:line="240" w:lineRule="auto"/>
              <w:jc w:val="center"/>
            </w:pPr>
            <w:r>
              <w:rPr>
                <w:rFonts w:ascii="Segoe UI" w:hAnsi="Segoe UI" w:cs="Segoe UI" w:eastAsia="Segoe UI"/>
                <w:b/>
                <w:i w:val="0"/>
                <w:color w:val="FFFFFF"/>
                <w:sz w:val="15"/>
              </w:rPr>
              <w:t>Discover</w:t>
            </w:r>
          </w:p>
        </w:tc>
        <w:tc>
          <w:tcPr>
            <w:tcW w:type="dxa" w:w="938"/>
            <w:shd w:val="clear" w:color="auto" w:fill="0B2A4A"/>
            <w:vAlign w:val="center"/>
            <w:tcMar>
              <w:top w:w="28" w:type="dxa"/>
              <w:start w:w="11" w:type="dxa"/>
              <w:left w:w="11" w:type="dxa"/>
              <w:bottom w:w="28" w:type="dxa"/>
              <w:end w:w="11" w:type="dxa"/>
              <w:right w:w="11" w:type="dxa"/>
            </w:tcMar>
          </w:tcPr>
          <w:p>
            <w:pPr>
              <w:spacing w:before="0" w:after="0" w:line="240" w:lineRule="auto"/>
              <w:jc w:val="center"/>
            </w:pPr>
            <w:r>
              <w:rPr>
                <w:rFonts w:ascii="Segoe UI" w:hAnsi="Segoe UI" w:cs="Segoe UI" w:eastAsia="Segoe UI"/>
                <w:b/>
                <w:i w:val="0"/>
                <w:color w:val="FFFFFF"/>
                <w:sz w:val="15"/>
              </w:rPr>
              <w:t>Set-up</w:t>
            </w:r>
          </w:p>
        </w:tc>
        <w:tc>
          <w:tcPr>
            <w:tcW w:type="dxa" w:w="938"/>
            <w:vAlign w:val="center"/>
            <w:tcMar>
              <w:top w:w="28" w:type="dxa"/>
              <w:start w:w="11" w:type="dxa"/>
              <w:left w:w="11" w:type="dxa"/>
              <w:bottom w:w="28" w:type="dxa"/>
              <w:end w:w="11" w:type="dxa"/>
              <w:right w:w="11" w:type="dxa"/>
            </w:tcMar>
            <w:shd w:val="clear" w:color="auto" w:fill="0F4761"/>
          </w:tcPr>
          <w:p>
            <w:pPr>
              <w:spacing w:before="0" w:after="0" w:line="240" w:lineRule="auto"/>
              <w:jc w:val="center"/>
            </w:pPr>
            <w:r>
              <w:rPr>
                <w:rFonts w:ascii="Segoe UI" w:hAnsi="Segoe UI" w:cs="Segoe UI" w:eastAsia="Segoe UI"/>
                <w:b/>
                <w:i w:val="0"/>
                <w:color w:val="FFFFFF"/>
                <w:sz w:val="15"/>
              </w:rPr>
              <w:t>Configure</w:t>
            </w:r>
          </w:p>
        </w:tc>
        <w:tc>
          <w:tcPr>
            <w:tcW w:type="dxa" w:w="938"/>
            <w:shd w:val="clear" w:color="auto" w:fill="0B2A4A"/>
            <w:vAlign w:val="center"/>
            <w:tcMar>
              <w:top w:w="28" w:type="dxa"/>
              <w:start w:w="11" w:type="dxa"/>
              <w:left w:w="11" w:type="dxa"/>
              <w:bottom w:w="28" w:type="dxa"/>
              <w:end w:w="11" w:type="dxa"/>
              <w:right w:w="11" w:type="dxa"/>
            </w:tcMar>
          </w:tcPr>
          <w:p>
            <w:pPr>
              <w:spacing w:before="0" w:after="0" w:line="240" w:lineRule="auto"/>
              <w:jc w:val="center"/>
            </w:pPr>
            <w:r>
              <w:rPr>
                <w:rFonts w:ascii="Segoe UI" w:hAnsi="Segoe UI" w:cs="Segoe UI" w:eastAsia="Segoe UI"/>
                <w:b/>
                <w:i w:val="0"/>
                <w:color w:val="FFFFFF"/>
                <w:sz w:val="15"/>
              </w:rPr>
              <w:t>Migrate data</w:t>
            </w:r>
          </w:p>
        </w:tc>
        <w:tc>
          <w:tcPr>
            <w:tcW w:type="dxa" w:w="938"/>
            <w:vAlign w:val="center"/>
            <w:tcMar>
              <w:top w:w="28" w:type="dxa"/>
              <w:start w:w="11" w:type="dxa"/>
              <w:left w:w="11" w:type="dxa"/>
              <w:bottom w:w="28" w:type="dxa"/>
              <w:end w:w="11" w:type="dxa"/>
              <w:right w:w="11" w:type="dxa"/>
            </w:tcMar>
            <w:shd w:val="clear" w:color="auto" w:fill="0F4761"/>
          </w:tcPr>
          <w:p>
            <w:pPr>
              <w:spacing w:before="0" w:after="0" w:line="240" w:lineRule="auto"/>
              <w:jc w:val="center"/>
            </w:pPr>
            <w:r>
              <w:rPr>
                <w:rFonts w:ascii="Segoe UI" w:hAnsi="Segoe UI" w:cs="Segoe UI" w:eastAsia="Segoe UI"/>
                <w:b/>
                <w:i w:val="0"/>
                <w:color w:val="FFFFFF"/>
                <w:sz w:val="15"/>
              </w:rPr>
              <w:t>Train</w:t>
            </w:r>
          </w:p>
        </w:tc>
        <w:tc>
          <w:tcPr>
            <w:tcW w:type="dxa" w:w="938"/>
            <w:shd w:val="clear" w:color="auto" w:fill="0B2A4A"/>
            <w:vAlign w:val="center"/>
            <w:tcMar>
              <w:top w:w="28" w:type="dxa"/>
              <w:start w:w="11" w:type="dxa"/>
              <w:left w:w="11" w:type="dxa"/>
              <w:bottom w:w="28" w:type="dxa"/>
              <w:end w:w="11" w:type="dxa"/>
              <w:right w:w="11" w:type="dxa"/>
            </w:tcMar>
          </w:tcPr>
          <w:p>
            <w:pPr>
              <w:spacing w:before="0" w:after="0" w:line="240" w:lineRule="auto"/>
              <w:jc w:val="center"/>
            </w:pPr>
            <w:r>
              <w:rPr>
                <w:rFonts w:ascii="Segoe UI" w:hAnsi="Segoe UI" w:cs="Segoe UI" w:eastAsia="Segoe UI"/>
                <w:b/>
                <w:i w:val="0"/>
                <w:color w:val="FFFFFF"/>
                <w:sz w:val="15"/>
              </w:rPr>
              <w:t>SIT</w:t>
            </w:r>
          </w:p>
        </w:tc>
        <w:tc>
          <w:tcPr>
            <w:tcW w:type="dxa" w:w="938"/>
            <w:vAlign w:val="center"/>
            <w:tcMar>
              <w:top w:w="28" w:type="dxa"/>
              <w:start w:w="11" w:type="dxa"/>
              <w:left w:w="11" w:type="dxa"/>
              <w:bottom w:w="28" w:type="dxa"/>
              <w:end w:w="11" w:type="dxa"/>
              <w:right w:w="11" w:type="dxa"/>
            </w:tcMar>
            <w:shd w:val="clear" w:color="auto" w:fill="0F4761"/>
          </w:tcPr>
          <w:p>
            <w:pPr>
              <w:spacing w:before="0" w:after="0" w:line="240" w:lineRule="auto"/>
              <w:jc w:val="center"/>
            </w:pPr>
            <w:r>
              <w:rPr>
                <w:rFonts w:ascii="Segoe UI" w:hAnsi="Segoe UI" w:cs="Segoe UI" w:eastAsia="Segoe UI"/>
                <w:b/>
                <w:i w:val="0"/>
                <w:color w:val="FFFFFF"/>
                <w:sz w:val="15"/>
              </w:rPr>
              <w:t>UAT</w:t>
            </w:r>
          </w:p>
        </w:tc>
        <w:tc>
          <w:tcPr>
            <w:tcW w:type="dxa" w:w="938"/>
            <w:shd w:val="clear" w:color="auto" w:fill="0B2A4A"/>
            <w:vAlign w:val="center"/>
            <w:tcMar>
              <w:top w:w="28" w:type="dxa"/>
              <w:start w:w="11" w:type="dxa"/>
              <w:left w:w="11" w:type="dxa"/>
              <w:bottom w:w="28" w:type="dxa"/>
              <w:end w:w="11" w:type="dxa"/>
              <w:right w:w="11" w:type="dxa"/>
            </w:tcMar>
          </w:tcPr>
          <w:p>
            <w:pPr>
              <w:spacing w:before="0" w:after="0" w:line="240" w:lineRule="auto"/>
              <w:jc w:val="center"/>
            </w:pPr>
            <w:r>
              <w:rPr>
                <w:rFonts w:ascii="Segoe UI" w:hAnsi="Segoe UI" w:cs="Segoe UI" w:eastAsia="Segoe UI"/>
                <w:b/>
                <w:i w:val="0"/>
                <w:color w:val="FFFFFF"/>
                <w:sz w:val="15"/>
              </w:rPr>
              <w:t>Cutover</w:t>
            </w:r>
          </w:p>
        </w:tc>
        <w:tc>
          <w:tcPr>
            <w:tcW w:type="dxa" w:w="938"/>
            <w:shd w:val="clear" w:color="auto" w:fill="0072D8"/>
            <w:vAlign w:val="center"/>
            <w:tcMar>
              <w:top w:w="28" w:type="dxa"/>
              <w:start w:w="11" w:type="dxa"/>
              <w:left w:w="11" w:type="dxa"/>
              <w:bottom w:w="28" w:type="dxa"/>
              <w:end w:w="11" w:type="dxa"/>
              <w:right w:w="11" w:type="dxa"/>
            </w:tcMar>
          </w:tcPr>
          <w:p>
            <w:pPr>
              <w:spacing w:before="0" w:after="0" w:line="240" w:lineRule="auto"/>
              <w:jc w:val="center"/>
            </w:pPr>
            <w:r>
              <w:rPr>
                <w:rFonts w:ascii="Segoe UI" w:hAnsi="Segoe UI" w:cs="Segoe UI" w:eastAsia="Segoe UI"/>
                <w:b/>
                <w:i w:val="0"/>
                <w:color w:val="FFFFFF"/>
                <w:sz w:val="15"/>
              </w:rPr>
              <w:t>Go-live</w:t>
            </w:r>
          </w:p>
        </w:tc>
        <w:tc>
          <w:tcPr>
            <w:tcW w:type="dxa" w:w="938"/>
            <w:shd w:val="clear" w:color="auto" w:fill="0072D8"/>
            <w:vAlign w:val="center"/>
            <w:tcMar>
              <w:top w:w="28" w:type="dxa"/>
              <w:start w:w="11" w:type="dxa"/>
              <w:left w:w="11" w:type="dxa"/>
              <w:bottom w:w="28" w:type="dxa"/>
              <w:end w:w="11" w:type="dxa"/>
              <w:right w:w="11" w:type="dxa"/>
            </w:tcMar>
          </w:tcPr>
          <w:p>
            <w:pPr>
              <w:spacing w:before="0" w:after="0" w:line="240" w:lineRule="auto"/>
              <w:jc w:val="center"/>
            </w:pPr>
            <w:r>
              <w:rPr>
                <w:rFonts w:ascii="Segoe UI" w:hAnsi="Segoe UI" w:cs="Segoe UI" w:eastAsia="Segoe UI"/>
                <w:b/>
                <w:i w:val="0"/>
                <w:color w:val="FFFFFF"/>
                <w:sz w:val="15"/>
              </w:rPr>
              <w:t>Hypercare</w:t>
            </w:r>
          </w:p>
        </w:tc>
      </w:tr>
    </w:tbl>
    <w:p>
      <w:pPr>
        <w:spacing w:before="0" w:after="0" w:line="200" w:lineRule="exact"/>
      </w:pPr>
      <w:r>
        <w:rPr>
          <w:rFonts w:ascii="Segoe UI" w:hAnsi="Segoe UI" w:cs="Segoe UI" w:eastAsia="Segoe UI"/>
          <w:b w:val="0"/>
          <w:i w:val="0"/>
          <w:color w:val="1E2B38"/>
          <w:sz w:val="2"/>
        </w:rPr>
        <w:t xml:space="preserve"> </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10319"/>
      </w:tblGrid>
      <w:tr>
        <w:tc>
          <w:tcPr>
            <w:tcW w:type="dxa" w:w="10318"/>
            <w:shd w:val="clear" w:color="auto" w:fill="F1F3F6"/>
            <w:tcMar>
              <w:top w:w="141" w:type="dxa"/>
              <w:start w:w="226" w:type="dxa"/>
              <w:left w:w="226" w:type="dxa"/>
              <w:bottom w:w="141" w:type="dxa"/>
              <w:end w:w="226" w:type="dxa"/>
              <w:right w:w="226" w:type="dxa"/>
            </w:tcMar>
            <w:tcBorders>
              <w:left w:val="single" w:sz="24" w:space="0" w:color="0B2A4A"/>
            </w:tcBorders>
          </w:tcPr>
          <w:p>
            <w:pPr>
              <w:spacing w:before="0" w:after="40" w:line="269" w:lineRule="auto"/>
            </w:pPr>
            <w:r>
              <w:rPr>
                <w:rFonts w:ascii="Segoe UI" w:hAnsi="Segoe UI" w:cs="Segoe UI" w:eastAsia="Segoe UI"/>
                <w:b/>
                <w:i w:val="0"/>
                <w:color w:val="0B2A4A"/>
                <w:sz w:val="20"/>
              </w:rPr>
              <w:t>What OOTB means</w:t>
            </w:r>
          </w:p>
          <w:p>
            <w:pPr>
              <w:spacing w:before="0" w:after="0" w:line="276" w:lineRule="auto"/>
            </w:pPr>
            <w:r>
              <w:rPr>
                <w:rFonts w:ascii="Segoe UI" w:hAnsi="Segoe UI" w:cs="Segoe UI" w:eastAsia="Segoe UI"/>
                <w:b w:val="0"/>
                <w:i w:val="0"/>
                <w:color w:val="1E2B38"/>
                <w:sz w:val="17"/>
              </w:rPr>
              <w:t>The broker uses the delivered screens, workflows, reports and printed documents. Customisation of screens, reports or documents and new integrations (insurer systems, core banking, bank payment files, SMS, BIR eFPS or eBIRForms) are outside the OOTB scope and are handled as change requests, estimated and priced before any work starts.</w:t>
            </w:r>
          </w:p>
        </w:tc>
      </w:tr>
    </w:tbl>
    <w:p>
      <w:pPr>
        <w:spacing w:before="0" w:after="0" w:line="240" w:lineRule="auto"/>
      </w:pPr>
      <w:r>
        <w:br w:type="page"/>
      </w:r>
    </w:p>
    <w:p>
      <w:pPr>
        <w:spacing w:before="0" w:after="40" w:line="269" w:lineRule="auto"/>
      </w:pPr>
      <w:r>
        <w:rPr>
          <w:rFonts w:ascii="Segoe UI" w:hAnsi="Segoe UI" w:cs="Segoe UI" w:eastAsia="Segoe UI"/>
          <w:b/>
          <w:i w:val="0"/>
          <w:color w:val="0072D8"/>
          <w:sz w:val="17"/>
          <w:spacing w:val="30"/>
        </w:rPr>
        <w:t>PRODUCTION SUPPORT</w:t>
      </w:r>
    </w:p>
    <w:p>
      <w:pPr>
        <w:spacing w:before="0" w:after="120" w:line="240" w:lineRule="auto"/>
      </w:pPr>
      <w:r>
        <w:rPr>
          <w:rFonts w:ascii="Segoe UI" w:hAnsi="Segoe UI" w:cs="Segoe UI" w:eastAsia="Segoe UI"/>
          <w:b/>
          <w:i w:val="0"/>
          <w:color w:val="0B2A4A"/>
          <w:sz w:val="40"/>
        </w:rPr>
        <w:t>Support that knows the product</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1247"/>
        <w:gridCol w:w="9072"/>
      </w:tblGrid>
      <w:tr>
        <w:trPr>
          <w:trHeight w:val="51" w:hRule="exact"/>
        </w:trPr>
        <w:tc>
          <w:tcPr>
            <w:tcW w:type="dxa" w:w="1247"/>
            <w:shd w:val="clear" w:color="auto" w:fill="0072D8"/>
          </w:tcPr>
          <w:p>
            <w:pPr>
              <w:spacing w:before="0" w:after="0" w:line="20" w:lineRule="exact"/>
            </w:pPr>
          </w:p>
        </w:tc>
        <w:tc>
          <w:tcPr>
            <w:tcW w:type="dxa" w:w="9071"/>
          </w:tcPr>
          <w:p>
            <w:pPr>
              <w:spacing w:before="0" w:after="0" w:line="20" w:lineRule="exact"/>
            </w:pPr>
          </w:p>
        </w:tc>
      </w:tr>
    </w:tbl>
    <w:p>
      <w:pPr>
        <w:spacing w:before="160" w:after="160" w:line="283" w:lineRule="auto"/>
      </w:pPr>
      <w:r>
        <w:rPr>
          <w:rFonts w:ascii="Segoe UI" w:hAnsi="Segoe UI" w:cs="Segoe UI" w:eastAsia="Segoe UI"/>
          <w:b w:val="0"/>
          <w:i w:val="0"/>
          <w:color w:val="51606F"/>
          <w:sz w:val="21"/>
        </w:rPr>
        <w:t>After hypercare, iorta TechNXT supports BrokerVerse through one service desk. The broker’s key users and System Administrator handle the first line; iorta TechNXT handles analysis, fixes and releases.</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907"/>
        <w:gridCol w:w="2948"/>
        <w:gridCol w:w="6463"/>
      </w:tblGrid>
      <w:tr>
        <w:trPr>
          <w:cantSplit/>
        </w:trPr>
        <w:tc>
          <w:tcPr>
            <w:tcW w:type="dxa" w:w="907"/>
            <w:shd w:val="clear" w:color="auto" w:fill="0072D8"/>
            <w:vAlign w:val="center"/>
            <w:tcMar>
              <w:top w:w="85" w:type="dxa"/>
              <w:start w:w="56" w:type="dxa"/>
              <w:left w:w="56" w:type="dxa"/>
              <w:bottom w:w="85" w:type="dxa"/>
              <w:end w:w="56" w:type="dxa"/>
              <w:right w:w="56" w:type="dxa"/>
            </w:tcMar>
          </w:tcPr>
          <w:p>
            <w:pPr>
              <w:spacing w:before="0" w:after="0" w:line="240" w:lineRule="auto"/>
              <w:jc w:val="center"/>
            </w:pPr>
            <w:r>
              <w:rPr>
                <w:rFonts w:ascii="Segoe UI" w:hAnsi="Segoe UI" w:cs="Segoe UI" w:eastAsia="Segoe UI"/>
                <w:b/>
                <w:i w:val="0"/>
                <w:color w:val="FFFFFF"/>
                <w:sz w:val="28"/>
              </w:rPr>
              <w:t>L1</w:t>
            </w:r>
          </w:p>
        </w:tc>
        <w:tc>
          <w:tcPr>
            <w:tcW w:type="dxa" w:w="2948"/>
            <w:shd w:val="clear" w:color="auto" w:fill="F4F8FC"/>
            <w:vAlign w:val="center"/>
            <w:tcMar>
              <w:top w:w="85" w:type="dxa"/>
              <w:start w:w="170" w:type="dxa"/>
              <w:left w:w="170" w:type="dxa"/>
              <w:bottom w:w="85" w:type="dxa"/>
              <w:end w:w="141" w:type="dxa"/>
              <w:right w:w="141" w:type="dxa"/>
            </w:tcMar>
          </w:tcPr>
          <w:p>
            <w:pPr>
              <w:spacing w:before="0" w:after="0" w:line="264" w:lineRule="auto"/>
            </w:pPr>
            <w:r>
              <w:rPr>
                <w:rFonts w:ascii="Segoe UI" w:hAnsi="Segoe UI" w:cs="Segoe UI" w:eastAsia="Segoe UI"/>
                <w:b/>
                <w:i w:val="0"/>
                <w:color w:val="0B2A4A"/>
                <w:sz w:val="18"/>
              </w:rPr>
              <w:t>Broker key users and System Administrator</w:t>
            </w:r>
          </w:p>
        </w:tc>
        <w:tc>
          <w:tcPr>
            <w:tcW w:type="dxa" w:w="6463"/>
            <w:shd w:val="clear" w:color="auto" w:fill="F4F8FC"/>
            <w:vAlign w:val="center"/>
            <w:tcMar>
              <w:top w:w="85" w:type="dxa"/>
              <w:start w:w="170" w:type="dxa"/>
              <w:left w:w="170" w:type="dxa"/>
              <w:bottom w:w="85" w:type="dxa"/>
              <w:end w:w="141" w:type="dxa"/>
              <w:right w:w="141" w:type="dxa"/>
            </w:tcMar>
          </w:tcPr>
          <w:p>
            <w:pPr>
              <w:spacing w:before="0" w:after="0" w:line="269" w:lineRule="auto"/>
            </w:pPr>
            <w:r>
              <w:rPr>
                <w:rFonts w:ascii="Segoe UI" w:hAnsi="Segoe UI" w:cs="Segoe UI" w:eastAsia="Segoe UI"/>
                <w:b w:val="0"/>
                <w:i w:val="0"/>
                <w:color w:val="1E2B38"/>
                <w:sz w:val="17"/>
              </w:rPr>
              <w:t>How-to questions, users and passwords, settings and master data, logging the ticket with the evidence.</w:t>
            </w:r>
          </w:p>
        </w:tc>
      </w:tr>
      <w:tr>
        <w:trPr>
          <w:cantSplit/>
        </w:trPr>
        <w:tc>
          <w:tcPr>
            <w:tcW w:type="dxa" w:w="907"/>
            <w:shd w:val="clear" w:color="auto" w:fill="0072D8"/>
            <w:vAlign w:val="center"/>
            <w:tcMar>
              <w:top w:w="85" w:type="dxa"/>
              <w:start w:w="56" w:type="dxa"/>
              <w:left w:w="56" w:type="dxa"/>
              <w:bottom w:w="85" w:type="dxa"/>
              <w:end w:w="56" w:type="dxa"/>
              <w:right w:w="56" w:type="dxa"/>
            </w:tcMar>
          </w:tcPr>
          <w:p>
            <w:pPr>
              <w:spacing w:before="0" w:after="0" w:line="240" w:lineRule="auto"/>
              <w:jc w:val="center"/>
            </w:pPr>
            <w:r>
              <w:rPr>
                <w:rFonts w:ascii="Segoe UI" w:hAnsi="Segoe UI" w:cs="Segoe UI" w:eastAsia="Segoe UI"/>
                <w:b/>
                <w:i w:val="0"/>
                <w:color w:val="FFFFFF"/>
                <w:sz w:val="28"/>
              </w:rPr>
              <w:t>L2</w:t>
            </w:r>
          </w:p>
        </w:tc>
        <w:tc>
          <w:tcPr>
            <w:tcW w:type="dxa" w:w="2948"/>
            <w:shd w:val="clear" w:color="auto" w:fill="FFFFFF"/>
            <w:vAlign w:val="center"/>
            <w:tcMar>
              <w:top w:w="85" w:type="dxa"/>
              <w:start w:w="170" w:type="dxa"/>
              <w:left w:w="170" w:type="dxa"/>
              <w:bottom w:w="85" w:type="dxa"/>
              <w:end w:w="141" w:type="dxa"/>
              <w:right w:w="141" w:type="dxa"/>
            </w:tcMar>
          </w:tcPr>
          <w:p>
            <w:pPr>
              <w:spacing w:before="0" w:after="0" w:line="264" w:lineRule="auto"/>
            </w:pPr>
            <w:r>
              <w:rPr>
                <w:rFonts w:ascii="Segoe UI" w:hAnsi="Segoe UI" w:cs="Segoe UI" w:eastAsia="Segoe UI"/>
                <w:b/>
                <w:i w:val="0"/>
                <w:color w:val="0B2A4A"/>
                <w:sz w:val="18"/>
              </w:rPr>
              <w:t>iorta TechNXT application support</w:t>
            </w:r>
          </w:p>
        </w:tc>
        <w:tc>
          <w:tcPr>
            <w:tcW w:type="dxa" w:w="6463"/>
            <w:shd w:val="clear" w:color="auto" w:fill="FFFFFF"/>
            <w:vAlign w:val="center"/>
            <w:tcMar>
              <w:top w:w="85" w:type="dxa"/>
              <w:start w:w="170" w:type="dxa"/>
              <w:left w:w="170" w:type="dxa"/>
              <w:bottom w:w="85" w:type="dxa"/>
              <w:end w:w="141" w:type="dxa"/>
              <w:right w:w="141" w:type="dxa"/>
            </w:tcMar>
          </w:tcPr>
          <w:p>
            <w:pPr>
              <w:spacing w:before="0" w:after="0" w:line="269" w:lineRule="auto"/>
            </w:pPr>
            <w:r>
              <w:rPr>
                <w:rFonts w:ascii="Segoe UI" w:hAnsi="Segoe UI" w:cs="Segoe UI" w:eastAsia="Segoe UI"/>
                <w:b w:val="0"/>
                <w:i w:val="0"/>
                <w:color w:val="1E2B38"/>
                <w:sz w:val="17"/>
              </w:rPr>
              <w:t>Triage, reproduction, analysis with request IDs and the audit trail, configuration and data corrections under change control, workarounds.</w:t>
            </w:r>
          </w:p>
        </w:tc>
      </w:tr>
      <w:tr>
        <w:trPr>
          <w:cantSplit/>
        </w:trPr>
        <w:tc>
          <w:tcPr>
            <w:tcW w:type="dxa" w:w="907"/>
            <w:shd w:val="clear" w:color="auto" w:fill="0072D8"/>
            <w:vAlign w:val="center"/>
            <w:tcMar>
              <w:top w:w="85" w:type="dxa"/>
              <w:start w:w="56" w:type="dxa"/>
              <w:left w:w="56" w:type="dxa"/>
              <w:bottom w:w="85" w:type="dxa"/>
              <w:end w:w="56" w:type="dxa"/>
              <w:right w:w="56" w:type="dxa"/>
            </w:tcMar>
          </w:tcPr>
          <w:p>
            <w:pPr>
              <w:spacing w:before="0" w:after="0" w:line="240" w:lineRule="auto"/>
              <w:jc w:val="center"/>
            </w:pPr>
            <w:r>
              <w:rPr>
                <w:rFonts w:ascii="Segoe UI" w:hAnsi="Segoe UI" w:cs="Segoe UI" w:eastAsia="Segoe UI"/>
                <w:b/>
                <w:i w:val="0"/>
                <w:color w:val="FFFFFF"/>
                <w:sz w:val="28"/>
              </w:rPr>
              <w:t>L3</w:t>
            </w:r>
          </w:p>
        </w:tc>
        <w:tc>
          <w:tcPr>
            <w:tcW w:type="dxa" w:w="2948"/>
            <w:shd w:val="clear" w:color="auto" w:fill="F4F8FC"/>
            <w:vAlign w:val="center"/>
            <w:tcMar>
              <w:top w:w="85" w:type="dxa"/>
              <w:start w:w="170" w:type="dxa"/>
              <w:left w:w="170" w:type="dxa"/>
              <w:bottom w:w="85" w:type="dxa"/>
              <w:end w:w="141" w:type="dxa"/>
              <w:right w:w="141" w:type="dxa"/>
            </w:tcMar>
          </w:tcPr>
          <w:p>
            <w:pPr>
              <w:spacing w:before="0" w:after="0" w:line="264" w:lineRule="auto"/>
            </w:pPr>
            <w:r>
              <w:rPr>
                <w:rFonts w:ascii="Segoe UI" w:hAnsi="Segoe UI" w:cs="Segoe UI" w:eastAsia="Segoe UI"/>
                <w:b/>
                <w:i w:val="0"/>
                <w:color w:val="0B2A4A"/>
                <w:sz w:val="18"/>
              </w:rPr>
              <w:t>iorta TechNXT engineering</w:t>
            </w:r>
          </w:p>
        </w:tc>
        <w:tc>
          <w:tcPr>
            <w:tcW w:type="dxa" w:w="6463"/>
            <w:shd w:val="clear" w:color="auto" w:fill="F4F8FC"/>
            <w:vAlign w:val="center"/>
            <w:tcMar>
              <w:top w:w="85" w:type="dxa"/>
              <w:start w:w="170" w:type="dxa"/>
              <w:left w:w="170" w:type="dxa"/>
              <w:bottom w:w="85" w:type="dxa"/>
              <w:end w:w="141" w:type="dxa"/>
              <w:right w:w="141" w:type="dxa"/>
            </w:tcMar>
          </w:tcPr>
          <w:p>
            <w:pPr>
              <w:spacing w:before="0" w:after="0" w:line="269" w:lineRule="auto"/>
            </w:pPr>
            <w:r>
              <w:rPr>
                <w:rFonts w:ascii="Segoe UI" w:hAnsi="Segoe UI" w:cs="Segoe UI" w:eastAsia="Segoe UI"/>
                <w:b w:val="0"/>
                <w:i w:val="0"/>
                <w:color w:val="1E2B38"/>
                <w:sz w:val="17"/>
              </w:rPr>
              <w:t>Code defects, performance, infrastructure, security incidents, root-cause analysis, fixes and releases.</w:t>
            </w:r>
          </w:p>
        </w:tc>
      </w:tr>
    </w:tbl>
    <w:p>
      <w:pPr>
        <w:spacing w:before="0" w:after="0" w:line="200" w:lineRule="exact"/>
      </w:pPr>
      <w:r>
        <w:rPr>
          <w:rFonts w:ascii="Segoe UI" w:hAnsi="Segoe UI" w:cs="Segoe UI" w:eastAsia="Segoe UI"/>
          <w:b w:val="0"/>
          <w:i w:val="0"/>
          <w:color w:val="1E2B38"/>
          <w:sz w:val="2"/>
        </w:rPr>
        <w:t xml:space="preserve"> </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4706"/>
        <w:gridCol w:w="226"/>
        <w:gridCol w:w="5386"/>
      </w:tblGrid>
      <w:tr>
        <w:tc>
          <w:tcPr>
            <w:tcW w:type="dxa" w:w="4706"/>
          </w:tcPr>
          <w:p>
            <w:pPr>
              <w:spacing w:before="0" w:after="80" w:line="269" w:lineRule="auto"/>
            </w:pPr>
            <w:r>
              <w:rPr>
                <w:rFonts w:ascii="Segoe UI" w:hAnsi="Segoe UI" w:cs="Segoe UI" w:eastAsia="Segoe UI"/>
                <w:b/>
                <w:i w:val="0"/>
                <w:color w:val="0B2A4A"/>
                <w:sz w:val="21"/>
              </w:rPr>
              <w:t>Service levels (standard proposal)</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4706" w:type="dxa"/>
              <w:tblCellMar>
                <w:left w:w="0" w:type="dxa"/>
                <w:right w:w="0" w:type="dxa"/>
              </w:tblCellMar>
            </w:tblPr>
            <w:tblGrid>
              <w:gridCol w:w="1417"/>
              <w:gridCol w:w="1530"/>
              <w:gridCol w:w="1757"/>
            </w:tblGrid>
            <w:tr>
              <w:tc>
                <w:tcPr>
                  <w:tcW w:type="dxa" w:w="1417"/>
                  <w:tcMar>
                    <w:top w:w="45" w:type="dxa"/>
                    <w:start w:w="85" w:type="dxa"/>
                    <w:left w:w="85" w:type="dxa"/>
                    <w:bottom w:w="45" w:type="dxa"/>
                    <w:end w:w="56" w:type="dxa"/>
                    <w:right w:w="56" w:type="dxa"/>
                  </w:tcMar>
                  <w:shd w:val="clear" w:color="auto" w:fill="0B2A4A"/>
                </w:tcPr>
                <w:p>
                  <w:pPr>
                    <w:spacing w:before="0" w:after="0" w:line="269" w:lineRule="auto"/>
                  </w:pPr>
                  <w:r>
                    <w:rPr>
                      <w:rFonts w:ascii="Segoe UI" w:hAnsi="Segoe UI" w:cs="Segoe UI" w:eastAsia="Segoe UI"/>
                      <w:b/>
                      <w:i w:val="0"/>
                      <w:color w:val="FFFFFF"/>
                      <w:sz w:val="16"/>
                    </w:rPr>
                    <w:t>Severity</w:t>
                  </w:r>
                </w:p>
              </w:tc>
              <w:tc>
                <w:tcPr>
                  <w:tcW w:type="dxa" w:w="1530"/>
                  <w:tcMar>
                    <w:top w:w="45" w:type="dxa"/>
                    <w:start w:w="85" w:type="dxa"/>
                    <w:left w:w="85" w:type="dxa"/>
                    <w:bottom w:w="45" w:type="dxa"/>
                    <w:end w:w="56" w:type="dxa"/>
                    <w:right w:w="56" w:type="dxa"/>
                  </w:tcMar>
                  <w:shd w:val="clear" w:color="auto" w:fill="0B2A4A"/>
                </w:tcPr>
                <w:p>
                  <w:pPr>
                    <w:spacing w:before="0" w:after="0" w:line="269" w:lineRule="auto"/>
                  </w:pPr>
                  <w:r>
                    <w:rPr>
                      <w:rFonts w:ascii="Segoe UI" w:hAnsi="Segoe UI" w:cs="Segoe UI" w:eastAsia="Segoe UI"/>
                      <w:b/>
                      <w:i w:val="0"/>
                      <w:color w:val="FFFFFF"/>
                      <w:sz w:val="16"/>
                    </w:rPr>
                    <w:t>First response</w:t>
                  </w:r>
                </w:p>
              </w:tc>
              <w:tc>
                <w:tcPr>
                  <w:tcW w:type="dxa" w:w="1757"/>
                  <w:tcMar>
                    <w:top w:w="45" w:type="dxa"/>
                    <w:start w:w="85" w:type="dxa"/>
                    <w:left w:w="85" w:type="dxa"/>
                    <w:bottom w:w="45" w:type="dxa"/>
                    <w:end w:w="56" w:type="dxa"/>
                    <w:right w:w="56" w:type="dxa"/>
                  </w:tcMar>
                  <w:shd w:val="clear" w:color="auto" w:fill="0B2A4A"/>
                </w:tcPr>
                <w:p>
                  <w:pPr>
                    <w:spacing w:before="0" w:after="0" w:line="269" w:lineRule="auto"/>
                  </w:pPr>
                  <w:r>
                    <w:rPr>
                      <w:rFonts w:ascii="Segoe UI" w:hAnsi="Segoe UI" w:cs="Segoe UI" w:eastAsia="Segoe UI"/>
                      <w:b/>
                      <w:i w:val="0"/>
                      <w:color w:val="FFFFFF"/>
                      <w:sz w:val="16"/>
                    </w:rPr>
                    <w:t>Restore or workaround</w:t>
                  </w:r>
                </w:p>
              </w:tc>
            </w:tr>
            <w:tr>
              <w:tc>
                <w:tcPr>
                  <w:tcW w:type="dxa" w:w="1417"/>
                  <w:tcMar>
                    <w:top w:w="45" w:type="dxa"/>
                    <w:start w:w="85" w:type="dxa"/>
                    <w:left w:w="85" w:type="dxa"/>
                    <w:bottom w:w="45" w:type="dxa"/>
                    <w:end w:w="56" w:type="dxa"/>
                    <w:right w:w="56" w:type="dxa"/>
                  </w:tcMar>
                  <w:shd w:val="clear" w:color="auto" w:fill="E8F2FC"/>
                </w:tcPr>
                <w:p>
                  <w:pPr>
                    <w:spacing w:before="0" w:after="0" w:line="269" w:lineRule="auto"/>
                  </w:pPr>
                  <w:r>
                    <w:rPr>
                      <w:rFonts w:ascii="Segoe UI" w:hAnsi="Segoe UI" w:cs="Segoe UI" w:eastAsia="Segoe UI"/>
                      <w:b/>
                      <w:i w:val="0"/>
                      <w:color w:val="0B2A4A"/>
                      <w:sz w:val="16"/>
                    </w:rPr>
                    <w:t>P1 Critical</w:t>
                  </w:r>
                </w:p>
              </w:tc>
              <w:tc>
                <w:tcPr>
                  <w:tcW w:type="dxa" w:w="1530"/>
                  <w:tcMar>
                    <w:top w:w="45" w:type="dxa"/>
                    <w:start w:w="85" w:type="dxa"/>
                    <w:left w:w="85" w:type="dxa"/>
                    <w:bottom w:w="45" w:type="dxa"/>
                    <w:end w:w="56" w:type="dxa"/>
                    <w:right w:w="56" w:type="dxa"/>
                  </w:tcMar>
                  <w:shd w:val="clear" w:color="auto" w:fill="E8F2FC"/>
                </w:tcPr>
                <w:p>
                  <w:pPr>
                    <w:spacing w:before="0" w:after="0" w:line="269" w:lineRule="auto"/>
                  </w:pPr>
                  <w:r>
                    <w:rPr>
                      <w:rFonts w:ascii="Segoe UI" w:hAnsi="Segoe UI" w:cs="Segoe UI" w:eastAsia="Segoe UI"/>
                      <w:b w:val="0"/>
                      <w:i w:val="0"/>
                      <w:color w:val="1E2B38"/>
                      <w:sz w:val="16"/>
                    </w:rPr>
                    <w:t>30 minutes</w:t>
                  </w:r>
                </w:p>
              </w:tc>
              <w:tc>
                <w:tcPr>
                  <w:tcW w:type="dxa" w:w="1757"/>
                  <w:tcMar>
                    <w:top w:w="45" w:type="dxa"/>
                    <w:start w:w="85" w:type="dxa"/>
                    <w:left w:w="85" w:type="dxa"/>
                    <w:bottom w:w="45" w:type="dxa"/>
                    <w:end w:w="56" w:type="dxa"/>
                    <w:right w:w="56" w:type="dxa"/>
                  </w:tcMar>
                  <w:shd w:val="clear" w:color="auto" w:fill="E8F2FC"/>
                </w:tcPr>
                <w:p>
                  <w:pPr>
                    <w:spacing w:before="0" w:after="0" w:line="269" w:lineRule="auto"/>
                  </w:pPr>
                  <w:r>
                    <w:rPr>
                      <w:rFonts w:ascii="Segoe UI" w:hAnsi="Segoe UI" w:cs="Segoe UI" w:eastAsia="Segoe UI"/>
                      <w:b w:val="0"/>
                      <w:i w:val="0"/>
                      <w:color w:val="1E2B38"/>
                      <w:sz w:val="16"/>
                    </w:rPr>
                    <w:t>4 service hours</w:t>
                  </w:r>
                </w:p>
              </w:tc>
            </w:tr>
            <w:tr>
              <w:tc>
                <w:tcPr>
                  <w:tcW w:type="dxa" w:w="1417"/>
                  <w:tcMar>
                    <w:top w:w="45" w:type="dxa"/>
                    <w:start w:w="85" w:type="dxa"/>
                    <w:left w:w="85" w:type="dxa"/>
                    <w:bottom w:w="45" w:type="dxa"/>
                    <w:end w:w="56" w:type="dxa"/>
                    <w:right w:w="56" w:type="dxa"/>
                  </w:tcMar>
                  <w:shd w:val="clear" w:color="auto" w:fill="FFFFFF"/>
                </w:tcPr>
                <w:p>
                  <w:pPr>
                    <w:spacing w:before="0" w:after="0" w:line="269" w:lineRule="auto"/>
                  </w:pPr>
                  <w:r>
                    <w:rPr>
                      <w:rFonts w:ascii="Segoe UI" w:hAnsi="Segoe UI" w:cs="Segoe UI" w:eastAsia="Segoe UI"/>
                      <w:b/>
                      <w:i w:val="0"/>
                      <w:color w:val="0B2A4A"/>
                      <w:sz w:val="16"/>
                    </w:rPr>
                    <w:t>P2 High</w:t>
                  </w:r>
                </w:p>
              </w:tc>
              <w:tc>
                <w:tcPr>
                  <w:tcW w:type="dxa" w:w="1530"/>
                  <w:tcMar>
                    <w:top w:w="45" w:type="dxa"/>
                    <w:start w:w="85" w:type="dxa"/>
                    <w:left w:w="85" w:type="dxa"/>
                    <w:bottom w:w="45" w:type="dxa"/>
                    <w:end w:w="56" w:type="dxa"/>
                    <w:right w:w="56" w:type="dxa"/>
                  </w:tcMar>
                  <w:shd w:val="clear" w:color="auto" w:fill="FFFFFF"/>
                </w:tcPr>
                <w:p>
                  <w:pPr>
                    <w:spacing w:before="0" w:after="0" w:line="269" w:lineRule="auto"/>
                  </w:pPr>
                  <w:r>
                    <w:rPr>
                      <w:rFonts w:ascii="Segoe UI" w:hAnsi="Segoe UI" w:cs="Segoe UI" w:eastAsia="Segoe UI"/>
                      <w:b w:val="0"/>
                      <w:i w:val="0"/>
                      <w:color w:val="1E2B38"/>
                      <w:sz w:val="16"/>
                    </w:rPr>
                    <w:t>2 service hours</w:t>
                  </w:r>
                </w:p>
              </w:tc>
              <w:tc>
                <w:tcPr>
                  <w:tcW w:type="dxa" w:w="1757"/>
                  <w:tcMar>
                    <w:top w:w="45" w:type="dxa"/>
                    <w:start w:w="85" w:type="dxa"/>
                    <w:left w:w="85" w:type="dxa"/>
                    <w:bottom w:w="45" w:type="dxa"/>
                    <w:end w:w="56" w:type="dxa"/>
                    <w:right w:w="56" w:type="dxa"/>
                  </w:tcMar>
                  <w:shd w:val="clear" w:color="auto" w:fill="FFFFFF"/>
                </w:tcPr>
                <w:p>
                  <w:pPr>
                    <w:spacing w:before="0" w:after="0" w:line="269" w:lineRule="auto"/>
                  </w:pPr>
                  <w:r>
                    <w:rPr>
                      <w:rFonts w:ascii="Segoe UI" w:hAnsi="Segoe UI" w:cs="Segoe UI" w:eastAsia="Segoe UI"/>
                      <w:b w:val="0"/>
                      <w:i w:val="0"/>
                      <w:color w:val="1E2B38"/>
                      <w:sz w:val="16"/>
                    </w:rPr>
                    <w:t>2 business days</w:t>
                  </w:r>
                </w:p>
              </w:tc>
            </w:tr>
            <w:tr>
              <w:tc>
                <w:tcPr>
                  <w:tcW w:type="dxa" w:w="1417"/>
                  <w:tcMar>
                    <w:top w:w="45" w:type="dxa"/>
                    <w:start w:w="85" w:type="dxa"/>
                    <w:left w:w="85" w:type="dxa"/>
                    <w:bottom w:w="45" w:type="dxa"/>
                    <w:end w:w="56" w:type="dxa"/>
                    <w:right w:w="56" w:type="dxa"/>
                  </w:tcMar>
                  <w:shd w:val="clear" w:color="auto" w:fill="E8F2FC"/>
                </w:tcPr>
                <w:p>
                  <w:pPr>
                    <w:spacing w:before="0" w:after="0" w:line="269" w:lineRule="auto"/>
                  </w:pPr>
                  <w:r>
                    <w:rPr>
                      <w:rFonts w:ascii="Segoe UI" w:hAnsi="Segoe UI" w:cs="Segoe UI" w:eastAsia="Segoe UI"/>
                      <w:b/>
                      <w:i w:val="0"/>
                      <w:color w:val="0B2A4A"/>
                      <w:sz w:val="16"/>
                    </w:rPr>
                    <w:t>P3 Medium</w:t>
                  </w:r>
                </w:p>
              </w:tc>
              <w:tc>
                <w:tcPr>
                  <w:tcW w:type="dxa" w:w="1530"/>
                  <w:tcMar>
                    <w:top w:w="45" w:type="dxa"/>
                    <w:start w:w="85" w:type="dxa"/>
                    <w:left w:w="85" w:type="dxa"/>
                    <w:bottom w:w="45" w:type="dxa"/>
                    <w:end w:w="56" w:type="dxa"/>
                    <w:right w:w="56" w:type="dxa"/>
                  </w:tcMar>
                  <w:shd w:val="clear" w:color="auto" w:fill="E8F2FC"/>
                </w:tcPr>
                <w:p>
                  <w:pPr>
                    <w:spacing w:before="0" w:after="0" w:line="269" w:lineRule="auto"/>
                  </w:pPr>
                  <w:r>
                    <w:rPr>
                      <w:rFonts w:ascii="Segoe UI" w:hAnsi="Segoe UI" w:cs="Segoe UI" w:eastAsia="Segoe UI"/>
                      <w:b w:val="0"/>
                      <w:i w:val="0"/>
                      <w:color w:val="1E2B38"/>
                      <w:sz w:val="16"/>
                    </w:rPr>
                    <w:t>1 business day</w:t>
                  </w:r>
                </w:p>
              </w:tc>
              <w:tc>
                <w:tcPr>
                  <w:tcW w:type="dxa" w:w="1757"/>
                  <w:tcMar>
                    <w:top w:w="45" w:type="dxa"/>
                    <w:start w:w="85" w:type="dxa"/>
                    <w:left w:w="85" w:type="dxa"/>
                    <w:bottom w:w="45" w:type="dxa"/>
                    <w:end w:w="56" w:type="dxa"/>
                    <w:right w:w="56" w:type="dxa"/>
                  </w:tcMar>
                  <w:shd w:val="clear" w:color="auto" w:fill="E8F2FC"/>
                </w:tcPr>
                <w:p>
                  <w:pPr>
                    <w:spacing w:before="0" w:after="0" w:line="269" w:lineRule="auto"/>
                  </w:pPr>
                  <w:r>
                    <w:rPr>
                      <w:rFonts w:ascii="Segoe UI" w:hAnsi="Segoe UI" w:cs="Segoe UI" w:eastAsia="Segoe UI"/>
                      <w:b w:val="0"/>
                      <w:i w:val="0"/>
                      <w:color w:val="1E2B38"/>
                      <w:sz w:val="16"/>
                    </w:rPr>
                    <w:t>5 business days</w:t>
                  </w:r>
                </w:p>
              </w:tc>
            </w:tr>
            <w:tr>
              <w:tc>
                <w:tcPr>
                  <w:tcW w:type="dxa" w:w="1417"/>
                  <w:tcMar>
                    <w:top w:w="45" w:type="dxa"/>
                    <w:start w:w="85" w:type="dxa"/>
                    <w:left w:w="85" w:type="dxa"/>
                    <w:bottom w:w="45" w:type="dxa"/>
                    <w:end w:w="56" w:type="dxa"/>
                    <w:right w:w="56" w:type="dxa"/>
                  </w:tcMar>
                  <w:shd w:val="clear" w:color="auto" w:fill="FFFFFF"/>
                </w:tcPr>
                <w:p>
                  <w:pPr>
                    <w:spacing w:before="0" w:after="0" w:line="269" w:lineRule="auto"/>
                  </w:pPr>
                  <w:r>
                    <w:rPr>
                      <w:rFonts w:ascii="Segoe UI" w:hAnsi="Segoe UI" w:cs="Segoe UI" w:eastAsia="Segoe UI"/>
                      <w:b/>
                      <w:i w:val="0"/>
                      <w:color w:val="0B2A4A"/>
                      <w:sz w:val="16"/>
                    </w:rPr>
                    <w:t>P4 Low</w:t>
                  </w:r>
                </w:p>
              </w:tc>
              <w:tc>
                <w:tcPr>
                  <w:tcW w:type="dxa" w:w="1530"/>
                  <w:tcMar>
                    <w:top w:w="45" w:type="dxa"/>
                    <w:start w:w="85" w:type="dxa"/>
                    <w:left w:w="85" w:type="dxa"/>
                    <w:bottom w:w="45" w:type="dxa"/>
                    <w:end w:w="56" w:type="dxa"/>
                    <w:right w:w="56" w:type="dxa"/>
                  </w:tcMar>
                  <w:shd w:val="clear" w:color="auto" w:fill="FFFFFF"/>
                </w:tcPr>
                <w:p>
                  <w:pPr>
                    <w:spacing w:before="0" w:after="0" w:line="269" w:lineRule="auto"/>
                  </w:pPr>
                  <w:r>
                    <w:rPr>
                      <w:rFonts w:ascii="Segoe UI" w:hAnsi="Segoe UI" w:cs="Segoe UI" w:eastAsia="Segoe UI"/>
                      <w:b w:val="0"/>
                      <w:i w:val="0"/>
                      <w:color w:val="1E2B38"/>
                      <w:sz w:val="16"/>
                    </w:rPr>
                    <w:t>2 business days</w:t>
                  </w:r>
                </w:p>
              </w:tc>
              <w:tc>
                <w:tcPr>
                  <w:tcW w:type="dxa" w:w="1757"/>
                  <w:tcMar>
                    <w:top w:w="45" w:type="dxa"/>
                    <w:start w:w="85" w:type="dxa"/>
                    <w:left w:w="85" w:type="dxa"/>
                    <w:bottom w:w="45" w:type="dxa"/>
                    <w:end w:w="56" w:type="dxa"/>
                    <w:right w:w="56" w:type="dxa"/>
                  </w:tcMar>
                  <w:shd w:val="clear" w:color="auto" w:fill="FFFFFF"/>
                </w:tcPr>
                <w:p>
                  <w:pPr>
                    <w:spacing w:before="0" w:after="0" w:line="269" w:lineRule="auto"/>
                  </w:pPr>
                  <w:r>
                    <w:rPr>
                      <w:rFonts w:ascii="Segoe UI" w:hAnsi="Segoe UI" w:cs="Segoe UI" w:eastAsia="Segoe UI"/>
                      <w:b w:val="0"/>
                      <w:i w:val="0"/>
                      <w:color w:val="1E2B38"/>
                      <w:sz w:val="16"/>
                    </w:rPr>
                    <w:t>Planned</w:t>
                  </w:r>
                </w:p>
              </w:tc>
            </w:tr>
          </w:tbl>
          <w:p/>
          <w:p>
            <w:pPr>
              <w:spacing w:before="80" w:after="0" w:line="269" w:lineRule="auto"/>
            </w:pPr>
            <w:r>
              <w:rPr>
                <w:rFonts w:ascii="Segoe UI" w:hAnsi="Segoe UI" w:cs="Segoe UI" w:eastAsia="Segoe UI"/>
                <w:b w:val="0"/>
                <w:i/>
                <w:color w:val="51606F"/>
                <w:sz w:val="15"/>
              </w:rPr>
              <w:t>Standard support 8:00 to 18:00 Philippine time, Monday to Friday; 24 x 7 cover for P1 available as an option. Final targets are fixed in the support agreement.</w:t>
            </w:r>
          </w:p>
        </w:tc>
        <w:tc>
          <w:tcPr>
            <w:tcW w:type="dxa" w:w="227"/>
          </w:tcPr>
          <w:p/>
        </w:tc>
        <w:tc>
          <w:tcPr>
            <w:tcW w:type="dxa" w:w="5386"/>
          </w:tcPr>
          <w:p>
            <w:pPr>
              <w:spacing w:before="0" w:after="80" w:line="269" w:lineRule="auto"/>
            </w:pPr>
            <w:r>
              <w:rPr>
                <w:rFonts w:ascii="Segoe UI" w:hAnsi="Segoe UI" w:cs="Segoe UI" w:eastAsia="Segoe UI"/>
                <w:b/>
                <w:i w:val="0"/>
                <w:color w:val="0B2A4A"/>
                <w:sz w:val="21"/>
              </w:rPr>
              <w:t>How changes are handled</w:t>
            </w:r>
          </w:p>
          <w:p>
            <w:pPr>
              <w:spacing w:before="0" w:after="40" w:line="264" w:lineRule="auto"/>
              <w:ind w:left="198" w:hanging="198"/>
            </w:pPr>
            <w:r>
              <w:rPr>
                <w:rFonts w:ascii="Segoe UI" w:hAnsi="Segoe UI" w:cs="Segoe UI" w:eastAsia="Segoe UI"/>
                <w:b/>
                <w:i w:val="0"/>
                <w:color w:val="0072D8"/>
                <w:sz w:val="11"/>
              </w:rPr>
              <w:t xml:space="preserve">■  </w:t>
            </w:r>
            <w:r>
              <w:rPr>
                <w:rFonts w:ascii="Segoe UI" w:hAnsi="Segoe UI" w:cs="Segoe UI" w:eastAsia="Segoe UI"/>
                <w:b w:val="0"/>
                <w:i w:val="0"/>
                <w:color w:val="1E2B38"/>
                <w:sz w:val="17"/>
              </w:rPr>
              <w:t>Monthly planned releases, tested first in the test environment</w:t>
            </w:r>
          </w:p>
          <w:p>
            <w:pPr>
              <w:spacing w:before="0" w:after="40" w:line="264" w:lineRule="auto"/>
              <w:ind w:left="198" w:hanging="198"/>
            </w:pPr>
            <w:r>
              <w:rPr>
                <w:rFonts w:ascii="Segoe UI" w:hAnsi="Segoe UI" w:cs="Segoe UI" w:eastAsia="Segoe UI"/>
                <w:b/>
                <w:i w:val="0"/>
                <w:color w:val="0072D8"/>
                <w:sz w:val="11"/>
              </w:rPr>
              <w:t xml:space="preserve">■  </w:t>
            </w:r>
            <w:r>
              <w:rPr>
                <w:rFonts w:ascii="Segoe UI" w:hAnsi="Segoe UI" w:cs="Segoe UI" w:eastAsia="Segoe UI"/>
                <w:b w:val="0"/>
                <w:i w:val="0"/>
                <w:color w:val="1E2B38"/>
                <w:sz w:val="17"/>
              </w:rPr>
              <w:t>Database snapshot before every release; rollback by image tag</w:t>
            </w:r>
          </w:p>
          <w:p>
            <w:pPr>
              <w:spacing w:before="0" w:after="40" w:line="264" w:lineRule="auto"/>
              <w:ind w:left="198" w:hanging="198"/>
            </w:pPr>
            <w:r>
              <w:rPr>
                <w:rFonts w:ascii="Segoe UI" w:hAnsi="Segoe UI" w:cs="Segoe UI" w:eastAsia="Segoe UI"/>
                <w:b/>
                <w:i w:val="0"/>
                <w:color w:val="0072D8"/>
                <w:sz w:val="11"/>
              </w:rPr>
              <w:t xml:space="preserve">■  </w:t>
            </w:r>
            <w:r>
              <w:rPr>
                <w:rFonts w:ascii="Segoe UI" w:hAnsi="Segoe UI" w:cs="Segoe UI" w:eastAsia="Segoe UI"/>
                <w:b w:val="0"/>
                <w:i w:val="0"/>
                <w:color w:val="1E2B38"/>
                <w:sz w:val="17"/>
              </w:rPr>
              <w:t>Configuration changes recorded in the audit trail with old and new values</w:t>
            </w:r>
          </w:p>
          <w:p>
            <w:pPr>
              <w:spacing w:before="0" w:after="40" w:line="264" w:lineRule="auto"/>
              <w:ind w:left="198" w:hanging="198"/>
            </w:pPr>
            <w:r>
              <w:rPr>
                <w:rFonts w:ascii="Segoe UI" w:hAnsi="Segoe UI" w:cs="Segoe UI" w:eastAsia="Segoe UI"/>
                <w:b/>
                <w:i w:val="0"/>
                <w:color w:val="0072D8"/>
                <w:sz w:val="11"/>
              </w:rPr>
              <w:t xml:space="preserve">■  </w:t>
            </w:r>
            <w:r>
              <w:rPr>
                <w:rFonts w:ascii="Segoe UI" w:hAnsi="Segoe UI" w:cs="Segoe UI" w:eastAsia="Segoe UI"/>
                <w:b w:val="0"/>
                <w:i w:val="0"/>
                <w:color w:val="1E2B38"/>
                <w:sz w:val="17"/>
              </w:rPr>
              <w:t>Posting rule changes proposed by one user and approved by another</w:t>
            </w:r>
          </w:p>
          <w:p>
            <w:pPr>
              <w:spacing w:before="0" w:after="40" w:line="264" w:lineRule="auto"/>
              <w:ind w:left="198" w:hanging="198"/>
            </w:pPr>
            <w:r>
              <w:rPr>
                <w:rFonts w:ascii="Segoe UI" w:hAnsi="Segoe UI" w:cs="Segoe UI" w:eastAsia="Segoe UI"/>
                <w:b/>
                <w:i w:val="0"/>
                <w:color w:val="0072D8"/>
                <w:sz w:val="11"/>
              </w:rPr>
              <w:t xml:space="preserve">■  </w:t>
            </w:r>
            <w:r>
              <w:rPr>
                <w:rFonts w:ascii="Segoe UI" w:hAnsi="Segoe UI" w:cs="Segoe UI" w:eastAsia="Segoe UI"/>
                <w:b w:val="0"/>
                <w:i w:val="0"/>
                <w:color w:val="1E2B38"/>
                <w:sz w:val="17"/>
              </w:rPr>
              <w:t>Problem records and root-cause analysis for every P1</w:t>
            </w:r>
          </w:p>
          <w:p>
            <w:pPr>
              <w:spacing w:before="0" w:after="40" w:line="264" w:lineRule="auto"/>
              <w:ind w:left="198" w:hanging="198"/>
            </w:pPr>
            <w:r>
              <w:rPr>
                <w:rFonts w:ascii="Segoe UI" w:hAnsi="Segoe UI" w:cs="Segoe UI" w:eastAsia="Segoe UI"/>
                <w:b/>
                <w:i w:val="0"/>
                <w:color w:val="0072D8"/>
                <w:sz w:val="11"/>
              </w:rPr>
              <w:t xml:space="preserve">■  </w:t>
            </w:r>
            <w:r>
              <w:rPr>
                <w:rFonts w:ascii="Segoe UI" w:hAnsi="Segoe UI" w:cs="Segoe UI" w:eastAsia="Segoe UI"/>
                <w:b w:val="0"/>
                <w:i w:val="0"/>
                <w:color w:val="1E2B38"/>
                <w:sz w:val="17"/>
              </w:rPr>
              <w:t>Monthly service review with ticket and target figures</w:t>
            </w:r>
          </w:p>
        </w:tc>
      </w:tr>
    </w:tbl>
    <w:p>
      <w:pPr>
        <w:spacing w:before="0" w:after="0" w:line="280" w:lineRule="exact"/>
      </w:pPr>
      <w:r>
        <w:rPr>
          <w:rFonts w:ascii="Segoe UI" w:hAnsi="Segoe UI" w:cs="Segoe UI" w:eastAsia="Segoe UI"/>
          <w:b w:val="0"/>
          <w:i w:val="0"/>
          <w:color w:val="1E2B38"/>
          <w:sz w:val="2"/>
        </w:rPr>
        <w:t xml:space="preserve"> </w:t>
      </w:r>
    </w:p>
    <w:p>
      <w:pPr>
        <w:spacing w:before="0" w:after="40" w:line="269" w:lineRule="auto"/>
      </w:pPr>
      <w:r>
        <w:rPr>
          <w:rFonts w:ascii="Segoe UI" w:hAnsi="Segoe UI" w:cs="Segoe UI" w:eastAsia="Segoe UI"/>
          <w:b/>
          <w:i w:val="0"/>
          <w:color w:val="0072D8"/>
          <w:sz w:val="17"/>
          <w:spacing w:val="30"/>
        </w:rPr>
        <w:t>WHY IORTA TECHNXT</w:t>
      </w:r>
    </w:p>
    <w:p>
      <w:pPr>
        <w:spacing w:before="0" w:after="120" w:line="240" w:lineRule="auto"/>
      </w:pPr>
      <w:r>
        <w:rPr>
          <w:rFonts w:ascii="Segoe UI" w:hAnsi="Segoe UI" w:cs="Segoe UI" w:eastAsia="Segoe UI"/>
          <w:b/>
          <w:i w:val="0"/>
          <w:color w:val="0B2A4A"/>
          <w:sz w:val="30"/>
        </w:rPr>
        <w:t>A finished product, documented and tested</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5074"/>
        <w:gridCol w:w="170"/>
        <w:gridCol w:w="5074"/>
      </w:tblGrid>
      <w:tr>
        <w:trPr>
          <w:cantSplit/>
        </w:trPr>
        <w:tc>
          <w:tcPr>
            <w:tcW w:type="dxa" w:w="5074"/>
            <w:tcMar>
              <w:top w:w="68" w:type="dxa"/>
              <w:start w:w="0" w:type="dxa"/>
              <w:left w:w="0" w:type="dxa"/>
              <w:bottom w:w="68" w:type="dxa"/>
              <w:end w:w="56" w:type="dxa"/>
              <w:right w:w="56" w:type="dxa"/>
            </w:tcMar>
          </w:tcP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5074" w:type="dxa"/>
              <w:tblCellMar>
                <w:left w:w="0" w:type="dxa"/>
                <w:right w:w="0" w:type="dxa"/>
              </w:tblCellMar>
            </w:tblPr>
            <w:tblGrid>
              <w:gridCol w:w="102"/>
              <w:gridCol w:w="4972"/>
            </w:tblGrid>
            <w:tr>
              <w:tc>
                <w:tcPr>
                  <w:tcW w:type="dxa" w:w="102"/>
                  <w:shd w:val="clear" w:color="auto" w:fill="0072D8"/>
                </w:tcPr>
                <w:p/>
              </w:tc>
              <w:tc>
                <w:tcPr>
                  <w:tcW w:type="dxa" w:w="4972"/>
                  <w:tcMar>
                    <w:top w:w="28" w:type="dxa"/>
                    <w:start w:w="170" w:type="dxa"/>
                    <w:left w:w="170" w:type="dxa"/>
                    <w:bottom w:w="28" w:type="dxa"/>
                    <w:end w:w="56" w:type="dxa"/>
                    <w:right w:w="56" w:type="dxa"/>
                  </w:tcMar>
                </w:tcPr>
                <w:p>
                  <w:pPr>
                    <w:spacing w:before="0" w:after="20" w:line="240" w:lineRule="auto"/>
                  </w:pPr>
                  <w:r>
                    <w:rPr>
                      <w:rFonts w:ascii="Segoe UI" w:hAnsi="Segoe UI" w:cs="Segoe UI" w:eastAsia="Segoe UI"/>
                      <w:b/>
                      <w:i w:val="0"/>
                      <w:color w:val="0B2A4A"/>
                      <w:sz w:val="20"/>
                    </w:rPr>
                    <w:t>Built for Philippine broking</w:t>
                  </w:r>
                </w:p>
                <w:p>
                  <w:pPr>
                    <w:spacing w:before="0" w:after="0" w:line="271" w:lineRule="auto"/>
                  </w:pPr>
                  <w:r>
                    <w:rPr>
                      <w:rFonts w:ascii="Segoe UI" w:hAnsi="Segoe UI" w:cs="Segoe UI" w:eastAsia="Segoe UI"/>
                      <w:b w:val="0"/>
                      <w:i w:val="0"/>
                      <w:color w:val="1E2B38"/>
                      <w:sz w:val="17"/>
                    </w:rPr>
                    <w:t>CTPL tariff, premium taxes, BIR working papers, IC records and the Data Privacy Act are part of the product, not a project.</w:t>
                  </w:r>
                </w:p>
              </w:tc>
            </w:tr>
          </w:tbl>
          <w:p/>
        </w:tc>
        <w:tc>
          <w:tcPr>
            <w:tcW w:type="dxa" w:w="170"/>
          </w:tcPr>
          <w:p/>
        </w:tc>
        <w:tc>
          <w:tcPr>
            <w:tcW w:type="dxa" w:w="5074"/>
            <w:tcMar>
              <w:top w:w="68" w:type="dxa"/>
              <w:start w:w="0" w:type="dxa"/>
              <w:left w:w="0" w:type="dxa"/>
              <w:bottom w:w="68" w:type="dxa"/>
              <w:end w:w="56" w:type="dxa"/>
              <w:right w:w="56" w:type="dxa"/>
            </w:tcMar>
          </w:tcP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5074" w:type="dxa"/>
              <w:tblCellMar>
                <w:left w:w="0" w:type="dxa"/>
                <w:right w:w="0" w:type="dxa"/>
              </w:tblCellMar>
            </w:tblPr>
            <w:tblGrid>
              <w:gridCol w:w="102"/>
              <w:gridCol w:w="4972"/>
            </w:tblGrid>
            <w:tr>
              <w:tc>
                <w:tcPr>
                  <w:tcW w:type="dxa" w:w="102"/>
                  <w:shd w:val="clear" w:color="auto" w:fill="0072D8"/>
                </w:tcPr>
                <w:p/>
              </w:tc>
              <w:tc>
                <w:tcPr>
                  <w:tcW w:type="dxa" w:w="4972"/>
                  <w:tcMar>
                    <w:top w:w="28" w:type="dxa"/>
                    <w:start w:w="170" w:type="dxa"/>
                    <w:left w:w="170" w:type="dxa"/>
                    <w:bottom w:w="28" w:type="dxa"/>
                    <w:end w:w="56" w:type="dxa"/>
                    <w:right w:w="56" w:type="dxa"/>
                  </w:tcMar>
                </w:tcPr>
                <w:p>
                  <w:pPr>
                    <w:spacing w:before="0" w:after="20" w:line="240" w:lineRule="auto"/>
                  </w:pPr>
                  <w:r>
                    <w:rPr>
                      <w:rFonts w:ascii="Segoe UI" w:hAnsi="Segoe UI" w:cs="Segoe UI" w:eastAsia="Segoe UI"/>
                      <w:b/>
                      <w:i w:val="0"/>
                      <w:color w:val="0B2A4A"/>
                      <w:sz w:val="20"/>
                    </w:rPr>
                    <w:t>Tested before you see it</w:t>
                  </w:r>
                </w:p>
                <w:p>
                  <w:pPr>
                    <w:spacing w:before="0" w:after="0" w:line="271" w:lineRule="auto"/>
                  </w:pPr>
                  <w:r>
                    <w:rPr>
                      <w:rFonts w:ascii="Segoe UI" w:hAnsi="Segoe UI" w:cs="Segoe UI" w:eastAsia="Segoe UI"/>
                      <w:b w:val="0"/>
                      <w:i w:val="0"/>
                      <w:color w:val="1E2B38"/>
                      <w:sz w:val="17"/>
                    </w:rPr>
                    <w:t>497 test cases, a 634-test business rule regression on PostgreSQL and a full UAT cycle of 371 business steps from set-up to month-end close.</w:t>
                  </w:r>
                </w:p>
              </w:tc>
            </w:tr>
          </w:tbl>
          <w:p/>
        </w:tc>
      </w:tr>
      <w:tr>
        <w:trPr>
          <w:cantSplit/>
        </w:trPr>
        <w:tc>
          <w:tcPr>
            <w:tcW w:type="dxa" w:w="5074"/>
            <w:tcMar>
              <w:top w:w="68" w:type="dxa"/>
              <w:start w:w="0" w:type="dxa"/>
              <w:left w:w="0" w:type="dxa"/>
              <w:bottom w:w="68" w:type="dxa"/>
              <w:end w:w="56" w:type="dxa"/>
              <w:right w:w="56" w:type="dxa"/>
            </w:tcMar>
          </w:tcP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5074" w:type="dxa"/>
              <w:tblCellMar>
                <w:left w:w="0" w:type="dxa"/>
                <w:right w:w="0" w:type="dxa"/>
              </w:tblCellMar>
            </w:tblPr>
            <w:tblGrid>
              <w:gridCol w:w="102"/>
              <w:gridCol w:w="4972"/>
            </w:tblGrid>
            <w:tr>
              <w:tc>
                <w:tcPr>
                  <w:tcW w:type="dxa" w:w="102"/>
                  <w:shd w:val="clear" w:color="auto" w:fill="0072D8"/>
                </w:tcPr>
                <w:p/>
              </w:tc>
              <w:tc>
                <w:tcPr>
                  <w:tcW w:type="dxa" w:w="4972"/>
                  <w:tcMar>
                    <w:top w:w="28" w:type="dxa"/>
                    <w:start w:w="170" w:type="dxa"/>
                    <w:left w:w="170" w:type="dxa"/>
                    <w:bottom w:w="28" w:type="dxa"/>
                    <w:end w:w="56" w:type="dxa"/>
                    <w:right w:w="56" w:type="dxa"/>
                  </w:tcMar>
                </w:tcPr>
                <w:p>
                  <w:pPr>
                    <w:spacing w:before="0" w:after="20" w:line="240" w:lineRule="auto"/>
                  </w:pPr>
                  <w:r>
                    <w:rPr>
                      <w:rFonts w:ascii="Segoe UI" w:hAnsi="Segoe UI" w:cs="Segoe UI" w:eastAsia="Segoe UI"/>
                      <w:b/>
                      <w:i w:val="0"/>
                      <w:color w:val="0B2A4A"/>
                      <w:sz w:val="20"/>
                    </w:rPr>
                    <w:t>Documented for your team</w:t>
                  </w:r>
                </w:p>
                <w:p>
                  <w:pPr>
                    <w:spacing w:before="0" w:after="0" w:line="271" w:lineRule="auto"/>
                  </w:pPr>
                  <w:r>
                    <w:rPr>
                      <w:rFonts w:ascii="Segoe UI" w:hAnsi="Segoe UI" w:cs="Segoe UI" w:eastAsia="Segoe UI"/>
                      <w:b w:val="0"/>
                      <w:i w:val="0"/>
                      <w:color w:val="1E2B38"/>
                      <w:sz w:val="17"/>
                    </w:rPr>
                    <w:t>A 199-page user manual, seven role decks, a reports book, architecture, compliance matrix, data migration, training and support documents.</w:t>
                  </w:r>
                </w:p>
              </w:tc>
            </w:tr>
          </w:tbl>
          <w:p/>
        </w:tc>
        <w:tc>
          <w:tcPr>
            <w:tcW w:type="dxa" w:w="170"/>
          </w:tcPr>
          <w:p/>
        </w:tc>
        <w:tc>
          <w:tcPr>
            <w:tcW w:type="dxa" w:w="5074"/>
            <w:tcMar>
              <w:top w:w="68" w:type="dxa"/>
              <w:start w:w="0" w:type="dxa"/>
              <w:left w:w="0" w:type="dxa"/>
              <w:bottom w:w="68" w:type="dxa"/>
              <w:end w:w="56" w:type="dxa"/>
              <w:right w:w="56" w:type="dxa"/>
            </w:tcMar>
          </w:tcP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5074" w:type="dxa"/>
              <w:tblCellMar>
                <w:left w:w="0" w:type="dxa"/>
                <w:right w:w="0" w:type="dxa"/>
              </w:tblCellMar>
            </w:tblPr>
            <w:tblGrid>
              <w:gridCol w:w="102"/>
              <w:gridCol w:w="4972"/>
            </w:tblGrid>
            <w:tr>
              <w:tc>
                <w:tcPr>
                  <w:tcW w:type="dxa" w:w="102"/>
                  <w:shd w:val="clear" w:color="auto" w:fill="0072D8"/>
                </w:tcPr>
                <w:p/>
              </w:tc>
              <w:tc>
                <w:tcPr>
                  <w:tcW w:type="dxa" w:w="4972"/>
                  <w:tcMar>
                    <w:top w:w="28" w:type="dxa"/>
                    <w:start w:w="170" w:type="dxa"/>
                    <w:left w:w="170" w:type="dxa"/>
                    <w:bottom w:w="28" w:type="dxa"/>
                    <w:end w:w="56" w:type="dxa"/>
                    <w:right w:w="56" w:type="dxa"/>
                  </w:tcMar>
                </w:tcPr>
                <w:p>
                  <w:pPr>
                    <w:spacing w:before="0" w:after="20" w:line="240" w:lineRule="auto"/>
                  </w:pPr>
                  <w:r>
                    <w:rPr>
                      <w:rFonts w:ascii="Segoe UI" w:hAnsi="Segoe UI" w:cs="Segoe UI" w:eastAsia="Segoe UI"/>
                      <w:b/>
                      <w:i w:val="0"/>
                      <w:color w:val="0B2A4A"/>
                      <w:sz w:val="20"/>
                    </w:rPr>
                    <w:t>Configuration over code</w:t>
                  </w:r>
                </w:p>
                <w:p>
                  <w:pPr>
                    <w:spacing w:before="0" w:after="0" w:line="271" w:lineRule="auto"/>
                  </w:pPr>
                  <w:r>
                    <w:rPr>
                      <w:rFonts w:ascii="Segoe UI" w:hAnsi="Segoe UI" w:cs="Segoe UI" w:eastAsia="Segoe UI"/>
                      <w:b w:val="0"/>
                      <w:i w:val="0"/>
                      <w:color w:val="1E2B38"/>
                      <w:sz w:val="17"/>
                    </w:rPr>
                    <w:t>Settings, masters, posting rules and the Product Configurator change the system. Upgrades stay simple because the code is the same for every broker.</w:t>
                  </w:r>
                </w:p>
              </w:tc>
            </w:tr>
          </w:tbl>
          <w:p/>
        </w:tc>
      </w:tr>
      <w:tr>
        <w:trPr>
          <w:cantSplit/>
        </w:trPr>
        <w:tc>
          <w:tcPr>
            <w:tcW w:type="dxa" w:w="5074"/>
            <w:tcMar>
              <w:top w:w="68" w:type="dxa"/>
              <w:start w:w="0" w:type="dxa"/>
              <w:left w:w="0" w:type="dxa"/>
              <w:bottom w:w="68" w:type="dxa"/>
              <w:end w:w="56" w:type="dxa"/>
              <w:right w:w="56" w:type="dxa"/>
            </w:tcMar>
          </w:tcP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5074" w:type="dxa"/>
              <w:tblCellMar>
                <w:left w:w="0" w:type="dxa"/>
                <w:right w:w="0" w:type="dxa"/>
              </w:tblCellMar>
            </w:tblPr>
            <w:tblGrid>
              <w:gridCol w:w="102"/>
              <w:gridCol w:w="4972"/>
            </w:tblGrid>
            <w:tr>
              <w:tc>
                <w:tcPr>
                  <w:tcW w:type="dxa" w:w="102"/>
                  <w:shd w:val="clear" w:color="auto" w:fill="0072D8"/>
                </w:tcPr>
                <w:p/>
              </w:tc>
              <w:tc>
                <w:tcPr>
                  <w:tcW w:type="dxa" w:w="4972"/>
                  <w:tcMar>
                    <w:top w:w="28" w:type="dxa"/>
                    <w:start w:w="170" w:type="dxa"/>
                    <w:left w:w="170" w:type="dxa"/>
                    <w:bottom w:w="28" w:type="dxa"/>
                    <w:end w:w="56" w:type="dxa"/>
                    <w:right w:w="56" w:type="dxa"/>
                  </w:tcMar>
                </w:tcPr>
                <w:p>
                  <w:pPr>
                    <w:spacing w:before="0" w:after="20" w:line="240" w:lineRule="auto"/>
                  </w:pPr>
                  <w:r>
                    <w:rPr>
                      <w:rFonts w:ascii="Segoe UI" w:hAnsi="Segoe UI" w:cs="Segoe UI" w:eastAsia="Segoe UI"/>
                      <w:b/>
                      <w:i w:val="0"/>
                      <w:color w:val="0B2A4A"/>
                      <w:sz w:val="20"/>
                    </w:rPr>
                    <w:t>Accounting that closes</w:t>
                  </w:r>
                </w:p>
                <w:p>
                  <w:pPr>
                    <w:spacing w:before="0" w:after="0" w:line="271" w:lineRule="auto"/>
                  </w:pPr>
                  <w:r>
                    <w:rPr>
                      <w:rFonts w:ascii="Segoe UI" w:hAnsi="Segoe UI" w:cs="Segoe UI" w:eastAsia="Segoe UI"/>
                      <w:b w:val="0"/>
                      <w:i w:val="0"/>
                      <w:color w:val="1E2B38"/>
                      <w:sz w:val="17"/>
                    </w:rPr>
                    <w:t>Every event posts through a posting rule; maker-checker, period locks, bank reconciliation and month-end checklist give the auditors their trail.</w:t>
                  </w:r>
                </w:p>
              </w:tc>
            </w:tr>
          </w:tbl>
          <w:p/>
        </w:tc>
        <w:tc>
          <w:tcPr>
            <w:tcW w:type="dxa" w:w="170"/>
          </w:tcPr>
          <w:p/>
        </w:tc>
        <w:tc>
          <w:tcPr>
            <w:tcW w:type="dxa" w:w="5074"/>
            <w:tcMar>
              <w:top w:w="68" w:type="dxa"/>
              <w:start w:w="0" w:type="dxa"/>
              <w:left w:w="0" w:type="dxa"/>
              <w:bottom w:w="68" w:type="dxa"/>
              <w:end w:w="56" w:type="dxa"/>
              <w:right w:w="56" w:type="dxa"/>
            </w:tcMar>
          </w:tcP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5074" w:type="dxa"/>
              <w:tblCellMar>
                <w:left w:w="0" w:type="dxa"/>
                <w:right w:w="0" w:type="dxa"/>
              </w:tblCellMar>
            </w:tblPr>
            <w:tblGrid>
              <w:gridCol w:w="102"/>
              <w:gridCol w:w="4972"/>
            </w:tblGrid>
            <w:tr>
              <w:tc>
                <w:tcPr>
                  <w:tcW w:type="dxa" w:w="102"/>
                  <w:shd w:val="clear" w:color="auto" w:fill="0072D8"/>
                </w:tcPr>
                <w:p/>
              </w:tc>
              <w:tc>
                <w:tcPr>
                  <w:tcW w:type="dxa" w:w="4972"/>
                  <w:tcMar>
                    <w:top w:w="28" w:type="dxa"/>
                    <w:start w:w="170" w:type="dxa"/>
                    <w:left w:w="170" w:type="dxa"/>
                    <w:bottom w:w="28" w:type="dxa"/>
                    <w:end w:w="56" w:type="dxa"/>
                    <w:right w:w="56" w:type="dxa"/>
                  </w:tcMar>
                </w:tcPr>
                <w:p>
                  <w:pPr>
                    <w:spacing w:before="0" w:after="20" w:line="240" w:lineRule="auto"/>
                  </w:pPr>
                  <w:r>
                    <w:rPr>
                      <w:rFonts w:ascii="Segoe UI" w:hAnsi="Segoe UI" w:cs="Segoe UI" w:eastAsia="Segoe UI"/>
                      <w:b/>
                      <w:i w:val="0"/>
                      <w:color w:val="0B2A4A"/>
                      <w:sz w:val="20"/>
                    </w:rPr>
                    <w:t>Open and portable</w:t>
                  </w:r>
                </w:p>
                <w:p>
                  <w:pPr>
                    <w:spacing w:before="0" w:after="0" w:line="271" w:lineRule="auto"/>
                  </w:pPr>
                  <w:r>
                    <w:rPr>
                      <w:rFonts w:ascii="Segoe UI" w:hAnsi="Segoe UI" w:cs="Segoe UI" w:eastAsia="Segoe UI"/>
                      <w:b w:val="0"/>
                      <w:i w:val="0"/>
                      <w:color w:val="1E2B38"/>
                      <w:sz w:val="17"/>
                    </w:rPr>
                    <w:t>React, Node.js and PostgreSQL with permissively licensed components; 854 APIs documented in OpenAPI; runs on AWS, Azure or your own servers.</w:t>
                  </w:r>
                </w:p>
              </w:tc>
            </w:tr>
          </w:tbl>
          <w:p/>
        </w:tc>
      </w:tr>
    </w:tbl>
    <w:p>
      <w:pPr>
        <w:spacing w:before="0" w:after="0" w:line="240" w:lineRule="auto"/>
      </w:pPr>
      <w:r>
        <w:br w:type="page"/>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10319"/>
      </w:tblGrid>
      <w:tr>
        <w:tc>
          <w:tcPr>
            <w:tcW w:type="dxa" w:w="10318"/>
          </w:tcPr>
          <w:p>
            <w:pPr>
              <w:spacing w:before="0" w:after="0" w:line="240" w:lineRule="auto"/>
              <w:jc w:val="center"/>
            </w:pPr>
            <w:r>
              <w:drawing>
                <wp:inline xmlns:a="http://schemas.openxmlformats.org/drawingml/2006/main" xmlns:pic="http://schemas.openxmlformats.org/drawingml/2006/picture">
                  <wp:extent cx="6552000" cy="3028330"/>
                  <wp:docPr id="6" name="Picture 6"/>
                  <wp:cNvGraphicFramePr>
                    <a:graphicFrameLocks noChangeAspect="1"/>
                  </wp:cNvGraphicFramePr>
                  <a:graphic>
                    <a:graphicData uri="http://schemas.openxmlformats.org/drawingml/2006/picture">
                      <pic:pic>
                        <pic:nvPicPr>
                          <pic:cNvPr id="0" name="s-sales-dashboard.png"/>
                          <pic:cNvPicPr/>
                        </pic:nvPicPr>
                        <pic:blipFill>
                          <a:blip r:embed="rId15"/>
                          <a:stretch>
                            <a:fillRect/>
                          </a:stretch>
                        </pic:blipFill>
                        <pic:spPr>
                          <a:xfrm>
                            <a:off x="0" y="0"/>
                            <a:ext cx="6552000" cy="3028330"/>
                          </a:xfrm>
                          <a:prstGeom prst="rect"/>
                        </pic:spPr>
                      </pic:pic>
                    </a:graphicData>
                  </a:graphic>
                </wp:inline>
              </w:drawing>
            </w:r>
          </w:p>
          <w:p>
            <w:pPr>
              <w:spacing w:before="40" w:after="0" w:line="269" w:lineRule="auto"/>
            </w:pPr>
            <w:r>
              <w:rPr>
                <w:rFonts w:ascii="Segoe UI" w:hAnsi="Segoe UI" w:cs="Segoe UI" w:eastAsia="Segoe UI"/>
                <w:b w:val="0"/>
                <w:i/>
                <w:color w:val="51606F"/>
                <w:sz w:val="15"/>
              </w:rPr>
              <w:t>Sales Dashboard: prospects, quotations, conversion, policies issued and premium for the sales team.</w:t>
            </w:r>
          </w:p>
        </w:tc>
      </w:tr>
    </w:tbl>
    <w:p>
      <w:pPr>
        <w:spacing w:before="0" w:after="0" w:line="200" w:lineRule="exact"/>
      </w:pPr>
      <w:r>
        <w:rPr>
          <w:rFonts w:ascii="Segoe UI" w:hAnsi="Segoe UI" w:cs="Segoe UI" w:eastAsia="Segoe UI"/>
          <w:b w:val="0"/>
          <w:i w:val="0"/>
          <w:color w:val="1E2B38"/>
          <w:sz w:val="2"/>
        </w:rPr>
        <w:t xml:space="preserve"> </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5046"/>
        <w:gridCol w:w="226"/>
        <w:gridCol w:w="5046"/>
      </w:tblGrid>
      <w:tr>
        <w:tc>
          <w:tcPr>
            <w:tcW w:type="dxa" w:w="5046"/>
          </w:tcPr>
          <w:p>
            <w:pPr>
              <w:spacing w:before="0" w:after="0" w:line="240" w:lineRule="auto"/>
              <w:jc w:val="center"/>
            </w:pPr>
            <w:r>
              <w:drawing>
                <wp:inline xmlns:a="http://schemas.openxmlformats.org/drawingml/2006/main" xmlns:pic="http://schemas.openxmlformats.org/drawingml/2006/picture">
                  <wp:extent cx="3204000" cy="1480887"/>
                  <wp:docPr id="7" name="Picture 7"/>
                  <wp:cNvGraphicFramePr>
                    <a:graphicFrameLocks noChangeAspect="1"/>
                  </wp:cNvGraphicFramePr>
                  <a:graphic>
                    <a:graphicData uri="http://schemas.openxmlformats.org/drawingml/2006/picture">
                      <pic:pic>
                        <pic:nvPicPr>
                          <pic:cNvPr id="0" name="a-pe-close.png"/>
                          <pic:cNvPicPr/>
                        </pic:nvPicPr>
                        <pic:blipFill>
                          <a:blip r:embed="rId16"/>
                          <a:stretch>
                            <a:fillRect/>
                          </a:stretch>
                        </pic:blipFill>
                        <pic:spPr>
                          <a:xfrm>
                            <a:off x="0" y="0"/>
                            <a:ext cx="3204000" cy="1480887"/>
                          </a:xfrm>
                          <a:prstGeom prst="rect"/>
                        </pic:spPr>
                      </pic:pic>
                    </a:graphicData>
                  </a:graphic>
                </wp:inline>
              </w:drawing>
            </w:r>
          </w:p>
          <w:p>
            <w:pPr>
              <w:spacing w:before="40" w:after="0" w:line="269" w:lineRule="auto"/>
            </w:pPr>
            <w:r>
              <w:rPr>
                <w:rFonts w:ascii="Segoe UI" w:hAnsi="Segoe UI" w:cs="Segoe UI" w:eastAsia="Segoe UI"/>
                <w:b w:val="0"/>
                <w:i/>
                <w:color w:val="51606F"/>
                <w:sz w:val="15"/>
              </w:rPr>
              <w:t>Month-End Close: one run per period, approved by a second user.</w:t>
            </w:r>
          </w:p>
        </w:tc>
        <w:tc>
          <w:tcPr>
            <w:tcW w:type="dxa" w:w="227"/>
          </w:tcPr>
          <w:p/>
        </w:tc>
        <w:tc>
          <w:tcPr>
            <w:tcW w:type="dxa" w:w="5046"/>
          </w:tcPr>
          <w:p>
            <w:pPr>
              <w:spacing w:before="0" w:after="0" w:line="240" w:lineRule="auto"/>
              <w:jc w:val="center"/>
            </w:pPr>
            <w:r>
              <w:drawing>
                <wp:inline xmlns:a="http://schemas.openxmlformats.org/drawingml/2006/main" xmlns:pic="http://schemas.openxmlformats.org/drawingml/2006/picture">
                  <wp:extent cx="3204000" cy="1480887"/>
                  <wp:docPr id="8" name="Picture 8"/>
                  <wp:cNvGraphicFramePr>
                    <a:graphicFrameLocks noChangeAspect="1"/>
                  </wp:cNvGraphicFramePr>
                  <a:graphic>
                    <a:graphicData uri="http://schemas.openxmlformats.org/drawingml/2006/picture">
                      <pic:pic>
                        <pic:nvPicPr>
                          <pic:cNvPr id="0" name="a-tax-2307.png"/>
                          <pic:cNvPicPr/>
                        </pic:nvPicPr>
                        <pic:blipFill>
                          <a:blip r:embed="rId17"/>
                          <a:stretch>
                            <a:fillRect/>
                          </a:stretch>
                        </pic:blipFill>
                        <pic:spPr>
                          <a:xfrm>
                            <a:off x="0" y="0"/>
                            <a:ext cx="3204000" cy="1480887"/>
                          </a:xfrm>
                          <a:prstGeom prst="rect"/>
                        </pic:spPr>
                      </pic:pic>
                    </a:graphicData>
                  </a:graphic>
                </wp:inline>
              </w:drawing>
            </w:r>
          </w:p>
          <w:p>
            <w:pPr>
              <w:spacing w:before="40" w:after="0" w:line="269" w:lineRule="auto"/>
            </w:pPr>
            <w:r>
              <w:rPr>
                <w:rFonts w:ascii="Segoe UI" w:hAnsi="Segoe UI" w:cs="Segoe UI" w:eastAsia="Segoe UI"/>
                <w:b w:val="0"/>
                <w:i/>
                <w:color w:val="51606F"/>
                <w:sz w:val="15"/>
              </w:rPr>
              <w:t>BIR Form 2307 per payee and quarter, issued and received.</w:t>
            </w:r>
          </w:p>
        </w:tc>
      </w:tr>
    </w:tbl>
    <w:p>
      <w:pPr>
        <w:spacing w:before="0" w:after="0" w:line="280" w:lineRule="exact"/>
      </w:pPr>
      <w:r>
        <w:rPr>
          <w:rFonts w:ascii="Segoe UI" w:hAnsi="Segoe UI" w:cs="Segoe UI" w:eastAsia="Segoe UI"/>
          <w:b w:val="0"/>
          <w:i w:val="0"/>
          <w:color w:val="1E2B38"/>
          <w:sz w:val="2"/>
        </w:rPr>
        <w:t xml:space="preserve"> </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10319"/>
      </w:tblGrid>
      <w:tr>
        <w:tc>
          <w:tcPr>
            <w:tcW w:type="dxa" w:w="10318"/>
            <w:shd w:val="clear" w:color="auto" w:fill="0B2A4A"/>
            <w:tcMar>
              <w:top w:w="453" w:type="dxa"/>
              <w:start w:w="510" w:type="dxa"/>
              <w:left w:w="510" w:type="dxa"/>
              <w:bottom w:w="453" w:type="dxa"/>
              <w:end w:w="510" w:type="dxa"/>
              <w:right w:w="510" w:type="dxa"/>
            </w:tcMar>
          </w:tcPr>
          <w:p>
            <w:pPr>
              <w:spacing w:before="0" w:after="120" w:line="269" w:lineRule="auto"/>
            </w:pPr>
            <w:r>
              <w:rPr>
                <w:rFonts w:ascii="Segoe UI" w:hAnsi="Segoe UI" w:cs="Segoe UI" w:eastAsia="Segoe UI"/>
                <w:b/>
                <w:i w:val="0"/>
                <w:color w:val="9CC9F5"/>
                <w:sz w:val="18"/>
                <w:spacing w:val="40"/>
              </w:rPr>
              <w:t>SEE IT WITH YOUR OWN DATA</w:t>
            </w:r>
          </w:p>
          <w:p>
            <w:pPr>
              <w:spacing w:before="0" w:after="120" w:line="240" w:lineRule="auto"/>
            </w:pPr>
            <w:r>
              <w:rPr>
                <w:rFonts w:ascii="Segoe UI" w:hAnsi="Segoe UI" w:cs="Segoe UI" w:eastAsia="Segoe UI"/>
                <w:b/>
                <w:i w:val="0"/>
                <w:color w:val="FFFFFF"/>
                <w:sz w:val="44"/>
              </w:rPr>
              <w:t>Book a walk-through of BrokerVerse</w:t>
            </w:r>
          </w:p>
          <w:p>
            <w:pPr>
              <w:spacing w:before="0" w:after="280" w:line="288" w:lineRule="auto"/>
            </w:pPr>
            <w:r>
              <w:rPr>
                <w:rFonts w:ascii="Segoe UI" w:hAnsi="Segoe UI" w:cs="Segoe UI" w:eastAsia="Segoe UI"/>
                <w:b w:val="0"/>
                <w:i w:val="0"/>
                <w:color w:val="D3E6FA"/>
                <w:sz w:val="21"/>
              </w:rPr>
              <w:t>We run your own example, a motor policy or a co-insured fire risk, from quotation to official receipt, remittance and month-end close, on the delivered system.</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9298" w:type="dxa"/>
              <w:tblCellMar>
                <w:left w:w="0" w:type="dxa"/>
                <w:right w:w="0" w:type="dxa"/>
              </w:tblCellMar>
            </w:tblPr>
            <w:tblGrid>
              <w:gridCol w:w="4706"/>
              <w:gridCol w:w="4592"/>
            </w:tblGrid>
            <w:tr>
              <w:tc>
                <w:tcPr>
                  <w:tcW w:type="dxa" w:w="4706"/>
                </w:tcPr>
                <w:p>
                  <w:pPr>
                    <w:spacing w:before="0" w:after="80" w:line="269" w:lineRule="auto"/>
                  </w:pPr>
                  <w:r>
                    <w:rPr>
                      <w:rFonts w:ascii="Segoe UI" w:hAnsi="Segoe UI" w:cs="Segoe UI" w:eastAsia="Segoe UI"/>
                      <w:b/>
                      <w:i w:val="0"/>
                      <w:color w:val="FFFFFF"/>
                      <w:sz w:val="28"/>
                    </w:rPr>
                    <w:t>iorta TechNXT</w:t>
                  </w:r>
                </w:p>
                <w:p>
                  <w:pPr>
                    <w:spacing w:before="0" w:after="40" w:line="269" w:lineRule="auto"/>
                  </w:pPr>
                  <w:r>
                    <w:rPr>
                      <w:rFonts w:ascii="Segoe UI" w:hAnsi="Segoe UI" w:cs="Segoe UI" w:eastAsia="Segoe UI"/>
                      <w:b/>
                      <w:i w:val="0"/>
                      <w:color w:val="9CC9F5"/>
                      <w:sz w:val="17"/>
                    </w:rPr>
                    <w:t xml:space="preserve">Address   </w:t>
                  </w:r>
                  <w:r>
                    <w:rPr>
                      <w:rFonts w:ascii="Segoe UI" w:hAnsi="Segoe UI" w:cs="Segoe UI" w:eastAsia="Segoe UI"/>
                      <w:b w:val="0"/>
                      <w:i w:val="0"/>
                      <w:color w:val="FFFFFF"/>
                      <w:sz w:val="19"/>
                    </w:rPr>
                    <w:t>[address]</w:t>
                  </w:r>
                </w:p>
                <w:p>
                  <w:pPr>
                    <w:spacing w:before="0" w:after="40" w:line="269" w:lineRule="auto"/>
                  </w:pPr>
                  <w:r>
                    <w:rPr>
                      <w:rFonts w:ascii="Segoe UI" w:hAnsi="Segoe UI" w:cs="Segoe UI" w:eastAsia="Segoe UI"/>
                      <w:b/>
                      <w:i w:val="0"/>
                      <w:color w:val="9CC9F5"/>
                      <w:sz w:val="17"/>
                    </w:rPr>
                    <w:t xml:space="preserve">Telephone   </w:t>
                  </w:r>
                  <w:r>
                    <w:rPr>
                      <w:rFonts w:ascii="Segoe UI" w:hAnsi="Segoe UI" w:cs="Segoe UI" w:eastAsia="Segoe UI"/>
                      <w:b w:val="0"/>
                      <w:i w:val="0"/>
                      <w:color w:val="FFFFFF"/>
                      <w:sz w:val="19"/>
                    </w:rPr>
                    <w:t>[phone]</w:t>
                  </w:r>
                </w:p>
                <w:p>
                  <w:pPr>
                    <w:spacing w:before="0" w:after="40" w:line="269" w:lineRule="auto"/>
                  </w:pPr>
                  <w:r>
                    <w:rPr>
                      <w:rFonts w:ascii="Segoe UI" w:hAnsi="Segoe UI" w:cs="Segoe UI" w:eastAsia="Segoe UI"/>
                      <w:b/>
                      <w:i w:val="0"/>
                      <w:color w:val="9CC9F5"/>
                      <w:sz w:val="17"/>
                    </w:rPr>
                    <w:t xml:space="preserve">E-mail   </w:t>
                  </w:r>
                  <w:r>
                    <w:rPr>
                      <w:rFonts w:ascii="Segoe UI" w:hAnsi="Segoe UI" w:cs="Segoe UI" w:eastAsia="Segoe UI"/>
                      <w:b w:val="0"/>
                      <w:i w:val="0"/>
                      <w:color w:val="FFFFFF"/>
                      <w:sz w:val="19"/>
                    </w:rPr>
                    <w:t>[e-mail]</w:t>
                  </w:r>
                </w:p>
                <w:p>
                  <w:pPr>
                    <w:spacing w:before="0" w:after="40" w:line="269" w:lineRule="auto"/>
                  </w:pPr>
                  <w:r>
                    <w:rPr>
                      <w:rFonts w:ascii="Segoe UI" w:hAnsi="Segoe UI" w:cs="Segoe UI" w:eastAsia="Segoe UI"/>
                      <w:b/>
                      <w:i w:val="0"/>
                      <w:color w:val="9CC9F5"/>
                      <w:sz w:val="17"/>
                    </w:rPr>
                    <w:t xml:space="preserve">Website   </w:t>
                  </w:r>
                  <w:r>
                    <w:rPr>
                      <w:rFonts w:ascii="Segoe UI" w:hAnsi="Segoe UI" w:cs="Segoe UI" w:eastAsia="Segoe UI"/>
                      <w:b w:val="0"/>
                      <w:i w:val="0"/>
                      <w:color w:val="FFFFFF"/>
                      <w:sz w:val="19"/>
                    </w:rPr>
                    <w:t>[website]</w:t>
                  </w:r>
                </w:p>
              </w:tc>
              <w:tc>
                <w:tcPr>
                  <w:tcW w:type="dxa" w:w="4592"/>
                  <w:vAlign w:val="center"/>
                </w:tcPr>
                <w:p>
                  <w:pPr>
                    <w:spacing w:before="0" w:after="20" w:line="269" w:lineRule="auto"/>
                  </w:pPr>
                  <w:r>
                    <w:rPr>
                      <w:rFonts w:ascii="Segoe UI" w:hAnsi="Segoe UI" w:cs="Segoe UI" w:eastAsia="Segoe UI"/>
                      <w:b/>
                      <w:i w:val="0"/>
                      <w:color w:val="9CC9F5"/>
                      <w:sz w:val="17"/>
                    </w:rPr>
                    <w:t>Contact person</w:t>
                  </w:r>
                </w:p>
                <w:p>
                  <w:pPr>
                    <w:spacing w:before="0" w:after="160" w:line="269" w:lineRule="auto"/>
                  </w:pPr>
                  <w:r>
                    <w:rPr>
                      <w:rFonts w:ascii="Segoe UI" w:hAnsi="Segoe UI" w:cs="Segoe UI" w:eastAsia="Segoe UI"/>
                      <w:b w:val="0"/>
                      <w:i w:val="0"/>
                      <w:color w:val="FFFFFF"/>
                      <w:sz w:val="19"/>
                    </w:rPr>
                    <w:t>[name, designation]</w:t>
                  </w:r>
                </w:p>
                <w:p>
                  <w:pPr>
                    <w:spacing w:before="0" w:after="20" w:line="269" w:lineRule="auto"/>
                  </w:pPr>
                  <w:r>
                    <w:rPr>
                      <w:rFonts w:ascii="Segoe UI" w:hAnsi="Segoe UI" w:cs="Segoe UI" w:eastAsia="Segoe UI"/>
                      <w:b/>
                      <w:i w:val="0"/>
                      <w:color w:val="9CC9F5"/>
                      <w:sz w:val="17"/>
                    </w:rPr>
                    <w:t>Commercial models</w:t>
                  </w:r>
                </w:p>
                <w:p>
                  <w:pPr>
                    <w:spacing w:before="0" w:after="0" w:line="276" w:lineRule="auto"/>
                  </w:pPr>
                  <w:r>
                    <w:rPr>
                      <w:rFonts w:ascii="Segoe UI" w:hAnsi="Segoe UI" w:cs="Segoe UI" w:eastAsia="Segoe UI"/>
                      <w:b w:val="0"/>
                      <w:i w:val="0"/>
                      <w:color w:val="FFFFFF"/>
                      <w:sz w:val="18"/>
                    </w:rPr>
                    <w:t>Subscription per user per month, or perpetual licence with annual maintenance. Hosting quoted separately.</w:t>
                  </w:r>
                </w:p>
              </w:tc>
            </w:tr>
          </w:tbl>
          <w:p/>
        </w:tc>
      </w:tr>
    </w:tbl>
    <w:p>
      <w:pPr>
        <w:spacing w:before="0" w:after="0" w:line="240" w:lineRule="exact"/>
      </w:pPr>
      <w:r>
        <w:rPr>
          <w:rFonts w:ascii="Segoe UI" w:hAnsi="Segoe UI" w:cs="Segoe UI" w:eastAsia="Segoe UI"/>
          <w:b w:val="0"/>
          <w:i w:val="0"/>
          <w:color w:val="1E2B38"/>
          <w:sz w:val="2"/>
        </w:rPr>
        <w:t xml:space="preserve"> </w:t>
      </w:r>
    </w:p>
    <w:tbl>
      <w:tblPr>
        <w:jc w:val="center"/>
        <w:tblLayout w:type="fixed"/>
        <w:tblLook w:firstColumn="1" w:firstRow="1" w:lastColumn="0" w:lastRow="0" w:noHBand="0" w:noVBand="1" w:val="04A0"/>
        <w:tblLayout w:type="fixed"/>
        <w:tblBorders>
          <w:top w:val="nil"/>
          <w:left w:val="nil"/>
          <w:bottom w:val="nil"/>
          <w:right w:val="nil"/>
          <w:insideH w:val="nil"/>
          <w:insideV w:val="nil"/>
        </w:tblBorders>
        <w:tblW w:w="10319" w:type="dxa"/>
        <w:tblCellMar>
          <w:left w:w="0" w:type="dxa"/>
          <w:right w:w="0" w:type="dxa"/>
        </w:tblCellMar>
      </w:tblPr>
      <w:tblGrid>
        <w:gridCol w:w="3969"/>
        <w:gridCol w:w="6350"/>
      </w:tblGrid>
      <w:tr>
        <w:tc>
          <w:tcPr>
            <w:tcW w:type="dxa" w:w="3969"/>
          </w:tcPr>
          <w:p>
            <w:pPr>
              <w:spacing w:before="0" w:after="0" w:line="240" w:lineRule="auto"/>
            </w:pPr>
            <w:r>
              <w:drawing>
                <wp:inline xmlns:a="http://schemas.openxmlformats.org/drawingml/2006/main" xmlns:pic="http://schemas.openxmlformats.org/drawingml/2006/picture">
                  <wp:extent cx="1872000" cy="532322"/>
                  <wp:docPr id="9" name="Picture 9"/>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872000" cy="532322"/>
                          </a:xfrm>
                          <a:prstGeom prst="rect"/>
                        </pic:spPr>
                      </pic:pic>
                    </a:graphicData>
                  </a:graphic>
                </wp:inline>
              </w:drawing>
            </w:r>
          </w:p>
        </w:tc>
        <w:tc>
          <w:tcPr>
            <w:tcW w:type="dxa" w:w="6350"/>
            <w:vAlign w:val="center"/>
          </w:tcPr>
          <w:p>
            <w:pPr>
              <w:spacing w:before="0" w:after="0" w:line="276" w:lineRule="auto"/>
            </w:pPr>
            <w:r>
              <w:rPr>
                <w:rFonts w:ascii="Segoe UI" w:hAnsi="Segoe UI" w:cs="Segoe UI" w:eastAsia="Segoe UI"/>
                <w:b w:val="0"/>
                <w:i w:val="0"/>
                <w:color w:val="51606F"/>
                <w:sz w:val="14"/>
              </w:rPr>
              <w:t>iNXT BrokerVerse, OOTB edition, version 1.0. Product facts and figures are taken from the system and its release test of 03 October 2026. Timelines, service levels and prices are confirmed in the proposal and the agreements. BrokerVerse produces records and working papers; filings with the BIR, the Insurance Commission and the National Privacy Commission remain with the broker.</w:t>
            </w:r>
          </w:p>
        </w:tc>
      </w:tr>
    </w:tbl>
    <w:sectPr w:rsidR="00FC693F" w:rsidRPr="0006063C" w:rsidSect="00034616">
      <w:footerReference w:type="default" r:id="rId9"/>
      <w:pgSz w:w="11906" w:h="16838"/>
      <w:pgMar w:top="680" w:right="794" w:bottom="680" w:left="794" w:header="340" w:footer="3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318" w:val="right"/>
      </w:tabs>
      <w:spacing w:before="0" w:after="0" w:line="240" w:lineRule="auto"/>
      <w:jc w:val="left"/>
    </w:pPr>
    <w:r>
      <w:rPr>
        <w:rFonts w:ascii="Segoe UI" w:hAnsi="Segoe UI" w:cs="Segoe UI" w:eastAsia="Segoe UI"/>
        <w:b w:val="0"/>
        <w:i w:val="0"/>
        <w:color w:val="51606F"/>
        <w:sz w:val="15"/>
      </w:rPr>
      <w:t>iNXT BrokerVerse  |  iorta TechNXT</w:t>
    </w:r>
    <w:r>
      <w:rPr>
        <w:rFonts w:ascii="Segoe UI" w:hAnsi="Segoe UI" w:cs="Segoe UI" w:eastAsia="Segoe UI"/>
        <w:b w:val="0"/>
        <w:i w:val="0"/>
        <w:color w:val="1E2B38"/>
        <w:sz w:val="15"/>
      </w:rPr>
      <w:tab/>
      <w:tab/>
    </w:r>
    <w:r>
      <w:rPr>
        <w:rFonts w:ascii="Segoe UI" w:hAnsi="Segoe UI" w:cs="Segoe UI" w:eastAsia="Segoe UI"/>
        <w:b w:val="0"/>
        <w:i w:val="0"/>
        <w:color w:val="51606F"/>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Segoe UI" w:hAnsi="Segoe UI" w:eastAsia="Segoe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iNXT BrokerVerse</dc:title>
  <dc:subject>Product brochure</dc:subject>
  <dc:creator>iorta TechNXT</dc:creator>
  <cp:keywords/>
  <dc:description/>
  <cp:lastModifiedBy/>
  <cp:revision>1</cp:revision>
  <dcterms:created xsi:type="dcterms:W3CDTF">2013-12-23T23:15:00Z</dcterms:created>
  <dcterms:modified xsi:type="dcterms:W3CDTF">2013-12-23T23:15:00Z</dcterms:modified>
  <cp:category/>
</cp:coreProperties>
</file>