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AMC and Service Levels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AMC and Service Levels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Maintenance, support and SLA</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Maintenance, support and SLA</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1993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41995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41997_4049217194">
            <w:r>
              <w:rPr>
                <w:webHidden/>
                <w:rStyle w:val="IndexLink"/>
              </w:rPr>
              <w:t>3. About this template</w:t>
              <w:tab/>
              <w:t>5</w:t>
            </w:r>
          </w:hyperlink>
        </w:p>
        <w:p>
          <w:pPr>
            <w:pStyle w:val="TOC1"/>
            <w:tabs>
              <w:tab w:val="clear" w:pos="900"/>
              <w:tab w:val="clear" w:pos="9350"/>
              <w:tab w:val="right" w:pos="9025" w:leader="dot"/>
            </w:tabs>
            <w:rPr/>
          </w:pPr>
          <w:hyperlink w:anchor="__RefHeading___Toc41999_4049217194">
            <w:r>
              <w:rPr>
                <w:webHidden/>
                <w:rStyle w:val="IndexLink"/>
              </w:rPr>
              <w:t>4. Agreement and scope</w:t>
              <w:tab/>
              <w:t>6</w:t>
            </w:r>
          </w:hyperlink>
        </w:p>
        <w:p>
          <w:pPr>
            <w:pStyle w:val="TOC2"/>
            <w:tabs>
              <w:tab w:val="clear" w:pos="900"/>
              <w:tab w:val="clear" w:pos="9350"/>
              <w:tab w:val="right" w:pos="9025" w:leader="dot"/>
            </w:tabs>
            <w:rPr/>
          </w:pPr>
          <w:hyperlink w:anchor="__RefHeading___Toc42001_4049217194">
            <w:r>
              <w:rPr>
                <w:webHidden/>
                <w:rStyle w:val="IndexLink"/>
              </w:rPr>
              <w:t>4.1 Parties and documents</w:t>
              <w:tab/>
              <w:t>6</w:t>
            </w:r>
          </w:hyperlink>
        </w:p>
        <w:p>
          <w:pPr>
            <w:pStyle w:val="TOC2"/>
            <w:tabs>
              <w:tab w:val="clear" w:pos="900"/>
              <w:tab w:val="clear" w:pos="9350"/>
              <w:tab w:val="right" w:pos="9025" w:leader="dot"/>
            </w:tabs>
            <w:rPr/>
          </w:pPr>
          <w:hyperlink w:anchor="__RefHeading___Toc42003_4049217194">
            <w:r>
              <w:rPr>
                <w:webHidden/>
                <w:rStyle w:val="IndexLink"/>
              </w:rPr>
              <w:t>4.2 Maintenance</w:t>
              <w:tab/>
              <w:t>6</w:t>
            </w:r>
          </w:hyperlink>
        </w:p>
        <w:p>
          <w:pPr>
            <w:pStyle w:val="TOC2"/>
            <w:tabs>
              <w:tab w:val="clear" w:pos="900"/>
              <w:tab w:val="clear" w:pos="9350"/>
              <w:tab w:val="right" w:pos="9025" w:leader="dot"/>
            </w:tabs>
            <w:rPr/>
          </w:pPr>
          <w:hyperlink w:anchor="__RefHeading___Toc42005_4049217194">
            <w:r>
              <w:rPr>
                <w:webHidden/>
                <w:rStyle w:val="IndexLink"/>
              </w:rPr>
              <w:t>4.3 Support</w:t>
              <w:tab/>
              <w:t>6</w:t>
            </w:r>
          </w:hyperlink>
        </w:p>
        <w:p>
          <w:pPr>
            <w:pStyle w:val="TOC2"/>
            <w:tabs>
              <w:tab w:val="clear" w:pos="900"/>
              <w:tab w:val="clear" w:pos="9350"/>
              <w:tab w:val="right" w:pos="9025" w:leader="dot"/>
            </w:tabs>
            <w:rPr/>
          </w:pPr>
          <w:hyperlink w:anchor="__RefHeading___Toc42007_4049217194">
            <w:r>
              <w:rPr>
                <w:webHidden/>
                <w:rStyle w:val="IndexLink"/>
              </w:rPr>
              <w:t>4.4 Support levels</w:t>
              <w:tab/>
              <w:t>6</w:t>
            </w:r>
          </w:hyperlink>
        </w:p>
        <w:p>
          <w:pPr>
            <w:pStyle w:val="TOC1"/>
            <w:tabs>
              <w:tab w:val="clear" w:pos="900"/>
              <w:tab w:val="clear" w:pos="9350"/>
              <w:tab w:val="right" w:pos="9025" w:leader="dot"/>
            </w:tabs>
            <w:rPr/>
          </w:pPr>
          <w:hyperlink w:anchor="__RefHeading___Toc42009_4049217194">
            <w:r>
              <w:rPr>
                <w:webHidden/>
                <w:rStyle w:val="IndexLink"/>
              </w:rPr>
              <w:t>5. Fees</w:t>
              <w:tab/>
              <w:t>7</w:t>
            </w:r>
          </w:hyperlink>
        </w:p>
        <w:p>
          <w:pPr>
            <w:pStyle w:val="TOC2"/>
            <w:tabs>
              <w:tab w:val="clear" w:pos="900"/>
              <w:tab w:val="clear" w:pos="9350"/>
              <w:tab w:val="right" w:pos="9025" w:leader="dot"/>
            </w:tabs>
            <w:rPr/>
          </w:pPr>
          <w:hyperlink w:anchor="__RefHeading___Toc42011_4049217194">
            <w:r>
              <w:rPr>
                <w:webHidden/>
                <w:rStyle w:val="IndexLink"/>
              </w:rPr>
              <w:t>5.1 AMC fee (perpetual licence)</w:t>
              <w:tab/>
              <w:t>7</w:t>
            </w:r>
          </w:hyperlink>
        </w:p>
        <w:p>
          <w:pPr>
            <w:pStyle w:val="TOC2"/>
            <w:tabs>
              <w:tab w:val="clear" w:pos="900"/>
              <w:tab w:val="clear" w:pos="9350"/>
              <w:tab w:val="right" w:pos="9025" w:leader="dot"/>
            </w:tabs>
            <w:rPr/>
          </w:pPr>
          <w:hyperlink w:anchor="__RefHeading___Toc42013_4049217194">
            <w:r>
              <w:rPr>
                <w:webHidden/>
                <w:rStyle w:val="IndexLink"/>
              </w:rPr>
              <w:t>5.2 Subscription</w:t>
              <w:tab/>
              <w:t>7</w:t>
            </w:r>
          </w:hyperlink>
        </w:p>
        <w:p>
          <w:pPr>
            <w:pStyle w:val="TOC2"/>
            <w:tabs>
              <w:tab w:val="clear" w:pos="900"/>
              <w:tab w:val="clear" w:pos="9350"/>
              <w:tab w:val="right" w:pos="9025" w:leader="dot"/>
            </w:tabs>
            <w:rPr/>
          </w:pPr>
          <w:hyperlink w:anchor="__RefHeading___Toc42015_4049217194">
            <w:r>
              <w:rPr>
                <w:webHidden/>
                <w:rStyle w:val="IndexLink"/>
              </w:rPr>
              <w:t>5.3 Extended P1 support (optional)</w:t>
              <w:tab/>
              <w:t>7</w:t>
            </w:r>
          </w:hyperlink>
        </w:p>
        <w:p>
          <w:pPr>
            <w:pStyle w:val="TOC2"/>
            <w:tabs>
              <w:tab w:val="clear" w:pos="900"/>
              <w:tab w:val="clear" w:pos="9350"/>
              <w:tab w:val="right" w:pos="9025" w:leader="dot"/>
            </w:tabs>
            <w:rPr/>
          </w:pPr>
          <w:hyperlink w:anchor="__RefHeading___Toc42017_4049217194">
            <w:r>
              <w:rPr>
                <w:webHidden/>
                <w:rStyle w:val="IndexLink"/>
              </w:rPr>
              <w:t>5.4 Work outside this Support Agreement</w:t>
              <w:tab/>
              <w:t>7</w:t>
            </w:r>
          </w:hyperlink>
        </w:p>
        <w:p>
          <w:pPr>
            <w:pStyle w:val="TOC1"/>
            <w:tabs>
              <w:tab w:val="clear" w:pos="900"/>
              <w:tab w:val="clear" w:pos="9350"/>
              <w:tab w:val="right" w:pos="9025" w:leader="dot"/>
            </w:tabs>
            <w:rPr/>
          </w:pPr>
          <w:hyperlink w:anchor="__RefHeading___Toc42019_4049217194">
            <w:r>
              <w:rPr>
                <w:webHidden/>
                <w:rStyle w:val="IndexLink"/>
              </w:rPr>
              <w:t>6. Service hours</w:t>
              <w:tab/>
              <w:t>8</w:t>
            </w:r>
          </w:hyperlink>
        </w:p>
        <w:p>
          <w:pPr>
            <w:pStyle w:val="TOC1"/>
            <w:tabs>
              <w:tab w:val="clear" w:pos="900"/>
              <w:tab w:val="clear" w:pos="9350"/>
              <w:tab w:val="right" w:pos="9025" w:leader="dot"/>
            </w:tabs>
            <w:rPr/>
          </w:pPr>
          <w:hyperlink w:anchor="__RefHeading___Toc42021_4049217194">
            <w:r>
              <w:rPr>
                <w:webHidden/>
                <w:rStyle w:val="IndexLink"/>
              </w:rPr>
              <w:t>7. Severity levels and targets</w:t>
              <w:tab/>
              <w:t>9</w:t>
            </w:r>
          </w:hyperlink>
        </w:p>
        <w:p>
          <w:pPr>
            <w:pStyle w:val="TOC2"/>
            <w:tabs>
              <w:tab w:val="clear" w:pos="900"/>
              <w:tab w:val="clear" w:pos="9350"/>
              <w:tab w:val="right" w:pos="9025" w:leader="dot"/>
            </w:tabs>
            <w:rPr/>
          </w:pPr>
          <w:hyperlink w:anchor="__RefHeading___Toc42023_4049217194">
            <w:r>
              <w:rPr>
                <w:webHidden/>
                <w:rStyle w:val="IndexLink"/>
              </w:rPr>
              <w:t>7.1 Definitions</w:t>
              <w:tab/>
              <w:t>9</w:t>
            </w:r>
          </w:hyperlink>
        </w:p>
        <w:p>
          <w:pPr>
            <w:pStyle w:val="TOC2"/>
            <w:tabs>
              <w:tab w:val="clear" w:pos="900"/>
              <w:tab w:val="clear" w:pos="9350"/>
              <w:tab w:val="right" w:pos="9025" w:leader="dot"/>
            </w:tabs>
            <w:rPr/>
          </w:pPr>
          <w:hyperlink w:anchor="__RefHeading___Toc42025_4049217194">
            <w:r>
              <w:rPr>
                <w:webHidden/>
                <w:rStyle w:val="IndexLink"/>
              </w:rPr>
              <w:t>7.2 Targets</w:t>
              <w:tab/>
              <w:t>9</w:t>
            </w:r>
          </w:hyperlink>
        </w:p>
        <w:p>
          <w:pPr>
            <w:pStyle w:val="TOC2"/>
            <w:tabs>
              <w:tab w:val="clear" w:pos="900"/>
              <w:tab w:val="clear" w:pos="9350"/>
              <w:tab w:val="right" w:pos="9025" w:leader="dot"/>
            </w:tabs>
            <w:rPr/>
          </w:pPr>
          <w:hyperlink w:anchor="__RefHeading___Toc42027_4049217194">
            <w:r>
              <w:rPr>
                <w:webHidden/>
                <w:rStyle w:val="IndexLink"/>
              </w:rPr>
              <w:t>7.3 Clock rules</w:t>
              <w:tab/>
              <w:t>9</w:t>
            </w:r>
          </w:hyperlink>
        </w:p>
        <w:p>
          <w:pPr>
            <w:pStyle w:val="TOC1"/>
            <w:tabs>
              <w:tab w:val="clear" w:pos="900"/>
              <w:tab w:val="clear" w:pos="9350"/>
              <w:tab w:val="right" w:pos="9025" w:leader="dot"/>
            </w:tabs>
            <w:rPr/>
          </w:pPr>
          <w:hyperlink w:anchor="__RefHeading___Toc42029_4049217194">
            <w:r>
              <w:rPr>
                <w:webHidden/>
                <w:rStyle w:val="IndexLink"/>
              </w:rPr>
              <w:t>8. Service desk and tickets</w:t>
              <w:tab/>
              <w:t>10</w:t>
            </w:r>
          </w:hyperlink>
        </w:p>
        <w:p>
          <w:pPr>
            <w:pStyle w:val="TOC2"/>
            <w:tabs>
              <w:tab w:val="clear" w:pos="900"/>
              <w:tab w:val="clear" w:pos="9350"/>
              <w:tab w:val="right" w:pos="9025" w:leader="dot"/>
            </w:tabs>
            <w:rPr/>
          </w:pPr>
          <w:hyperlink w:anchor="__RefHeading___Toc42031_4049217194">
            <w:r>
              <w:rPr>
                <w:webHidden/>
                <w:rStyle w:val="IndexLink"/>
              </w:rPr>
              <w:t>8.1 Minimum content of a ticket</w:t>
              <w:tab/>
              <w:t>10</w:t>
            </w:r>
          </w:hyperlink>
        </w:p>
        <w:p>
          <w:pPr>
            <w:pStyle w:val="TOC2"/>
            <w:tabs>
              <w:tab w:val="clear" w:pos="900"/>
              <w:tab w:val="clear" w:pos="9350"/>
              <w:tab w:val="right" w:pos="9025" w:leader="dot"/>
            </w:tabs>
            <w:rPr/>
          </w:pPr>
          <w:hyperlink w:anchor="__RefHeading___Toc42033_4049217194">
            <w:r>
              <w:rPr>
                <w:webHidden/>
                <w:rStyle w:val="IndexLink"/>
              </w:rPr>
              <w:t>8.2 Ticket statuses</w:t>
              <w:tab/>
              <w:t>10</w:t>
            </w:r>
          </w:hyperlink>
        </w:p>
        <w:p>
          <w:pPr>
            <w:pStyle w:val="TOC1"/>
            <w:tabs>
              <w:tab w:val="clear" w:pos="900"/>
              <w:tab w:val="clear" w:pos="9350"/>
              <w:tab w:val="right" w:pos="9025" w:leader="dot"/>
            </w:tabs>
            <w:rPr/>
          </w:pPr>
          <w:hyperlink w:anchor="__RefHeading___Toc42035_4049217194">
            <w:r>
              <w:rPr>
                <w:webHidden/>
                <w:rStyle w:val="IndexLink"/>
              </w:rPr>
              <w:t>9. Escalation</w:t>
              <w:tab/>
              <w:t>11</w:t>
            </w:r>
          </w:hyperlink>
        </w:p>
        <w:p>
          <w:pPr>
            <w:pStyle w:val="TOC1"/>
            <w:tabs>
              <w:tab w:val="clear" w:pos="900"/>
              <w:tab w:val="clear" w:pos="9350"/>
              <w:tab w:val="right" w:pos="9025" w:leader="dot"/>
            </w:tabs>
            <w:rPr/>
          </w:pPr>
          <w:hyperlink w:anchor="__RefHeading___Toc42037_4049217194">
            <w:r>
              <w:rPr>
                <w:webHidden/>
                <w:rStyle w:val="IndexLink"/>
              </w:rPr>
              <w:t>10. Service credits</w:t>
              <w:tab/>
              <w:t>12</w:t>
            </w:r>
          </w:hyperlink>
        </w:p>
        <w:p>
          <w:pPr>
            <w:pStyle w:val="TOC2"/>
            <w:tabs>
              <w:tab w:val="clear" w:pos="900"/>
              <w:tab w:val="clear" w:pos="9350"/>
              <w:tab w:val="right" w:pos="9025" w:leader="dot"/>
            </w:tabs>
            <w:rPr/>
          </w:pPr>
          <w:hyperlink w:anchor="__RefHeading___Toc42039_4049217194">
            <w:r>
              <w:rPr>
                <w:webHidden/>
                <w:rStyle w:val="IndexLink"/>
              </w:rPr>
              <w:t>10.1 Credits</w:t>
              <w:tab/>
              <w:t>12</w:t>
            </w:r>
          </w:hyperlink>
        </w:p>
        <w:p>
          <w:pPr>
            <w:pStyle w:val="TOC2"/>
            <w:tabs>
              <w:tab w:val="clear" w:pos="900"/>
              <w:tab w:val="clear" w:pos="9350"/>
              <w:tab w:val="right" w:pos="9025" w:leader="dot"/>
            </w:tabs>
            <w:rPr/>
          </w:pPr>
          <w:hyperlink w:anchor="__RefHeading___Toc42041_4049217194">
            <w:r>
              <w:rPr>
                <w:webHidden/>
                <w:rStyle w:val="IndexLink"/>
              </w:rPr>
              <w:t>10.2 Rules</w:t>
              <w:tab/>
              <w:t>12</w:t>
            </w:r>
          </w:hyperlink>
        </w:p>
        <w:p>
          <w:pPr>
            <w:pStyle w:val="TOC1"/>
            <w:tabs>
              <w:tab w:val="clear" w:pos="900"/>
              <w:tab w:val="clear" w:pos="9350"/>
              <w:tab w:val="right" w:pos="9025" w:leader="dot"/>
            </w:tabs>
            <w:rPr/>
          </w:pPr>
          <w:hyperlink w:anchor="__RefHeading___Toc42043_4049217194">
            <w:r>
              <w:rPr>
                <w:webHidden/>
                <w:rStyle w:val="IndexLink"/>
              </w:rPr>
              <w:t>11. Reporting and reviews</w:t>
              <w:tab/>
              <w:t>13</w:t>
            </w:r>
          </w:hyperlink>
        </w:p>
        <w:p>
          <w:pPr>
            <w:pStyle w:val="TOC2"/>
            <w:tabs>
              <w:tab w:val="clear" w:pos="900"/>
              <w:tab w:val="clear" w:pos="9350"/>
              <w:tab w:val="right" w:pos="9025" w:leader="dot"/>
            </w:tabs>
            <w:rPr/>
          </w:pPr>
          <w:hyperlink w:anchor="__RefHeading___Toc42045_4049217194">
            <w:r>
              <w:rPr>
                <w:webHidden/>
                <w:rStyle w:val="IndexLink"/>
              </w:rPr>
              <w:t>11.1 Monthly service report</w:t>
              <w:tab/>
              <w:t>13</w:t>
            </w:r>
          </w:hyperlink>
        </w:p>
        <w:p>
          <w:pPr>
            <w:pStyle w:val="TOC2"/>
            <w:tabs>
              <w:tab w:val="clear" w:pos="900"/>
              <w:tab w:val="clear" w:pos="9350"/>
              <w:tab w:val="right" w:pos="9025" w:leader="dot"/>
            </w:tabs>
            <w:rPr/>
          </w:pPr>
          <w:hyperlink w:anchor="__RefHeading___Toc42047_4049217194">
            <w:r>
              <w:rPr>
                <w:webHidden/>
                <w:rStyle w:val="IndexLink"/>
              </w:rPr>
              <w:t>11.2 KPIs</w:t>
              <w:tab/>
              <w:t>13</w:t>
            </w:r>
          </w:hyperlink>
        </w:p>
        <w:p>
          <w:pPr>
            <w:pStyle w:val="TOC2"/>
            <w:tabs>
              <w:tab w:val="clear" w:pos="900"/>
              <w:tab w:val="clear" w:pos="9350"/>
              <w:tab w:val="right" w:pos="9025" w:leader="dot"/>
            </w:tabs>
            <w:rPr/>
          </w:pPr>
          <w:hyperlink w:anchor="__RefHeading___Toc42049_4049217194">
            <w:r>
              <w:rPr>
                <w:webHidden/>
                <w:rStyle w:val="IndexLink"/>
              </w:rPr>
              <w:t>11.3 Service review</w:t>
              <w:tab/>
              <w:t>13</w:t>
            </w:r>
          </w:hyperlink>
        </w:p>
        <w:p>
          <w:pPr>
            <w:pStyle w:val="TOC1"/>
            <w:tabs>
              <w:tab w:val="clear" w:pos="900"/>
              <w:tab w:val="clear" w:pos="9350"/>
              <w:tab w:val="right" w:pos="9025" w:leader="dot"/>
            </w:tabs>
            <w:rPr/>
          </w:pPr>
          <w:hyperlink w:anchor="__RefHeading___Toc42051_4049217194">
            <w:r>
              <w:rPr>
                <w:webHidden/>
                <w:rStyle w:val="IndexLink"/>
              </w:rPr>
              <w:t>12. Releases and changes</w:t>
              <w:tab/>
              <w:t>14</w:t>
            </w:r>
          </w:hyperlink>
        </w:p>
        <w:p>
          <w:pPr>
            <w:pStyle w:val="TOC1"/>
            <w:tabs>
              <w:tab w:val="clear" w:pos="900"/>
              <w:tab w:val="clear" w:pos="9350"/>
              <w:tab w:val="right" w:pos="9025" w:leader="dot"/>
            </w:tabs>
            <w:rPr/>
          </w:pPr>
          <w:hyperlink w:anchor="__RefHeading___Toc42053_4049217194">
            <w:r>
              <w:rPr>
                <w:webHidden/>
                <w:rStyle w:val="IndexLink"/>
              </w:rPr>
              <w:t>13. Security incidents and personal data breaches</w:t>
              <w:tab/>
              <w:t>15</w:t>
            </w:r>
          </w:hyperlink>
        </w:p>
        <w:p>
          <w:pPr>
            <w:pStyle w:val="TOC1"/>
            <w:tabs>
              <w:tab w:val="clear" w:pos="900"/>
              <w:tab w:val="clear" w:pos="9350"/>
              <w:tab w:val="right" w:pos="9025" w:leader="dot"/>
            </w:tabs>
            <w:rPr/>
          </w:pPr>
          <w:hyperlink w:anchor="__RefHeading___Toc42055_4049217194">
            <w:r>
              <w:rPr>
                <w:webHidden/>
                <w:rStyle w:val="IndexLink"/>
              </w:rPr>
              <w:t>14. Exclusions</w:t>
              <w:tab/>
              <w:t>16</w:t>
            </w:r>
          </w:hyperlink>
        </w:p>
        <w:p>
          <w:pPr>
            <w:pStyle w:val="TOC1"/>
            <w:tabs>
              <w:tab w:val="clear" w:pos="900"/>
              <w:tab w:val="clear" w:pos="9350"/>
              <w:tab w:val="right" w:pos="9025" w:leader="dot"/>
            </w:tabs>
            <w:rPr/>
          </w:pPr>
          <w:hyperlink w:anchor="__RefHeading___Toc42057_4049217194">
            <w:r>
              <w:rPr>
                <w:webHidden/>
                <w:rStyle w:val="IndexLink"/>
              </w:rPr>
              <w:t>15. Client obligations</w:t>
              <w:tab/>
              <w:t>17</w:t>
            </w:r>
          </w:hyperlink>
        </w:p>
        <w:p>
          <w:pPr>
            <w:pStyle w:val="TOC1"/>
            <w:tabs>
              <w:tab w:val="clear" w:pos="900"/>
              <w:tab w:val="clear" w:pos="9350"/>
              <w:tab w:val="right" w:pos="9025" w:leader="dot"/>
            </w:tabs>
            <w:rPr/>
          </w:pPr>
          <w:hyperlink w:anchor="__RefHeading___Toc42059_4049217194">
            <w:r>
              <w:rPr>
                <w:webHidden/>
                <w:rStyle w:val="IndexLink"/>
              </w:rPr>
              <w:t>16. Term and termination</w:t>
              <w:tab/>
              <w:t>18</w:t>
            </w:r>
          </w:hyperlink>
        </w:p>
        <w:p>
          <w:pPr>
            <w:pStyle w:val="TOC1"/>
            <w:tabs>
              <w:tab w:val="clear" w:pos="900"/>
              <w:tab w:val="clear" w:pos="9350"/>
              <w:tab w:val="right" w:pos="9025" w:leader="dot"/>
            </w:tabs>
            <w:rPr/>
          </w:pPr>
          <w:hyperlink w:anchor="__RefHeading___Toc42061_4049217194">
            <w:r>
              <w:rPr>
                <w:webHidden/>
                <w:rStyle w:val="IndexLink"/>
              </w:rPr>
              <w:t>17. Signatures</w:t>
              <w:tab/>
              <w:t>19</w:t>
            </w:r>
          </w:hyperlink>
        </w:p>
        <w:p>
          <w:pPr>
            <w:pStyle w:val="TOC1"/>
            <w:tabs>
              <w:tab w:val="clear" w:pos="900"/>
              <w:tab w:val="clear" w:pos="9350"/>
              <w:tab w:val="right" w:pos="9025" w:leader="dot"/>
            </w:tabs>
            <w:rPr/>
          </w:pPr>
          <w:hyperlink w:anchor="__RefHeading___Toc42063_4049217194">
            <w:r>
              <w:rPr>
                <w:webHidden/>
                <w:rStyle w:val="IndexLink"/>
              </w:rPr>
              <w:t>18. Annex A: contacts</w:t>
              <w:tab/>
              <w:t>20</w:t>
            </w:r>
          </w:hyperlink>
        </w:p>
        <w:p>
          <w:pPr>
            <w:pStyle w:val="TOC1"/>
            <w:tabs>
              <w:tab w:val="clear" w:pos="900"/>
              <w:tab w:val="clear" w:pos="9350"/>
              <w:tab w:val="right" w:pos="9025" w:leader="dot"/>
            </w:tabs>
            <w:rPr/>
          </w:pPr>
          <w:hyperlink w:anchor="__RefHeading___Toc42065_4049217194">
            <w:r>
              <w:rPr>
                <w:webHidden/>
                <w:rStyle w:val="IndexLink"/>
                <w:i w:val="false"/>
                <w:iCs w:val="false"/>
              </w:rPr>
              <w:t>19. Document Sign-Off</w:t>
            </w:r>
            <w:r>
              <w:rPr>
                <w:rStyle w:val="IndexLink"/>
              </w:rPr>
              <w:tab/>
              <w:t>21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1993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1995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performance indicator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RCA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Root-cause analysis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1997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Annual Maintenance and Support Agreement and Service Level Agreement (the </w:t>
      </w:r>
      <w:r>
        <w:rPr>
          <w:rFonts w:eastAsia="Segoe UI" w:cs="Segoe UI" w:ascii="Segoe UI" w:hAnsi="Segoe UI"/>
          <w:b/>
          <w:color w:val="101820"/>
          <w:sz w:val="21"/>
        </w:rPr>
        <w:t>Support Agreement</w:t>
      </w:r>
      <w:r>
        <w:rPr>
          <w:rFonts w:eastAsia="Segoe UI" w:cs="Segoe UI" w:ascii="Segoe UI" w:hAnsi="Segoe UI"/>
          <w:color w:val="101820"/>
          <w:sz w:val="21"/>
        </w:rPr>
        <w:t xml:space="preserve">) sets the maintenance, support and service levels for iNXT BrokerVerse OOTB. For a perpetual licence, it is the AMC and is paid by the AMC fee. For a subscription, the support and service levels are included in the subscription fee and the AMC fee clause does not apply.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 when an Order Form names it. Text in [square brackets] is a placeholder or an option.</w:t>
      </w:r>
      <w:r>
        <w:br w:type="page"/>
      </w:r>
    </w:p>
    <w:p>
      <w:pPr>
        <w:pStyle w:val="Heading1"/>
        <w:rPr/>
      </w:pPr>
      <w:bookmarkStart w:id="7" w:name="__RefHeading___Toc41999_4049217194"/>
      <w:bookmarkEnd w:id="7"/>
      <w:r>
        <w:rPr>
          <w:rFonts w:eastAsia="Segoe UI" w:cs="Segoe UI" w:ascii="Segoe UI" w:hAnsi="Segoe UI"/>
          <w:b/>
          <w:color w:val="0F4761"/>
          <w:sz w:val="32"/>
        </w:rPr>
        <w:t>4.  Agreement and scope</w:t>
      </w:r>
    </w:p>
    <w:p>
      <w:pPr>
        <w:pStyle w:val="Heading2"/>
        <w:rPr/>
      </w:pPr>
      <w:bookmarkStart w:id="8" w:name="__RefHeading___Toc42001_4049217194"/>
      <w:bookmarkEnd w:id="8"/>
      <w:r>
        <w:rPr>
          <w:rFonts w:eastAsia="Segoe UI" w:cs="Segoe UI"/>
          <w:b/>
          <w:color w:val="0F4761"/>
          <w:sz w:val="26"/>
        </w:rPr>
        <w:t>4.1  Parties and documents</w:t>
      </w:r>
    </w:p>
    <w:p>
      <w:pPr>
        <w:pStyle w:val="Normal"/>
        <w:spacing w:lineRule="auto" w:line="276" w:before="0" w:after="120"/>
        <w:rPr/>
      </w:pPr>
      <w:r>
        <w:rPr>
          <w:rFonts w:eastAsia="Segoe UI" w:cs="Segoe UI" w:ascii="Segoe UI" w:hAnsi="Segoe UI"/>
          <w:color w:val="101820"/>
          <w:sz w:val="21"/>
        </w:rPr>
        <w:t>This Support Agreement is made on [date] under the MSA dated [date] and Order Form no. [number]. Capitalised terms have the meaning given in the MSA. The service levels are based on the iorta TechNXT Production Support Approach and Standards. Support under this Support Agreement takes over from the implementation team on the date stated in the signed Hypercare Exit and Handover to Support Certificate. The Customer Responsibilities and RACI Annex sets out who does what in support.</w:t>
      </w:r>
    </w:p>
    <w:p>
      <w:pPr>
        <w:pStyle w:val="Heading2"/>
        <w:rPr/>
      </w:pPr>
      <w:bookmarkStart w:id="9" w:name="__RefHeading___Toc42003_4049217194"/>
      <w:bookmarkEnd w:id="9"/>
      <w:r>
        <w:rPr>
          <w:rFonts w:eastAsia="Segoe UI" w:cs="Segoe UI"/>
          <w:b/>
          <w:color w:val="0F4761"/>
          <w:sz w:val="26"/>
        </w:rPr>
        <w:t>4.2  Maintenance</w:t>
      </w:r>
    </w:p>
    <w:p>
      <w:pPr>
        <w:pStyle w:val="Normal"/>
        <w:spacing w:lineRule="auto" w:line="276" w:before="0" w:after="120"/>
        <w:rPr/>
      </w:pPr>
      <w:r>
        <w:rPr>
          <w:rFonts w:eastAsia="Segoe UI" w:cs="Segoe UI" w:ascii="Segoe UI" w:hAnsi="Segoe UI"/>
          <w:color w:val="101820"/>
          <w:sz w:val="21"/>
        </w:rPr>
        <w:t>While this Support Agreement is in force and paid, iorta TechNXT provides:</w:t>
      </w:r>
    </w:p>
    <w:p>
      <w:pPr>
        <w:pStyle w:val="Normal"/>
        <w:numPr>
          <w:ilvl w:val="0"/>
          <w:numId w:val="14"/>
        </w:numPr>
        <w:spacing w:before="0" w:after="60"/>
        <w:rPr/>
      </w:pPr>
      <w:r>
        <w:rPr>
          <w:rFonts w:eastAsia="Segoe UI" w:cs="Segoe UI" w:ascii="Segoe UI" w:hAnsi="Segoe UI"/>
          <w:color w:val="101820"/>
          <w:sz w:val="21"/>
        </w:rPr>
        <w:t>correction of defects in the OOTB product, by workaround, configuration or data correction, or code fix and release;</w:t>
      </w:r>
    </w:p>
    <w:p>
      <w:pPr>
        <w:pStyle w:val="Normal"/>
        <w:numPr>
          <w:ilvl w:val="0"/>
          <w:numId w:val="2"/>
        </w:numPr>
        <w:spacing w:before="0" w:after="60"/>
        <w:rPr/>
      </w:pPr>
      <w:r>
        <w:rPr>
          <w:rFonts w:eastAsia="Segoe UI" w:cs="Segoe UI" w:ascii="Segoe UI" w:hAnsi="Segoe UI"/>
          <w:color w:val="101820"/>
          <w:sz w:val="21"/>
        </w:rPr>
        <w:t>updates and releases of the OOTB version made available to all customers, with release notes;</w:t>
      </w:r>
    </w:p>
    <w:p>
      <w:pPr>
        <w:pStyle w:val="Normal"/>
        <w:numPr>
          <w:ilvl w:val="0"/>
          <w:numId w:val="2"/>
        </w:numPr>
        <w:spacing w:before="0" w:after="60"/>
        <w:rPr/>
      </w:pPr>
      <w:r>
        <w:rPr>
          <w:rFonts w:eastAsia="Segoe UI" w:cs="Segoe UI" w:ascii="Segoe UI" w:hAnsi="Segoe UI"/>
          <w:color w:val="101820"/>
          <w:sz w:val="21"/>
        </w:rPr>
        <w:t>regulatory form updates released for all customers (for example changes to BIR working papers delivered in the product);</w:t>
      </w:r>
    </w:p>
    <w:p>
      <w:pPr>
        <w:pStyle w:val="Normal"/>
        <w:numPr>
          <w:ilvl w:val="0"/>
          <w:numId w:val="2"/>
        </w:numPr>
        <w:spacing w:before="0" w:after="60"/>
        <w:rPr/>
      </w:pPr>
      <w:r>
        <w:rPr>
          <w:rFonts w:eastAsia="Segoe UI" w:cs="Segoe UI" w:ascii="Segoe UI" w:hAnsi="Segoe UI"/>
          <w:color w:val="101820"/>
          <w:sz w:val="21"/>
        </w:rPr>
        <w:t>security patches of the application and its dependencies;</w:t>
      </w:r>
    </w:p>
    <w:p>
      <w:pPr>
        <w:pStyle w:val="Normal"/>
        <w:numPr>
          <w:ilvl w:val="0"/>
          <w:numId w:val="2"/>
        </w:numPr>
        <w:spacing w:before="0" w:after="60"/>
        <w:rPr/>
      </w:pPr>
      <w:r>
        <w:rPr>
          <w:rFonts w:eastAsia="Segoe UI" w:cs="Segoe UI" w:ascii="Segoe UI" w:hAnsi="Segoe UI"/>
          <w:color w:val="101820"/>
          <w:sz w:val="21"/>
        </w:rPr>
        <w:t>support of the current release and the two previous planned releases.</w:t>
      </w:r>
    </w:p>
    <w:p>
      <w:pPr>
        <w:pStyle w:val="Heading2"/>
        <w:rPr/>
      </w:pPr>
      <w:bookmarkStart w:id="10" w:name="__RefHeading___Toc42005_4049217194"/>
      <w:bookmarkEnd w:id="10"/>
      <w:r>
        <w:rPr>
          <w:rFonts w:eastAsia="Segoe UI" w:cs="Segoe UI"/>
          <w:b/>
          <w:color w:val="0F4761"/>
          <w:sz w:val="26"/>
        </w:rPr>
        <w:t>4.3  Support</w:t>
      </w:r>
    </w:p>
    <w:p>
      <w:pPr>
        <w:pStyle w:val="Normal"/>
        <w:numPr>
          <w:ilvl w:val="0"/>
          <w:numId w:val="15"/>
        </w:numPr>
        <w:spacing w:before="0" w:after="60"/>
        <w:rPr/>
      </w:pPr>
      <w:r>
        <w:rPr>
          <w:rFonts w:eastAsia="Segoe UI" w:cs="Segoe UI" w:ascii="Segoe UI" w:hAnsi="Segoe UI"/>
          <w:color w:val="101820"/>
          <w:sz w:val="21"/>
        </w:rPr>
        <w:t>A service desk: a support portal or mailbox for all tickets and a telephone line for P1.</w:t>
      </w:r>
    </w:p>
    <w:p>
      <w:pPr>
        <w:pStyle w:val="Normal"/>
        <w:numPr>
          <w:ilvl w:val="0"/>
          <w:numId w:val="16"/>
        </w:numPr>
        <w:spacing w:before="0" w:after="60"/>
        <w:rPr/>
      </w:pPr>
      <w:r>
        <w:rPr>
          <w:rFonts w:eastAsia="Segoe UI" w:cs="Segoe UI" w:ascii="Segoe UI" w:hAnsi="Segoe UI"/>
          <w:color w:val="101820"/>
          <w:sz w:val="21"/>
        </w:rPr>
        <w:t>Level 2 application support: triage, reproduction, analysis, configuration and data corrections under change control, workarounds, known-error records and release coordination.</w:t>
      </w:r>
    </w:p>
    <w:p>
      <w:pPr>
        <w:pStyle w:val="Normal"/>
        <w:numPr>
          <w:ilvl w:val="0"/>
          <w:numId w:val="17"/>
        </w:numPr>
        <w:spacing w:before="0" w:after="60"/>
        <w:rPr/>
      </w:pPr>
      <w:r>
        <w:rPr>
          <w:rFonts w:eastAsia="Segoe UI" w:cs="Segoe UI" w:ascii="Segoe UI" w:hAnsi="Segoe UI"/>
          <w:color w:val="101820"/>
          <w:sz w:val="21"/>
        </w:rPr>
        <w:t>Level 3 engineering: code defects, database corrections by script, performance, infrastructure where iorta TechNXT hosts, security incidents, root-cause analysis, fixes and releases.</w:t>
      </w:r>
    </w:p>
    <w:p>
      <w:pPr>
        <w:pStyle w:val="Normal"/>
        <w:numPr>
          <w:ilvl w:val="0"/>
          <w:numId w:val="18"/>
        </w:numPr>
        <w:spacing w:before="0" w:after="60"/>
        <w:rPr/>
      </w:pPr>
      <w:r>
        <w:rPr>
          <w:rFonts w:eastAsia="Segoe UI" w:cs="Segoe UI" w:ascii="Segoe UI" w:hAnsi="Segoe UI"/>
          <w:color w:val="101820"/>
          <w:sz w:val="21"/>
        </w:rPr>
        <w:t>A monthly service report and a monthly service review.</w:t>
      </w:r>
    </w:p>
    <w:p>
      <w:pPr>
        <w:pStyle w:val="Heading2"/>
        <w:rPr/>
      </w:pPr>
      <w:bookmarkStart w:id="11" w:name="__RefHeading___Toc42007_4049217194"/>
      <w:bookmarkEnd w:id="11"/>
      <w:r>
        <w:rPr>
          <w:rFonts w:eastAsia="Segoe UI" w:cs="Segoe UI"/>
          <w:b/>
          <w:color w:val="0F4761"/>
          <w:sz w:val="26"/>
        </w:rPr>
        <w:t>4.4  Support levels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6"/>
        <w:gridCol w:w="404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40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40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40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super users (one trained key user per team) and the Client System Administrator</w:t>
            </w:r>
          </w:p>
        </w:tc>
        <w:tc>
          <w:tcPr>
            <w:tcW w:w="40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checks that a role, setting or master record is not the cause; user and password resets; logging tickets with 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40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40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in the Support clause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40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 and DevOps</w:t>
            </w:r>
          </w:p>
        </w:tc>
        <w:tc>
          <w:tcPr>
            <w:tcW w:w="40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in the Support clause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Only named L1 contacts of the Client raise tickets (up to [5] contacts, named in Annex A).</w:t>
      </w:r>
      <w:r>
        <w:br w:type="page"/>
      </w:r>
    </w:p>
    <w:p>
      <w:pPr>
        <w:pStyle w:val="Heading1"/>
        <w:rPr/>
      </w:pPr>
      <w:bookmarkStart w:id="12" w:name="__RefHeading___Toc42009_4049217194"/>
      <w:bookmarkEnd w:id="12"/>
      <w:r>
        <w:rPr>
          <w:rFonts w:eastAsia="Segoe UI" w:cs="Segoe UI" w:ascii="Segoe UI" w:hAnsi="Segoe UI"/>
          <w:b/>
          <w:color w:val="0F4761"/>
          <w:sz w:val="32"/>
        </w:rPr>
        <w:t>5.  Fees</w:t>
      </w:r>
    </w:p>
    <w:p>
      <w:pPr>
        <w:pStyle w:val="Heading2"/>
        <w:rPr/>
      </w:pPr>
      <w:bookmarkStart w:id="13" w:name="__RefHeading___Toc42011_4049217194"/>
      <w:bookmarkEnd w:id="13"/>
      <w:r>
        <w:rPr>
          <w:rFonts w:eastAsia="Segoe UI" w:cs="Segoe UI"/>
          <w:b/>
          <w:color w:val="0F4761"/>
          <w:sz w:val="26"/>
        </w:rPr>
        <w:t>5.1  AMC fee (perpetual licence)</w:t>
      </w:r>
    </w:p>
    <w:p>
      <w:pPr>
        <w:pStyle w:val="Normal"/>
        <w:numPr>
          <w:ilvl w:val="0"/>
          <w:numId w:val="19"/>
        </w:numPr>
        <w:spacing w:before="0" w:after="60"/>
        <w:rPr/>
      </w:pPr>
      <w:r>
        <w:rPr>
          <w:rFonts w:eastAsia="Segoe UI" w:cs="Segoe UI" w:ascii="Segoe UI" w:hAnsi="Segoe UI"/>
          <w:color w:val="101820"/>
          <w:sz w:val="21"/>
        </w:rPr>
        <w:t>The AMC fee is 22% of the Licence Fee a year.</w:t>
      </w:r>
    </w:p>
    <w:p>
      <w:pPr>
        <w:pStyle w:val="Normal"/>
        <w:numPr>
          <w:ilvl w:val="0"/>
          <w:numId w:val="20"/>
        </w:numPr>
        <w:spacing w:before="0" w:after="60"/>
        <w:rPr/>
      </w:pPr>
      <w:r>
        <w:rPr>
          <w:rFonts w:eastAsia="Segoe UI" w:cs="Segoe UI" w:ascii="Segoe UI" w:hAnsi="Segoe UI"/>
          <w:color w:val="101820"/>
          <w:sz w:val="21"/>
        </w:rPr>
        <w:t>The first 12 months from Go-Live are the warranty period, during which maintenance and support are provided at no charge. The AMC starts on the first day of Year 2.</w:t>
      </w:r>
    </w:p>
    <w:p>
      <w:pPr>
        <w:pStyle w:val="Normal"/>
        <w:numPr>
          <w:ilvl w:val="0"/>
          <w:numId w:val="21"/>
        </w:numPr>
        <w:spacing w:before="0" w:after="60"/>
        <w:rPr/>
      </w:pPr>
      <w:r>
        <w:rPr>
          <w:rFonts w:eastAsia="Segoe UI" w:cs="Segoe UI" w:ascii="Segoe UI" w:hAnsi="Segoe UI"/>
          <w:color w:val="101820"/>
          <w:sz w:val="21"/>
        </w:rPr>
        <w:t>The AMC fee is invoiced yearly in advance at the start of each AMC year and is payable within 30 days.</w:t>
      </w:r>
    </w:p>
    <w:p>
      <w:pPr>
        <w:pStyle w:val="Normal"/>
        <w:numPr>
          <w:ilvl w:val="0"/>
          <w:numId w:val="22"/>
        </w:numPr>
        <w:spacing w:before="0" w:after="60"/>
        <w:rPr/>
      </w:pPr>
      <w:r>
        <w:rPr>
          <w:rFonts w:eastAsia="Segoe UI" w:cs="Segoe UI" w:ascii="Segoe UI" w:hAnsi="Segoe UI"/>
          <w:color w:val="101820"/>
          <w:sz w:val="21"/>
        </w:rPr>
        <w:t>The AMC fee increases by 5% at each anniversary of the AMC start.</w:t>
      </w:r>
    </w:p>
    <w:p>
      <w:pPr>
        <w:pStyle w:val="Normal"/>
        <w:numPr>
          <w:ilvl w:val="0"/>
          <w:numId w:val="23"/>
        </w:numPr>
        <w:spacing w:before="0" w:after="60"/>
        <w:rPr/>
      </w:pPr>
      <w:r>
        <w:rPr>
          <w:rFonts w:eastAsia="Segoe UI" w:cs="Segoe UI" w:ascii="Segoe UI" w:hAnsi="Segoe UI"/>
          <w:color w:val="101820"/>
          <w:sz w:val="21"/>
        </w:rPr>
        <w:t>The AMC covers all Licensed Users. Additional users add AMC from the later of their licence date and the AMC start, prorated to the next AMC anniversary.</w:t>
      </w:r>
    </w:p>
    <w:p>
      <w:pPr>
        <w:pStyle w:val="Heading2"/>
        <w:rPr/>
      </w:pPr>
      <w:bookmarkStart w:id="14" w:name="__RefHeading___Toc42013_4049217194"/>
      <w:bookmarkEnd w:id="14"/>
      <w:r>
        <w:rPr>
          <w:rFonts w:eastAsia="Segoe UI" w:cs="Segoe UI"/>
          <w:b/>
          <w:color w:val="0F4761"/>
          <w:sz w:val="26"/>
        </w:rPr>
        <w:t>5.2  Subscription</w:t>
      </w:r>
    </w:p>
    <w:p>
      <w:pPr>
        <w:pStyle w:val="Normal"/>
        <w:spacing w:lineRule="auto" w:line="276" w:before="0" w:after="120"/>
        <w:rPr/>
      </w:pPr>
      <w:r>
        <w:rPr>
          <w:rFonts w:eastAsia="Segoe UI" w:cs="Segoe UI" w:ascii="Segoe UI" w:hAnsi="Segoe UI"/>
          <w:color w:val="101820"/>
          <w:sz w:val="21"/>
        </w:rPr>
        <w:t>For a subscription, the services of this Support Agreement are included in the monthly subscription fee.</w:t>
      </w:r>
    </w:p>
    <w:p>
      <w:pPr>
        <w:pStyle w:val="Heading2"/>
        <w:rPr/>
      </w:pPr>
      <w:bookmarkStart w:id="15" w:name="__RefHeading___Toc42015_4049217194"/>
      <w:bookmarkEnd w:id="15"/>
      <w:r>
        <w:rPr>
          <w:rFonts w:eastAsia="Segoe UI" w:cs="Segoe UI"/>
          <w:b/>
          <w:color w:val="0F4761"/>
          <w:sz w:val="26"/>
        </w:rPr>
        <w:t>5.3  Extended P1 support (optional)</w:t>
      </w:r>
    </w:p>
    <w:p>
      <w:pPr>
        <w:pStyle w:val="Normal"/>
        <w:spacing w:lineRule="auto" w:line="276" w:before="0" w:after="120"/>
        <w:rPr/>
      </w:pPr>
      <w:r>
        <w:rPr>
          <w:rFonts w:eastAsia="Segoe UI" w:cs="Segoe UI" w:ascii="Segoe UI" w:hAnsi="Segoe UI"/>
          <w:color w:val="101820"/>
          <w:sz w:val="21"/>
        </w:rPr>
        <w:t>24x7 support for P1 incidents (called 24x7 Severity 1 support in the Order Form and the price book) is an option stated in the Order Form, priced yearly by size (Year 1 list prices: Small PHP 240,000.00; Medium PHP 480,000.00; Large PHP 900,000.00; Enterprise PHP 1,500,000.00), invoiced yearly in advance and increasing 5% a year.</w:t>
      </w:r>
    </w:p>
    <w:p>
      <w:pPr>
        <w:pStyle w:val="Heading2"/>
        <w:rPr/>
      </w:pPr>
      <w:bookmarkStart w:id="16" w:name="__RefHeading___Toc42017_4049217194"/>
      <w:bookmarkEnd w:id="16"/>
      <w:r>
        <w:rPr>
          <w:rFonts w:eastAsia="Segoe UI" w:cs="Segoe UI"/>
          <w:b/>
          <w:color w:val="0F4761"/>
          <w:sz w:val="26"/>
        </w:rPr>
        <w:t>5.4  Work outside this Support Agreement</w:t>
      </w:r>
    </w:p>
    <w:p>
      <w:pPr>
        <w:pStyle w:val="Normal"/>
        <w:spacing w:lineRule="auto" w:line="276" w:before="0" w:after="120"/>
        <w:rPr/>
      </w:pPr>
      <w:r>
        <w:rPr>
          <w:rFonts w:eastAsia="Segoe UI" w:cs="Segoe UI" w:ascii="Segoe UI" w:hAnsi="Segoe UI"/>
          <w:color w:val="101820"/>
          <w:sz w:val="21"/>
        </w:rPr>
        <w:t>Work in the Exclusions chapter is charged at the day rates of the Order Form, through the Change Request Procedure where it changes the product.</w:t>
      </w:r>
      <w:r>
        <w:br w:type="page"/>
      </w:r>
    </w:p>
    <w:p>
      <w:pPr>
        <w:pStyle w:val="Heading1"/>
        <w:rPr/>
      </w:pPr>
      <w:bookmarkStart w:id="17" w:name="__RefHeading___Toc42019_4049217194"/>
      <w:bookmarkEnd w:id="17"/>
      <w:r>
        <w:rPr>
          <w:rFonts w:eastAsia="Segoe UI" w:cs="Segoe UI" w:ascii="Segoe UI" w:hAnsi="Segoe UI"/>
          <w:b/>
          <w:color w:val="0F4761"/>
          <w:sz w:val="32"/>
        </w:rPr>
        <w:t>6.  Service hours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4"/>
        <w:gridCol w:w="4005"/>
        <w:gridCol w:w="2505"/>
      </w:tblGrid>
      <w:tr>
        <w:trPr>
          <w:tblHeader w:val="true"/>
        </w:trPr>
        <w:tc>
          <w:tcPr>
            <w:tcW w:w="2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4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2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Covers</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support</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08:00 to 18:00 PHT, Monday to Friday, except Philippine regular holidays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severities</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Extended P1 support (optional)</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a day, 7 days a week</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only, reported by telephone</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maintenance window</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Agreed with the Client; default Saturday 20:00 to Sunday 06:00 PHT</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Releases, patching, DR drills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Targets count service hours only. With the extended P1 option, P1 targets count elapsed time.</w:t>
      </w:r>
      <w:r>
        <w:br w:type="page"/>
      </w:r>
    </w:p>
    <w:p>
      <w:pPr>
        <w:pStyle w:val="Heading1"/>
        <w:rPr/>
      </w:pPr>
      <w:bookmarkStart w:id="18" w:name="__RefHeading___Toc42021_4049217194"/>
      <w:bookmarkEnd w:id="18"/>
      <w:r>
        <w:rPr>
          <w:rFonts w:eastAsia="Segoe UI" w:cs="Segoe UI" w:ascii="Segoe UI" w:hAnsi="Segoe UI"/>
          <w:b/>
          <w:color w:val="0F4761"/>
          <w:sz w:val="32"/>
        </w:rPr>
        <w:t>7.  Severity levels and targets</w:t>
      </w:r>
    </w:p>
    <w:p>
      <w:pPr>
        <w:pStyle w:val="Heading2"/>
        <w:rPr/>
      </w:pPr>
      <w:bookmarkStart w:id="19" w:name="__RefHeading___Toc42023_4049217194"/>
      <w:bookmarkEnd w:id="19"/>
      <w:r>
        <w:rPr>
          <w:rFonts w:eastAsia="Segoe UI" w:cs="Segoe UI"/>
          <w:b/>
          <w:color w:val="0F4761"/>
          <w:sz w:val="26"/>
        </w:rPr>
        <w:t>7.1  Definitions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3953"/>
        <w:gridCol w:w="3939"/>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3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39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 wrong financial postings or data exposed; no workaround</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Nobody can sign in; official receipts cannot be issued; journals post wrong amounts; personal data visible to the wrong users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one branch, or seriously degraded, with no acceptable workaround</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fails; bank statement import refused for a valid file; remittance cannot be approved; scheduled jobs not running</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or gives a wrong result and a workaround exists</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report column wrong; an upload rejects one valid row; a PDF layout problem</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documentation, or request for change</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Wording, layout, how-to question, new report request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Client proposes the severity when raising the ticket. iorta TechNXT confirms or changes it at triage, with the reason. The Client may ask for a review through the escalation matrix.</w:t>
      </w:r>
    </w:p>
    <w:p>
      <w:pPr>
        <w:pStyle w:val="Heading2"/>
        <w:rPr/>
      </w:pPr>
      <w:bookmarkStart w:id="20" w:name="__RefHeading___Toc42025_4049217194"/>
      <w:bookmarkEnd w:id="20"/>
      <w:r>
        <w:rPr>
          <w:rFonts w:eastAsia="Segoe UI" w:cs="Segoe UI"/>
          <w:b/>
          <w:color w:val="0F4761"/>
          <w:sz w:val="26"/>
        </w:rPr>
        <w:t>7.2  Targets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1122"/>
        <w:gridCol w:w="1516"/>
        <w:gridCol w:w="2037"/>
        <w:gridCol w:w="3217"/>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First response</w:t>
            </w:r>
          </w:p>
        </w:tc>
        <w:tc>
          <w:tcPr>
            <w:tcW w:w="15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Update frequency</w:t>
            </w:r>
          </w:p>
        </w:tc>
        <w:tc>
          <w:tcPr>
            <w:tcW w:w="2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Restore service or workaround</w:t>
            </w:r>
          </w:p>
        </w:tc>
        <w:tc>
          <w:tcPr>
            <w:tcW w:w="3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Permanent fix</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minutes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hour</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service hours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Root cause in 5 Business Days; fix in the next emergency or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P2</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service hours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4 service hours</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Next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Business Day</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3 Business Days</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Business Days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release as agreed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P4</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with the Client or handled as a change request</w:t>
            </w:r>
          </w:p>
        </w:tc>
      </w:tr>
    </w:tbl>
    <w:p>
      <w:pPr>
        <w:pStyle w:val="Normal"/>
        <w:spacing w:before="0" w:after="80"/>
        <w:rPr/>
      </w:pPr>
      <w:r>
        <w:rPr/>
      </w:r>
    </w:p>
    <w:p>
      <w:pPr>
        <w:pStyle w:val="Heading2"/>
        <w:rPr/>
      </w:pPr>
      <w:bookmarkStart w:id="21" w:name="__RefHeading___Toc42027_4049217194"/>
      <w:bookmarkEnd w:id="21"/>
      <w:r>
        <w:rPr>
          <w:rFonts w:eastAsia="Segoe UI" w:cs="Segoe UI"/>
          <w:b/>
          <w:color w:val="0F4761"/>
          <w:sz w:val="26"/>
        </w:rPr>
        <w:t>7.3  Clock rules</w:t>
      </w:r>
    </w:p>
    <w:p>
      <w:pPr>
        <w:pStyle w:val="Normal"/>
        <w:numPr>
          <w:ilvl w:val="0"/>
          <w:numId w:val="24"/>
        </w:numPr>
        <w:spacing w:before="0" w:after="60"/>
        <w:rPr/>
      </w:pPr>
      <w:r>
        <w:rPr>
          <w:rFonts w:eastAsia="Segoe UI" w:cs="Segoe UI" w:ascii="Segoe UI" w:hAnsi="Segoe UI"/>
          <w:color w:val="101820"/>
          <w:sz w:val="21"/>
        </w:rPr>
        <w:t>The clock starts when the ticket is logged with the minimum content in the Service desk chapter.</w:t>
      </w:r>
    </w:p>
    <w:p>
      <w:pPr>
        <w:pStyle w:val="Normal"/>
        <w:numPr>
          <w:ilvl w:val="0"/>
          <w:numId w:val="25"/>
        </w:numPr>
        <w:spacing w:before="0" w:after="60"/>
        <w:rPr/>
      </w:pPr>
      <w:r>
        <w:rPr>
          <w:rFonts w:eastAsia="Segoe UI" w:cs="Segoe UI" w:ascii="Segoe UI" w:hAnsi="Segoe UI"/>
          <w:color w:val="101820"/>
          <w:sz w:val="21"/>
        </w:rPr>
        <w:t>The clock stops while the ticket waits for the Client (status Awaiting customer).</w:t>
      </w:r>
    </w:p>
    <w:p>
      <w:pPr>
        <w:pStyle w:val="Normal"/>
        <w:numPr>
          <w:ilvl w:val="0"/>
          <w:numId w:val="26"/>
        </w:numPr>
        <w:spacing w:before="0" w:after="60"/>
        <w:rPr/>
      </w:pPr>
      <w:r>
        <w:rPr>
          <w:rFonts w:eastAsia="Segoe UI" w:cs="Segoe UI" w:ascii="Segoe UI" w:hAnsi="Segoe UI"/>
          <w:color w:val="101820"/>
          <w:sz w:val="21"/>
        </w:rPr>
        <w:t>The clock ends when a workaround or a fix is provided.</w:t>
      </w:r>
    </w:p>
    <w:p>
      <w:pPr>
        <w:pStyle w:val="Normal"/>
        <w:numPr>
          <w:ilvl w:val="0"/>
          <w:numId w:val="27"/>
        </w:numPr>
        <w:spacing w:before="0" w:after="60"/>
        <w:rPr/>
      </w:pPr>
      <w:r>
        <w:rPr>
          <w:rFonts w:eastAsia="Segoe UI" w:cs="Segoe UI" w:ascii="Segoe UI" w:hAnsi="Segoe UI"/>
          <w:color w:val="101820"/>
          <w:sz w:val="21"/>
        </w:rPr>
        <w:t>A ticket counts as met when both its response and restore targets are met.</w:t>
      </w:r>
      <w:r>
        <w:br w:type="page"/>
      </w:r>
    </w:p>
    <w:p>
      <w:pPr>
        <w:pStyle w:val="Heading1"/>
        <w:rPr/>
      </w:pPr>
      <w:bookmarkStart w:id="22" w:name="__RefHeading___Toc42029_4049217194"/>
      <w:bookmarkEnd w:id="22"/>
      <w:r>
        <w:rPr>
          <w:rFonts w:eastAsia="Segoe UI" w:cs="Segoe UI" w:ascii="Segoe UI" w:hAnsi="Segoe UI"/>
          <w:b/>
          <w:color w:val="0F4761"/>
          <w:sz w:val="32"/>
        </w:rPr>
        <w:t>8.  Service desk and tickets</w:t>
      </w:r>
    </w:p>
    <w:p>
      <w:pPr>
        <w:pStyle w:val="Heading2"/>
        <w:rPr/>
      </w:pPr>
      <w:bookmarkStart w:id="23" w:name="__RefHeading___Toc42031_4049217194"/>
      <w:bookmarkEnd w:id="23"/>
      <w:r>
        <w:rPr>
          <w:rFonts w:eastAsia="Segoe UI" w:cs="Segoe UI"/>
          <w:b/>
          <w:color w:val="0F4761"/>
          <w:sz w:val="26"/>
        </w:rPr>
        <w:t>8.1  Minimum content of a ticket</w:t>
      </w:r>
    </w:p>
    <w:p>
      <w:pPr>
        <w:pStyle w:val="Normal"/>
        <w:numPr>
          <w:ilvl w:val="0"/>
          <w:numId w:val="28"/>
        </w:numPr>
        <w:spacing w:before="0" w:after="60"/>
        <w:rPr/>
      </w:pPr>
      <w:r>
        <w:rPr>
          <w:rFonts w:eastAsia="Segoe UI" w:cs="Segoe UI" w:ascii="Segoe UI" w:hAnsi="Segoe UI"/>
          <w:color w:val="101820"/>
          <w:sz w:val="21"/>
        </w:rPr>
        <w:t>The screen (menu path) and the record number.</w:t>
      </w:r>
    </w:p>
    <w:p>
      <w:pPr>
        <w:pStyle w:val="Normal"/>
        <w:numPr>
          <w:ilvl w:val="0"/>
          <w:numId w:val="29"/>
        </w:numPr>
        <w:spacing w:before="0" w:after="60"/>
        <w:rPr/>
      </w:pPr>
      <w:r>
        <w:rPr>
          <w:rFonts w:eastAsia="Segoe UI" w:cs="Segoe UI" w:ascii="Segoe UI" w:hAnsi="Segoe UI"/>
          <w:color w:val="101820"/>
          <w:sz w:val="21"/>
        </w:rPr>
        <w:t>The date and time, to the minute.</w:t>
      </w:r>
    </w:p>
    <w:p>
      <w:pPr>
        <w:pStyle w:val="Normal"/>
        <w:numPr>
          <w:ilvl w:val="0"/>
          <w:numId w:val="30"/>
        </w:numPr>
        <w:spacing w:before="0" w:after="60"/>
        <w:rPr/>
      </w:pPr>
      <w:r>
        <w:rPr>
          <w:rFonts w:eastAsia="Segoe UI" w:cs="Segoe UI" w:ascii="Segoe UI" w:hAnsi="Segoe UI"/>
          <w:color w:val="101820"/>
          <w:sz w:val="21"/>
        </w:rPr>
        <w:t>The request ID shown in the error message, if any.</w:t>
      </w:r>
    </w:p>
    <w:p>
      <w:pPr>
        <w:pStyle w:val="Normal"/>
        <w:numPr>
          <w:ilvl w:val="0"/>
          <w:numId w:val="31"/>
        </w:numPr>
        <w:spacing w:before="0" w:after="60"/>
        <w:rPr/>
      </w:pPr>
      <w:r>
        <w:rPr>
          <w:rFonts w:eastAsia="Segoe UI" w:cs="Segoe UI" w:ascii="Segoe UI" w:hAnsi="Segoe UI"/>
          <w:color w:val="101820"/>
          <w:sz w:val="21"/>
        </w:rPr>
        <w:t>What was done, what happened and what was expected.</w:t>
      </w:r>
    </w:p>
    <w:p>
      <w:pPr>
        <w:pStyle w:val="Normal"/>
        <w:numPr>
          <w:ilvl w:val="0"/>
          <w:numId w:val="32"/>
        </w:numPr>
        <w:spacing w:before="0" w:after="60"/>
        <w:rPr/>
      </w:pPr>
      <w:r>
        <w:rPr>
          <w:rFonts w:eastAsia="Segoe UI" w:cs="Segoe UI" w:ascii="Segoe UI" w:hAnsi="Segoe UI"/>
          <w:color w:val="101820"/>
          <w:sz w:val="21"/>
        </w:rPr>
        <w:t>A screenshot, with client personal data covered.</w:t>
      </w:r>
    </w:p>
    <w:p>
      <w:pPr>
        <w:pStyle w:val="Normal"/>
        <w:numPr>
          <w:ilvl w:val="0"/>
          <w:numId w:val="33"/>
        </w:numPr>
        <w:spacing w:before="0" w:after="60"/>
        <w:rPr/>
      </w:pPr>
      <w:r>
        <w:rPr>
          <w:rFonts w:eastAsia="Segoe UI" w:cs="Segoe UI" w:ascii="Segoe UI" w:hAnsi="Segoe UI"/>
          <w:color w:val="101820"/>
          <w:sz w:val="21"/>
        </w:rPr>
        <w:t>The username (never the password) and the role.</w:t>
      </w:r>
    </w:p>
    <w:p>
      <w:pPr>
        <w:pStyle w:val="Normal"/>
        <w:numPr>
          <w:ilvl w:val="0"/>
          <w:numId w:val="34"/>
        </w:numPr>
        <w:spacing w:before="0" w:after="60"/>
        <w:rPr/>
      </w:pPr>
      <w:r>
        <w:rPr>
          <w:rFonts w:eastAsia="Segoe UI" w:cs="Segoe UI" w:ascii="Segoe UI" w:hAnsi="Segoe UI"/>
          <w:color w:val="101820"/>
          <w:sz w:val="21"/>
        </w:rPr>
        <w:t>How many users are affected and whether work can continue.</w:t>
      </w:r>
    </w:p>
    <w:p>
      <w:pPr>
        <w:pStyle w:val="Normal"/>
        <w:spacing w:lineRule="auto" w:line="276" w:before="0" w:after="120"/>
        <w:rPr/>
      </w:pPr>
      <w:r>
        <w:rPr>
          <w:rFonts w:eastAsia="Segoe UI" w:cs="Segoe UI" w:ascii="Segoe UI" w:hAnsi="Segoe UI"/>
          <w:color w:val="101820"/>
          <w:sz w:val="21"/>
        </w:rPr>
        <w:t>Passwords, two-step codes, environment settings and full client ID numbers are never sent in a ticket.</w:t>
      </w:r>
    </w:p>
    <w:p>
      <w:pPr>
        <w:pStyle w:val="Heading2"/>
        <w:rPr/>
      </w:pPr>
      <w:bookmarkStart w:id="24" w:name="__RefHeading___Toc42033_4049217194"/>
      <w:bookmarkEnd w:id="24"/>
      <w:r>
        <w:rPr>
          <w:rFonts w:eastAsia="Segoe UI" w:cs="Segoe UI"/>
          <w:b/>
          <w:color w:val="0F4761"/>
          <w:sz w:val="26"/>
        </w:rPr>
        <w:t>8.2  Ticket statuses</w:t>
      </w:r>
    </w:p>
    <w:p>
      <w:pPr>
        <w:pStyle w:val="Normal"/>
        <w:spacing w:lineRule="auto" w:line="276" w:before="0" w:after="120"/>
        <w:rPr/>
      </w:pPr>
      <w:r>
        <w:rPr>
          <w:rFonts w:eastAsia="Segoe UI" w:cs="Segoe UI" w:ascii="Segoe UI" w:hAnsi="Segoe UI"/>
          <w:color w:val="101820"/>
          <w:sz w:val="21"/>
        </w:rPr>
        <w:t>New, Acknowledged, In progress, Awaiting customer, Workaround provided, Resolved, Closed, Reopened. A resolved ticket closes when the Client confirms, or automatically 5 Business Days after Resolved without a reply. The Client may reopen a ticket within 5 Business Days of Resolved.</w:t>
      </w:r>
      <w:r>
        <w:br w:type="page"/>
      </w:r>
    </w:p>
    <w:p>
      <w:pPr>
        <w:pStyle w:val="Heading1"/>
        <w:rPr/>
      </w:pPr>
      <w:bookmarkStart w:id="25" w:name="__RefHeading___Toc42035_4049217194"/>
      <w:bookmarkEnd w:id="25"/>
      <w:r>
        <w:rPr>
          <w:rFonts w:eastAsia="Segoe UI" w:cs="Segoe UI" w:ascii="Segoe UI" w:hAnsi="Segoe UI"/>
          <w:b/>
          <w:color w:val="0F4761"/>
          <w:sz w:val="32"/>
        </w:rPr>
        <w:t>9.  Escalation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6"/>
        <w:gridCol w:w="2962"/>
        <w:gridCol w:w="3027"/>
      </w:tblGrid>
      <w:tr>
        <w:trPr>
          <w:tblHeader w:val="true"/>
        </w:trPr>
        <w:tc>
          <w:tcPr>
            <w:tcW w:w="30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29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side</w:t>
            </w:r>
          </w:p>
        </w:tc>
        <w:tc>
          <w:tcPr>
            <w:tcW w:w="30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 side</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logged</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informs the Client IT head</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and L3 on-call engaged at once; support manager informed</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without response in 30 minutes, or no workaround in 2 hours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calls the support manager</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engages the engineering lead and the DevOps lead</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not restored in 4 hours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informed</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and head of delivery informed; hourly calls</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without response in 2 service hours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calls the L2 lead</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assigns and reports</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not restored in 2 Business Days</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informed</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informed; plan sent to the Client</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Disagreement on severity or closure</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then account manager</w:t>
            </w:r>
          </w:p>
        </w:tc>
      </w:tr>
      <w:tr>
        <w:trPr/>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Repeated incidents (3 or more of one cause in a month)</w:t>
            </w:r>
          </w:p>
        </w:tc>
        <w:tc>
          <w:tcPr>
            <w:tcW w:w="29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Raised in the monthly service review</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Problem record opened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Names and telephone numbers of each role are listed in Annex A and kept up to date by both Parties.</w:t>
      </w:r>
      <w:r>
        <w:br w:type="page"/>
      </w:r>
    </w:p>
    <w:p>
      <w:pPr>
        <w:pStyle w:val="Heading1"/>
        <w:rPr/>
      </w:pPr>
      <w:bookmarkStart w:id="26" w:name="__RefHeading___Toc42037_4049217194"/>
      <w:bookmarkEnd w:id="26"/>
      <w:r>
        <w:rPr>
          <w:rFonts w:eastAsia="Segoe UI" w:cs="Segoe UI" w:ascii="Segoe UI" w:hAnsi="Segoe UI"/>
          <w:b/>
          <w:color w:val="0F4761"/>
          <w:sz w:val="32"/>
        </w:rPr>
        <w:t>10.  Service credits</w:t>
      </w:r>
    </w:p>
    <w:p>
      <w:pPr>
        <w:pStyle w:val="Heading2"/>
        <w:rPr/>
      </w:pPr>
      <w:bookmarkStart w:id="27" w:name="__RefHeading___Toc42039_4049217194"/>
      <w:bookmarkEnd w:id="27"/>
      <w:r>
        <w:rPr>
          <w:rFonts w:eastAsia="Segoe UI" w:cs="Segoe UI"/>
          <w:b/>
          <w:color w:val="0F4761"/>
          <w:sz w:val="26"/>
        </w:rPr>
        <w:t>10.1  Credits</w:t>
      </w:r>
    </w:p>
    <w:p>
      <w:pPr>
        <w:pStyle w:val="Normal"/>
        <w:spacing w:lineRule="auto" w:line="276" w:before="0" w:after="120"/>
        <w:rPr/>
      </w:pPr>
      <w:r>
        <w:rPr>
          <w:rFonts w:eastAsia="Segoe UI" w:cs="Segoe UI" w:ascii="Segoe UI" w:hAnsi="Segoe UI"/>
          <w:color w:val="101820"/>
          <w:sz w:val="21"/>
        </w:rPr>
        <w:t>If iorta TechNXT misses a target in a calendar month for reasons within its control, the Client is entitled to the following service credits, calculated on the monthly fee of the affected service (one twelfth of the yearly AMC fee, or the monthly subscription fee):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78"/>
        <w:gridCol w:w="2035"/>
      </w:tblGrid>
      <w:tr>
        <w:trPr>
          <w:tblHeader w:val="true"/>
        </w:trPr>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Event in the month</w:t>
            </w:r>
          </w:p>
        </w:tc>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 credit</w:t>
            </w:r>
          </w:p>
        </w:tc>
      </w:tr>
      <w:tr>
        <w:trPr/>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P1 ticket whose restore target is missed</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P2 ticket whose restore target is missed</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 below 95% of tickets</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 below 90% of tickets (P1: below 100%)</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Availability credits for hosting are in the Hosting and Infrastructure Services Agreement.</w:t>
      </w:r>
    </w:p>
    <w:p>
      <w:pPr>
        <w:pStyle w:val="Heading2"/>
        <w:rPr/>
      </w:pPr>
      <w:bookmarkStart w:id="28" w:name="__RefHeading___Toc42041_4049217194"/>
      <w:bookmarkEnd w:id="28"/>
      <w:r>
        <w:rPr>
          <w:rFonts w:eastAsia="Segoe UI" w:cs="Segoe UI"/>
          <w:b/>
          <w:color w:val="0F4761"/>
          <w:sz w:val="26"/>
        </w:rPr>
        <w:t>10.2  Rules</w:t>
      </w:r>
    </w:p>
    <w:p>
      <w:pPr>
        <w:pStyle w:val="Normal"/>
        <w:numPr>
          <w:ilvl w:val="0"/>
          <w:numId w:val="35"/>
        </w:numPr>
        <w:spacing w:before="0" w:after="60"/>
        <w:rPr/>
      </w:pPr>
      <w:r>
        <w:rPr>
          <w:rFonts w:eastAsia="Segoe UI" w:cs="Segoe UI" w:ascii="Segoe UI" w:hAnsi="Segoe UI"/>
          <w:color w:val="101820"/>
          <w:sz w:val="21"/>
        </w:rPr>
        <w:t>Service credits in a month are capped at [10%] of the monthly fee of the affected service.</w:t>
      </w:r>
    </w:p>
    <w:p>
      <w:pPr>
        <w:pStyle w:val="Normal"/>
        <w:numPr>
          <w:ilvl w:val="0"/>
          <w:numId w:val="36"/>
        </w:numPr>
        <w:spacing w:before="0" w:after="60"/>
        <w:rPr/>
      </w:pPr>
      <w:r>
        <w:rPr>
          <w:rFonts w:eastAsia="Segoe UI" w:cs="Segoe UI" w:ascii="Segoe UI" w:hAnsi="Segoe UI"/>
          <w:color w:val="101820"/>
          <w:sz w:val="21"/>
        </w:rPr>
        <w:t>The Client claims a credit in writing within 30 days of the monthly service report. Approved credits are deducted from the next invoice. Credits are not paid in cash.</w:t>
      </w:r>
    </w:p>
    <w:p>
      <w:pPr>
        <w:pStyle w:val="Normal"/>
        <w:numPr>
          <w:ilvl w:val="0"/>
          <w:numId w:val="37"/>
        </w:numPr>
        <w:spacing w:before="0" w:after="60"/>
        <w:rPr/>
      </w:pPr>
      <w:r>
        <w:rPr>
          <w:rFonts w:eastAsia="Segoe UI" w:cs="Segoe UI" w:ascii="Segoe UI" w:hAnsi="Segoe UI"/>
          <w:color w:val="101820"/>
          <w:sz w:val="21"/>
        </w:rPr>
        <w:t>No credit is due for a miss caused by: the Client or its third parties; a cause in the Exclusions chapter; planned maintenance; force majeure; a ticket that did not have the minimum content; or the Client's delay in giving access, information or approval.</w:t>
      </w:r>
    </w:p>
    <w:p>
      <w:pPr>
        <w:pStyle w:val="Normal"/>
        <w:numPr>
          <w:ilvl w:val="0"/>
          <w:numId w:val="38"/>
        </w:numPr>
        <w:spacing w:before="0" w:after="60"/>
        <w:rPr/>
      </w:pPr>
      <w:r>
        <w:rPr>
          <w:rFonts w:eastAsia="Segoe UI" w:cs="Segoe UI" w:ascii="Segoe UI" w:hAnsi="Segoe UI"/>
          <w:color w:val="101820"/>
          <w:sz w:val="21"/>
        </w:rPr>
        <w:t>Service credits are the Client's sole financial remedy for missed service levels, except that if P1 restore targets are missed in 3 consecutive months, the Client may terminate this Support Agreement (and the Subscription, if any) for cause under the MSA.</w:t>
      </w:r>
      <w:r>
        <w:br w:type="page"/>
      </w:r>
    </w:p>
    <w:p>
      <w:pPr>
        <w:pStyle w:val="Heading1"/>
        <w:rPr/>
      </w:pPr>
      <w:bookmarkStart w:id="29" w:name="__RefHeading___Toc42043_4049217194"/>
      <w:bookmarkEnd w:id="29"/>
      <w:r>
        <w:rPr>
          <w:rFonts w:eastAsia="Segoe UI" w:cs="Segoe UI" w:ascii="Segoe UI" w:hAnsi="Segoe UI"/>
          <w:b/>
          <w:color w:val="0F4761"/>
          <w:sz w:val="32"/>
        </w:rPr>
        <w:t>11.  Reporting and reviews</w:t>
      </w:r>
    </w:p>
    <w:p>
      <w:pPr>
        <w:pStyle w:val="Heading2"/>
        <w:rPr/>
      </w:pPr>
      <w:bookmarkStart w:id="30" w:name="__RefHeading___Toc42045_4049217194"/>
      <w:bookmarkEnd w:id="30"/>
      <w:r>
        <w:rPr>
          <w:rFonts w:eastAsia="Segoe UI" w:cs="Segoe UI"/>
          <w:b/>
          <w:color w:val="0F4761"/>
          <w:sz w:val="26"/>
        </w:rPr>
        <w:t>11.1  Monthly service report</w:t>
      </w:r>
    </w:p>
    <w:p>
      <w:pPr>
        <w:pStyle w:val="Normal"/>
        <w:spacing w:lineRule="auto" w:line="276" w:before="0" w:after="120"/>
        <w:rPr/>
      </w:pPr>
      <w:r>
        <w:rPr>
          <w:rFonts w:eastAsia="Segoe UI" w:cs="Segoe UI" w:ascii="Segoe UI" w:hAnsi="Segoe UI"/>
          <w:color w:val="101820"/>
          <w:sz w:val="21"/>
        </w:rPr>
        <w:t>Sent by the 10th Business Day of each month:</w:t>
      </w:r>
    </w:p>
    <w:p>
      <w:pPr>
        <w:pStyle w:val="Normal"/>
        <w:numPr>
          <w:ilvl w:val="0"/>
          <w:numId w:val="1"/>
        </w:numPr>
        <w:spacing w:before="0" w:after="60"/>
        <w:rPr/>
      </w:pPr>
      <w:r>
        <w:rPr>
          <w:rFonts w:eastAsia="Segoe UI" w:cs="Segoe UI" w:ascii="Segoe UI" w:hAnsi="Segoe UI"/>
          <w:color w:val="101820"/>
          <w:sz w:val="21"/>
        </w:rPr>
        <w:t>tickets opened, resolved and open, by severity, category and module;</w:t>
      </w:r>
    </w:p>
    <w:p>
      <w:pPr>
        <w:pStyle w:val="Normal"/>
        <w:numPr>
          <w:ilvl w:val="0"/>
          <w:numId w:val="1"/>
        </w:numPr>
        <w:spacing w:before="0" w:after="60"/>
        <w:rPr/>
      </w:pPr>
      <w:r>
        <w:rPr>
          <w:rFonts w:eastAsia="Segoe UI" w:cs="Segoe UI" w:ascii="Segoe UI" w:hAnsi="Segoe UI"/>
          <w:color w:val="101820"/>
          <w:sz w:val="21"/>
        </w:rPr>
        <w:t>SLA performance per severity, with the tickets that missed a target and why;</w:t>
      </w:r>
    </w:p>
    <w:p>
      <w:pPr>
        <w:pStyle w:val="Normal"/>
        <w:numPr>
          <w:ilvl w:val="0"/>
          <w:numId w:val="1"/>
        </w:numPr>
        <w:spacing w:before="0" w:after="60"/>
        <w:rPr/>
      </w:pPr>
      <w:r>
        <w:rPr>
          <w:rFonts w:eastAsia="Segoe UI" w:cs="Segoe UI" w:ascii="Segoe UI" w:hAnsi="Segoe UI"/>
          <w:color w:val="101820"/>
          <w:sz w:val="21"/>
        </w:rPr>
        <w:t>P1 and P2 incidents with their RCA status;</w:t>
      </w:r>
    </w:p>
    <w:p>
      <w:pPr>
        <w:pStyle w:val="Normal"/>
        <w:numPr>
          <w:ilvl w:val="0"/>
          <w:numId w:val="1"/>
        </w:numPr>
        <w:spacing w:before="0" w:after="60"/>
        <w:rPr/>
      </w:pPr>
      <w:r>
        <w:rPr>
          <w:rFonts w:eastAsia="Segoe UI" w:cs="Segoe UI" w:ascii="Segoe UI" w:hAnsi="Segoe UI"/>
          <w:color w:val="101820"/>
          <w:sz w:val="21"/>
        </w:rPr>
        <w:t>problems and known errors opened and closed;</w:t>
      </w:r>
    </w:p>
    <w:p>
      <w:pPr>
        <w:pStyle w:val="Normal"/>
        <w:numPr>
          <w:ilvl w:val="0"/>
          <w:numId w:val="1"/>
        </w:numPr>
        <w:spacing w:before="0" w:after="60"/>
        <w:rPr/>
      </w:pPr>
      <w:r>
        <w:rPr>
          <w:rFonts w:eastAsia="Segoe UI" w:cs="Segoe UI" w:ascii="Segoe UI" w:hAnsi="Segoe UI"/>
          <w:color w:val="101820"/>
          <w:sz w:val="21"/>
        </w:rPr>
        <w:t>changes and releases made; failed or rolled-back changes;</w:t>
      </w:r>
    </w:p>
    <w:p>
      <w:pPr>
        <w:pStyle w:val="Normal"/>
        <w:numPr>
          <w:ilvl w:val="0"/>
          <w:numId w:val="1"/>
        </w:numPr>
        <w:spacing w:before="0" w:after="60"/>
        <w:rPr/>
      </w:pPr>
      <w:r>
        <w:rPr>
          <w:rFonts w:eastAsia="Segoe UI" w:cs="Segoe UI" w:ascii="Segoe UI" w:hAnsi="Segoe UI"/>
          <w:color w:val="101820"/>
          <w:sz w:val="21"/>
        </w:rPr>
        <w:t>availability of production in the month and planned downtime (where iorta TechNXT hosts);</w:t>
      </w:r>
    </w:p>
    <w:p>
      <w:pPr>
        <w:pStyle w:val="Normal"/>
        <w:numPr>
          <w:ilvl w:val="0"/>
          <w:numId w:val="1"/>
        </w:numPr>
        <w:spacing w:before="0" w:after="60"/>
        <w:rPr/>
      </w:pPr>
      <w:r>
        <w:rPr>
          <w:rFonts w:eastAsia="Segoe UI" w:cs="Segoe UI" w:ascii="Segoe UI" w:hAnsi="Segoe UI"/>
          <w:color w:val="101820"/>
          <w:sz w:val="21"/>
        </w:rPr>
        <w:t>monitoring and backup verification results; DR drill results when held;</w:t>
      </w:r>
    </w:p>
    <w:p>
      <w:pPr>
        <w:pStyle w:val="Normal"/>
        <w:numPr>
          <w:ilvl w:val="0"/>
          <w:numId w:val="1"/>
        </w:numPr>
        <w:spacing w:before="0" w:after="60"/>
        <w:rPr/>
      </w:pPr>
      <w:r>
        <w:rPr>
          <w:rFonts w:eastAsia="Segoe UI" w:cs="Segoe UI" w:ascii="Segoe UI" w:hAnsi="Segoe UI"/>
          <w:color w:val="101820"/>
          <w:sz w:val="21"/>
        </w:rPr>
        <w:t>security events and access review results;</w:t>
      </w:r>
    </w:p>
    <w:p>
      <w:pPr>
        <w:pStyle w:val="Normal"/>
        <w:numPr>
          <w:ilvl w:val="0"/>
          <w:numId w:val="1"/>
        </w:numPr>
        <w:spacing w:before="0" w:after="60"/>
        <w:rPr/>
      </w:pPr>
      <w:r>
        <w:rPr>
          <w:rFonts w:eastAsia="Segoe UI" w:cs="Segoe UI" w:ascii="Segoe UI" w:hAnsi="Segoe UI"/>
          <w:color w:val="101820"/>
          <w:sz w:val="21"/>
        </w:rPr>
        <w:t>trends, risks and recommendations, including training needs seen in the tickets.</w:t>
      </w:r>
    </w:p>
    <w:p>
      <w:pPr>
        <w:pStyle w:val="Heading2"/>
        <w:rPr/>
      </w:pPr>
      <w:bookmarkStart w:id="31" w:name="__RefHeading___Toc42047_4049217194"/>
      <w:bookmarkEnd w:id="31"/>
      <w:r>
        <w:rPr>
          <w:rFonts w:eastAsia="Segoe UI" w:cs="Segoe UI"/>
          <w:b/>
          <w:color w:val="0F4761"/>
          <w:sz w:val="26"/>
        </w:rPr>
        <w:t>11.2  KPIs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1"/>
        <w:gridCol w:w="4283"/>
        <w:gridCol w:w="1250"/>
      </w:tblGrid>
      <w:tr>
        <w:trPr>
          <w:tblHeader w:val="true"/>
        </w:trPr>
        <w:tc>
          <w:tcPr>
            <w:tcW w:w="34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2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2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responded to within target / tickets</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restored within target / tickets</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(P1: 100%)</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(when iorta TechNXT hosts)</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production was available in service hours / minutes in service hours, excluding planned maintenance</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99.5%</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rate</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reopened / tickets resolved</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Backlog age</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P3 tickets older than 30 days</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on time</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RCA reports delivered within 5 Business Days</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success</w:t>
            </w:r>
          </w:p>
        </w:tc>
        <w:tc>
          <w:tcPr>
            <w:tcW w:w="42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without rollback or incident / changes</w:t>
            </w:r>
          </w:p>
        </w:tc>
        <w:tc>
          <w:tcPr>
            <w:tcW w:w="1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bl>
    <w:p>
      <w:pPr>
        <w:pStyle w:val="Normal"/>
        <w:spacing w:before="0" w:after="80"/>
        <w:rPr/>
      </w:pPr>
      <w:r>
        <w:rPr/>
      </w:r>
    </w:p>
    <w:p>
      <w:pPr>
        <w:pStyle w:val="Heading2"/>
        <w:rPr/>
      </w:pPr>
      <w:bookmarkStart w:id="32" w:name="__RefHeading___Toc42049_4049217194"/>
      <w:bookmarkEnd w:id="32"/>
      <w:r>
        <w:rPr>
          <w:rFonts w:eastAsia="Segoe UI" w:cs="Segoe UI"/>
          <w:b/>
          <w:color w:val="0F4761"/>
          <w:sz w:val="26"/>
        </w:rPr>
        <w:t>11.3  Service review</w:t>
      </w:r>
    </w:p>
    <w:p>
      <w:pPr>
        <w:pStyle w:val="Normal"/>
        <w:spacing w:lineRule="auto" w:line="276" w:before="0" w:after="120"/>
        <w:rPr/>
      </w:pPr>
      <w:r>
        <w:rPr>
          <w:rFonts w:eastAsia="Segoe UI" w:cs="Segoe UI" w:ascii="Segoe UI" w:hAnsi="Segoe UI"/>
          <w:color w:val="101820"/>
          <w:sz w:val="21"/>
        </w:rPr>
        <w:t>A monthly service review with the Client IT head and System Administrator discusses the report, open problems, planned releases and the Client's upcoming business events. A yearly review agrees improvements and the release plan for the next year.</w:t>
      </w:r>
      <w:r>
        <w:br w:type="page"/>
      </w:r>
    </w:p>
    <w:p>
      <w:pPr>
        <w:pStyle w:val="Heading1"/>
        <w:rPr/>
      </w:pPr>
      <w:bookmarkStart w:id="33" w:name="__RefHeading___Toc42051_4049217194"/>
      <w:bookmarkEnd w:id="33"/>
      <w:r>
        <w:rPr>
          <w:rFonts w:eastAsia="Segoe UI" w:cs="Segoe UI" w:ascii="Segoe UI" w:hAnsi="Segoe UI"/>
          <w:b/>
          <w:color w:val="0F4761"/>
          <w:sz w:val="32"/>
        </w:rPr>
        <w:t>12.  Releases and changes</w:t>
      </w:r>
    </w:p>
    <w:p>
      <w:pPr>
        <w:pStyle w:val="Normal"/>
        <w:numPr>
          <w:ilvl w:val="0"/>
          <w:numId w:val="39"/>
        </w:numPr>
        <w:spacing w:before="0" w:after="60"/>
        <w:rPr/>
      </w:pPr>
      <w:r>
        <w:rPr>
          <w:rFonts w:eastAsia="Segoe UI" w:cs="Segoe UI" w:ascii="Segoe UI" w:hAnsi="Segoe UI"/>
          <w:color w:val="101820"/>
          <w:sz w:val="21"/>
        </w:rPr>
        <w:t>iorta TechNXT publishes planned releases with release notes at least [10] Business Days before deployment to UAT.</w:t>
      </w:r>
    </w:p>
    <w:p>
      <w:pPr>
        <w:pStyle w:val="Normal"/>
        <w:numPr>
          <w:ilvl w:val="0"/>
          <w:numId w:val="40"/>
        </w:numPr>
        <w:spacing w:before="0" w:after="60"/>
        <w:rPr/>
      </w:pPr>
      <w:r>
        <w:rPr>
          <w:rFonts w:eastAsia="Segoe UI" w:cs="Segoe UI" w:ascii="Segoe UI" w:hAnsi="Segoe UI"/>
          <w:color w:val="101820"/>
          <w:sz w:val="21"/>
        </w:rPr>
        <w:t>The Client tests each release in UAT and approves it for production within the agreed time. Releases with database changes are preceded by a snapshot.</w:t>
      </w:r>
    </w:p>
    <w:p>
      <w:pPr>
        <w:pStyle w:val="Normal"/>
        <w:numPr>
          <w:ilvl w:val="0"/>
          <w:numId w:val="41"/>
        </w:numPr>
        <w:spacing w:before="0" w:after="60"/>
        <w:rPr/>
      </w:pPr>
      <w:r>
        <w:rPr>
          <w:rFonts w:eastAsia="Segoe UI" w:cs="Segoe UI" w:ascii="Segoe UI" w:hAnsi="Segoe UI"/>
          <w:color w:val="101820"/>
          <w:sz w:val="21"/>
        </w:rPr>
        <w:t>Emergency fixes for P1 incidents may be deployed with the approval of the Client IT head, confirmed in writing afterwards.</w:t>
      </w:r>
    </w:p>
    <w:p>
      <w:pPr>
        <w:pStyle w:val="Normal"/>
        <w:numPr>
          <w:ilvl w:val="0"/>
          <w:numId w:val="42"/>
        </w:numPr>
        <w:spacing w:before="0" w:after="60"/>
        <w:rPr/>
      </w:pPr>
      <w:r>
        <w:rPr>
          <w:rFonts w:eastAsia="Segoe UI" w:cs="Segoe UI" w:ascii="Segoe UI" w:hAnsi="Segoe UI"/>
          <w:color w:val="101820"/>
          <w:sz w:val="21"/>
        </w:rPr>
        <w:t>Configuration changes in production and data corrections are made under change control with the Client change owner's approval.</w:t>
      </w:r>
    </w:p>
    <w:p>
      <w:pPr>
        <w:pStyle w:val="Normal"/>
        <w:numPr>
          <w:ilvl w:val="0"/>
          <w:numId w:val="43"/>
        </w:numPr>
        <w:spacing w:before="0" w:after="60"/>
        <w:rPr/>
      </w:pPr>
      <w:r>
        <w:rPr>
          <w:rFonts w:eastAsia="Segoe UI" w:cs="Segoe UI" w:ascii="Segoe UI" w:hAnsi="Segoe UI"/>
          <w:color w:val="101820"/>
          <w:sz w:val="21"/>
        </w:rPr>
        <w:t>Where the Client hosts, the Client deploys releases under iorta TechNXT's guidance, and the targets for defects that need a release depend on the Client's deployment.</w:t>
      </w:r>
      <w:r>
        <w:br w:type="page"/>
      </w:r>
    </w:p>
    <w:p>
      <w:pPr>
        <w:pStyle w:val="Heading1"/>
        <w:rPr/>
      </w:pPr>
      <w:bookmarkStart w:id="34" w:name="__RefHeading___Toc42053_4049217194"/>
      <w:bookmarkEnd w:id="34"/>
      <w:r>
        <w:rPr>
          <w:rFonts w:eastAsia="Segoe UI" w:cs="Segoe UI" w:ascii="Segoe UI" w:hAnsi="Segoe UI"/>
          <w:b/>
          <w:color w:val="0F4761"/>
          <w:sz w:val="32"/>
        </w:rPr>
        <w:t>13.  Security incidents and personal data breaches</w:t>
      </w:r>
    </w:p>
    <w:p>
      <w:pPr>
        <w:pStyle w:val="Normal"/>
        <w:numPr>
          <w:ilvl w:val="0"/>
          <w:numId w:val="44"/>
        </w:numPr>
        <w:spacing w:before="0" w:after="60"/>
        <w:rPr/>
      </w:pPr>
      <w:r>
        <w:rPr>
          <w:rFonts w:eastAsia="Segoe UI" w:cs="Segoe UI" w:ascii="Segoe UI" w:hAnsi="Segoe UI"/>
          <w:color w:val="101820"/>
          <w:sz w:val="21"/>
        </w:rPr>
        <w:t>A suspected security incident is handled as a P1.</w:t>
      </w:r>
    </w:p>
    <w:p>
      <w:pPr>
        <w:pStyle w:val="Normal"/>
        <w:numPr>
          <w:ilvl w:val="0"/>
          <w:numId w:val="45"/>
        </w:numPr>
        <w:spacing w:before="0" w:after="60"/>
        <w:rPr/>
      </w:pPr>
      <w:r>
        <w:rPr>
          <w:rFonts w:eastAsia="Segoe UI" w:cs="Segoe UI" w:ascii="Segoe UI" w:hAnsi="Segoe UI"/>
          <w:color w:val="101820"/>
          <w:sz w:val="21"/>
        </w:rPr>
        <w:t>iorta TechNXT informs the Client DPO and System Administrator of a suspected personal data breach without undue delay, and within the period in the Data Processing Agreement, so that the Client can notify the National Privacy Commission and the affected data subjects within 72 hours of knowledge where NPC rules require.</w:t>
      </w:r>
    </w:p>
    <w:p>
      <w:pPr>
        <w:pStyle w:val="Normal"/>
        <w:numPr>
          <w:ilvl w:val="0"/>
          <w:numId w:val="46"/>
        </w:numPr>
        <w:spacing w:before="0" w:after="60"/>
        <w:rPr/>
      </w:pPr>
      <w:r>
        <w:rPr>
          <w:rFonts w:eastAsia="Segoe UI" w:cs="Segoe UI" w:ascii="Segoe UI" w:hAnsi="Segoe UI"/>
          <w:color w:val="101820"/>
          <w:sz w:val="21"/>
        </w:rPr>
        <w:t>iorta TechNXT supports the Client with the facts (what, when, which records, which users, containment) and with the evidence for the NPC.</w:t>
      </w:r>
      <w:r>
        <w:br w:type="page"/>
      </w:r>
    </w:p>
    <w:p>
      <w:pPr>
        <w:pStyle w:val="Heading1"/>
        <w:rPr/>
      </w:pPr>
      <w:bookmarkStart w:id="35" w:name="__RefHeading___Toc42055_4049217194"/>
      <w:bookmarkEnd w:id="35"/>
      <w:r>
        <w:rPr>
          <w:rFonts w:eastAsia="Segoe UI" w:cs="Segoe UI" w:ascii="Segoe UI" w:hAnsi="Segoe UI"/>
          <w:b/>
          <w:color w:val="0F4761"/>
          <w:sz w:val="32"/>
        </w:rPr>
        <w:t>14.  Exclusions</w:t>
      </w:r>
    </w:p>
    <w:p>
      <w:pPr>
        <w:pStyle w:val="Normal"/>
        <w:spacing w:lineRule="auto" w:line="276" w:before="0" w:after="120"/>
        <w:rPr/>
      </w:pPr>
      <w:r>
        <w:rPr>
          <w:rFonts w:eastAsia="Segoe UI" w:cs="Segoe UI" w:ascii="Segoe UI" w:hAnsi="Segoe UI"/>
          <w:color w:val="101820"/>
          <w:sz w:val="21"/>
        </w:rPr>
        <w:t>The following are outside this Support Agreement and are handled as change requests or separate services:</w:t>
      </w:r>
    </w:p>
    <w:p>
      <w:pPr>
        <w:pStyle w:val="Normal"/>
        <w:numPr>
          <w:ilvl w:val="0"/>
          <w:numId w:val="47"/>
        </w:numPr>
        <w:spacing w:before="0" w:after="60"/>
        <w:rPr/>
      </w:pPr>
      <w:r>
        <w:rPr>
          <w:rFonts w:eastAsia="Segoe UI" w:cs="Segoe UI" w:ascii="Segoe UI" w:hAnsi="Segoe UI"/>
          <w:color w:val="101820"/>
          <w:sz w:val="21"/>
        </w:rPr>
        <w:t>New features, new reports, new printed documents and customisation.</w:t>
      </w:r>
    </w:p>
    <w:p>
      <w:pPr>
        <w:pStyle w:val="Normal"/>
        <w:numPr>
          <w:ilvl w:val="0"/>
          <w:numId w:val="48"/>
        </w:numPr>
        <w:spacing w:before="0" w:after="60"/>
        <w:rPr/>
      </w:pPr>
      <w:r>
        <w:rPr>
          <w:rFonts w:eastAsia="Segoe UI" w:cs="Segoe UI" w:ascii="Segoe UI" w:hAnsi="Segoe UI"/>
          <w:color w:val="101820"/>
          <w:sz w:val="21"/>
        </w:rPr>
        <w:t>New integrations, or changes caused by a third party (insurer, bank, payment gateway, e-mail provider) changing its interface.</w:t>
      </w:r>
    </w:p>
    <w:p>
      <w:pPr>
        <w:pStyle w:val="Normal"/>
        <w:numPr>
          <w:ilvl w:val="0"/>
          <w:numId w:val="49"/>
        </w:numPr>
        <w:spacing w:before="0" w:after="60"/>
        <w:rPr/>
      </w:pPr>
      <w:r>
        <w:rPr>
          <w:rFonts w:eastAsia="Segoe UI" w:cs="Segoe UI" w:ascii="Segoe UI" w:hAnsi="Segoe UI"/>
          <w:color w:val="101820"/>
          <w:sz w:val="21"/>
        </w:rPr>
        <w:t>Data entry, data cleansing and bulk data work for the Client's business.</w:t>
      </w:r>
    </w:p>
    <w:p>
      <w:pPr>
        <w:pStyle w:val="Normal"/>
        <w:numPr>
          <w:ilvl w:val="0"/>
          <w:numId w:val="50"/>
        </w:numPr>
        <w:spacing w:before="0" w:after="60"/>
        <w:rPr/>
      </w:pPr>
      <w:r>
        <w:rPr>
          <w:rFonts w:eastAsia="Segoe UI" w:cs="Segoe UI" w:ascii="Segoe UI" w:hAnsi="Segoe UI"/>
          <w:color w:val="101820"/>
          <w:sz w:val="21"/>
        </w:rPr>
        <w:t>Business configuration done on the Client's behalf beyond [8] hours a month.</w:t>
      </w:r>
    </w:p>
    <w:p>
      <w:pPr>
        <w:pStyle w:val="Normal"/>
        <w:numPr>
          <w:ilvl w:val="0"/>
          <w:numId w:val="51"/>
        </w:numPr>
        <w:spacing w:before="0" w:after="60"/>
        <w:rPr/>
      </w:pPr>
      <w:r>
        <w:rPr>
          <w:rFonts w:eastAsia="Segoe UI" w:cs="Segoe UI" w:ascii="Segoe UI" w:hAnsi="Segoe UI"/>
          <w:color w:val="101820"/>
          <w:sz w:val="21"/>
        </w:rPr>
        <w:t>Training of new users beyond [one] refresher session a year.</w:t>
      </w:r>
    </w:p>
    <w:p>
      <w:pPr>
        <w:pStyle w:val="Normal"/>
        <w:numPr>
          <w:ilvl w:val="0"/>
          <w:numId w:val="52"/>
        </w:numPr>
        <w:spacing w:before="0" w:after="60"/>
        <w:rPr/>
      </w:pPr>
      <w:r>
        <w:rPr>
          <w:rFonts w:eastAsia="Segoe UI" w:cs="Segoe UI" w:ascii="Segoe UI" w:hAnsi="Segoe UI"/>
          <w:color w:val="101820"/>
          <w:sz w:val="21"/>
        </w:rPr>
        <w:t>Issues caused by changes the Client made outside the change process, or by the Client's network, devices or browsers.</w:t>
      </w:r>
    </w:p>
    <w:p>
      <w:pPr>
        <w:pStyle w:val="Normal"/>
        <w:numPr>
          <w:ilvl w:val="0"/>
          <w:numId w:val="53"/>
        </w:numPr>
        <w:spacing w:before="0" w:after="60"/>
        <w:rPr/>
      </w:pPr>
      <w:r>
        <w:rPr>
          <w:rFonts w:eastAsia="Segoe UI" w:cs="Segoe UI" w:ascii="Segoe UI" w:hAnsi="Segoe UI"/>
          <w:color w:val="101820"/>
          <w:sz w:val="21"/>
        </w:rPr>
        <w:t>Filing of BIR, IC, NPC or AMLC returns and reports; tax, legal and audit advice.</w:t>
      </w:r>
    </w:p>
    <w:p>
      <w:pPr>
        <w:pStyle w:val="Normal"/>
        <w:numPr>
          <w:ilvl w:val="0"/>
          <w:numId w:val="54"/>
        </w:numPr>
        <w:spacing w:before="0" w:after="60"/>
        <w:rPr/>
      </w:pPr>
      <w:r>
        <w:rPr>
          <w:rFonts w:eastAsia="Segoe UI" w:cs="Segoe UI" w:ascii="Segoe UI" w:hAnsi="Segoe UI"/>
          <w:color w:val="101820"/>
          <w:sz w:val="21"/>
        </w:rPr>
        <w:t>Recovery of data deleted by the Client's users beyond what the backups hold.</w:t>
      </w:r>
    </w:p>
    <w:p>
      <w:pPr>
        <w:pStyle w:val="Normal"/>
        <w:numPr>
          <w:ilvl w:val="0"/>
          <w:numId w:val="55"/>
        </w:numPr>
        <w:spacing w:before="0" w:after="60"/>
        <w:rPr/>
      </w:pPr>
      <w:r>
        <w:rPr>
          <w:rFonts w:eastAsia="Segoe UI" w:cs="Segoe UI" w:ascii="Segoe UI" w:hAnsi="Segoe UI"/>
          <w:color w:val="101820"/>
          <w:sz w:val="21"/>
        </w:rPr>
        <w:t>Support of releases more than two planned releases behind the current one.</w:t>
      </w:r>
    </w:p>
    <w:p>
      <w:pPr>
        <w:pStyle w:val="Normal"/>
        <w:numPr>
          <w:ilvl w:val="0"/>
          <w:numId w:val="56"/>
        </w:numPr>
        <w:spacing w:before="0" w:after="60"/>
        <w:rPr/>
      </w:pPr>
      <w:r>
        <w:rPr>
          <w:rFonts w:eastAsia="Segoe UI" w:cs="Segoe UI" w:ascii="Segoe UI" w:hAnsi="Segoe UI"/>
          <w:color w:val="101820"/>
          <w:sz w:val="21"/>
        </w:rPr>
        <w:t>Support of customised code that has not been merged into the product line.</w:t>
      </w:r>
    </w:p>
    <w:p>
      <w:pPr>
        <w:pStyle w:val="Normal"/>
        <w:numPr>
          <w:ilvl w:val="0"/>
          <w:numId w:val="57"/>
        </w:numPr>
        <w:spacing w:before="0" w:after="60"/>
        <w:rPr/>
      </w:pPr>
      <w:r>
        <w:rPr>
          <w:rFonts w:eastAsia="Segoe UI" w:cs="Segoe UI" w:ascii="Segoe UI" w:hAnsi="Segoe UI"/>
          <w:color w:val="101820"/>
          <w:sz w:val="21"/>
        </w:rPr>
        <w:t>Infrastructure, operating system and database support where the Client hosts.</w:t>
      </w:r>
      <w:r>
        <w:br w:type="page"/>
      </w:r>
    </w:p>
    <w:p>
      <w:pPr>
        <w:pStyle w:val="Heading1"/>
        <w:rPr/>
      </w:pPr>
      <w:bookmarkStart w:id="36" w:name="__RefHeading___Toc42057_4049217194"/>
      <w:bookmarkEnd w:id="36"/>
      <w:r>
        <w:rPr>
          <w:rFonts w:eastAsia="Segoe UI" w:cs="Segoe UI" w:ascii="Segoe UI" w:hAnsi="Segoe UI"/>
          <w:b/>
          <w:color w:val="0F4761"/>
          <w:sz w:val="32"/>
        </w:rPr>
        <w:t>15.  Client obligations</w:t>
      </w:r>
    </w:p>
    <w:p>
      <w:pPr>
        <w:pStyle w:val="Normal"/>
        <w:numPr>
          <w:ilvl w:val="0"/>
          <w:numId w:val="58"/>
        </w:numPr>
        <w:spacing w:before="0" w:after="60"/>
        <w:rPr/>
      </w:pPr>
      <w:r>
        <w:rPr>
          <w:rFonts w:eastAsia="Segoe UI" w:cs="Segoe UI" w:ascii="Segoe UI" w:hAnsi="Segoe UI"/>
          <w:color w:val="101820"/>
          <w:sz w:val="21"/>
        </w:rPr>
        <w:t>Named L1 super users (one per team) and a System Administrator, trained and available in service hours.</w:t>
      </w:r>
    </w:p>
    <w:p>
      <w:pPr>
        <w:pStyle w:val="Normal"/>
        <w:numPr>
          <w:ilvl w:val="0"/>
          <w:numId w:val="59"/>
        </w:numPr>
        <w:spacing w:before="0" w:after="60"/>
        <w:rPr/>
      </w:pPr>
      <w:r>
        <w:rPr>
          <w:rFonts w:eastAsia="Segoe UI" w:cs="Segoe UI" w:ascii="Segoe UI" w:hAnsi="Segoe UI"/>
          <w:color w:val="101820"/>
          <w:sz w:val="21"/>
        </w:rPr>
        <w:t>A change owner and an IT head for escalations and change decisions; a DPO for privacy matters.</w:t>
      </w:r>
    </w:p>
    <w:p>
      <w:pPr>
        <w:pStyle w:val="Normal"/>
        <w:numPr>
          <w:ilvl w:val="0"/>
          <w:numId w:val="60"/>
        </w:numPr>
        <w:spacing w:before="0" w:after="60"/>
        <w:rPr/>
      </w:pPr>
      <w:r>
        <w:rPr>
          <w:rFonts w:eastAsia="Segoe UI" w:cs="Segoe UI" w:ascii="Segoe UI" w:hAnsi="Segoe UI"/>
          <w:color w:val="101820"/>
          <w:sz w:val="21"/>
        </w:rPr>
        <w:t>Tickets with the minimum content.</w:t>
      </w:r>
    </w:p>
    <w:p>
      <w:pPr>
        <w:pStyle w:val="Normal"/>
        <w:numPr>
          <w:ilvl w:val="0"/>
          <w:numId w:val="61"/>
        </w:numPr>
        <w:spacing w:before="0" w:after="60"/>
        <w:rPr/>
      </w:pPr>
      <w:r>
        <w:rPr>
          <w:rFonts w:eastAsia="Segoe UI" w:cs="Segoe UI" w:ascii="Segoe UI" w:hAnsi="Segoe UI"/>
          <w:color w:val="101820"/>
          <w:sz w:val="21"/>
        </w:rPr>
        <w:t>Access to the people who can reproduce the issue and test the fix.</w:t>
      </w:r>
    </w:p>
    <w:p>
      <w:pPr>
        <w:pStyle w:val="Normal"/>
        <w:numPr>
          <w:ilvl w:val="0"/>
          <w:numId w:val="62"/>
        </w:numPr>
        <w:spacing w:before="0" w:after="60"/>
        <w:rPr/>
      </w:pPr>
      <w:r>
        <w:rPr>
          <w:rFonts w:eastAsia="Segoe UI" w:cs="Segoe UI" w:ascii="Segoe UI" w:hAnsi="Segoe UI"/>
          <w:color w:val="101820"/>
          <w:sz w:val="21"/>
        </w:rPr>
        <w:t>Testers for releases in UAT, and approval within the agreed time.</w:t>
      </w:r>
    </w:p>
    <w:p>
      <w:pPr>
        <w:pStyle w:val="Normal"/>
        <w:numPr>
          <w:ilvl w:val="0"/>
          <w:numId w:val="63"/>
        </w:numPr>
        <w:spacing w:before="0" w:after="60"/>
        <w:rPr/>
      </w:pPr>
      <w:r>
        <w:rPr>
          <w:rFonts w:eastAsia="Segoe UI" w:cs="Segoe UI" w:ascii="Segoe UI" w:hAnsi="Segoe UI"/>
          <w:color w:val="101820"/>
          <w:sz w:val="21"/>
        </w:rPr>
        <w:t>Notice of business events that affect support: month-end and year-end dates, BIR filing dates, peak renewal periods, new branches or large data loads.</w:t>
      </w:r>
    </w:p>
    <w:p>
      <w:pPr>
        <w:pStyle w:val="Normal"/>
        <w:numPr>
          <w:ilvl w:val="0"/>
          <w:numId w:val="64"/>
        </w:numPr>
        <w:spacing w:before="0" w:after="60"/>
        <w:rPr/>
      </w:pPr>
      <w:r>
        <w:rPr>
          <w:rFonts w:eastAsia="Segoe UI" w:cs="Segoe UI" w:ascii="Segoe UI" w:hAnsi="Segoe UI"/>
          <w:color w:val="101820"/>
          <w:sz w:val="21"/>
        </w:rPr>
        <w:t>Credentials, contracts and support contacts of third parties the Client owns.</w:t>
      </w:r>
    </w:p>
    <w:p>
      <w:pPr>
        <w:pStyle w:val="Normal"/>
        <w:numPr>
          <w:ilvl w:val="0"/>
          <w:numId w:val="65"/>
        </w:numPr>
        <w:spacing w:before="0" w:after="60"/>
        <w:rPr/>
      </w:pPr>
      <w:r>
        <w:rPr>
          <w:rFonts w:eastAsia="Segoe UI" w:cs="Segoe UI" w:ascii="Segoe UI" w:hAnsi="Segoe UI"/>
          <w:color w:val="101820"/>
          <w:sz w:val="21"/>
        </w:rPr>
        <w:t>Supported browsers (current Chrome, Edge or Firefox) and a working network.</w:t>
      </w:r>
      <w:r>
        <w:br w:type="page"/>
      </w:r>
    </w:p>
    <w:p>
      <w:pPr>
        <w:pStyle w:val="Heading1"/>
        <w:rPr/>
      </w:pPr>
      <w:bookmarkStart w:id="37" w:name="__RefHeading___Toc42059_4049217194"/>
      <w:bookmarkEnd w:id="37"/>
      <w:r>
        <w:rPr>
          <w:rFonts w:eastAsia="Segoe UI" w:cs="Segoe UI" w:ascii="Segoe UI" w:hAnsi="Segoe UI"/>
          <w:b/>
          <w:color w:val="0F4761"/>
          <w:sz w:val="32"/>
        </w:rPr>
        <w:t>16.  Term and termination</w:t>
      </w:r>
    </w:p>
    <w:p>
      <w:pPr>
        <w:pStyle w:val="Normal"/>
        <w:numPr>
          <w:ilvl w:val="0"/>
          <w:numId w:val="66"/>
        </w:numPr>
        <w:spacing w:before="0" w:after="60"/>
        <w:rPr/>
      </w:pPr>
      <w:r>
        <w:rPr>
          <w:rFonts w:eastAsia="Segoe UI" w:cs="Segoe UI" w:ascii="Segoe UI" w:hAnsi="Segoe UI"/>
          <w:color w:val="101820"/>
          <w:sz w:val="21"/>
        </w:rPr>
        <w:t>For a perpetual licence, this Support Agreement starts at Go-Live (warranty period), the AMC starts on the first day of Year 2, and it renews automatically each year unless either Party gives 90 days' written notice before the AMC anniversary.</w:t>
      </w:r>
    </w:p>
    <w:p>
      <w:pPr>
        <w:pStyle w:val="Normal"/>
        <w:numPr>
          <w:ilvl w:val="0"/>
          <w:numId w:val="67"/>
        </w:numPr>
        <w:spacing w:before="0" w:after="60"/>
        <w:rPr/>
      </w:pPr>
      <w:r>
        <w:rPr>
          <w:rFonts w:eastAsia="Segoe UI" w:cs="Segoe UI" w:ascii="Segoe UI" w:hAnsi="Segoe UI"/>
          <w:color w:val="101820"/>
          <w:sz w:val="21"/>
        </w:rPr>
        <w:t>For a subscription, it lasts for the Subscription Term.</w:t>
      </w:r>
    </w:p>
    <w:p>
      <w:pPr>
        <w:pStyle w:val="Normal"/>
        <w:numPr>
          <w:ilvl w:val="0"/>
          <w:numId w:val="68"/>
        </w:numPr>
        <w:spacing w:before="0" w:after="60"/>
        <w:rPr/>
      </w:pPr>
      <w:r>
        <w:rPr>
          <w:rFonts w:eastAsia="Segoe UI" w:cs="Segoe UI" w:ascii="Segoe UI" w:hAnsi="Segoe UI"/>
          <w:color w:val="101820"/>
          <w:sz w:val="21"/>
        </w:rPr>
        <w:t>Either Party may terminate for cause under the MSA. AMC fees paid in advance are refunded pro rata only if the Client terminates for iorta TechNXT's uncured material breach.</w:t>
      </w:r>
    </w:p>
    <w:p>
      <w:pPr>
        <w:pStyle w:val="Normal"/>
        <w:numPr>
          <w:ilvl w:val="0"/>
          <w:numId w:val="69"/>
        </w:numPr>
        <w:spacing w:before="0" w:after="60"/>
        <w:rPr/>
      </w:pPr>
      <w:r>
        <w:rPr>
          <w:rFonts w:eastAsia="Segoe UI" w:cs="Segoe UI" w:ascii="Segoe UI" w:hAnsi="Segoe UI"/>
          <w:color w:val="101820"/>
          <w:sz w:val="21"/>
        </w:rPr>
        <w:t>Reinstatement of a lapsed AMC is governed by the Perpetual Software Licence Agreement.</w:t>
      </w:r>
      <w:r>
        <w:br w:type="page"/>
      </w:r>
    </w:p>
    <w:p>
      <w:pPr>
        <w:pStyle w:val="Heading1"/>
        <w:rPr/>
      </w:pPr>
      <w:bookmarkStart w:id="38" w:name="__RefHeading___Toc42061_4049217194"/>
      <w:bookmarkEnd w:id="38"/>
      <w:r>
        <w:rPr>
          <w:rFonts w:eastAsia="Segoe UI" w:cs="Segoe UI" w:ascii="Segoe UI" w:hAnsi="Segoe UI"/>
          <w:b/>
          <w:color w:val="0F4761"/>
          <w:sz w:val="32"/>
        </w:rPr>
        <w:t>17.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39" w:name="__RefHeading___Toc42063_4049217194"/>
      <w:bookmarkEnd w:id="39"/>
      <w:r>
        <w:rPr>
          <w:rFonts w:eastAsia="Segoe UI" w:cs="Segoe UI" w:ascii="Segoe UI" w:hAnsi="Segoe UI"/>
          <w:b/>
          <w:color w:val="0F4761"/>
          <w:sz w:val="32"/>
        </w:rPr>
        <w:t>18.  Annex A: contacts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8"/>
        <w:gridCol w:w="1501"/>
        <w:gridCol w:w="2196"/>
        <w:gridCol w:w="1618"/>
        <w:gridCol w:w="1041"/>
      </w:tblGrid>
      <w:tr>
        <w:trPr>
          <w:tblHeader w:val="true"/>
        </w:trPr>
        <w:tc>
          <w:tcPr>
            <w:tcW w:w="26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1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Party</w:t>
            </w:r>
          </w:p>
        </w:tc>
        <w:tc>
          <w:tcPr>
            <w:tcW w:w="21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Telephone</w:t>
            </w:r>
          </w:p>
        </w:tc>
        <w:tc>
          <w:tcPr>
            <w:tcW w:w="1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desk</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[portal or mailbox]</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telephone]</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 lead</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Support manager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manager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Head of delivery</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Administrator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L1 contacts (up to [5])</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[names]</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[numbers]</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[e-mails]</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head</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protection officer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r>
        <w:trPr/>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21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40" w:name="__RefHeading___Toc42065_4049217194"/>
      <w:bookmarkStart w:id="41" w:name="_Toc233203395"/>
      <w:bookmarkEnd w:id="40"/>
      <w:r>
        <w:rPr>
          <w:rStyle w:val="BookTitle"/>
          <w:bCs w:val="false"/>
          <w:i w:val="false"/>
          <w:iCs w:val="false"/>
          <w:spacing w:val="0"/>
        </w:rPr>
        <w:t>19.  Document Sign-Off</w:t>
      </w:r>
      <w:bookmarkEnd w:id="4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2"/>
    <w:lvlOverride w:ilvl="0">
      <w:startOverride w:val="1"/>
    </w:lvlOverride>
  </w:num>
  <w:num w:numId="16">
    <w:abstractNumId w:val="2"/>
  </w:num>
  <w:num w:numId="17">
    <w:abstractNumId w:val="2"/>
  </w:num>
  <w:num w:numId="18">
    <w:abstractNumId w:val="2"/>
  </w:num>
  <w:num w:numId="19">
    <w:abstractNumId w:val="2"/>
    <w:lvlOverride w:ilvl="0">
      <w:startOverride w:val="1"/>
    </w:lvlOverride>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lvlOverride w:ilvl="0">
      <w:startOverride w:val="1"/>
    </w:lvlOverride>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lvlOverride w:ilvl="0">
      <w:startOverride w:val="1"/>
    </w:lvlOverride>
  </w:num>
  <w:num w:numId="36">
    <w:abstractNumId w:val="2"/>
  </w:num>
  <w:num w:numId="37">
    <w:abstractNumId w:val="2"/>
  </w:num>
  <w:num w:numId="38">
    <w:abstractNumId w:val="2"/>
  </w:num>
  <w:num w:numId="39">
    <w:abstractNumId w:val="2"/>
    <w:lvlOverride w:ilvl="0">
      <w:startOverride w:val="1"/>
    </w:lvlOverride>
  </w:num>
  <w:num w:numId="40">
    <w:abstractNumId w:val="2"/>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lvlOverride w:ilvl="0">
      <w:startOverride w:val="1"/>
    </w:lvlOverride>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lvlOverride w:ilvl="0">
      <w:startOverride w:val="1"/>
    </w:lvlOverride>
  </w:num>
  <w:num w:numId="67">
    <w:abstractNumId w:val="2"/>
  </w:num>
  <w:num w:numId="68">
    <w:abstractNumId w:val="2"/>
  </w:num>
  <w:num w:numId="6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