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7">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8">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8"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30"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32"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4"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Data Processing Agreement</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Data Processing Agreement</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6"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Under RA 10173 and NPC rules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Under RA 10173 and NPC rules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45406_4049217194">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45408_4049217194">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45410_4049217194">
            <w:r>
              <w:rPr>
                <w:webHidden/>
                <w:rStyle w:val="IndexLink"/>
              </w:rPr>
              <w:t>3. About this template</w:t>
              <w:tab/>
              <w:t>5</w:t>
            </w:r>
          </w:hyperlink>
        </w:p>
        <w:p>
          <w:pPr>
            <w:pStyle w:val="TOC1"/>
            <w:tabs>
              <w:tab w:val="clear" w:pos="900"/>
              <w:tab w:val="clear" w:pos="9350"/>
              <w:tab w:val="right" w:pos="9025" w:leader="dot"/>
            </w:tabs>
            <w:rPr/>
          </w:pPr>
          <w:hyperlink w:anchor="__RefHeading___Toc45412_4049217194">
            <w:r>
              <w:rPr>
                <w:webHidden/>
                <w:rStyle w:val="IndexLink"/>
              </w:rPr>
              <w:t>4. Parties and roles</w:t>
              <w:tab/>
              <w:t>6</w:t>
            </w:r>
          </w:hyperlink>
        </w:p>
        <w:p>
          <w:pPr>
            <w:pStyle w:val="TOC2"/>
            <w:tabs>
              <w:tab w:val="clear" w:pos="900"/>
              <w:tab w:val="clear" w:pos="9350"/>
              <w:tab w:val="right" w:pos="9025" w:leader="dot"/>
            </w:tabs>
            <w:rPr/>
          </w:pPr>
          <w:hyperlink w:anchor="__RefHeading___Toc45414_4049217194">
            <w:r>
              <w:rPr>
                <w:webHidden/>
                <w:rStyle w:val="IndexLink"/>
              </w:rPr>
              <w:t>4.1 Parties</w:t>
              <w:tab/>
              <w:t>6</w:t>
            </w:r>
          </w:hyperlink>
        </w:p>
        <w:p>
          <w:pPr>
            <w:pStyle w:val="TOC2"/>
            <w:tabs>
              <w:tab w:val="clear" w:pos="900"/>
              <w:tab w:val="clear" w:pos="9350"/>
              <w:tab w:val="right" w:pos="9025" w:leader="dot"/>
            </w:tabs>
            <w:rPr/>
          </w:pPr>
          <w:hyperlink w:anchor="__RefHeading___Toc45416_4049217194">
            <w:r>
              <w:rPr>
                <w:webHidden/>
                <w:rStyle w:val="IndexLink"/>
              </w:rPr>
              <w:t>4.2 Roles</w:t>
              <w:tab/>
              <w:t>6</w:t>
            </w:r>
          </w:hyperlink>
        </w:p>
        <w:p>
          <w:pPr>
            <w:pStyle w:val="TOC1"/>
            <w:tabs>
              <w:tab w:val="clear" w:pos="900"/>
              <w:tab w:val="clear" w:pos="9350"/>
              <w:tab w:val="right" w:pos="9025" w:leader="dot"/>
            </w:tabs>
            <w:rPr/>
          </w:pPr>
          <w:hyperlink w:anchor="__RefHeading___Toc45418_4049217194">
            <w:r>
              <w:rPr>
                <w:webHidden/>
                <w:rStyle w:val="IndexLink"/>
              </w:rPr>
              <w:t>5. Definitions</w:t>
              <w:tab/>
              <w:t>7</w:t>
            </w:r>
          </w:hyperlink>
        </w:p>
        <w:p>
          <w:pPr>
            <w:pStyle w:val="TOC1"/>
            <w:tabs>
              <w:tab w:val="clear" w:pos="900"/>
              <w:tab w:val="clear" w:pos="9350"/>
              <w:tab w:val="right" w:pos="9025" w:leader="dot"/>
            </w:tabs>
            <w:rPr/>
          </w:pPr>
          <w:hyperlink w:anchor="__RefHeading___Toc45420_4049217194">
            <w:r>
              <w:rPr>
                <w:webHidden/>
                <w:rStyle w:val="IndexLink"/>
              </w:rPr>
              <w:t>6. Subject matter of the processing</w:t>
              <w:tab/>
              <w:t>8</w:t>
            </w:r>
          </w:hyperlink>
        </w:p>
        <w:p>
          <w:pPr>
            <w:pStyle w:val="TOC1"/>
            <w:tabs>
              <w:tab w:val="clear" w:pos="900"/>
              <w:tab w:val="clear" w:pos="9350"/>
              <w:tab w:val="right" w:pos="9025" w:leader="dot"/>
            </w:tabs>
            <w:rPr/>
          </w:pPr>
          <w:hyperlink w:anchor="__RefHeading___Toc45422_4049217194">
            <w:r>
              <w:rPr>
                <w:webHidden/>
                <w:rStyle w:val="IndexLink"/>
              </w:rPr>
              <w:t>7. Obligations of the Processor</w:t>
              <w:tab/>
              <w:t>9</w:t>
            </w:r>
          </w:hyperlink>
        </w:p>
        <w:p>
          <w:pPr>
            <w:pStyle w:val="TOC2"/>
            <w:tabs>
              <w:tab w:val="clear" w:pos="900"/>
              <w:tab w:val="clear" w:pos="9350"/>
              <w:tab w:val="right" w:pos="9025" w:leader="dot"/>
            </w:tabs>
            <w:rPr/>
          </w:pPr>
          <w:hyperlink w:anchor="__RefHeading___Toc45424_4049217194">
            <w:r>
              <w:rPr>
                <w:webHidden/>
                <w:rStyle w:val="IndexLink"/>
              </w:rPr>
              <w:t>7.1 Instructions</w:t>
              <w:tab/>
              <w:t>9</w:t>
            </w:r>
          </w:hyperlink>
        </w:p>
        <w:p>
          <w:pPr>
            <w:pStyle w:val="TOC2"/>
            <w:tabs>
              <w:tab w:val="clear" w:pos="900"/>
              <w:tab w:val="clear" w:pos="9350"/>
              <w:tab w:val="right" w:pos="9025" w:leader="dot"/>
            </w:tabs>
            <w:rPr/>
          </w:pPr>
          <w:hyperlink w:anchor="__RefHeading___Toc45426_4049217194">
            <w:r>
              <w:rPr>
                <w:webHidden/>
                <w:rStyle w:val="IndexLink"/>
              </w:rPr>
              <w:t>7.2 Confidentiality</w:t>
              <w:tab/>
              <w:t>9</w:t>
            </w:r>
          </w:hyperlink>
        </w:p>
        <w:p>
          <w:pPr>
            <w:pStyle w:val="TOC2"/>
            <w:tabs>
              <w:tab w:val="clear" w:pos="900"/>
              <w:tab w:val="clear" w:pos="9350"/>
              <w:tab w:val="right" w:pos="9025" w:leader="dot"/>
            </w:tabs>
            <w:rPr/>
          </w:pPr>
          <w:hyperlink w:anchor="__RefHeading___Toc45428_4049217194">
            <w:r>
              <w:rPr>
                <w:webHidden/>
                <w:rStyle w:val="IndexLink"/>
              </w:rPr>
              <w:t>7.3 Security</w:t>
              <w:tab/>
              <w:t>9</w:t>
            </w:r>
          </w:hyperlink>
        </w:p>
        <w:p>
          <w:pPr>
            <w:pStyle w:val="TOC2"/>
            <w:tabs>
              <w:tab w:val="clear" w:pos="900"/>
              <w:tab w:val="clear" w:pos="9350"/>
              <w:tab w:val="right" w:pos="9025" w:leader="dot"/>
            </w:tabs>
            <w:rPr/>
          </w:pPr>
          <w:hyperlink w:anchor="__RefHeading___Toc45430_4049217194">
            <w:r>
              <w:rPr>
                <w:webHidden/>
                <w:rStyle w:val="IndexLink"/>
              </w:rPr>
              <w:t>7.4 Sub-processors</w:t>
              <w:tab/>
              <w:t>9</w:t>
            </w:r>
          </w:hyperlink>
        </w:p>
        <w:p>
          <w:pPr>
            <w:pStyle w:val="TOC2"/>
            <w:tabs>
              <w:tab w:val="clear" w:pos="900"/>
              <w:tab w:val="clear" w:pos="9350"/>
              <w:tab w:val="right" w:pos="9025" w:leader="dot"/>
            </w:tabs>
            <w:rPr/>
          </w:pPr>
          <w:hyperlink w:anchor="__RefHeading___Toc45432_4049217194">
            <w:r>
              <w:rPr>
                <w:webHidden/>
                <w:rStyle w:val="IndexLink"/>
              </w:rPr>
              <w:t>7.5 Assistance</w:t>
              <w:tab/>
              <w:t>9</w:t>
            </w:r>
          </w:hyperlink>
        </w:p>
        <w:p>
          <w:pPr>
            <w:pStyle w:val="TOC2"/>
            <w:tabs>
              <w:tab w:val="clear" w:pos="900"/>
              <w:tab w:val="clear" w:pos="9350"/>
              <w:tab w:val="right" w:pos="9025" w:leader="dot"/>
            </w:tabs>
            <w:rPr/>
          </w:pPr>
          <w:hyperlink w:anchor="__RefHeading___Toc45434_4049217194">
            <w:r>
              <w:rPr>
                <w:webHidden/>
                <w:rStyle w:val="IndexLink"/>
              </w:rPr>
              <w:t>7.6 Records</w:t>
              <w:tab/>
              <w:t>10</w:t>
            </w:r>
          </w:hyperlink>
        </w:p>
        <w:p>
          <w:pPr>
            <w:pStyle w:val="TOC1"/>
            <w:tabs>
              <w:tab w:val="clear" w:pos="900"/>
              <w:tab w:val="clear" w:pos="9350"/>
              <w:tab w:val="right" w:pos="9025" w:leader="dot"/>
            </w:tabs>
            <w:rPr/>
          </w:pPr>
          <w:hyperlink w:anchor="__RefHeading___Toc45436_4049217194">
            <w:r>
              <w:rPr>
                <w:webHidden/>
                <w:rStyle w:val="IndexLink"/>
              </w:rPr>
              <w:t>8. Personal data breach</w:t>
              <w:tab/>
              <w:t>11</w:t>
            </w:r>
          </w:hyperlink>
        </w:p>
        <w:p>
          <w:pPr>
            <w:pStyle w:val="TOC2"/>
            <w:tabs>
              <w:tab w:val="clear" w:pos="900"/>
              <w:tab w:val="clear" w:pos="9350"/>
              <w:tab w:val="right" w:pos="9025" w:leader="dot"/>
            </w:tabs>
            <w:rPr/>
          </w:pPr>
          <w:hyperlink w:anchor="__RefHeading___Toc45438_4049217194">
            <w:r>
              <w:rPr>
                <w:webHidden/>
                <w:rStyle w:val="IndexLink"/>
              </w:rPr>
              <w:t>8.1 Notification to the Controller</w:t>
              <w:tab/>
              <w:t>11</w:t>
            </w:r>
          </w:hyperlink>
        </w:p>
        <w:p>
          <w:pPr>
            <w:pStyle w:val="TOC2"/>
            <w:tabs>
              <w:tab w:val="clear" w:pos="900"/>
              <w:tab w:val="clear" w:pos="9350"/>
              <w:tab w:val="right" w:pos="9025" w:leader="dot"/>
            </w:tabs>
            <w:rPr/>
          </w:pPr>
          <w:hyperlink w:anchor="__RefHeading___Toc45440_4049217194">
            <w:r>
              <w:rPr>
                <w:webHidden/>
                <w:rStyle w:val="IndexLink"/>
              </w:rPr>
              <w:t>8.2 Notification to the NPC and data subjects</w:t>
              <w:tab/>
              <w:t>11</w:t>
            </w:r>
          </w:hyperlink>
        </w:p>
        <w:p>
          <w:pPr>
            <w:pStyle w:val="TOC2"/>
            <w:tabs>
              <w:tab w:val="clear" w:pos="900"/>
              <w:tab w:val="clear" w:pos="9350"/>
              <w:tab w:val="right" w:pos="9025" w:leader="dot"/>
            </w:tabs>
            <w:rPr/>
          </w:pPr>
          <w:hyperlink w:anchor="__RefHeading___Toc45442_4049217194">
            <w:r>
              <w:rPr>
                <w:webHidden/>
                <w:rStyle w:val="IndexLink"/>
              </w:rPr>
              <w:t>8.3 Containment and evidence</w:t>
              <w:tab/>
              <w:t>11</w:t>
            </w:r>
          </w:hyperlink>
        </w:p>
        <w:p>
          <w:pPr>
            <w:pStyle w:val="TOC2"/>
            <w:tabs>
              <w:tab w:val="clear" w:pos="900"/>
              <w:tab w:val="clear" w:pos="9350"/>
              <w:tab w:val="right" w:pos="9025" w:leader="dot"/>
            </w:tabs>
            <w:rPr/>
          </w:pPr>
          <w:hyperlink w:anchor="__RefHeading___Toc45444_4049217194">
            <w:r>
              <w:rPr>
                <w:webHidden/>
                <w:rStyle w:val="IndexLink"/>
              </w:rPr>
              <w:t>8.4 Costs</w:t>
              <w:tab/>
              <w:t>11</w:t>
            </w:r>
          </w:hyperlink>
        </w:p>
        <w:p>
          <w:pPr>
            <w:pStyle w:val="TOC1"/>
            <w:tabs>
              <w:tab w:val="clear" w:pos="900"/>
              <w:tab w:val="clear" w:pos="9350"/>
              <w:tab w:val="right" w:pos="9025" w:leader="dot"/>
            </w:tabs>
            <w:rPr/>
          </w:pPr>
          <w:hyperlink w:anchor="__RefHeading___Toc45446_4049217194">
            <w:r>
              <w:rPr>
                <w:webHidden/>
                <w:rStyle w:val="IndexLink"/>
              </w:rPr>
              <w:t>9. Data subject requests</w:t>
              <w:tab/>
              <w:t>12</w:t>
            </w:r>
          </w:hyperlink>
        </w:p>
        <w:p>
          <w:pPr>
            <w:pStyle w:val="TOC1"/>
            <w:tabs>
              <w:tab w:val="clear" w:pos="900"/>
              <w:tab w:val="clear" w:pos="9350"/>
              <w:tab w:val="right" w:pos="9025" w:leader="dot"/>
            </w:tabs>
            <w:rPr/>
          </w:pPr>
          <w:hyperlink w:anchor="__RefHeading___Toc45448_4049217194">
            <w:r>
              <w:rPr>
                <w:webHidden/>
                <w:rStyle w:val="IndexLink"/>
              </w:rPr>
              <w:t>10. Audits</w:t>
              <w:tab/>
              <w:t>13</w:t>
            </w:r>
          </w:hyperlink>
        </w:p>
        <w:p>
          <w:pPr>
            <w:pStyle w:val="TOC1"/>
            <w:tabs>
              <w:tab w:val="clear" w:pos="900"/>
              <w:tab w:val="clear" w:pos="9350"/>
              <w:tab w:val="right" w:pos="9025" w:leader="dot"/>
            </w:tabs>
            <w:rPr/>
          </w:pPr>
          <w:hyperlink w:anchor="__RefHeading___Toc45450_4049217194">
            <w:r>
              <w:rPr>
                <w:webHidden/>
                <w:rStyle w:val="IndexLink"/>
              </w:rPr>
              <w:t>11. Transfers outside the Philippines</w:t>
              <w:tab/>
              <w:t>14</w:t>
            </w:r>
          </w:hyperlink>
        </w:p>
        <w:p>
          <w:pPr>
            <w:pStyle w:val="TOC1"/>
            <w:tabs>
              <w:tab w:val="clear" w:pos="900"/>
              <w:tab w:val="clear" w:pos="9350"/>
              <w:tab w:val="right" w:pos="9025" w:leader="dot"/>
            </w:tabs>
            <w:rPr/>
          </w:pPr>
          <w:hyperlink w:anchor="__RefHeading___Toc45452_4049217194">
            <w:r>
              <w:rPr>
                <w:webHidden/>
                <w:rStyle w:val="IndexLink"/>
              </w:rPr>
              <w:t>12. Return and deletion</w:t>
              <w:tab/>
              <w:t>15</w:t>
            </w:r>
          </w:hyperlink>
        </w:p>
        <w:p>
          <w:pPr>
            <w:pStyle w:val="TOC1"/>
            <w:tabs>
              <w:tab w:val="clear" w:pos="900"/>
              <w:tab w:val="clear" w:pos="9350"/>
              <w:tab w:val="right" w:pos="9025" w:leader="dot"/>
            </w:tabs>
            <w:rPr/>
          </w:pPr>
          <w:hyperlink w:anchor="__RefHeading___Toc45454_4049217194">
            <w:r>
              <w:rPr>
                <w:webHidden/>
                <w:rStyle w:val="IndexLink"/>
              </w:rPr>
              <w:t>13. Controller obligations</w:t>
              <w:tab/>
              <w:t>16</w:t>
            </w:r>
          </w:hyperlink>
        </w:p>
        <w:p>
          <w:pPr>
            <w:pStyle w:val="TOC1"/>
            <w:tabs>
              <w:tab w:val="clear" w:pos="900"/>
              <w:tab w:val="clear" w:pos="9350"/>
              <w:tab w:val="right" w:pos="9025" w:leader="dot"/>
            </w:tabs>
            <w:rPr/>
          </w:pPr>
          <w:hyperlink w:anchor="__RefHeading___Toc45456_4049217194">
            <w:r>
              <w:rPr>
                <w:webHidden/>
                <w:rStyle w:val="IndexLink"/>
              </w:rPr>
              <w:t>14. Liability and term</w:t>
              <w:tab/>
              <w:t>17</w:t>
            </w:r>
          </w:hyperlink>
        </w:p>
        <w:p>
          <w:pPr>
            <w:pStyle w:val="TOC1"/>
            <w:tabs>
              <w:tab w:val="clear" w:pos="900"/>
              <w:tab w:val="clear" w:pos="9350"/>
              <w:tab w:val="right" w:pos="9025" w:leader="dot"/>
            </w:tabs>
            <w:rPr/>
          </w:pPr>
          <w:hyperlink w:anchor="__RefHeading___Toc45458_4049217194">
            <w:r>
              <w:rPr>
                <w:webHidden/>
                <w:rStyle w:val="IndexLink"/>
              </w:rPr>
              <w:t>15. Signatures</w:t>
              <w:tab/>
              <w:t>18</w:t>
            </w:r>
          </w:hyperlink>
        </w:p>
        <w:p>
          <w:pPr>
            <w:pStyle w:val="TOC1"/>
            <w:tabs>
              <w:tab w:val="clear" w:pos="900"/>
              <w:tab w:val="clear" w:pos="9350"/>
              <w:tab w:val="right" w:pos="9025" w:leader="dot"/>
            </w:tabs>
            <w:rPr/>
          </w:pPr>
          <w:hyperlink w:anchor="__RefHeading___Toc45460_4049217194">
            <w:r>
              <w:rPr>
                <w:webHidden/>
                <w:rStyle w:val="IndexLink"/>
              </w:rPr>
              <w:t>16. Annex 1: description of the processing</w:t>
              <w:tab/>
              <w:t>19</w:t>
            </w:r>
          </w:hyperlink>
        </w:p>
        <w:p>
          <w:pPr>
            <w:pStyle w:val="TOC2"/>
            <w:tabs>
              <w:tab w:val="clear" w:pos="900"/>
              <w:tab w:val="clear" w:pos="9350"/>
              <w:tab w:val="right" w:pos="9025" w:leader="dot"/>
            </w:tabs>
            <w:rPr/>
          </w:pPr>
          <w:hyperlink w:anchor="__RefHeading___Toc45462_4049217194">
            <w:r>
              <w:rPr>
                <w:webHidden/>
                <w:rStyle w:val="IndexLink"/>
              </w:rPr>
              <w:t>16.1 Purpose and nature</w:t>
              <w:tab/>
              <w:t>19</w:t>
            </w:r>
          </w:hyperlink>
        </w:p>
        <w:p>
          <w:pPr>
            <w:pStyle w:val="TOC2"/>
            <w:tabs>
              <w:tab w:val="clear" w:pos="900"/>
              <w:tab w:val="clear" w:pos="9350"/>
              <w:tab w:val="right" w:pos="9025" w:leader="dot"/>
            </w:tabs>
            <w:rPr/>
          </w:pPr>
          <w:hyperlink w:anchor="__RefHeading___Toc45464_4049217194">
            <w:r>
              <w:rPr>
                <w:webHidden/>
                <w:rStyle w:val="IndexLink"/>
              </w:rPr>
              <w:t>16.2 Data subjects and Personal Data</w:t>
              <w:tab/>
              <w:t>19</w:t>
            </w:r>
          </w:hyperlink>
        </w:p>
        <w:p>
          <w:pPr>
            <w:pStyle w:val="TOC1"/>
            <w:tabs>
              <w:tab w:val="clear" w:pos="900"/>
              <w:tab w:val="clear" w:pos="9350"/>
              <w:tab w:val="right" w:pos="9025" w:leader="dot"/>
            </w:tabs>
            <w:rPr/>
          </w:pPr>
          <w:hyperlink w:anchor="__RefHeading___Toc45466_4049217194">
            <w:r>
              <w:rPr>
                <w:webHidden/>
                <w:rStyle w:val="IndexLink"/>
              </w:rPr>
              <w:t>17. Annex 2: security measures</w:t>
              <w:tab/>
              <w:t>20</w:t>
            </w:r>
          </w:hyperlink>
        </w:p>
        <w:p>
          <w:pPr>
            <w:pStyle w:val="TOC2"/>
            <w:tabs>
              <w:tab w:val="clear" w:pos="900"/>
              <w:tab w:val="clear" w:pos="9350"/>
              <w:tab w:val="right" w:pos="9025" w:leader="dot"/>
            </w:tabs>
            <w:rPr/>
          </w:pPr>
          <w:hyperlink w:anchor="__RefHeading___Toc45468_4049217194">
            <w:r>
              <w:rPr>
                <w:webHidden/>
                <w:rStyle w:val="IndexLink"/>
              </w:rPr>
              <w:t>17.1 Organisational</w:t>
              <w:tab/>
              <w:t>20</w:t>
            </w:r>
          </w:hyperlink>
        </w:p>
        <w:p>
          <w:pPr>
            <w:pStyle w:val="TOC2"/>
            <w:tabs>
              <w:tab w:val="clear" w:pos="900"/>
              <w:tab w:val="clear" w:pos="9350"/>
              <w:tab w:val="right" w:pos="9025" w:leader="dot"/>
            </w:tabs>
            <w:rPr/>
          </w:pPr>
          <w:hyperlink w:anchor="__RefHeading___Toc45470_4049217194">
            <w:r>
              <w:rPr>
                <w:webHidden/>
                <w:rStyle w:val="IndexLink"/>
              </w:rPr>
              <w:t>17.2 Physical</w:t>
              <w:tab/>
              <w:t>20</w:t>
            </w:r>
          </w:hyperlink>
        </w:p>
        <w:p>
          <w:pPr>
            <w:pStyle w:val="TOC2"/>
            <w:tabs>
              <w:tab w:val="clear" w:pos="900"/>
              <w:tab w:val="clear" w:pos="9350"/>
              <w:tab w:val="right" w:pos="9025" w:leader="dot"/>
            </w:tabs>
            <w:rPr/>
          </w:pPr>
          <w:hyperlink w:anchor="__RefHeading___Toc45472_4049217194">
            <w:r>
              <w:rPr>
                <w:webHidden/>
                <w:rStyle w:val="IndexLink"/>
              </w:rPr>
              <w:t>17.3 Technical (application)</w:t>
              <w:tab/>
              <w:t>20</w:t>
            </w:r>
          </w:hyperlink>
        </w:p>
        <w:p>
          <w:pPr>
            <w:pStyle w:val="TOC2"/>
            <w:tabs>
              <w:tab w:val="clear" w:pos="900"/>
              <w:tab w:val="clear" w:pos="9350"/>
              <w:tab w:val="right" w:pos="9025" w:leader="dot"/>
            </w:tabs>
            <w:rPr/>
          </w:pPr>
          <w:hyperlink w:anchor="__RefHeading___Toc45474_4049217194">
            <w:r>
              <w:rPr>
                <w:webHidden/>
                <w:rStyle w:val="IndexLink"/>
              </w:rPr>
              <w:t>17.4 Technical (infrastructure, where the Processor hosts)</w:t>
              <w:tab/>
              <w:t>20</w:t>
            </w:r>
          </w:hyperlink>
        </w:p>
        <w:p>
          <w:pPr>
            <w:pStyle w:val="TOC1"/>
            <w:tabs>
              <w:tab w:val="clear" w:pos="900"/>
              <w:tab w:val="clear" w:pos="9350"/>
              <w:tab w:val="right" w:pos="9025" w:leader="dot"/>
            </w:tabs>
            <w:rPr/>
          </w:pPr>
          <w:hyperlink w:anchor="__RefHeading___Toc45476_4049217194">
            <w:r>
              <w:rPr>
                <w:webHidden/>
                <w:rStyle w:val="IndexLink"/>
              </w:rPr>
              <w:t>18. Annex 3: authorised sub-processors</w:t>
              <w:tab/>
              <w:t>22</w:t>
            </w:r>
          </w:hyperlink>
        </w:p>
        <w:p>
          <w:pPr>
            <w:pStyle w:val="TOC1"/>
            <w:tabs>
              <w:tab w:val="clear" w:pos="900"/>
              <w:tab w:val="clear" w:pos="9350"/>
              <w:tab w:val="right" w:pos="9025" w:leader="dot"/>
            </w:tabs>
            <w:rPr/>
          </w:pPr>
          <w:hyperlink w:anchor="__RefHeading___Toc45478_4049217194">
            <w:r>
              <w:rPr>
                <w:webHidden/>
                <w:rStyle w:val="IndexLink"/>
                <w:i w:val="false"/>
                <w:iCs w:val="false"/>
              </w:rPr>
              <w:t>19. Document Sign-Off</w:t>
            </w:r>
            <w:r>
              <w:rPr>
                <w:rStyle w:val="IndexLink"/>
              </w:rPr>
              <w:tab/>
              <w:t>23</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45406_404921719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45408_404921719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 (RA 10173)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IRR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Implementing Rules and Regulations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KYC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Know your customer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Personal information controller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Personal information processor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Republic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Taxpayer identification number</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45410_4049217194"/>
      <w:bookmarkEnd w:id="6"/>
      <w:r>
        <w:rPr>
          <w:rFonts w:eastAsia="Segoe UI" w:cs="Segoe UI" w:ascii="Segoe UI" w:hAnsi="Segoe UI"/>
          <w:b/>
          <w:color w:val="0F4761"/>
          <w:sz w:val="32"/>
        </w:rPr>
        <w:t>3.  About this template</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 xml:space="preserve">This Data Processing Agreement (the </w:t>
      </w:r>
      <w:r>
        <w:rPr>
          <w:rFonts w:eastAsia="Segoe UI" w:cs="Segoe UI" w:ascii="Segoe UI" w:hAnsi="Segoe UI"/>
          <w:b/>
          <w:color w:val="101820"/>
          <w:sz w:val="21"/>
        </w:rPr>
        <w:t>Agreement</w:t>
      </w:r>
      <w:r>
        <w:rPr>
          <w:rFonts w:eastAsia="Segoe UI" w:cs="Segoe UI" w:ascii="Segoe UI" w:hAnsi="Segoe UI"/>
          <w:color w:val="101820"/>
          <w:sz w:val="21"/>
        </w:rPr>
        <w:t xml:space="preserve">) governs the processing of personal data by iorta TechNXT Corp. for [Client legal name] in connection with iNXT BrokerVerse OOTB. It is the outsourcing agreement required by the Data Privacy Act of 2012 (Republic Act 10173, the </w:t>
      </w:r>
      <w:r>
        <w:rPr>
          <w:rFonts w:eastAsia="Segoe UI" w:cs="Segoe UI" w:ascii="Segoe UI" w:hAnsi="Segoe UI"/>
          <w:b/>
          <w:color w:val="101820"/>
          <w:sz w:val="21"/>
        </w:rPr>
        <w:t>DPA</w:t>
      </w:r>
      <w:r>
        <w:rPr>
          <w:rFonts w:eastAsia="Segoe UI" w:cs="Segoe UI" w:ascii="Segoe UI" w:hAnsi="Segoe UI"/>
          <w:color w:val="101820"/>
          <w:sz w:val="21"/>
        </w:rPr>
        <w:t xml:space="preserve">), its Implementing Rules and Regulations (the </w:t>
      </w:r>
      <w:r>
        <w:rPr>
          <w:rFonts w:eastAsia="Segoe UI" w:cs="Segoe UI" w:ascii="Segoe UI" w:hAnsi="Segoe UI"/>
          <w:b/>
          <w:color w:val="101820"/>
          <w:sz w:val="21"/>
        </w:rPr>
        <w:t>IRR</w:t>
      </w:r>
      <w:r>
        <w:rPr>
          <w:rFonts w:eastAsia="Segoe UI" w:cs="Segoe UI" w:ascii="Segoe UI" w:hAnsi="Segoe UI"/>
          <w:color w:val="101820"/>
          <w:sz w:val="21"/>
        </w:rPr>
        <w:t xml:space="preserve">) and the issuances of the National Privacy Commission (the </w:t>
      </w:r>
      <w:r>
        <w:rPr>
          <w:rFonts w:eastAsia="Segoe UI" w:cs="Segoe UI" w:ascii="Segoe UI" w:hAnsi="Segoe UI"/>
          <w:b/>
          <w:color w:val="101820"/>
          <w:sz w:val="21"/>
        </w:rPr>
        <w:t>NPC</w:t>
      </w:r>
      <w:r>
        <w:rPr>
          <w:rFonts w:eastAsia="Segoe UI" w:cs="Segoe UI" w:ascii="Segoe UI" w:hAnsi="Segoe UI"/>
          <w:color w:val="101820"/>
          <w:sz w:val="21"/>
        </w:rPr>
        <w:t xml:space="preserve">). It forms part of the Master Services Agreement (the </w:t>
      </w:r>
      <w:r>
        <w:rPr>
          <w:rFonts w:eastAsia="Segoe UI" w:cs="Segoe UI" w:ascii="Segoe UI" w:hAnsi="Segoe UI"/>
          <w:b/>
          <w:color w:val="101820"/>
          <w:sz w:val="21"/>
        </w:rPr>
        <w:t>MSA</w:t>
      </w:r>
      <w:r>
        <w:rPr>
          <w:rFonts w:eastAsia="Segoe UI" w:cs="Segoe UI" w:ascii="Segoe UI" w:hAnsi="Segoe UI"/>
          <w:color w:val="101820"/>
          <w:sz w:val="21"/>
        </w:rPr>
        <w:t>) and of every Order Form under which iorta TechNXT processes personal data. Text in [square brackets] is a placeholder or an option. The Parties' data protection officers should review the current NPC issuances before signature.</w:t>
      </w:r>
      <w:r>
        <w:br w:type="page"/>
      </w:r>
    </w:p>
    <w:p>
      <w:pPr>
        <w:pStyle w:val="Heading1"/>
        <w:rPr/>
      </w:pPr>
      <w:bookmarkStart w:id="7" w:name="__RefHeading___Toc45412_4049217194"/>
      <w:bookmarkEnd w:id="7"/>
      <w:r>
        <w:rPr>
          <w:rFonts w:eastAsia="Segoe UI" w:cs="Segoe UI" w:ascii="Segoe UI" w:hAnsi="Segoe UI"/>
          <w:b/>
          <w:color w:val="0F4761"/>
          <w:sz w:val="32"/>
        </w:rPr>
        <w:t>4.  Parties and roles</w:t>
      </w:r>
    </w:p>
    <w:p>
      <w:pPr>
        <w:pStyle w:val="Heading2"/>
        <w:rPr/>
      </w:pPr>
      <w:bookmarkStart w:id="8" w:name="__RefHeading___Toc45414_4049217194"/>
      <w:bookmarkEnd w:id="8"/>
      <w:r>
        <w:rPr>
          <w:rFonts w:eastAsia="Segoe UI" w:cs="Segoe UI"/>
          <w:b/>
          <w:color w:val="0F4761"/>
          <w:sz w:val="26"/>
        </w:rPr>
        <w:t>4.1  Parties</w:t>
      </w:r>
    </w:p>
    <w:p>
      <w:pPr>
        <w:pStyle w:val="Normal"/>
        <w:spacing w:lineRule="auto" w:line="276" w:before="0" w:after="120"/>
        <w:rPr/>
      </w:pPr>
      <w:r>
        <w:rPr>
          <w:rFonts w:eastAsia="Segoe UI" w:cs="Segoe UI" w:ascii="Segoe UI" w:hAnsi="Segoe UI"/>
          <w:color w:val="101820"/>
          <w:sz w:val="21"/>
        </w:rPr>
        <w:t>This Agreement is made on [date] between:</w:t>
      </w:r>
    </w:p>
    <w:p>
      <w:pPr>
        <w:pStyle w:val="Normal"/>
        <w:numPr>
          <w:ilvl w:val="0"/>
          <w:numId w:val="15"/>
        </w:numPr>
        <w:spacing w:before="0" w:after="60"/>
        <w:rPr/>
      </w:pPr>
      <w:r>
        <w:rPr>
          <w:rFonts w:eastAsia="Segoe UI" w:cs="Segoe UI" w:ascii="Segoe UI" w:hAnsi="Segoe UI"/>
          <w:b/>
          <w:color w:val="101820"/>
          <w:sz w:val="21"/>
        </w:rPr>
        <w:t>[Client legal name]</w:t>
      </w:r>
      <w:r>
        <w:rPr>
          <w:rFonts w:eastAsia="Segoe UI" w:cs="Segoe UI" w:ascii="Segoe UI" w:hAnsi="Segoe UI"/>
          <w:color w:val="101820"/>
          <w:sz w:val="21"/>
        </w:rPr>
        <w:t xml:space="preserve">, SEC registration no. [number], with principal office at [address], represented by [name, title], whose data protection officer is [name, e-mail] (the </w:t>
      </w:r>
      <w:r>
        <w:rPr>
          <w:rFonts w:eastAsia="Segoe UI" w:cs="Segoe UI" w:ascii="Segoe UI" w:hAnsi="Segoe UI"/>
          <w:b/>
          <w:color w:val="101820"/>
          <w:sz w:val="21"/>
        </w:rPr>
        <w:t>Controller</w:t>
      </w:r>
      <w:r>
        <w:rPr>
          <w:rFonts w:eastAsia="Segoe UI" w:cs="Segoe UI" w:ascii="Segoe UI" w:hAnsi="Segoe UI"/>
          <w:color w:val="101820"/>
          <w:sz w:val="21"/>
        </w:rPr>
        <w:t>); and</w:t>
      </w:r>
    </w:p>
    <w:p>
      <w:pPr>
        <w:pStyle w:val="Normal"/>
        <w:numPr>
          <w:ilvl w:val="0"/>
          <w:numId w:val="2"/>
        </w:numPr>
        <w:spacing w:before="0" w:after="60"/>
        <w:rPr/>
      </w:pPr>
      <w:r>
        <w:rPr>
          <w:rFonts w:eastAsia="Segoe UI" w:cs="Segoe UI" w:ascii="Segoe UI" w:hAnsi="Segoe UI"/>
          <w:b/>
          <w:color w:val="101820"/>
          <w:sz w:val="21"/>
        </w:rPr>
        <w:t>iorta TechNXT Corp.</w:t>
      </w:r>
      <w:r>
        <w:rPr>
          <w:rFonts w:eastAsia="Segoe UI" w:cs="Segoe UI" w:ascii="Segoe UI" w:hAnsi="Segoe UI"/>
          <w:color w:val="101820"/>
          <w:sz w:val="21"/>
        </w:rPr>
        <w:t xml:space="preserve">, SEC registration no. [number], with principal office at [address], represented by [name, title], whose data protection officer is [name, e-mail] (the </w:t>
      </w:r>
      <w:r>
        <w:rPr>
          <w:rFonts w:eastAsia="Segoe UI" w:cs="Segoe UI" w:ascii="Segoe UI" w:hAnsi="Segoe UI"/>
          <w:b/>
          <w:color w:val="101820"/>
          <w:sz w:val="21"/>
        </w:rPr>
        <w:t>Processor</w:t>
      </w:r>
      <w:r>
        <w:rPr>
          <w:rFonts w:eastAsia="Segoe UI" w:cs="Segoe UI" w:ascii="Segoe UI" w:hAnsi="Segoe UI"/>
          <w:color w:val="101820"/>
          <w:sz w:val="21"/>
        </w:rPr>
        <w:t>).</w:t>
      </w:r>
    </w:p>
    <w:p>
      <w:pPr>
        <w:pStyle w:val="Heading2"/>
        <w:rPr/>
      </w:pPr>
      <w:bookmarkStart w:id="9" w:name="__RefHeading___Toc45416_4049217194"/>
      <w:bookmarkEnd w:id="9"/>
      <w:r>
        <w:rPr>
          <w:rFonts w:eastAsia="Segoe UI" w:cs="Segoe UI"/>
          <w:b/>
          <w:color w:val="0F4761"/>
          <w:sz w:val="26"/>
        </w:rPr>
        <w:t>4.2  Roles</w:t>
      </w:r>
    </w:p>
    <w:p>
      <w:pPr>
        <w:pStyle w:val="Normal"/>
        <w:numPr>
          <w:ilvl w:val="0"/>
          <w:numId w:val="16"/>
        </w:numPr>
        <w:spacing w:before="0" w:after="60"/>
        <w:rPr/>
      </w:pPr>
      <w:r>
        <w:rPr>
          <w:rFonts w:eastAsia="Segoe UI" w:cs="Segoe UI" w:ascii="Segoe UI" w:hAnsi="Segoe UI"/>
          <w:color w:val="101820"/>
          <w:sz w:val="21"/>
        </w:rPr>
        <w:t>The Controller is the personal information controller. It decides the purposes and means of the processing of personal data of its prospects, clients, claimants, payees, referrers and staff in iNXT BrokerVerse.</w:t>
      </w:r>
    </w:p>
    <w:p>
      <w:pPr>
        <w:pStyle w:val="Normal"/>
        <w:numPr>
          <w:ilvl w:val="0"/>
          <w:numId w:val="17"/>
        </w:numPr>
        <w:spacing w:before="0" w:after="60"/>
        <w:rPr/>
      </w:pPr>
      <w:r>
        <w:rPr>
          <w:rFonts w:eastAsia="Segoe UI" w:cs="Segoe UI" w:ascii="Segoe UI" w:hAnsi="Segoe UI"/>
          <w:color w:val="101820"/>
          <w:sz w:val="21"/>
        </w:rPr>
        <w:t>The Processor is a personal information processor. It processes personal data only on behalf of the Controller to provide the Services under the MSA: implementation, data migration, hosting (when it hosts), support and maintenance.</w:t>
      </w:r>
    </w:p>
    <w:p>
      <w:pPr>
        <w:pStyle w:val="Normal"/>
        <w:numPr>
          <w:ilvl w:val="0"/>
          <w:numId w:val="18"/>
        </w:numPr>
        <w:spacing w:before="0" w:after="60"/>
        <w:rPr/>
      </w:pPr>
      <w:r>
        <w:rPr>
          <w:rFonts w:eastAsia="Segoe UI" w:cs="Segoe UI" w:ascii="Segoe UI" w:hAnsi="Segoe UI"/>
          <w:color w:val="101820"/>
          <w:sz w:val="21"/>
        </w:rPr>
        <w:t>The cloud or data centre provider used for hosting, and any other party listed in Annex 3, is a sub-processor of the Processor.</w:t>
      </w:r>
    </w:p>
    <w:p>
      <w:pPr>
        <w:pStyle w:val="Normal"/>
        <w:numPr>
          <w:ilvl w:val="0"/>
          <w:numId w:val="19"/>
        </w:numPr>
        <w:spacing w:before="0" w:after="60"/>
        <w:rPr/>
      </w:pPr>
      <w:r>
        <w:rPr>
          <w:rFonts w:eastAsia="Segoe UI" w:cs="Segoe UI" w:ascii="Segoe UI" w:hAnsi="Segoe UI"/>
          <w:color w:val="101820"/>
          <w:sz w:val="21"/>
        </w:rPr>
        <w:t>Insurers, reinsurers, payment gateways and banks that receive personal data from the Controller are separate controllers or processors under the Controller's own agreements with them, and are not sub-processors of the Processor.</w:t>
      </w:r>
      <w:r>
        <w:br w:type="page"/>
      </w:r>
    </w:p>
    <w:p>
      <w:pPr>
        <w:pStyle w:val="Heading1"/>
        <w:rPr/>
      </w:pPr>
      <w:bookmarkStart w:id="10" w:name="__RefHeading___Toc45418_4049217194"/>
      <w:bookmarkEnd w:id="10"/>
      <w:r>
        <w:rPr>
          <w:rFonts w:eastAsia="Segoe UI" w:cs="Segoe UI" w:ascii="Segoe UI" w:hAnsi="Segoe UI"/>
          <w:b/>
          <w:color w:val="0F4761"/>
          <w:sz w:val="32"/>
        </w:rPr>
        <w:t>5.  Definitions</w:t>
      </w:r>
    </w:p>
    <w:p>
      <w:pPr>
        <w:pStyle w:val="Normal"/>
        <w:spacing w:lineRule="auto" w:line="276" w:before="0" w:after="120"/>
        <w:rPr/>
      </w:pPr>
      <w:r>
        <w:rPr>
          <w:rFonts w:eastAsia="Segoe UI" w:cs="Segoe UI" w:ascii="Segoe UI" w:hAnsi="Segoe UI"/>
          <w:color w:val="101820"/>
          <w:sz w:val="21"/>
        </w:rPr>
        <w:t xml:space="preserve">Terms used in this Agreement such as personal information, sensitive personal information, privileged information, processing, data subject, personal information controller, personal information processor, personal data breach and security incident have the meanings given in the DPA, the IRR and NPC Circular 16-03. </w:t>
      </w:r>
      <w:r>
        <w:rPr>
          <w:rFonts w:eastAsia="Segoe UI" w:cs="Segoe UI" w:ascii="Segoe UI" w:hAnsi="Segoe UI"/>
          <w:b/>
          <w:color w:val="101820"/>
          <w:sz w:val="21"/>
        </w:rPr>
        <w:t>Personal Data</w:t>
      </w:r>
      <w:r>
        <w:rPr>
          <w:rFonts w:eastAsia="Segoe UI" w:cs="Segoe UI" w:ascii="Segoe UI" w:hAnsi="Segoe UI"/>
          <w:color w:val="101820"/>
          <w:sz w:val="21"/>
        </w:rPr>
        <w:t xml:space="preserve"> means any of those categories of information processed by the Processor under this Agreement. </w:t>
      </w:r>
      <w:r>
        <w:rPr>
          <w:rFonts w:eastAsia="Segoe UI" w:cs="Segoe UI" w:ascii="Segoe UI" w:hAnsi="Segoe UI"/>
          <w:b/>
          <w:color w:val="101820"/>
          <w:sz w:val="21"/>
        </w:rPr>
        <w:t>Services</w:t>
      </w:r>
      <w:r>
        <w:rPr>
          <w:rFonts w:eastAsia="Segoe UI" w:cs="Segoe UI" w:ascii="Segoe UI" w:hAnsi="Segoe UI"/>
          <w:color w:val="101820"/>
          <w:sz w:val="21"/>
        </w:rPr>
        <w:t xml:space="preserve"> and other capitalised terms have the meaning given in the MSA.</w:t>
      </w:r>
      <w:r>
        <w:br w:type="page"/>
      </w:r>
    </w:p>
    <w:p>
      <w:pPr>
        <w:pStyle w:val="Heading1"/>
        <w:rPr/>
      </w:pPr>
      <w:bookmarkStart w:id="11" w:name="__RefHeading___Toc45420_4049217194"/>
      <w:bookmarkEnd w:id="11"/>
      <w:r>
        <w:rPr>
          <w:rFonts w:eastAsia="Segoe UI" w:cs="Segoe UI" w:ascii="Segoe UI" w:hAnsi="Segoe UI"/>
          <w:b/>
          <w:color w:val="0F4761"/>
          <w:sz w:val="32"/>
        </w:rPr>
        <w:t>6.  Subject matter of the processing</w:t>
      </w:r>
    </w:p>
    <w:p>
      <w:pPr>
        <w:pStyle w:val="Normal"/>
        <w:spacing w:lineRule="auto" w:line="276" w:before="0" w:after="120"/>
        <w:rPr/>
      </w:pPr>
      <w:r>
        <w:rPr>
          <w:rFonts w:eastAsia="Segoe UI" w:cs="Segoe UI" w:ascii="Segoe UI" w:hAnsi="Segoe UI"/>
          <w:color w:val="101820"/>
          <w:sz w:val="21"/>
        </w:rPr>
        <w:t>The subject matter, duration, nature and purpose of the processing, the types of Personal Data and the categories of data subjects are described in Annex 1. The processing lasts for the term of the MSA and of the Order Forms, and until the Personal Data is returned or deleted under this Agreement.</w:t>
      </w:r>
      <w:r>
        <w:br w:type="page"/>
      </w:r>
    </w:p>
    <w:p>
      <w:pPr>
        <w:pStyle w:val="Heading1"/>
        <w:rPr/>
      </w:pPr>
      <w:bookmarkStart w:id="12" w:name="__RefHeading___Toc45422_4049217194"/>
      <w:bookmarkEnd w:id="12"/>
      <w:r>
        <w:rPr>
          <w:rFonts w:eastAsia="Segoe UI" w:cs="Segoe UI" w:ascii="Segoe UI" w:hAnsi="Segoe UI"/>
          <w:b/>
          <w:color w:val="0F4761"/>
          <w:sz w:val="32"/>
        </w:rPr>
        <w:t>7.  Obligations of the Processor</w:t>
      </w:r>
    </w:p>
    <w:p>
      <w:pPr>
        <w:pStyle w:val="Heading2"/>
        <w:rPr/>
      </w:pPr>
      <w:bookmarkStart w:id="13" w:name="__RefHeading___Toc45424_4049217194"/>
      <w:bookmarkEnd w:id="13"/>
      <w:r>
        <w:rPr>
          <w:rFonts w:eastAsia="Segoe UI" w:cs="Segoe UI"/>
          <w:b/>
          <w:color w:val="0F4761"/>
          <w:sz w:val="26"/>
        </w:rPr>
        <w:t>7.1  Instructions</w:t>
      </w:r>
    </w:p>
    <w:p>
      <w:pPr>
        <w:pStyle w:val="Normal"/>
        <w:numPr>
          <w:ilvl w:val="0"/>
          <w:numId w:val="20"/>
        </w:numPr>
        <w:spacing w:before="0" w:after="60"/>
        <w:rPr/>
      </w:pPr>
      <w:r>
        <w:rPr>
          <w:rFonts w:eastAsia="Segoe UI" w:cs="Segoe UI" w:ascii="Segoe UI" w:hAnsi="Segoe UI"/>
          <w:color w:val="101820"/>
          <w:sz w:val="21"/>
        </w:rPr>
        <w:t>The Processor processes Personal Data only on the documented instructions of the Controller, including with regard to transfers outside the Philippines. The MSA, the Order Forms, this Agreement, the configuration of iNXT BrokerVerse made by the Controller and tickets raised by the Controller's named contacts are documented instructions.</w:t>
      </w:r>
    </w:p>
    <w:p>
      <w:pPr>
        <w:pStyle w:val="Normal"/>
        <w:numPr>
          <w:ilvl w:val="0"/>
          <w:numId w:val="21"/>
        </w:numPr>
        <w:spacing w:before="0" w:after="60"/>
        <w:rPr/>
      </w:pPr>
      <w:r>
        <w:rPr>
          <w:rFonts w:eastAsia="Segoe UI" w:cs="Segoe UI" w:ascii="Segoe UI" w:hAnsi="Segoe UI"/>
          <w:color w:val="101820"/>
          <w:sz w:val="21"/>
        </w:rPr>
        <w:t>The Processor informs the Controller immediately if, in its opinion, an instruction breaches the DPA, and may suspend that instruction until the Controller confirms or changes it.</w:t>
      </w:r>
    </w:p>
    <w:p>
      <w:pPr>
        <w:pStyle w:val="Normal"/>
        <w:numPr>
          <w:ilvl w:val="0"/>
          <w:numId w:val="22"/>
        </w:numPr>
        <w:spacing w:before="0" w:after="60"/>
        <w:rPr/>
      </w:pPr>
      <w:r>
        <w:rPr>
          <w:rFonts w:eastAsia="Segoe UI" w:cs="Segoe UI" w:ascii="Segoe UI" w:hAnsi="Segoe UI"/>
          <w:color w:val="101820"/>
          <w:sz w:val="21"/>
        </w:rPr>
        <w:t>If law requires the Processor to process Personal Data otherwise, it informs the Controller before processing, unless the law prohibits this.</w:t>
      </w:r>
    </w:p>
    <w:p>
      <w:pPr>
        <w:pStyle w:val="Heading2"/>
        <w:rPr/>
      </w:pPr>
      <w:bookmarkStart w:id="14" w:name="__RefHeading___Toc45426_4049217194"/>
      <w:bookmarkEnd w:id="14"/>
      <w:r>
        <w:rPr>
          <w:rFonts w:eastAsia="Segoe UI" w:cs="Segoe UI"/>
          <w:b/>
          <w:color w:val="0F4761"/>
          <w:sz w:val="26"/>
        </w:rPr>
        <w:t>7.2  Confidentiality</w:t>
      </w:r>
    </w:p>
    <w:p>
      <w:pPr>
        <w:pStyle w:val="Normal"/>
        <w:spacing w:lineRule="auto" w:line="276" w:before="0" w:after="120"/>
        <w:rPr/>
      </w:pPr>
      <w:r>
        <w:rPr>
          <w:rFonts w:eastAsia="Segoe UI" w:cs="Segoe UI" w:ascii="Segoe UI" w:hAnsi="Segoe UI"/>
          <w:color w:val="101820"/>
          <w:sz w:val="21"/>
        </w:rPr>
        <w:t>The Processor ensures that every person it authorises to process Personal Data (employees, contractors and sub-processors) is bound by a duty of confidentiality, is trained in data privacy and processes the Personal Data only as needed for the Services. This duty continues after the person leaves.</w:t>
      </w:r>
    </w:p>
    <w:p>
      <w:pPr>
        <w:pStyle w:val="Heading2"/>
        <w:rPr/>
      </w:pPr>
      <w:bookmarkStart w:id="15" w:name="__RefHeading___Toc45428_4049217194"/>
      <w:bookmarkEnd w:id="15"/>
      <w:r>
        <w:rPr>
          <w:rFonts w:eastAsia="Segoe UI" w:cs="Segoe UI"/>
          <w:b/>
          <w:color w:val="0F4761"/>
          <w:sz w:val="26"/>
        </w:rPr>
        <w:t>7.3  Security</w:t>
      </w:r>
    </w:p>
    <w:p>
      <w:pPr>
        <w:pStyle w:val="Normal"/>
        <w:spacing w:lineRule="auto" w:line="276" w:before="0" w:after="120"/>
        <w:rPr/>
      </w:pPr>
      <w:r>
        <w:rPr>
          <w:rFonts w:eastAsia="Segoe UI" w:cs="Segoe UI" w:ascii="Segoe UI" w:hAnsi="Segoe UI"/>
          <w:color w:val="101820"/>
          <w:sz w:val="21"/>
        </w:rPr>
        <w:t>The Processor implements the organisational, physical and technical security measures in Annex 2, which are designed to protect Personal Data against accidental or unlawful destruction, alteration, disclosure, loss and unauthorised processing, taking into account the nature of the Personal Data and the risks of the processing, as required by sections 20 and 21 of the DPA and the IRR. The Processor may update the measures if the level of protection is not reduced.</w:t>
      </w:r>
    </w:p>
    <w:p>
      <w:pPr>
        <w:pStyle w:val="Heading2"/>
        <w:rPr/>
      </w:pPr>
      <w:bookmarkStart w:id="16" w:name="__RefHeading___Toc45430_4049217194"/>
      <w:bookmarkEnd w:id="16"/>
      <w:r>
        <w:rPr>
          <w:rFonts w:eastAsia="Segoe UI" w:cs="Segoe UI"/>
          <w:b/>
          <w:color w:val="0F4761"/>
          <w:sz w:val="26"/>
        </w:rPr>
        <w:t>7.4  Sub-processors</w:t>
      </w:r>
    </w:p>
    <w:p>
      <w:pPr>
        <w:pStyle w:val="Normal"/>
        <w:numPr>
          <w:ilvl w:val="0"/>
          <w:numId w:val="23"/>
        </w:numPr>
        <w:spacing w:before="0" w:after="60"/>
        <w:rPr/>
      </w:pPr>
      <w:r>
        <w:rPr>
          <w:rFonts w:eastAsia="Segoe UI" w:cs="Segoe UI" w:ascii="Segoe UI" w:hAnsi="Segoe UI"/>
          <w:color w:val="101820"/>
          <w:sz w:val="21"/>
        </w:rPr>
        <w:t>The Controller gives general authorisation for the sub-processors listed in Annex 3.</w:t>
      </w:r>
    </w:p>
    <w:p>
      <w:pPr>
        <w:pStyle w:val="Normal"/>
        <w:numPr>
          <w:ilvl w:val="0"/>
          <w:numId w:val="24"/>
        </w:numPr>
        <w:spacing w:before="0" w:after="60"/>
        <w:rPr/>
      </w:pPr>
      <w:r>
        <w:rPr>
          <w:rFonts w:eastAsia="Segoe UI" w:cs="Segoe UI" w:ascii="Segoe UI" w:hAnsi="Segoe UI"/>
          <w:color w:val="101820"/>
          <w:sz w:val="21"/>
        </w:rPr>
        <w:t>The Processor gives the Controller at least 30 days' written notice before adding or replacing a sub-processor. The Controller may object on reasonable data protection grounds within that period. If the Parties cannot resolve the objection, the Controller may terminate the affected Services without penalty.</w:t>
      </w:r>
    </w:p>
    <w:p>
      <w:pPr>
        <w:pStyle w:val="Normal"/>
        <w:numPr>
          <w:ilvl w:val="0"/>
          <w:numId w:val="25"/>
        </w:numPr>
        <w:spacing w:before="0" w:after="60"/>
        <w:rPr/>
      </w:pPr>
      <w:r>
        <w:rPr>
          <w:rFonts w:eastAsia="Segoe UI" w:cs="Segoe UI" w:ascii="Segoe UI" w:hAnsi="Segoe UI"/>
          <w:color w:val="101820"/>
          <w:sz w:val="21"/>
        </w:rPr>
        <w:t>The Processor imposes on each sub-processor, by written contract, data protection obligations no less protective than this Agreement, and remains fully responsible to the Controller for the sub-processor's performance.</w:t>
      </w:r>
    </w:p>
    <w:p>
      <w:pPr>
        <w:pStyle w:val="Heading2"/>
        <w:rPr/>
      </w:pPr>
      <w:bookmarkStart w:id="17" w:name="__RefHeading___Toc45432_4049217194"/>
      <w:bookmarkEnd w:id="17"/>
      <w:r>
        <w:rPr>
          <w:rFonts w:eastAsia="Segoe UI" w:cs="Segoe UI"/>
          <w:b/>
          <w:color w:val="0F4761"/>
          <w:sz w:val="26"/>
        </w:rPr>
        <w:t>7.5  Assistance</w:t>
      </w:r>
    </w:p>
    <w:p>
      <w:pPr>
        <w:pStyle w:val="Normal"/>
        <w:spacing w:lineRule="auto" w:line="276" w:before="0" w:after="120"/>
        <w:rPr/>
      </w:pPr>
      <w:r>
        <w:rPr>
          <w:rFonts w:eastAsia="Segoe UI" w:cs="Segoe UI" w:ascii="Segoe UI" w:hAnsi="Segoe UI"/>
          <w:color w:val="101820"/>
          <w:sz w:val="21"/>
        </w:rPr>
        <w:t>Taking into account the nature of the processing, the Processor assists the Controller, by appropriate measures and at the day rates of the Order Form where the assistance goes beyond what iNXT BrokerVerse provides by its own screens and exports, with:</w:t>
      </w:r>
    </w:p>
    <w:p>
      <w:pPr>
        <w:pStyle w:val="Normal"/>
        <w:numPr>
          <w:ilvl w:val="0"/>
          <w:numId w:val="26"/>
        </w:numPr>
        <w:spacing w:before="0" w:after="60"/>
        <w:rPr/>
      </w:pPr>
      <w:r>
        <w:rPr>
          <w:rFonts w:eastAsia="Segoe UI" w:cs="Segoe UI" w:ascii="Segoe UI" w:hAnsi="Segoe UI"/>
          <w:color w:val="101820"/>
          <w:sz w:val="21"/>
        </w:rPr>
        <w:t>responses to data subjects exercising their rights;</w:t>
      </w:r>
    </w:p>
    <w:p>
      <w:pPr>
        <w:pStyle w:val="Normal"/>
        <w:numPr>
          <w:ilvl w:val="0"/>
          <w:numId w:val="27"/>
        </w:numPr>
        <w:spacing w:before="0" w:after="60"/>
        <w:rPr/>
      </w:pPr>
      <w:r>
        <w:rPr>
          <w:rFonts w:eastAsia="Segoe UI" w:cs="Segoe UI" w:ascii="Segoe UI" w:hAnsi="Segoe UI"/>
          <w:color w:val="101820"/>
          <w:sz w:val="21"/>
        </w:rPr>
        <w:t>security of processing;</w:t>
      </w:r>
    </w:p>
    <w:p>
      <w:pPr>
        <w:pStyle w:val="Normal"/>
        <w:numPr>
          <w:ilvl w:val="0"/>
          <w:numId w:val="28"/>
        </w:numPr>
        <w:spacing w:before="0" w:after="60"/>
        <w:rPr/>
      </w:pPr>
      <w:r>
        <w:rPr>
          <w:rFonts w:eastAsia="Segoe UI" w:cs="Segoe UI" w:ascii="Segoe UI" w:hAnsi="Segoe UI"/>
          <w:color w:val="101820"/>
          <w:sz w:val="21"/>
        </w:rPr>
        <w:t>notification of personal data breaches to the NPC and to data subjects;</w:t>
      </w:r>
    </w:p>
    <w:p>
      <w:pPr>
        <w:pStyle w:val="Normal"/>
        <w:numPr>
          <w:ilvl w:val="0"/>
          <w:numId w:val="29"/>
        </w:numPr>
        <w:spacing w:before="0" w:after="60"/>
        <w:rPr/>
      </w:pPr>
      <w:r>
        <w:rPr>
          <w:rFonts w:eastAsia="Segoe UI" w:cs="Segoe UI" w:ascii="Segoe UI" w:hAnsi="Segoe UI"/>
          <w:color w:val="101820"/>
          <w:sz w:val="21"/>
        </w:rPr>
        <w:t>privacy impact assessments and consultations with the NPC;</w:t>
      </w:r>
    </w:p>
    <w:p>
      <w:pPr>
        <w:pStyle w:val="Normal"/>
        <w:numPr>
          <w:ilvl w:val="0"/>
          <w:numId w:val="30"/>
        </w:numPr>
        <w:spacing w:before="0" w:after="60"/>
        <w:rPr/>
      </w:pPr>
      <w:r>
        <w:rPr>
          <w:rFonts w:eastAsia="Segoe UI" w:cs="Segoe UI" w:ascii="Segoe UI" w:hAnsi="Segoe UI"/>
          <w:color w:val="101820"/>
          <w:sz w:val="21"/>
        </w:rPr>
        <w:t>registration of data processing systems with the NPC where required.</w:t>
      </w:r>
    </w:p>
    <w:p>
      <w:pPr>
        <w:pStyle w:val="Heading2"/>
        <w:rPr/>
      </w:pPr>
      <w:bookmarkStart w:id="18" w:name="__RefHeading___Toc45434_4049217194"/>
      <w:bookmarkEnd w:id="18"/>
      <w:r>
        <w:rPr>
          <w:rFonts w:eastAsia="Segoe UI" w:cs="Segoe UI"/>
          <w:b/>
          <w:color w:val="0F4761"/>
          <w:sz w:val="26"/>
        </w:rPr>
        <w:t>7.6  Records</w:t>
      </w:r>
    </w:p>
    <w:p>
      <w:pPr>
        <w:pStyle w:val="Normal"/>
        <w:spacing w:lineRule="auto" w:line="276" w:before="0" w:after="120"/>
        <w:rPr/>
      </w:pPr>
      <w:r>
        <w:rPr>
          <w:rFonts w:eastAsia="Segoe UI" w:cs="Segoe UI" w:ascii="Segoe UI" w:hAnsi="Segoe UI"/>
          <w:color w:val="101820"/>
          <w:sz w:val="21"/>
        </w:rPr>
        <w:t>The Processor keeps a record of the processing activities it performs for the Controller and makes it available to the Controller and, on request, to the NPC.</w:t>
      </w:r>
      <w:r>
        <w:br w:type="page"/>
      </w:r>
    </w:p>
    <w:p>
      <w:pPr>
        <w:pStyle w:val="Heading1"/>
        <w:rPr/>
      </w:pPr>
      <w:bookmarkStart w:id="19" w:name="__RefHeading___Toc45436_4049217194"/>
      <w:bookmarkEnd w:id="19"/>
      <w:r>
        <w:rPr>
          <w:rFonts w:eastAsia="Segoe UI" w:cs="Segoe UI" w:ascii="Segoe UI" w:hAnsi="Segoe UI"/>
          <w:b/>
          <w:color w:val="0F4761"/>
          <w:sz w:val="32"/>
        </w:rPr>
        <w:t>8.  Personal data breach</w:t>
      </w:r>
    </w:p>
    <w:p>
      <w:pPr>
        <w:pStyle w:val="Heading2"/>
        <w:rPr/>
      </w:pPr>
      <w:bookmarkStart w:id="20" w:name="__RefHeading___Toc45438_4049217194"/>
      <w:bookmarkEnd w:id="20"/>
      <w:r>
        <w:rPr>
          <w:rFonts w:eastAsia="Segoe UI" w:cs="Segoe UI"/>
          <w:b/>
          <w:color w:val="0F4761"/>
          <w:sz w:val="26"/>
        </w:rPr>
        <w:t>8.1  Notification to the Controller</w:t>
      </w:r>
    </w:p>
    <w:p>
      <w:pPr>
        <w:pStyle w:val="Normal"/>
        <w:numPr>
          <w:ilvl w:val="0"/>
          <w:numId w:val="31"/>
        </w:numPr>
        <w:spacing w:before="0" w:after="60"/>
        <w:rPr/>
      </w:pPr>
      <w:r>
        <w:rPr>
          <w:rFonts w:eastAsia="Segoe UI" w:cs="Segoe UI" w:ascii="Segoe UI" w:hAnsi="Segoe UI"/>
          <w:color w:val="101820"/>
          <w:sz w:val="21"/>
        </w:rPr>
        <w:t>The Processor notifies the Controller's DPO and System Administrator of a personal data breach, or a security incident that may involve Personal Data, without undue delay and in any event within [24] hours after the Processor discovers it, and never later than 72 hours.</w:t>
      </w:r>
    </w:p>
    <w:p>
      <w:pPr>
        <w:pStyle w:val="Normal"/>
        <w:numPr>
          <w:ilvl w:val="0"/>
          <w:numId w:val="32"/>
        </w:numPr>
        <w:spacing w:before="0" w:after="60"/>
        <w:rPr/>
      </w:pPr>
      <w:r>
        <w:rPr>
          <w:rFonts w:eastAsia="Segoe UI" w:cs="Segoe UI" w:ascii="Segoe UI" w:hAnsi="Segoe UI"/>
          <w:color w:val="101820"/>
          <w:sz w:val="21"/>
        </w:rPr>
        <w:t>The notice contains, as far as known: the nature of the breach; the Personal Data and the data subjects concerned and their approximate number; the time of the breach and of its discovery; the likely consequences; the measures taken or proposed to contain it and to reduce its effects; and the name and contact details of the Processor's contact person. Information not yet known is provided as soon as it becomes available.</w:t>
      </w:r>
    </w:p>
    <w:p>
      <w:pPr>
        <w:pStyle w:val="Heading2"/>
        <w:rPr/>
      </w:pPr>
      <w:bookmarkStart w:id="21" w:name="__RefHeading___Toc45440_4049217194"/>
      <w:bookmarkEnd w:id="21"/>
      <w:r>
        <w:rPr>
          <w:rFonts w:eastAsia="Segoe UI" w:cs="Segoe UI"/>
          <w:b/>
          <w:color w:val="0F4761"/>
          <w:sz w:val="26"/>
        </w:rPr>
        <w:t>8.2  Notification to the NPC and data subjects</w:t>
      </w:r>
    </w:p>
    <w:p>
      <w:pPr>
        <w:pStyle w:val="Normal"/>
        <w:spacing w:lineRule="auto" w:line="276" w:before="0" w:after="120"/>
        <w:rPr/>
      </w:pPr>
      <w:r>
        <w:rPr>
          <w:rFonts w:eastAsia="Segoe UI" w:cs="Segoe UI" w:ascii="Segoe UI" w:hAnsi="Segoe UI"/>
          <w:color w:val="101820"/>
          <w:sz w:val="21"/>
        </w:rPr>
        <w:t>The Controller decides whether the breach must be notified and notifies the NPC and the affected data subjects within 72 hours of knowledge of the breach, where NPC Circular 16-03 (or its replacement) requires. The Processor does not notify the NPC or data subjects on the Controller's behalf unless the Controller instructs it in writing, except where the law directly requires the Processor to do so.</w:t>
      </w:r>
    </w:p>
    <w:p>
      <w:pPr>
        <w:pStyle w:val="Heading2"/>
        <w:rPr/>
      </w:pPr>
      <w:bookmarkStart w:id="22" w:name="__RefHeading___Toc45442_4049217194"/>
      <w:bookmarkEnd w:id="22"/>
      <w:r>
        <w:rPr>
          <w:rFonts w:eastAsia="Segoe UI" w:cs="Segoe UI"/>
          <w:b/>
          <w:color w:val="0F4761"/>
          <w:sz w:val="26"/>
        </w:rPr>
        <w:t>8.3  Containment and evidence</w:t>
      </w:r>
    </w:p>
    <w:p>
      <w:pPr>
        <w:pStyle w:val="Normal"/>
        <w:spacing w:lineRule="auto" w:line="276" w:before="0" w:after="120"/>
        <w:rPr/>
      </w:pPr>
      <w:r>
        <w:rPr>
          <w:rFonts w:eastAsia="Segoe UI" w:cs="Segoe UI" w:ascii="Segoe UI" w:hAnsi="Segoe UI"/>
          <w:color w:val="101820"/>
          <w:sz w:val="21"/>
        </w:rPr>
        <w:t>The Processor takes immediate steps to contain the breach, preserves evidence (logs, sign-in history, audit trail, monitoring data, database snapshot), assists the Controller's breach response team, and provides a written incident report within [5] Business Days of containment, with the root cause and the measures to prevent recurrence.</w:t>
      </w:r>
    </w:p>
    <w:p>
      <w:pPr>
        <w:pStyle w:val="Heading2"/>
        <w:rPr/>
      </w:pPr>
      <w:bookmarkStart w:id="23" w:name="__RefHeading___Toc45444_4049217194"/>
      <w:bookmarkEnd w:id="23"/>
      <w:r>
        <w:rPr>
          <w:rFonts w:eastAsia="Segoe UI" w:cs="Segoe UI"/>
          <w:b/>
          <w:color w:val="0F4761"/>
          <w:sz w:val="26"/>
        </w:rPr>
        <w:t>8.4  Costs</w:t>
      </w:r>
    </w:p>
    <w:p>
      <w:pPr>
        <w:pStyle w:val="Normal"/>
        <w:spacing w:lineRule="auto" w:line="276" w:before="0" w:after="120"/>
        <w:rPr/>
      </w:pPr>
      <w:r>
        <w:rPr>
          <w:rFonts w:eastAsia="Segoe UI" w:cs="Segoe UI" w:ascii="Segoe UI" w:hAnsi="Segoe UI"/>
          <w:color w:val="101820"/>
          <w:sz w:val="21"/>
        </w:rPr>
        <w:t>Each Party bears its own costs of a breach. Where the breach is caused by the Processor's breach of this Agreement, the Processor bears the reasonable costs of notification and of the measures required by the NPC, within the liability provisions of the MSA as they apply to this Agreement.</w:t>
      </w:r>
      <w:r>
        <w:br w:type="page"/>
      </w:r>
    </w:p>
    <w:p>
      <w:pPr>
        <w:pStyle w:val="Heading1"/>
        <w:rPr/>
      </w:pPr>
      <w:bookmarkStart w:id="24" w:name="__RefHeading___Toc45446_4049217194"/>
      <w:bookmarkEnd w:id="24"/>
      <w:r>
        <w:rPr>
          <w:rFonts w:eastAsia="Segoe UI" w:cs="Segoe UI" w:ascii="Segoe UI" w:hAnsi="Segoe UI"/>
          <w:b/>
          <w:color w:val="0F4761"/>
          <w:sz w:val="32"/>
        </w:rPr>
        <w:t>9.  Data subject requests</w:t>
      </w:r>
    </w:p>
    <w:p>
      <w:pPr>
        <w:pStyle w:val="Normal"/>
        <w:numPr>
          <w:ilvl w:val="0"/>
          <w:numId w:val="33"/>
        </w:numPr>
        <w:spacing w:before="0" w:after="60"/>
        <w:rPr/>
      </w:pPr>
      <w:r>
        <w:rPr>
          <w:rFonts w:eastAsia="Segoe UI" w:cs="Segoe UI" w:ascii="Segoe UI" w:hAnsi="Segoe UI"/>
          <w:color w:val="101820"/>
          <w:sz w:val="21"/>
        </w:rPr>
        <w:t>The Processor forwards to the Controller, within 2 Business Days, any request it receives directly from a data subject concerning Personal Data, and does not answer it except on the Controller's instructions.</w:t>
      </w:r>
    </w:p>
    <w:p>
      <w:pPr>
        <w:pStyle w:val="Normal"/>
        <w:numPr>
          <w:ilvl w:val="0"/>
          <w:numId w:val="34"/>
        </w:numPr>
        <w:spacing w:before="0" w:after="60"/>
        <w:rPr/>
      </w:pPr>
      <w:r>
        <w:rPr>
          <w:rFonts w:eastAsia="Segoe UI" w:cs="Segoe UI" w:ascii="Segoe UI" w:hAnsi="Segoe UI"/>
          <w:color w:val="101820"/>
          <w:sz w:val="21"/>
        </w:rPr>
        <w:t>The Controller handles requests to be informed, to access, to object, to erasure or blocking, to rectification, to data portability and to damages and complaints. iNXT BrokerVerse supports these requests through its Data Privacy screens: a register of data subject requests with due dates, consent per purpose with withdrawal, export of the personal data of a client or prospect for access and portability, rectification through the client and prospect screens, and anonymisation once the retention period has passed, with every action recorded in the audit trail.</w:t>
      </w:r>
    </w:p>
    <w:p>
      <w:pPr>
        <w:pStyle w:val="Normal"/>
        <w:numPr>
          <w:ilvl w:val="0"/>
          <w:numId w:val="35"/>
        </w:numPr>
        <w:spacing w:before="0" w:after="60"/>
        <w:rPr/>
      </w:pPr>
      <w:r>
        <w:rPr>
          <w:rFonts w:eastAsia="Segoe UI" w:cs="Segoe UI" w:ascii="Segoe UI" w:hAnsi="Segoe UI"/>
          <w:color w:val="101820"/>
          <w:sz w:val="21"/>
        </w:rPr>
        <w:t>Erasure is performed by the Controller's authorised users with the anonymisation function of iNXT BrokerVerse. Erasure that cannot be performed through the screens is performed by the Processor as a reviewed database procedure on the Controller's written instruction.</w:t>
      </w:r>
      <w:r>
        <w:br w:type="page"/>
      </w:r>
    </w:p>
    <w:p>
      <w:pPr>
        <w:pStyle w:val="Heading1"/>
        <w:rPr/>
      </w:pPr>
      <w:bookmarkStart w:id="25" w:name="__RefHeading___Toc45448_4049217194"/>
      <w:bookmarkEnd w:id="25"/>
      <w:r>
        <w:rPr>
          <w:rFonts w:eastAsia="Segoe UI" w:cs="Segoe UI" w:ascii="Segoe UI" w:hAnsi="Segoe UI"/>
          <w:b/>
          <w:color w:val="0F4761"/>
          <w:sz w:val="32"/>
        </w:rPr>
        <w:t>10.  Audits</w:t>
      </w:r>
    </w:p>
    <w:p>
      <w:pPr>
        <w:pStyle w:val="Normal"/>
        <w:numPr>
          <w:ilvl w:val="0"/>
          <w:numId w:val="36"/>
        </w:numPr>
        <w:spacing w:before="0" w:after="60"/>
        <w:rPr/>
      </w:pPr>
      <w:r>
        <w:rPr>
          <w:rFonts w:eastAsia="Segoe UI" w:cs="Segoe UI" w:ascii="Segoe UI" w:hAnsi="Segoe UI"/>
          <w:color w:val="101820"/>
          <w:sz w:val="21"/>
        </w:rPr>
        <w:t>The Processor makes available to the Controller the information needed to demonstrate compliance with this Agreement, including its policies, the summary of its yearly penetration test and the certifications of its hosting sub-processor.</w:t>
      </w:r>
    </w:p>
    <w:p>
      <w:pPr>
        <w:pStyle w:val="Normal"/>
        <w:numPr>
          <w:ilvl w:val="0"/>
          <w:numId w:val="37"/>
        </w:numPr>
        <w:spacing w:before="0" w:after="60"/>
        <w:rPr/>
      </w:pPr>
      <w:r>
        <w:rPr>
          <w:rFonts w:eastAsia="Segoe UI" w:cs="Segoe UI" w:ascii="Segoe UI" w:hAnsi="Segoe UI"/>
          <w:color w:val="101820"/>
          <w:sz w:val="21"/>
        </w:rPr>
        <w:t>The Controller, or an independent auditor bound by confidentiality and approved by the Processor (approval not to be unreasonably withheld), may audit the Processor's compliance once a year, on 30 days' written notice, during business hours, at the Controller's cost, and without access to other customers' data. Additional audits are allowed after a personal data breach or when the NPC requires.</w:t>
      </w:r>
    </w:p>
    <w:p>
      <w:pPr>
        <w:pStyle w:val="Normal"/>
        <w:numPr>
          <w:ilvl w:val="0"/>
          <w:numId w:val="38"/>
        </w:numPr>
        <w:spacing w:before="0" w:after="60"/>
        <w:rPr/>
      </w:pPr>
      <w:r>
        <w:rPr>
          <w:rFonts w:eastAsia="Segoe UI" w:cs="Segoe UI" w:ascii="Segoe UI" w:hAnsi="Segoe UI"/>
          <w:color w:val="101820"/>
          <w:sz w:val="21"/>
        </w:rPr>
        <w:t>The Processor cooperates with any inspection or compliance check by the NPC.</w:t>
      </w:r>
    </w:p>
    <w:p>
      <w:pPr>
        <w:pStyle w:val="Normal"/>
        <w:numPr>
          <w:ilvl w:val="0"/>
          <w:numId w:val="39"/>
        </w:numPr>
        <w:spacing w:before="0" w:after="60"/>
        <w:rPr/>
      </w:pPr>
      <w:r>
        <w:rPr>
          <w:rFonts w:eastAsia="Segoe UI" w:cs="Segoe UI" w:ascii="Segoe UI" w:hAnsi="Segoe UI"/>
          <w:color w:val="101820"/>
          <w:sz w:val="21"/>
        </w:rPr>
        <w:t>The Processor corrects any non-compliance found within an agreed period.</w:t>
      </w:r>
      <w:r>
        <w:br w:type="page"/>
      </w:r>
    </w:p>
    <w:p>
      <w:pPr>
        <w:pStyle w:val="Heading1"/>
        <w:rPr/>
      </w:pPr>
      <w:bookmarkStart w:id="26" w:name="__RefHeading___Toc45450_4049217194"/>
      <w:bookmarkEnd w:id="26"/>
      <w:r>
        <w:rPr>
          <w:rFonts w:eastAsia="Segoe UI" w:cs="Segoe UI" w:ascii="Segoe UI" w:hAnsi="Segoe UI"/>
          <w:b/>
          <w:color w:val="0F4761"/>
          <w:sz w:val="32"/>
        </w:rPr>
        <w:t>11.  Transfers outside the Philippines</w:t>
      </w:r>
    </w:p>
    <w:p>
      <w:pPr>
        <w:pStyle w:val="Normal"/>
        <w:numPr>
          <w:ilvl w:val="0"/>
          <w:numId w:val="40"/>
        </w:numPr>
        <w:spacing w:before="0" w:after="60"/>
        <w:rPr/>
      </w:pPr>
      <w:r>
        <w:rPr>
          <w:rFonts w:eastAsia="Segoe UI" w:cs="Segoe UI" w:ascii="Segoe UI" w:hAnsi="Segoe UI"/>
          <w:color w:val="101820"/>
          <w:sz w:val="21"/>
        </w:rPr>
        <w:t>The Processor stores and processes Personal Data only in the location stated in the Order Form: [Singapore (AWS ap-southeast-1 or Azure Southeast Asia) / the Philippines (local partner)].</w:t>
      </w:r>
    </w:p>
    <w:p>
      <w:pPr>
        <w:pStyle w:val="Normal"/>
        <w:numPr>
          <w:ilvl w:val="0"/>
          <w:numId w:val="41"/>
        </w:numPr>
        <w:spacing w:before="0" w:after="60"/>
        <w:rPr/>
      </w:pPr>
      <w:r>
        <w:rPr>
          <w:rFonts w:eastAsia="Segoe UI" w:cs="Segoe UI" w:ascii="Segoe UI" w:hAnsi="Segoe UI"/>
          <w:color w:val="101820"/>
          <w:sz w:val="21"/>
        </w:rPr>
        <w:t>Where the location is outside the Philippines, the Controller confirms that it has decided on the transfer, documented it in its privacy notice and processing records, and assessed it in a privacy impact assessment. The Controller remains accountable for the transfer under section 21 of the DPA; the Processor provides comparable protection through this Agreement and the sub-processor's data processing terms.</w:t>
      </w:r>
    </w:p>
    <w:p>
      <w:pPr>
        <w:pStyle w:val="Normal"/>
        <w:numPr>
          <w:ilvl w:val="0"/>
          <w:numId w:val="42"/>
        </w:numPr>
        <w:spacing w:before="0" w:after="60"/>
        <w:rPr/>
      </w:pPr>
      <w:r>
        <w:rPr>
          <w:rFonts w:eastAsia="Segoe UI" w:cs="Segoe UI" w:ascii="Segoe UI" w:hAnsi="Segoe UI"/>
          <w:color w:val="101820"/>
          <w:sz w:val="21"/>
        </w:rPr>
        <w:t>Remote access by the Processor's support staff is allowed from [the Philippines / list of countries], only to perform the Services.</w:t>
      </w:r>
    </w:p>
    <w:p>
      <w:pPr>
        <w:pStyle w:val="Normal"/>
        <w:numPr>
          <w:ilvl w:val="0"/>
          <w:numId w:val="43"/>
        </w:numPr>
        <w:spacing w:before="0" w:after="60"/>
        <w:rPr/>
      </w:pPr>
      <w:r>
        <w:rPr>
          <w:rFonts w:eastAsia="Segoe UI" w:cs="Segoe UI" w:ascii="Segoe UI" w:hAnsi="Segoe UI"/>
          <w:color w:val="101820"/>
          <w:sz w:val="21"/>
        </w:rPr>
        <w:t>The Processor does not transfer Personal Data to any other country without the Controller's prior written consent.</w:t>
      </w:r>
      <w:r>
        <w:br w:type="page"/>
      </w:r>
    </w:p>
    <w:p>
      <w:pPr>
        <w:pStyle w:val="Heading1"/>
        <w:rPr/>
      </w:pPr>
      <w:bookmarkStart w:id="27" w:name="__RefHeading___Toc45452_4049217194"/>
      <w:bookmarkEnd w:id="27"/>
      <w:r>
        <w:rPr>
          <w:rFonts w:eastAsia="Segoe UI" w:cs="Segoe UI" w:ascii="Segoe UI" w:hAnsi="Segoe UI"/>
          <w:b/>
          <w:color w:val="0F4761"/>
          <w:sz w:val="32"/>
        </w:rPr>
        <w:t>12.  Return and deletion</w:t>
      </w:r>
    </w:p>
    <w:p>
      <w:pPr>
        <w:pStyle w:val="Normal"/>
        <w:numPr>
          <w:ilvl w:val="0"/>
          <w:numId w:val="44"/>
        </w:numPr>
        <w:spacing w:before="0" w:after="60"/>
        <w:rPr/>
      </w:pPr>
      <w:r>
        <w:rPr>
          <w:rFonts w:eastAsia="Segoe UI" w:cs="Segoe UI" w:ascii="Segoe UI" w:hAnsi="Segoe UI"/>
          <w:color w:val="101820"/>
          <w:sz w:val="21"/>
        </w:rPr>
        <w:t>On expiry or termination of the Services, the Processor, at the Controller's choice, returns all Personal Data to the Controller in the formats stated in the Software Subscription Agreement or the Hosting and Infrastructure Services Agreement, and then deletes it, or deletes it.</w:t>
      </w:r>
    </w:p>
    <w:p>
      <w:pPr>
        <w:pStyle w:val="Normal"/>
        <w:numPr>
          <w:ilvl w:val="0"/>
          <w:numId w:val="45"/>
        </w:numPr>
        <w:spacing w:before="0" w:after="60"/>
        <w:rPr/>
      </w:pPr>
      <w:r>
        <w:rPr>
          <w:rFonts w:eastAsia="Segoe UI" w:cs="Segoe UI" w:ascii="Segoe UI" w:hAnsi="Segoe UI"/>
          <w:color w:val="101820"/>
          <w:sz w:val="21"/>
        </w:rPr>
        <w:t>Deletion from production and non-production environments takes place within 30 days after the Controller confirms the return or, if the Controller makes no request within 60 days after expiry or termination, within 30 days after the end of that 60-day period.</w:t>
      </w:r>
    </w:p>
    <w:p>
      <w:pPr>
        <w:pStyle w:val="Normal"/>
        <w:numPr>
          <w:ilvl w:val="0"/>
          <w:numId w:val="46"/>
        </w:numPr>
        <w:spacing w:before="0" w:after="60"/>
        <w:rPr/>
      </w:pPr>
      <w:r>
        <w:rPr>
          <w:rFonts w:eastAsia="Segoe UI" w:cs="Segoe UI" w:ascii="Segoe UI" w:hAnsi="Segoe UI"/>
          <w:color w:val="101820"/>
          <w:sz w:val="21"/>
        </w:rPr>
        <w:t>Personal Data in backups is deleted when the backups expire under the retention in the Hosting and Infrastructure Services Agreement and is not restored in the meantime except to comply with law.</w:t>
      </w:r>
    </w:p>
    <w:p>
      <w:pPr>
        <w:pStyle w:val="Normal"/>
        <w:numPr>
          <w:ilvl w:val="0"/>
          <w:numId w:val="47"/>
        </w:numPr>
        <w:spacing w:before="0" w:after="60"/>
        <w:rPr/>
      </w:pPr>
      <w:r>
        <w:rPr>
          <w:rFonts w:eastAsia="Segoe UI" w:cs="Segoe UI" w:ascii="Segoe UI" w:hAnsi="Segoe UI"/>
          <w:color w:val="101820"/>
          <w:sz w:val="21"/>
        </w:rPr>
        <w:t>The Processor gives the Controller a certificate of deletion signed by its DPO within 10 Business Days of completing the deletion, in the form of the Exit and Transition Plan.</w:t>
      </w:r>
    </w:p>
    <w:p>
      <w:pPr>
        <w:pStyle w:val="Normal"/>
        <w:numPr>
          <w:ilvl w:val="0"/>
          <w:numId w:val="48"/>
        </w:numPr>
        <w:spacing w:before="0" w:after="60"/>
        <w:rPr/>
      </w:pPr>
      <w:r>
        <w:rPr>
          <w:rFonts w:eastAsia="Segoe UI" w:cs="Segoe UI" w:ascii="Segoe UI" w:hAnsi="Segoe UI"/>
          <w:color w:val="101820"/>
          <w:sz w:val="21"/>
        </w:rPr>
        <w:t>The Processor may keep Personal Data only where Philippine law requires it, in which case it keeps it confidential, protected and used only for that legal purpose.</w:t>
      </w:r>
      <w:r>
        <w:br w:type="page"/>
      </w:r>
    </w:p>
    <w:p>
      <w:pPr>
        <w:pStyle w:val="Heading1"/>
        <w:rPr/>
      </w:pPr>
      <w:bookmarkStart w:id="28" w:name="__RefHeading___Toc45454_4049217194"/>
      <w:bookmarkEnd w:id="28"/>
      <w:r>
        <w:rPr>
          <w:rFonts w:eastAsia="Segoe UI" w:cs="Segoe UI" w:ascii="Segoe UI" w:hAnsi="Segoe UI"/>
          <w:b/>
          <w:color w:val="0F4761"/>
          <w:sz w:val="32"/>
        </w:rPr>
        <w:t>13.  Controller obligations</w:t>
      </w:r>
    </w:p>
    <w:p>
      <w:pPr>
        <w:pStyle w:val="Normal"/>
        <w:spacing w:lineRule="auto" w:line="276" w:before="0" w:after="120"/>
        <w:rPr/>
      </w:pPr>
      <w:r>
        <w:rPr>
          <w:rFonts w:eastAsia="Segoe UI" w:cs="Segoe UI" w:ascii="Segoe UI" w:hAnsi="Segoe UI"/>
          <w:color w:val="101820"/>
          <w:sz w:val="21"/>
        </w:rPr>
        <w:t>The Controller:</w:t>
      </w:r>
    </w:p>
    <w:p>
      <w:pPr>
        <w:pStyle w:val="Normal"/>
        <w:numPr>
          <w:ilvl w:val="0"/>
          <w:numId w:val="49"/>
        </w:numPr>
        <w:spacing w:before="0" w:after="60"/>
        <w:rPr/>
      </w:pPr>
      <w:r>
        <w:rPr>
          <w:rFonts w:eastAsia="Segoe UI" w:cs="Segoe UI" w:ascii="Segoe UI" w:hAnsi="Segoe UI"/>
          <w:color w:val="101820"/>
          <w:sz w:val="21"/>
        </w:rPr>
        <w:t>ensures it has a lawful basis for the processing and gives data subjects the information the DPA requires, including about the Processor and any transfer outside the Philippines;</w:t>
      </w:r>
    </w:p>
    <w:p>
      <w:pPr>
        <w:pStyle w:val="Normal"/>
        <w:numPr>
          <w:ilvl w:val="0"/>
          <w:numId w:val="50"/>
        </w:numPr>
        <w:spacing w:before="0" w:after="60"/>
        <w:rPr/>
      </w:pPr>
      <w:r>
        <w:rPr>
          <w:rFonts w:eastAsia="Segoe UI" w:cs="Segoe UI" w:ascii="Segoe UI" w:hAnsi="Segoe UI"/>
          <w:color w:val="101820"/>
          <w:sz w:val="21"/>
        </w:rPr>
        <w:t>appoints a DPO and registers its data processing systems with the NPC where required;</w:t>
      </w:r>
    </w:p>
    <w:p>
      <w:pPr>
        <w:pStyle w:val="Normal"/>
        <w:numPr>
          <w:ilvl w:val="0"/>
          <w:numId w:val="51"/>
        </w:numPr>
        <w:spacing w:before="0" w:after="60"/>
        <w:rPr/>
      </w:pPr>
      <w:r>
        <w:rPr>
          <w:rFonts w:eastAsia="Segoe UI" w:cs="Segoe UI" w:ascii="Segoe UI" w:hAnsi="Segoe UI"/>
          <w:color w:val="101820"/>
          <w:sz w:val="21"/>
        </w:rPr>
        <w:t>gives only lawful instructions and configures iNXT BrokerVerse (roles, two-step verification, retention settings) in line with its privacy management programme;</w:t>
      </w:r>
    </w:p>
    <w:p>
      <w:pPr>
        <w:pStyle w:val="Normal"/>
        <w:numPr>
          <w:ilvl w:val="0"/>
          <w:numId w:val="52"/>
        </w:numPr>
        <w:spacing w:before="0" w:after="60"/>
        <w:rPr/>
      </w:pPr>
      <w:r>
        <w:rPr>
          <w:rFonts w:eastAsia="Segoe UI" w:cs="Segoe UI" w:ascii="Segoe UI" w:hAnsi="Segoe UI"/>
          <w:color w:val="101820"/>
          <w:sz w:val="21"/>
        </w:rPr>
        <w:t>does not send Personal Data to the Processor beyond what the Services need (for example, covers client personal data in screenshots attached to tickets);</w:t>
      </w:r>
    </w:p>
    <w:p>
      <w:pPr>
        <w:pStyle w:val="Normal"/>
        <w:numPr>
          <w:ilvl w:val="0"/>
          <w:numId w:val="53"/>
        </w:numPr>
        <w:spacing w:before="0" w:after="60"/>
        <w:rPr/>
      </w:pPr>
      <w:r>
        <w:rPr>
          <w:rFonts w:eastAsia="Segoe UI" w:cs="Segoe UI" w:ascii="Segoe UI" w:hAnsi="Segoe UI"/>
          <w:color w:val="101820"/>
          <w:sz w:val="21"/>
        </w:rPr>
        <w:t>records consent, marketing opt-outs and withdrawals of consent, using the consent function of iNXT BrokerVerse or its own records.</w:t>
      </w:r>
      <w:r>
        <w:br w:type="page"/>
      </w:r>
    </w:p>
    <w:p>
      <w:pPr>
        <w:pStyle w:val="Heading1"/>
        <w:rPr/>
      </w:pPr>
      <w:bookmarkStart w:id="29" w:name="__RefHeading___Toc45456_4049217194"/>
      <w:bookmarkEnd w:id="29"/>
      <w:r>
        <w:rPr>
          <w:rFonts w:eastAsia="Segoe UI" w:cs="Segoe UI" w:ascii="Segoe UI" w:hAnsi="Segoe UI"/>
          <w:b/>
          <w:color w:val="0F4761"/>
          <w:sz w:val="32"/>
        </w:rPr>
        <w:t>14.  Liability and term</w:t>
      </w:r>
    </w:p>
    <w:p>
      <w:pPr>
        <w:pStyle w:val="Normal"/>
        <w:numPr>
          <w:ilvl w:val="0"/>
          <w:numId w:val="54"/>
        </w:numPr>
        <w:spacing w:before="0" w:after="60"/>
        <w:rPr/>
      </w:pPr>
      <w:r>
        <w:rPr>
          <w:rFonts w:eastAsia="Segoe UI" w:cs="Segoe UI" w:ascii="Segoe UI" w:hAnsi="Segoe UI"/>
          <w:color w:val="101820"/>
          <w:sz w:val="21"/>
        </w:rPr>
        <w:t>Liability under this Agreement is governed by the Limitation of liability clause of the MSA, including any specific cap for data protection stated there.</w:t>
      </w:r>
    </w:p>
    <w:p>
      <w:pPr>
        <w:pStyle w:val="Normal"/>
        <w:numPr>
          <w:ilvl w:val="0"/>
          <w:numId w:val="55"/>
        </w:numPr>
        <w:spacing w:before="0" w:after="60"/>
        <w:rPr/>
      </w:pPr>
      <w:r>
        <w:rPr>
          <w:rFonts w:eastAsia="Segoe UI" w:cs="Segoe UI" w:ascii="Segoe UI" w:hAnsi="Segoe UI"/>
          <w:color w:val="101820"/>
          <w:sz w:val="21"/>
        </w:rPr>
        <w:t>This Agreement starts on the date of the first Order Form under which the Processor processes Personal Data and ends when the Processor no longer holds any Personal Data of the Controller. The obligations on confidentiality, return and deletion survive.</w:t>
      </w:r>
    </w:p>
    <w:p>
      <w:pPr>
        <w:pStyle w:val="Normal"/>
        <w:numPr>
          <w:ilvl w:val="0"/>
          <w:numId w:val="56"/>
        </w:numPr>
        <w:spacing w:before="0" w:after="60"/>
        <w:rPr/>
      </w:pPr>
      <w:r>
        <w:rPr>
          <w:rFonts w:eastAsia="Segoe UI" w:cs="Segoe UI" w:ascii="Segoe UI" w:hAnsi="Segoe UI"/>
          <w:color w:val="101820"/>
          <w:sz w:val="21"/>
        </w:rPr>
        <w:t>If this Agreement conflicts with the MSA or an Order Form on the processing of Personal Data, this Agreement prevails.</w:t>
      </w:r>
    </w:p>
    <w:p>
      <w:pPr>
        <w:pStyle w:val="Normal"/>
        <w:numPr>
          <w:ilvl w:val="0"/>
          <w:numId w:val="57"/>
        </w:numPr>
        <w:spacing w:before="0" w:after="60"/>
        <w:rPr/>
      </w:pPr>
      <w:r>
        <w:rPr>
          <w:rFonts w:eastAsia="Segoe UI" w:cs="Segoe UI" w:ascii="Segoe UI" w:hAnsi="Segoe UI"/>
          <w:color w:val="101820"/>
          <w:sz w:val="21"/>
        </w:rPr>
        <w:t>This Agreement is governed by Philippine law. Disputes are resolved under the Dispute resolution clause of the MSA, without prejudice to the powers of the NPC.</w:t>
      </w:r>
      <w:r>
        <w:br w:type="page"/>
      </w:r>
    </w:p>
    <w:p>
      <w:pPr>
        <w:pStyle w:val="Heading1"/>
        <w:rPr/>
      </w:pPr>
      <w:bookmarkStart w:id="30" w:name="__RefHeading___Toc45458_4049217194"/>
      <w:bookmarkEnd w:id="30"/>
      <w:r>
        <w:rPr>
          <w:rFonts w:eastAsia="Segoe UI" w:cs="Segoe UI" w:ascii="Segoe UI" w:hAnsi="Segoe UI"/>
          <w:b/>
          <w:color w:val="0F4761"/>
          <w:sz w:val="32"/>
        </w:rPr>
        <w:t>15.  Signatures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70"/>
        <w:gridCol w:w="4444"/>
      </w:tblGrid>
      <w:tr>
        <w:trPr>
          <w:tblHeader w:val="true"/>
        </w:trPr>
        <w:tc>
          <w:tcPr>
            <w:tcW w:w="45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[Client legal name] (Controller)</w:t>
            </w:r>
          </w:p>
        </w:tc>
        <w:tc>
          <w:tcPr>
            <w:tcW w:w="44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iorta TechNXT Corp. (Processor)</w:t>
            </w:r>
          </w:p>
        </w:tc>
      </w:tr>
      <w:tr>
        <w:trPr/>
        <w:tc>
          <w:tcPr>
            <w:tcW w:w="4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c>
          <w:tcPr>
            <w:tcW w:w="4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r>
      <w:tr>
        <w:trPr/>
        <w:tc>
          <w:tcPr>
            <w:tcW w:w="4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c>
          <w:tcPr>
            <w:tcW w:w="4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r>
      <w:tr>
        <w:trPr/>
        <w:tc>
          <w:tcPr>
            <w:tcW w:w="4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c>
          <w:tcPr>
            <w:tcW w:w="4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r>
      <w:tr>
        <w:trPr/>
        <w:tc>
          <w:tcPr>
            <w:tcW w:w="4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c>
          <w:tcPr>
            <w:tcW w:w="4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r>
      <w:tr>
        <w:trPr/>
        <w:tc>
          <w:tcPr>
            <w:tcW w:w="4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DPO: [name]</w:t>
            </w:r>
          </w:p>
        </w:tc>
        <w:tc>
          <w:tcPr>
            <w:tcW w:w="4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DPO: [name]</w:t>
            </w:r>
          </w:p>
        </w:tc>
      </w:tr>
    </w:tbl>
    <w:p>
      <w:pPr>
        <w:pStyle w:val="Heading1"/>
        <w:rPr/>
      </w:pPr>
      <w:r>
        <w:br w:type="page"/>
      </w:r>
      <w:bookmarkStart w:id="31" w:name="__RefHeading___Toc45460_4049217194"/>
      <w:bookmarkEnd w:id="31"/>
      <w:r>
        <w:rPr>
          <w:rFonts w:eastAsia="Segoe UI" w:cs="Segoe UI" w:ascii="Segoe UI" w:hAnsi="Segoe UI"/>
          <w:b/>
          <w:color w:val="0F4761"/>
          <w:sz w:val="32"/>
        </w:rPr>
        <w:t>16.  Annex 1: description of the processing</w:t>
      </w:r>
    </w:p>
    <w:p>
      <w:pPr>
        <w:pStyle w:val="Heading2"/>
        <w:rPr/>
      </w:pPr>
      <w:bookmarkStart w:id="32" w:name="__RefHeading___Toc45462_4049217194"/>
      <w:bookmarkEnd w:id="32"/>
      <w:r>
        <w:rPr>
          <w:rFonts w:eastAsia="Segoe UI" w:cs="Segoe UI"/>
          <w:b/>
          <w:color w:val="0F4761"/>
          <w:sz w:val="26"/>
        </w:rPr>
        <w:t>16.1  Purpose and nature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51"/>
        <w:gridCol w:w="6362"/>
      </w:tblGrid>
      <w:tr>
        <w:trPr>
          <w:tblHeader w:val="true"/>
        </w:trPr>
        <w:tc>
          <w:tcPr>
            <w:tcW w:w="265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3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Provision of iNXT BrokerVerse OOTB to the Controller for its business as an insurance broker: implementation and data migration, hosting (where the Processor hosts), support and maintenance</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Nature of processing</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 by upload and migration, recording, organisation, storage, retrieval, consultation, use, correction, backup, restore, export, transfer to the hosting location, erasure and destruction</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Duration</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Term of the MSA and Order Forms, and until return or deletion</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Frequency</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Continuous where the Processor hosts; occasional for support and data migration where the Controller hosts</w:t>
            </w:r>
          </w:p>
        </w:tc>
      </w:tr>
    </w:tbl>
    <w:p>
      <w:pPr>
        <w:pStyle w:val="Normal"/>
        <w:spacing w:before="0" w:after="80"/>
        <w:rPr/>
      </w:pPr>
      <w:r>
        <w:rPr/>
      </w:r>
    </w:p>
    <w:p>
      <w:pPr>
        <w:pStyle w:val="Heading2"/>
        <w:rPr/>
      </w:pPr>
      <w:bookmarkStart w:id="33" w:name="__RefHeading___Toc45464_4049217194"/>
      <w:bookmarkEnd w:id="33"/>
      <w:r>
        <w:rPr>
          <w:rFonts w:eastAsia="Segoe UI" w:cs="Segoe UI"/>
          <w:b/>
          <w:color w:val="0F4761"/>
          <w:sz w:val="26"/>
        </w:rPr>
        <w:t>16.2  Data subjects and Personal Data</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40"/>
        <w:gridCol w:w="3070"/>
        <w:gridCol w:w="3005"/>
      </w:tblGrid>
      <w:tr>
        <w:trPr>
          <w:tblHeader w:val="true"/>
        </w:trPr>
        <w:tc>
          <w:tcPr>
            <w:tcW w:w="29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 subjects</w:t>
            </w:r>
          </w:p>
        </w:tc>
        <w:tc>
          <w:tcPr>
            <w:tcW w:w="30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Personal Data</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Sensitive personal information</w:t>
            </w:r>
          </w:p>
        </w:tc>
      </w:tr>
      <w:tr>
        <w:trPr/>
        <w:tc>
          <w:tcPr>
            <w:tcW w:w="2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and prospects</w:t>
            </w:r>
          </w:p>
        </w:tc>
        <w:tc>
          <w:tcPr>
            <w:tcW w:w="3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company, e-mail, phone, birth date, gender, address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Birth date (age) where captured</w:t>
            </w:r>
          </w:p>
        </w:tc>
      </w:tr>
      <w:tr>
        <w:trPr/>
        <w:tc>
          <w:tcPr>
            <w:tcW w:w="2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(insured persons and company contacts)</w:t>
            </w:r>
          </w:p>
        </w:tc>
        <w:tc>
          <w:tcPr>
            <w:tcW w:w="3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e-mail, phone, TIN, birth date, gender, address, credit limit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TIN; birth date</w:t>
            </w:r>
          </w:p>
        </w:tc>
      </w:tr>
      <w:tr>
        <w:trPr/>
        <w:tc>
          <w:tcPr>
            <w:tcW w:w="2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Insured risks</w:t>
            </w:r>
          </w:p>
        </w:tc>
        <w:tc>
          <w:tcPr>
            <w:tcW w:w="3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 plate, chassis and engine numbers; property locations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w:t>
            </w:r>
          </w:p>
        </w:tc>
      </w:tr>
      <w:tr>
        <w:trPr/>
        <w:tc>
          <w:tcPr>
            <w:tcW w:w="2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KYC</w:t>
            </w:r>
          </w:p>
        </w:tc>
        <w:tc>
          <w:tcPr>
            <w:tcW w:w="3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Government ID type and number (PhilSys ID, UMID, passport, driver's licence and others), ID image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Government-issued identifiers</w:t>
            </w:r>
          </w:p>
        </w:tc>
      </w:tr>
      <w:tr>
        <w:trPr/>
        <w:tc>
          <w:tcPr>
            <w:tcW w:w="2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Claimants and payees</w:t>
            </w:r>
          </w:p>
        </w:tc>
        <w:tc>
          <w:tcPr>
            <w:tcW w:w="3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details, description, settlement amounts, payee and bank details, claim documents and photos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Health information in accident or injury claims</w:t>
            </w:r>
          </w:p>
        </w:tc>
      </w:tr>
      <w:tr>
        <w:trPr/>
        <w:tc>
          <w:tcPr>
            <w:tcW w:w="2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Payments</w:t>
            </w:r>
          </w:p>
        </w:tc>
        <w:tc>
          <w:tcPr>
            <w:tcW w:w="3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references, amounts, gateway notifications (no card numbers)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w:t>
            </w:r>
          </w:p>
        </w:tc>
      </w:tr>
      <w:tr>
        <w:trPr/>
        <w:tc>
          <w:tcPr>
            <w:tcW w:w="2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Referrers and sub-agents</w:t>
            </w:r>
          </w:p>
        </w:tc>
        <w:tc>
          <w:tcPr>
            <w:tcW w:w="3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bank account, withholding tax data</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TIN</w:t>
            </w:r>
          </w:p>
        </w:tc>
      </w:tr>
      <w:tr>
        <w:trPr/>
        <w:tc>
          <w:tcPr>
            <w:tcW w:w="2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users of the Controller</w:t>
            </w:r>
          </w:p>
        </w:tc>
        <w:tc>
          <w:tcPr>
            <w:tcW w:w="3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username, e-mail, roles, sign-in history with IP address and browser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w:t>
            </w:r>
          </w:p>
        </w:tc>
      </w:tr>
    </w:tbl>
    <w:p>
      <w:pPr>
        <w:pStyle w:val="Heading1"/>
        <w:rPr/>
      </w:pPr>
      <w:r>
        <w:br w:type="page"/>
      </w:r>
      <w:bookmarkStart w:id="34" w:name="__RefHeading___Toc45466_4049217194"/>
      <w:bookmarkEnd w:id="34"/>
      <w:r>
        <w:rPr>
          <w:rFonts w:eastAsia="Segoe UI" w:cs="Segoe UI" w:ascii="Segoe UI" w:hAnsi="Segoe UI"/>
          <w:b/>
          <w:color w:val="0F4761"/>
          <w:sz w:val="32"/>
        </w:rPr>
        <w:t>17.  Annex 2: security measures</w:t>
      </w:r>
    </w:p>
    <w:p>
      <w:pPr>
        <w:pStyle w:val="Heading2"/>
        <w:rPr/>
      </w:pPr>
      <w:bookmarkStart w:id="35" w:name="__RefHeading___Toc45468_4049217194"/>
      <w:bookmarkEnd w:id="35"/>
      <w:r>
        <w:rPr>
          <w:rFonts w:eastAsia="Segoe UI" w:cs="Segoe UI"/>
          <w:b/>
          <w:color w:val="0F4761"/>
          <w:sz w:val="26"/>
        </w:rPr>
        <w:t>17.1  Organisational</w:t>
      </w:r>
    </w:p>
    <w:p>
      <w:pPr>
        <w:pStyle w:val="Normal"/>
        <w:numPr>
          <w:ilvl w:val="0"/>
          <w:numId w:val="1"/>
        </w:numPr>
        <w:spacing w:before="0" w:after="60"/>
        <w:rPr/>
      </w:pPr>
      <w:r>
        <w:rPr>
          <w:rFonts w:eastAsia="Segoe UI" w:cs="Segoe UI" w:ascii="Segoe UI" w:hAnsi="Segoe UI"/>
          <w:color w:val="101820"/>
          <w:sz w:val="21"/>
        </w:rPr>
        <w:t>A DPO and a data privacy and security policy; privacy training for all staff with access to Personal Data, at least yearly.</w:t>
      </w:r>
    </w:p>
    <w:p>
      <w:pPr>
        <w:pStyle w:val="Normal"/>
        <w:numPr>
          <w:ilvl w:val="0"/>
          <w:numId w:val="1"/>
        </w:numPr>
        <w:spacing w:before="0" w:after="60"/>
        <w:rPr/>
      </w:pPr>
      <w:r>
        <w:rPr>
          <w:rFonts w:eastAsia="Segoe UI" w:cs="Segoe UI" w:ascii="Segoe UI" w:hAnsi="Segoe UI"/>
          <w:color w:val="101820"/>
          <w:sz w:val="21"/>
        </w:rPr>
        <w:t>Confidentiality undertakings for staff and contractors.</w:t>
      </w:r>
    </w:p>
    <w:p>
      <w:pPr>
        <w:pStyle w:val="Normal"/>
        <w:numPr>
          <w:ilvl w:val="0"/>
          <w:numId w:val="1"/>
        </w:numPr>
        <w:spacing w:before="0" w:after="60"/>
        <w:rPr/>
      </w:pPr>
      <w:r>
        <w:rPr>
          <w:rFonts w:eastAsia="Segoe UI" w:cs="Segoe UI" w:ascii="Segoe UI" w:hAnsi="Segoe UI"/>
          <w:color w:val="101820"/>
          <w:sz w:val="21"/>
        </w:rPr>
        <w:t>Access to production Personal Data only for named support and operations staff who need it, under change and ticket control.</w:t>
      </w:r>
    </w:p>
    <w:p>
      <w:pPr>
        <w:pStyle w:val="Normal"/>
        <w:numPr>
          <w:ilvl w:val="0"/>
          <w:numId w:val="1"/>
        </w:numPr>
        <w:spacing w:before="0" w:after="60"/>
        <w:rPr/>
      </w:pPr>
      <w:r>
        <w:rPr>
          <w:rFonts w:eastAsia="Segoe UI" w:cs="Segoe UI" w:ascii="Segoe UI" w:hAnsi="Segoe UI"/>
          <w:color w:val="101820"/>
          <w:sz w:val="21"/>
        </w:rPr>
        <w:t>Incident and breach response procedure with defined roles and timelines.</w:t>
      </w:r>
    </w:p>
    <w:p>
      <w:pPr>
        <w:pStyle w:val="Normal"/>
        <w:numPr>
          <w:ilvl w:val="0"/>
          <w:numId w:val="1"/>
        </w:numPr>
        <w:spacing w:before="0" w:after="60"/>
        <w:rPr/>
      </w:pPr>
      <w:r>
        <w:rPr>
          <w:rFonts w:eastAsia="Segoe UI" w:cs="Segoe UI" w:ascii="Segoe UI" w:hAnsi="Segoe UI"/>
          <w:color w:val="101820"/>
          <w:sz w:val="21"/>
        </w:rPr>
        <w:t>Production Personal Data is not copied to development or test environments without masking.</w:t>
      </w:r>
    </w:p>
    <w:p>
      <w:pPr>
        <w:pStyle w:val="Heading2"/>
        <w:rPr/>
      </w:pPr>
      <w:bookmarkStart w:id="36" w:name="__RefHeading___Toc45470_4049217194"/>
      <w:bookmarkEnd w:id="36"/>
      <w:r>
        <w:rPr>
          <w:rFonts w:eastAsia="Segoe UI" w:cs="Segoe UI"/>
          <w:b/>
          <w:color w:val="0F4761"/>
          <w:sz w:val="26"/>
        </w:rPr>
        <w:t>17.2  Physical</w:t>
      </w:r>
    </w:p>
    <w:p>
      <w:pPr>
        <w:pStyle w:val="Normal"/>
        <w:numPr>
          <w:ilvl w:val="0"/>
          <w:numId w:val="1"/>
        </w:numPr>
        <w:spacing w:before="0" w:after="60"/>
        <w:rPr/>
      </w:pPr>
      <w:r>
        <w:rPr>
          <w:rFonts w:eastAsia="Segoe UI" w:cs="Segoe UI" w:ascii="Segoe UI" w:hAnsi="Segoe UI"/>
          <w:color w:val="101820"/>
          <w:sz w:val="21"/>
        </w:rPr>
        <w:t>Hosting in data centres of providers with independent certification (ISO/IEC 27001 or equivalent), or, for a local partner, evidence of physical security, power and cooling redundancy.</w:t>
      </w:r>
    </w:p>
    <w:p>
      <w:pPr>
        <w:pStyle w:val="Normal"/>
        <w:numPr>
          <w:ilvl w:val="0"/>
          <w:numId w:val="1"/>
        </w:numPr>
        <w:spacing w:before="0" w:after="60"/>
        <w:rPr/>
      </w:pPr>
      <w:r>
        <w:rPr>
          <w:rFonts w:eastAsia="Segoe UI" w:cs="Segoe UI" w:ascii="Segoe UI" w:hAnsi="Segoe UI"/>
          <w:color w:val="101820"/>
          <w:sz w:val="21"/>
        </w:rPr>
        <w:t>Offices of the Processor with controlled access; clear desk and screen policy.</w:t>
      </w:r>
    </w:p>
    <w:p>
      <w:pPr>
        <w:pStyle w:val="Heading2"/>
        <w:rPr/>
      </w:pPr>
      <w:bookmarkStart w:id="37" w:name="__RefHeading___Toc45472_4049217194"/>
      <w:bookmarkEnd w:id="37"/>
      <w:r>
        <w:rPr>
          <w:rFonts w:eastAsia="Segoe UI" w:cs="Segoe UI"/>
          <w:b/>
          <w:color w:val="0F4761"/>
          <w:sz w:val="26"/>
        </w:rPr>
        <w:t>17.3  Technical (application)</w:t>
      </w:r>
    </w:p>
    <w:p>
      <w:pPr>
        <w:pStyle w:val="Normal"/>
        <w:numPr>
          <w:ilvl w:val="0"/>
          <w:numId w:val="1"/>
        </w:numPr>
        <w:spacing w:before="0" w:after="60"/>
        <w:rPr/>
      </w:pPr>
      <w:r>
        <w:rPr>
          <w:rFonts w:eastAsia="Segoe UI" w:cs="Segoe UI" w:ascii="Segoe UI" w:hAnsi="Segoe UI"/>
          <w:color w:val="101820"/>
          <w:sz w:val="21"/>
        </w:rPr>
        <w:t>Named user accounts; passwords of at least 8 characters with four character classes, a 5-password history, 90-day age and lockout after 5 failed attempts; idle sign-out after 30 minutes.</w:t>
      </w:r>
    </w:p>
    <w:p>
      <w:pPr>
        <w:pStyle w:val="Normal"/>
        <w:numPr>
          <w:ilvl w:val="0"/>
          <w:numId w:val="1"/>
        </w:numPr>
        <w:spacing w:before="0" w:after="60"/>
        <w:rPr/>
      </w:pPr>
      <w:r>
        <w:rPr>
          <w:rFonts w:eastAsia="Segoe UI" w:cs="Segoe UI" w:ascii="Segoe UI" w:hAnsi="Segoe UI"/>
          <w:color w:val="101820"/>
          <w:sz w:val="21"/>
        </w:rPr>
        <w:t>Two-step verification (time-based one-time codes), compulsory for the roles the Controller sets.</w:t>
      </w:r>
    </w:p>
    <w:p>
      <w:pPr>
        <w:pStyle w:val="Normal"/>
        <w:numPr>
          <w:ilvl w:val="0"/>
          <w:numId w:val="1"/>
        </w:numPr>
        <w:spacing w:before="0" w:after="60"/>
        <w:rPr/>
      </w:pPr>
      <w:r>
        <w:rPr>
          <w:rFonts w:eastAsia="Segoe UI" w:cs="Segoe UI" w:ascii="Segoe UI" w:hAnsi="Segoe UI"/>
          <w:color w:val="101820"/>
          <w:sz w:val="21"/>
        </w:rPr>
        <w:t>Seven roles with read and write permissions, deny by default, checked by the server on every action; maker-checker approvals, authority matrix and segregation of duties checks.</w:t>
      </w:r>
    </w:p>
    <w:p>
      <w:pPr>
        <w:pStyle w:val="Normal"/>
        <w:numPr>
          <w:ilvl w:val="0"/>
          <w:numId w:val="1"/>
        </w:numPr>
        <w:spacing w:before="0" w:after="60"/>
        <w:rPr/>
      </w:pPr>
      <w:r>
        <w:rPr>
          <w:rFonts w:eastAsia="Segoe UI" w:cs="Segoe UI" w:ascii="Segoe UI" w:hAnsi="Segoe UI"/>
          <w:color w:val="101820"/>
          <w:sz w:val="21"/>
        </w:rPr>
        <w:t>Audit trail of every create, update, approval, report run and sign-in, with before and after values.</w:t>
      </w:r>
    </w:p>
    <w:p>
      <w:pPr>
        <w:pStyle w:val="Normal"/>
        <w:numPr>
          <w:ilvl w:val="0"/>
          <w:numId w:val="1"/>
        </w:numPr>
        <w:spacing w:before="0" w:after="60"/>
        <w:rPr/>
      </w:pPr>
      <w:r>
        <w:rPr>
          <w:rFonts w:eastAsia="Segoe UI" w:cs="Segoe UI" w:ascii="Segoe UI" w:hAnsi="Segoe UI"/>
          <w:color w:val="101820"/>
          <w:sz w:val="21"/>
        </w:rPr>
        <w:t>Documents served only to signed-in users or through signed links that expire; upload types checked against file content.</w:t>
      </w:r>
    </w:p>
    <w:p>
      <w:pPr>
        <w:pStyle w:val="Normal"/>
        <w:numPr>
          <w:ilvl w:val="0"/>
          <w:numId w:val="1"/>
        </w:numPr>
        <w:spacing w:before="0" w:after="60"/>
        <w:rPr/>
      </w:pPr>
      <w:r>
        <w:rPr>
          <w:rFonts w:eastAsia="Segoe UI" w:cs="Segoe UI" w:ascii="Segoe UI" w:hAnsi="Segoe UI"/>
          <w:color w:val="101820"/>
          <w:sz w:val="21"/>
        </w:rPr>
        <w:t>Passwords hashed; two-step secrets encrypted at rest; passwords and tokens redacted from logs.</w:t>
      </w:r>
    </w:p>
    <w:p>
      <w:pPr>
        <w:pStyle w:val="Heading2"/>
        <w:rPr/>
      </w:pPr>
      <w:bookmarkStart w:id="38" w:name="__RefHeading___Toc45474_4049217194"/>
      <w:bookmarkEnd w:id="38"/>
      <w:r>
        <w:rPr>
          <w:rFonts w:eastAsia="Segoe UI" w:cs="Segoe UI"/>
          <w:b/>
          <w:color w:val="0F4761"/>
          <w:sz w:val="26"/>
        </w:rPr>
        <w:t>17.4  Technical (infrastructure, where the Processor hosts)</w:t>
      </w:r>
    </w:p>
    <w:p>
      <w:pPr>
        <w:pStyle w:val="Normal"/>
        <w:numPr>
          <w:ilvl w:val="0"/>
          <w:numId w:val="1"/>
        </w:numPr>
        <w:spacing w:before="0" w:after="60"/>
        <w:rPr/>
      </w:pPr>
      <w:r>
        <w:rPr>
          <w:rFonts w:eastAsia="Segoe UI" w:cs="Segoe UI" w:ascii="Segoe UI" w:hAnsi="Segoe UI"/>
          <w:color w:val="101820"/>
          <w:sz w:val="21"/>
        </w:rPr>
        <w:t>Encryption in transit (HTTPS, TLS to the database) and at rest (database, file store, backups).</w:t>
      </w:r>
    </w:p>
    <w:p>
      <w:pPr>
        <w:pStyle w:val="Normal"/>
        <w:numPr>
          <w:ilvl w:val="0"/>
          <w:numId w:val="1"/>
        </w:numPr>
        <w:spacing w:before="0" w:after="60"/>
        <w:rPr/>
      </w:pPr>
      <w:r>
        <w:rPr>
          <w:rFonts w:eastAsia="Segoe UI" w:cs="Segoe UI" w:ascii="Segoe UI" w:hAnsi="Segoe UI"/>
          <w:color w:val="101820"/>
          <w:sz w:val="21"/>
        </w:rPr>
        <w:t>Network zones with private application and data zones; WAF; administrator access with multi-factor sign-in, logged.</w:t>
      </w:r>
    </w:p>
    <w:p>
      <w:pPr>
        <w:pStyle w:val="Normal"/>
        <w:numPr>
          <w:ilvl w:val="0"/>
          <w:numId w:val="1"/>
        </w:numPr>
        <w:spacing w:before="0" w:after="60"/>
        <w:rPr/>
      </w:pPr>
      <w:r>
        <w:rPr>
          <w:rFonts w:eastAsia="Segoe UI" w:cs="Segoe UI" w:ascii="Segoe UI" w:hAnsi="Segoe UI"/>
          <w:color w:val="101820"/>
          <w:sz w:val="21"/>
        </w:rPr>
        <w:t>Secrets in a secret store, separate per environment, with a sealed escrow copy of the data encryption key under dual control.</w:t>
      </w:r>
    </w:p>
    <w:p>
      <w:pPr>
        <w:pStyle w:val="Normal"/>
        <w:numPr>
          <w:ilvl w:val="0"/>
          <w:numId w:val="1"/>
        </w:numPr>
        <w:spacing w:before="0" w:after="60"/>
        <w:rPr/>
      </w:pPr>
      <w:r>
        <w:rPr>
          <w:rFonts w:eastAsia="Segoe UI" w:cs="Segoe UI" w:ascii="Segoe UI" w:hAnsi="Segoe UI"/>
          <w:color w:val="101820"/>
          <w:sz w:val="21"/>
        </w:rPr>
        <w:t>Daily backups with point-in-time recovery, restore tests quarterly, and the retention and recovery objectives of the Hosting and Infrastructure Services Agreement.</w:t>
      </w:r>
    </w:p>
    <w:p>
      <w:pPr>
        <w:pStyle w:val="Normal"/>
        <w:numPr>
          <w:ilvl w:val="0"/>
          <w:numId w:val="1"/>
        </w:numPr>
        <w:spacing w:before="0" w:after="60"/>
        <w:rPr/>
      </w:pPr>
      <w:r>
        <w:rPr>
          <w:rFonts w:eastAsia="Segoe UI" w:cs="Segoe UI" w:ascii="Segoe UI" w:hAnsi="Segoe UI"/>
          <w:color w:val="101820"/>
          <w:sz w:val="21"/>
        </w:rPr>
        <w:t>Monitoring and alarms, including on failed sign-ins and token reuse; patching monthly, critical security patches within 14 days and high within 30 days; yearly independent penetration test.</w:t>
      </w:r>
      <w:r>
        <w:br w:type="page"/>
      </w:r>
    </w:p>
    <w:p>
      <w:pPr>
        <w:pStyle w:val="Heading1"/>
        <w:rPr/>
      </w:pPr>
      <w:bookmarkStart w:id="39" w:name="__RefHeading___Toc45476_4049217194"/>
      <w:bookmarkEnd w:id="39"/>
      <w:r>
        <w:rPr>
          <w:rFonts w:eastAsia="Segoe UI" w:cs="Segoe UI" w:ascii="Segoe UI" w:hAnsi="Segoe UI"/>
          <w:b/>
          <w:color w:val="0F4761"/>
          <w:sz w:val="32"/>
        </w:rPr>
        <w:t>18.  Annex 3: authorised sub-processors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89"/>
        <w:gridCol w:w="1743"/>
        <w:gridCol w:w="1711"/>
        <w:gridCol w:w="2770"/>
      </w:tblGrid>
      <w:tr>
        <w:trPr>
          <w:tblHeader w:val="true"/>
        </w:trPr>
        <w:tc>
          <w:tcPr>
            <w:tcW w:w="27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Sub-processor</w:t>
            </w:r>
          </w:p>
        </w:tc>
        <w:tc>
          <w:tcPr>
            <w:tcW w:w="17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Service</w:t>
            </w:r>
          </w:p>
        </w:tc>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Location of processing</w:t>
            </w:r>
          </w:p>
        </w:tc>
        <w:tc>
          <w:tcPr>
            <w:tcW w:w="27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Applies to</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[Amazon Web Services, Inc. or its Philippine or Singapore contracting entity]</w:t>
            </w:r>
          </w:p>
        </w:tc>
        <w:tc>
          <w:tcPr>
            <w:tcW w:w="1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Cloud hosting (option A)</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Singapore (ap-southeast-1)</w:t>
            </w:r>
          </w:p>
        </w:tc>
        <w:tc>
          <w:tcPr>
            <w:tcW w:w="27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by the Processor on AWS</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[Microsoft Corporation or its contracting entity]</w:t>
            </w:r>
          </w:p>
        </w:tc>
        <w:tc>
          <w:tcPr>
            <w:tcW w:w="1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Cloud hosting (option B)</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Singapore (Southeast Asia)</w:t>
            </w:r>
          </w:p>
        </w:tc>
        <w:tc>
          <w:tcPr>
            <w:tcW w:w="27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by the Processor on Azure</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[Local partner name]</w:t>
            </w:r>
          </w:p>
        </w:tc>
        <w:tc>
          <w:tcPr>
            <w:tcW w:w="1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centre hosting (option C)</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[city], Philippines</w:t>
            </w:r>
          </w:p>
        </w:tc>
        <w:tc>
          <w:tcPr>
            <w:tcW w:w="27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by the Processor with a local partner</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delivery provider, if the Processor provides the mailbox]</w:t>
            </w:r>
          </w:p>
        </w:tc>
        <w:tc>
          <w:tcPr>
            <w:tcW w:w="1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Outgoing e-mail</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[location]</w:t>
            </w:r>
          </w:p>
        </w:tc>
        <w:tc>
          <w:tcPr>
            <w:tcW w:w="27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if the Controller does not provide its own SMTP mailbox</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tooling provider]</w:t>
            </w:r>
          </w:p>
        </w:tc>
        <w:tc>
          <w:tcPr>
            <w:tcW w:w="1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Ticketing and service desk</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[location]</w:t>
            </w:r>
          </w:p>
        </w:tc>
        <w:tc>
          <w:tcPr>
            <w:tcW w:w="27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Tickets (Controller to cover personal data in attachments)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Only the sub-processors that apply to the hosting option and services in the Order Form are authorised. The list is kept up to date under the Sub-processors clause.</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40" w:name="__RefHeading___Toc45478_4049217194"/>
      <w:bookmarkStart w:id="41" w:name="_Toc233203395"/>
      <w:bookmarkEnd w:id="40"/>
      <w:r>
        <w:rPr>
          <w:rStyle w:val="BookTitle"/>
          <w:bCs w:val="false"/>
          <w:i w:val="false"/>
          <w:iCs w:val="false"/>
          <w:spacing w:val="0"/>
        </w:rPr>
        <w:t>19.  Document Sign-Off</w:t>
      </w:r>
      <w:bookmarkEnd w:id="41"/>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and completion by the parties' legal counsel and data protection officers before signature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6">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5">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5">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2"/>
    <w:lvlOverride w:ilvl="0">
      <w:startOverride w:val="1"/>
    </w:lvlOverride>
  </w:num>
  <w:num w:numId="16">
    <w:abstractNumId w:val="2"/>
    <w:lvlOverride w:ilvl="0">
      <w:startOverride w:val="1"/>
    </w:lvlOverride>
  </w:num>
  <w:num w:numId="17">
    <w:abstractNumId w:val="2"/>
  </w:num>
  <w:num w:numId="18">
    <w:abstractNumId w:val="2"/>
  </w:num>
  <w:num w:numId="19">
    <w:abstractNumId w:val="2"/>
  </w:num>
  <w:num w:numId="20">
    <w:abstractNumId w:val="2"/>
    <w:lvlOverride w:ilvl="0">
      <w:startOverride w:val="1"/>
    </w:lvlOverride>
  </w:num>
  <w:num w:numId="21">
    <w:abstractNumId w:val="2"/>
  </w:num>
  <w:num w:numId="22">
    <w:abstractNumId w:val="2"/>
  </w:num>
  <w:num w:numId="23">
    <w:abstractNumId w:val="2"/>
    <w:lvlOverride w:ilvl="0">
      <w:startOverride w:val="1"/>
    </w:lvlOverride>
  </w:num>
  <w:num w:numId="24">
    <w:abstractNumId w:val="2"/>
  </w:num>
  <w:num w:numId="25">
    <w:abstractNumId w:val="2"/>
  </w:num>
  <w:num w:numId="26">
    <w:abstractNumId w:val="2"/>
    <w:lvlOverride w:ilvl="0">
      <w:startOverride w:val="1"/>
    </w:lvlOverride>
  </w:num>
  <w:num w:numId="27">
    <w:abstractNumId w:val="2"/>
  </w:num>
  <w:num w:numId="28">
    <w:abstractNumId w:val="2"/>
  </w:num>
  <w:num w:numId="29">
    <w:abstractNumId w:val="2"/>
  </w:num>
  <w:num w:numId="30">
    <w:abstractNumId w:val="2"/>
  </w:num>
  <w:num w:numId="31">
    <w:abstractNumId w:val="2"/>
    <w:lvlOverride w:ilvl="0">
      <w:startOverride w:val="1"/>
    </w:lvlOverride>
  </w:num>
  <w:num w:numId="32">
    <w:abstractNumId w:val="2"/>
  </w:num>
  <w:num w:numId="33">
    <w:abstractNumId w:val="2"/>
    <w:lvlOverride w:ilvl="0">
      <w:startOverride w:val="1"/>
    </w:lvlOverride>
  </w:num>
  <w:num w:numId="34">
    <w:abstractNumId w:val="2"/>
  </w:num>
  <w:num w:numId="35">
    <w:abstractNumId w:val="2"/>
  </w:num>
  <w:num w:numId="36">
    <w:abstractNumId w:val="2"/>
    <w:lvlOverride w:ilvl="0">
      <w:startOverride w:val="1"/>
    </w:lvlOverride>
  </w:num>
  <w:num w:numId="37">
    <w:abstractNumId w:val="2"/>
  </w:num>
  <w:num w:numId="38">
    <w:abstractNumId w:val="2"/>
  </w:num>
  <w:num w:numId="39">
    <w:abstractNumId w:val="2"/>
  </w:num>
  <w:num w:numId="40">
    <w:abstractNumId w:val="2"/>
    <w:lvlOverride w:ilvl="0">
      <w:startOverride w:val="1"/>
    </w:lvlOverride>
  </w:num>
  <w:num w:numId="41">
    <w:abstractNumId w:val="2"/>
  </w:num>
  <w:num w:numId="42">
    <w:abstractNumId w:val="2"/>
  </w:num>
  <w:num w:numId="43">
    <w:abstractNumId w:val="2"/>
  </w:num>
  <w:num w:numId="44">
    <w:abstractNumId w:val="2"/>
    <w:lvlOverride w:ilvl="0">
      <w:startOverride w:val="1"/>
    </w:lvlOverride>
  </w:num>
  <w:num w:numId="45">
    <w:abstractNumId w:val="2"/>
  </w:num>
  <w:num w:numId="46">
    <w:abstractNumId w:val="2"/>
  </w:num>
  <w:num w:numId="47">
    <w:abstractNumId w:val="2"/>
  </w:num>
  <w:num w:numId="48">
    <w:abstractNumId w:val="2"/>
  </w:num>
  <w:num w:numId="49">
    <w:abstractNumId w:val="2"/>
    <w:lvlOverride w:ilvl="0">
      <w:startOverride w:val="1"/>
    </w:lvlOverride>
  </w:num>
  <w:num w:numId="50">
    <w:abstractNumId w:val="2"/>
  </w:num>
  <w:num w:numId="51">
    <w:abstractNumId w:val="2"/>
  </w:num>
  <w:num w:numId="52">
    <w:abstractNumId w:val="2"/>
  </w:num>
  <w:num w:numId="53">
    <w:abstractNumId w:val="2"/>
  </w:num>
  <w:num w:numId="54">
    <w:abstractNumId w:val="2"/>
    <w:lvlOverride w:ilvl="0">
      <w:startOverride w:val="1"/>
    </w:lvlOverride>
  </w:num>
  <w:num w:numId="55">
    <w:abstractNumId w:val="2"/>
  </w:num>
  <w:num w:numId="56">
    <w:abstractNumId w:val="2"/>
  </w:num>
  <w:num w:numId="57">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2026-10-04T01:45:59Z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