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(SaaS)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(SaaS)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7098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7100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7102_4049217194">
            <w:r>
              <w:rPr>
                <w:webHidden/>
                <w:rStyle w:val="IndexLink"/>
              </w:rPr>
              <w:t>3. About this template</w:t>
              <w:tab/>
              <w:t>4</w:t>
            </w:r>
          </w:hyperlink>
        </w:p>
        <w:p>
          <w:pPr>
            <w:pStyle w:val="TOC1"/>
            <w:tabs>
              <w:tab w:val="clear" w:pos="900"/>
              <w:tab w:val="clear" w:pos="9350"/>
              <w:tab w:val="right" w:pos="9025" w:leader="dot"/>
            </w:tabs>
            <w:rPr/>
          </w:pPr>
          <w:hyperlink w:anchor="__RefHeading___Toc37104_4049217194">
            <w:r>
              <w:rPr>
                <w:webHidden/>
                <w:rStyle w:val="IndexLink"/>
              </w:rPr>
              <w:t>4. Agreement and definitions</w:t>
              <w:tab/>
              <w:t>5</w:t>
            </w:r>
          </w:hyperlink>
        </w:p>
        <w:p>
          <w:pPr>
            <w:pStyle w:val="TOC2"/>
            <w:tabs>
              <w:tab w:val="clear" w:pos="900"/>
              <w:tab w:val="clear" w:pos="9350"/>
              <w:tab w:val="right" w:pos="9025" w:leader="dot"/>
            </w:tabs>
            <w:rPr/>
          </w:pPr>
          <w:hyperlink w:anchor="__RefHeading___Toc37106_4049217194">
            <w:r>
              <w:rPr>
                <w:webHidden/>
                <w:rStyle w:val="IndexLink"/>
              </w:rPr>
              <w:t>4.1 Parties</w:t>
              <w:tab/>
              <w:t>5</w:t>
            </w:r>
          </w:hyperlink>
        </w:p>
        <w:p>
          <w:pPr>
            <w:pStyle w:val="TOC2"/>
            <w:tabs>
              <w:tab w:val="clear" w:pos="900"/>
              <w:tab w:val="clear" w:pos="9350"/>
              <w:tab w:val="right" w:pos="9025" w:leader="dot"/>
            </w:tabs>
            <w:rPr/>
          </w:pPr>
          <w:hyperlink w:anchor="__RefHeading___Toc37108_4049217194">
            <w:r>
              <w:rPr>
                <w:webHidden/>
                <w:rStyle w:val="IndexLink"/>
              </w:rPr>
              <w:t>4.2 Definitions</w:t>
              <w:tab/>
              <w:t>5</w:t>
            </w:r>
          </w:hyperlink>
        </w:p>
        <w:p>
          <w:pPr>
            <w:pStyle w:val="TOC1"/>
            <w:tabs>
              <w:tab w:val="clear" w:pos="900"/>
              <w:tab w:val="clear" w:pos="9350"/>
              <w:tab w:val="right" w:pos="9025" w:leader="dot"/>
            </w:tabs>
            <w:rPr/>
          </w:pPr>
          <w:hyperlink w:anchor="__RefHeading___Toc37110_4049217194">
            <w:r>
              <w:rPr>
                <w:webHidden/>
                <w:rStyle w:val="IndexLink"/>
              </w:rPr>
              <w:t>5. Subscription</w:t>
              <w:tab/>
              <w:t>6</w:t>
            </w:r>
          </w:hyperlink>
        </w:p>
        <w:p>
          <w:pPr>
            <w:pStyle w:val="TOC2"/>
            <w:tabs>
              <w:tab w:val="clear" w:pos="900"/>
              <w:tab w:val="clear" w:pos="9350"/>
              <w:tab w:val="right" w:pos="9025" w:leader="dot"/>
            </w:tabs>
            <w:rPr/>
          </w:pPr>
          <w:hyperlink w:anchor="__RefHeading___Toc37112_4049217194">
            <w:r>
              <w:rPr>
                <w:webHidden/>
                <w:rStyle w:val="IndexLink"/>
              </w:rPr>
              <w:t>5.1 Right of use</w:t>
              <w:tab/>
              <w:t>6</w:t>
            </w:r>
          </w:hyperlink>
        </w:p>
        <w:p>
          <w:pPr>
            <w:pStyle w:val="TOC2"/>
            <w:tabs>
              <w:tab w:val="clear" w:pos="900"/>
              <w:tab w:val="clear" w:pos="9350"/>
              <w:tab w:val="right" w:pos="9025" w:leader="dot"/>
            </w:tabs>
            <w:rPr/>
          </w:pPr>
          <w:hyperlink w:anchor="__RefHeading___Toc37114_4049217194">
            <w:r>
              <w:rPr>
                <w:webHidden/>
                <w:rStyle w:val="IndexLink"/>
              </w:rPr>
              <w:t>5.2 Users and slabs</w:t>
              <w:tab/>
              <w:t>6</w:t>
            </w:r>
          </w:hyperlink>
        </w:p>
        <w:p>
          <w:pPr>
            <w:pStyle w:val="TOC2"/>
            <w:tabs>
              <w:tab w:val="clear" w:pos="900"/>
              <w:tab w:val="clear" w:pos="9350"/>
              <w:tab w:val="right" w:pos="9025" w:leader="dot"/>
            </w:tabs>
            <w:rPr/>
          </w:pPr>
          <w:hyperlink w:anchor="__RefHeading___Toc37116_4049217194">
            <w:r>
              <w:rPr>
                <w:webHidden/>
                <w:rStyle w:val="IndexLink"/>
              </w:rPr>
              <w:t>5.3 Adding and reducing users</w:t>
              <w:tab/>
              <w:t>6</w:t>
            </w:r>
          </w:hyperlink>
        </w:p>
        <w:p>
          <w:pPr>
            <w:pStyle w:val="TOC1"/>
            <w:tabs>
              <w:tab w:val="clear" w:pos="900"/>
              <w:tab w:val="clear" w:pos="9350"/>
              <w:tab w:val="right" w:pos="9025" w:leader="dot"/>
            </w:tabs>
            <w:rPr/>
          </w:pPr>
          <w:hyperlink w:anchor="__RefHeading___Toc37118_4049217194">
            <w:r>
              <w:rPr>
                <w:webHidden/>
                <w:rStyle w:val="IndexLink"/>
              </w:rPr>
              <w:t>6. Term and renewal</w:t>
              <w:tab/>
              <w:t>7</w:t>
            </w:r>
          </w:hyperlink>
        </w:p>
        <w:p>
          <w:pPr>
            <w:pStyle w:val="TOC2"/>
            <w:tabs>
              <w:tab w:val="clear" w:pos="900"/>
              <w:tab w:val="clear" w:pos="9350"/>
              <w:tab w:val="right" w:pos="9025" w:leader="dot"/>
            </w:tabs>
            <w:rPr/>
          </w:pPr>
          <w:hyperlink w:anchor="__RefHeading___Toc37120_4049217194">
            <w:r>
              <w:rPr>
                <w:webHidden/>
                <w:rStyle w:val="IndexLink"/>
              </w:rPr>
              <w:t>6.1 Initial Term</w:t>
              <w:tab/>
              <w:t>7</w:t>
            </w:r>
          </w:hyperlink>
        </w:p>
        <w:p>
          <w:pPr>
            <w:pStyle w:val="TOC2"/>
            <w:tabs>
              <w:tab w:val="clear" w:pos="900"/>
              <w:tab w:val="clear" w:pos="9350"/>
              <w:tab w:val="right" w:pos="9025" w:leader="dot"/>
            </w:tabs>
            <w:rPr/>
          </w:pPr>
          <w:hyperlink w:anchor="__RefHeading___Toc37122_4049217194">
            <w:r>
              <w:rPr>
                <w:webHidden/>
                <w:rStyle w:val="IndexLink"/>
              </w:rPr>
              <w:t>6.2 Auto-renewal</w:t>
              <w:tab/>
              <w:t>7</w:t>
            </w:r>
          </w:hyperlink>
        </w:p>
        <w:p>
          <w:pPr>
            <w:pStyle w:val="TOC2"/>
            <w:tabs>
              <w:tab w:val="clear" w:pos="900"/>
              <w:tab w:val="clear" w:pos="9350"/>
              <w:tab w:val="right" w:pos="9025" w:leader="dot"/>
            </w:tabs>
            <w:rPr/>
          </w:pPr>
          <w:hyperlink w:anchor="__RefHeading___Toc37124_4049217194">
            <w:r>
              <w:rPr>
                <w:webHidden/>
                <w:rStyle w:val="IndexLink"/>
              </w:rPr>
              <w:t>6.3 Committed term</w:t>
              <w:tab/>
              <w:t>7</w:t>
            </w:r>
          </w:hyperlink>
        </w:p>
        <w:p>
          <w:pPr>
            <w:pStyle w:val="TOC1"/>
            <w:tabs>
              <w:tab w:val="clear" w:pos="900"/>
              <w:tab w:val="clear" w:pos="9350"/>
              <w:tab w:val="right" w:pos="9025" w:leader="dot"/>
            </w:tabs>
            <w:rPr/>
          </w:pPr>
          <w:hyperlink w:anchor="__RefHeading___Toc37126_4049217194">
            <w:r>
              <w:rPr>
                <w:webHidden/>
                <w:rStyle w:val="IndexLink"/>
              </w:rPr>
              <w:t>7. Fees and billing</w:t>
              <w:tab/>
              <w:t>8</w:t>
            </w:r>
          </w:hyperlink>
        </w:p>
        <w:p>
          <w:pPr>
            <w:pStyle w:val="TOC2"/>
            <w:tabs>
              <w:tab w:val="clear" w:pos="900"/>
              <w:tab w:val="clear" w:pos="9350"/>
              <w:tab w:val="right" w:pos="9025" w:leader="dot"/>
            </w:tabs>
            <w:rPr/>
          </w:pPr>
          <w:hyperlink w:anchor="__RefHeading___Toc37128_4049217194">
            <w:r>
              <w:rPr>
                <w:webHidden/>
                <w:rStyle w:val="IndexLink"/>
              </w:rPr>
              <w:t>7.1 Onboarding Fee</w:t>
              <w:tab/>
              <w:t>8</w:t>
            </w:r>
          </w:hyperlink>
        </w:p>
        <w:p>
          <w:pPr>
            <w:pStyle w:val="TOC2"/>
            <w:tabs>
              <w:tab w:val="clear" w:pos="900"/>
              <w:tab w:val="clear" w:pos="9350"/>
              <w:tab w:val="right" w:pos="9025" w:leader="dot"/>
            </w:tabs>
            <w:rPr/>
          </w:pPr>
          <w:hyperlink w:anchor="__RefHeading___Toc37130_4049217194">
            <w:r>
              <w:rPr>
                <w:webHidden/>
                <w:rStyle w:val="IndexLink"/>
              </w:rPr>
              <w:t>7.2 Monthly Fee</w:t>
              <w:tab/>
              <w:t>8</w:t>
            </w:r>
          </w:hyperlink>
        </w:p>
        <w:p>
          <w:pPr>
            <w:pStyle w:val="TOC2"/>
            <w:tabs>
              <w:tab w:val="clear" w:pos="900"/>
              <w:tab w:val="clear" w:pos="9350"/>
              <w:tab w:val="right" w:pos="9025" w:leader="dot"/>
            </w:tabs>
            <w:rPr/>
          </w:pPr>
          <w:hyperlink w:anchor="__RefHeading___Toc37132_4049217194">
            <w:r>
              <w:rPr>
                <w:webHidden/>
                <w:rStyle w:val="IndexLink"/>
              </w:rPr>
              <w:t>7.3 Suspension for non-payment</w:t>
              <w:tab/>
              <w:t>8</w:t>
            </w:r>
          </w:hyperlink>
        </w:p>
        <w:p>
          <w:pPr>
            <w:pStyle w:val="TOC1"/>
            <w:tabs>
              <w:tab w:val="clear" w:pos="900"/>
              <w:tab w:val="clear" w:pos="9350"/>
              <w:tab w:val="right" w:pos="9025" w:leader="dot"/>
            </w:tabs>
            <w:rPr/>
          </w:pPr>
          <w:hyperlink w:anchor="__RefHeading___Toc37134_4049217194">
            <w:r>
              <w:rPr>
                <w:webHidden/>
                <w:rStyle w:val="IndexLink"/>
              </w:rPr>
              <w:t>8. Acceptable use</w:t>
              <w:tab/>
              <w:t>9</w:t>
            </w:r>
          </w:hyperlink>
        </w:p>
        <w:p>
          <w:pPr>
            <w:pStyle w:val="TOC1"/>
            <w:tabs>
              <w:tab w:val="clear" w:pos="900"/>
              <w:tab w:val="clear" w:pos="9350"/>
              <w:tab w:val="right" w:pos="9025" w:leader="dot"/>
            </w:tabs>
            <w:rPr/>
          </w:pPr>
          <w:hyperlink w:anchor="__RefHeading___Toc37136_4049217194">
            <w:r>
              <w:rPr>
                <w:webHidden/>
                <w:rStyle w:val="IndexLink"/>
              </w:rPr>
              <w:t>9. Service levels</w:t>
              <w:tab/>
              <w:t>10</w:t>
            </w:r>
          </w:hyperlink>
        </w:p>
        <w:p>
          <w:pPr>
            <w:pStyle w:val="TOC1"/>
            <w:tabs>
              <w:tab w:val="clear" w:pos="900"/>
              <w:tab w:val="clear" w:pos="9350"/>
              <w:tab w:val="right" w:pos="9025" w:leader="dot"/>
            </w:tabs>
            <w:rPr/>
          </w:pPr>
          <w:hyperlink w:anchor="__RefHeading___Toc37138_4049217194">
            <w:r>
              <w:rPr>
                <w:webHidden/>
                <w:rStyle w:val="IndexLink"/>
              </w:rPr>
              <w:t>10. Client Data on exit</w:t>
              <w:tab/>
              <w:t>11</w:t>
            </w:r>
          </w:hyperlink>
        </w:p>
        <w:p>
          <w:pPr>
            <w:pStyle w:val="TOC2"/>
            <w:tabs>
              <w:tab w:val="clear" w:pos="900"/>
              <w:tab w:val="clear" w:pos="9350"/>
              <w:tab w:val="right" w:pos="9025" w:leader="dot"/>
            </w:tabs>
            <w:rPr/>
          </w:pPr>
          <w:hyperlink w:anchor="__RefHeading___Toc37140_4049217194">
            <w:r>
              <w:rPr>
                <w:webHidden/>
                <w:rStyle w:val="IndexLink"/>
              </w:rPr>
              <w:t>10.1 Data during the term</w:t>
              <w:tab/>
              <w:t>11</w:t>
            </w:r>
          </w:hyperlink>
        </w:p>
        <w:p>
          <w:pPr>
            <w:pStyle w:val="TOC2"/>
            <w:tabs>
              <w:tab w:val="clear" w:pos="900"/>
              <w:tab w:val="clear" w:pos="9350"/>
              <w:tab w:val="right" w:pos="9025" w:leader="dot"/>
            </w:tabs>
            <w:rPr/>
          </w:pPr>
          <w:hyperlink w:anchor="__RefHeading___Toc37142_4049217194">
            <w:r>
              <w:rPr>
                <w:webHidden/>
                <w:rStyle w:val="IndexLink"/>
              </w:rPr>
              <w:t>10.2 Data return</w:t>
              <w:tab/>
              <w:t>11</w:t>
            </w:r>
          </w:hyperlink>
        </w:p>
        <w:p>
          <w:pPr>
            <w:pStyle w:val="TOC2"/>
            <w:tabs>
              <w:tab w:val="clear" w:pos="900"/>
              <w:tab w:val="clear" w:pos="9350"/>
              <w:tab w:val="right" w:pos="9025" w:leader="dot"/>
            </w:tabs>
            <w:rPr/>
          </w:pPr>
          <w:hyperlink w:anchor="__RefHeading___Toc37144_4049217194">
            <w:r>
              <w:rPr>
                <w:webHidden/>
                <w:rStyle w:val="IndexLink"/>
              </w:rPr>
              <w:t>10.3 Data deletion</w:t>
              <w:tab/>
              <w:t>11</w:t>
            </w:r>
          </w:hyperlink>
        </w:p>
        <w:p>
          <w:pPr>
            <w:pStyle w:val="TOC1"/>
            <w:tabs>
              <w:tab w:val="clear" w:pos="900"/>
              <w:tab w:val="clear" w:pos="9350"/>
              <w:tab w:val="right" w:pos="9025" w:leader="dot"/>
            </w:tabs>
            <w:rPr/>
          </w:pPr>
          <w:hyperlink w:anchor="__RefHeading___Toc37146_4049217194">
            <w:r>
              <w:rPr>
                <w:webHidden/>
                <w:rStyle w:val="IndexLink"/>
              </w:rPr>
              <w:t>11. Term and termination</w:t>
              <w:tab/>
              <w:t>12</w:t>
            </w:r>
          </w:hyperlink>
        </w:p>
        <w:p>
          <w:pPr>
            <w:pStyle w:val="TOC1"/>
            <w:tabs>
              <w:tab w:val="clear" w:pos="900"/>
              <w:tab w:val="clear" w:pos="9350"/>
              <w:tab w:val="right" w:pos="9025" w:leader="dot"/>
            </w:tabs>
            <w:rPr/>
          </w:pPr>
          <w:hyperlink w:anchor="__RefHeading___Toc37148_4049217194">
            <w:r>
              <w:rPr>
                <w:webHidden/>
                <w:rStyle w:val="IndexLink"/>
              </w:rPr>
              <w:t>12. Signatures</w:t>
              <w:tab/>
              <w:t>13</w:t>
            </w:r>
          </w:hyperlink>
        </w:p>
        <w:p>
          <w:pPr>
            <w:pStyle w:val="TOC1"/>
            <w:tabs>
              <w:tab w:val="clear" w:pos="900"/>
              <w:tab w:val="clear" w:pos="9350"/>
              <w:tab w:val="right" w:pos="9025" w:leader="dot"/>
            </w:tabs>
            <w:rPr/>
          </w:pPr>
          <w:hyperlink w:anchor="__RefHeading___Toc37150_4049217194">
            <w:r>
              <w:rPr>
                <w:webHidden/>
                <w:rStyle w:val="IndexLink"/>
              </w:rPr>
              <w:t>13. Schedule 1: subscription details</w:t>
              <w:tab/>
              <w:t>14</w:t>
            </w:r>
          </w:hyperlink>
        </w:p>
        <w:p>
          <w:pPr>
            <w:pStyle w:val="TOC1"/>
            <w:tabs>
              <w:tab w:val="clear" w:pos="900"/>
              <w:tab w:val="clear" w:pos="9350"/>
              <w:tab w:val="right" w:pos="9025" w:leader="dot"/>
            </w:tabs>
            <w:rPr/>
          </w:pPr>
          <w:hyperlink w:anchor="__RefHeading___Toc37152_4049217194">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7098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7100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7102_404921719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Software Subscription Agreement (the </w:t>
      </w:r>
      <w:r>
        <w:rPr>
          <w:rFonts w:eastAsia="Segoe UI" w:cs="Segoe UI" w:ascii="Segoe UI" w:hAnsi="Segoe UI"/>
          <w:b/>
          <w:color w:val="101820"/>
          <w:sz w:val="21"/>
        </w:rPr>
        <w:t>Subscription Agreement</w:t>
      </w:r>
      <w:r>
        <w:rPr>
          <w:rFonts w:eastAsia="Segoe UI" w:cs="Segoe UI" w:ascii="Segoe UI" w:hAnsi="Segoe UI"/>
          <w:color w:val="101820"/>
          <w:sz w:val="21"/>
        </w:rPr>
        <w:t xml:space="preserve">) sets the terms of a subscription to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37104_4049217194"/>
      <w:bookmarkEnd w:id="7"/>
      <w:r>
        <w:rPr>
          <w:rFonts w:eastAsia="Segoe UI" w:cs="Segoe UI" w:ascii="Segoe UI" w:hAnsi="Segoe UI"/>
          <w:b/>
          <w:color w:val="0F4761"/>
          <w:sz w:val="32"/>
        </w:rPr>
        <w:t>4.  Agreement and definitions</w:t>
      </w:r>
    </w:p>
    <w:p>
      <w:pPr>
        <w:pStyle w:val="Heading2"/>
        <w:rPr/>
      </w:pPr>
      <w:bookmarkStart w:id="8" w:name="__RefHeading___Toc37106_4049217194"/>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Subscription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37108_4049217194"/>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right to use the Platform for the Subscription Term, with updates and standard support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 Term and each Renewal Term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committed term stated in the Order Form, starting on Go-Live; at least 12 months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period of 12 months after the Initial Term, unless the Order Form states another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changed under this Subscription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higher of the Subscribed Users and the minimum billable users of the Client's size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monthly subscription fee for the Billable Users, calculated on the graduated slabs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setting up the Subscription, equal to the implementation fee unless the Order Form states otherwise</w:t>
            </w:r>
          </w:p>
        </w:tc>
      </w:tr>
    </w:tbl>
    <w:p>
      <w:pPr>
        <w:pStyle w:val="Heading1"/>
        <w:rPr/>
      </w:pPr>
      <w:r>
        <w:br w:type="page"/>
      </w:r>
      <w:bookmarkStart w:id="10" w:name="__RefHeading___Toc37110_4049217194"/>
      <w:bookmarkEnd w:id="10"/>
      <w:r>
        <w:rPr>
          <w:rFonts w:eastAsia="Segoe UI" w:cs="Segoe UI" w:ascii="Segoe UI" w:hAnsi="Segoe UI"/>
          <w:b/>
          <w:color w:val="0F4761"/>
          <w:sz w:val="32"/>
        </w:rPr>
        <w:t>5.  Subscription</w:t>
      </w:r>
    </w:p>
    <w:p>
      <w:pPr>
        <w:pStyle w:val="Heading2"/>
        <w:rPr/>
      </w:pPr>
      <w:bookmarkStart w:id="11" w:name="__RefHeading___Toc37112_4049217194"/>
      <w:bookmarkEnd w:id="11"/>
      <w:r>
        <w:rPr>
          <w:rFonts w:eastAsia="Segoe UI" w:cs="Segoe UI"/>
          <w:b/>
          <w:color w:val="0F4761"/>
          <w:sz w:val="26"/>
        </w:rPr>
        <w:t>5.1  Right of use</w:t>
      </w:r>
    </w:p>
    <w:p>
      <w:pPr>
        <w:pStyle w:val="Normal"/>
        <w:numPr>
          <w:ilvl w:val="0"/>
          <w:numId w:val="11"/>
        </w:numPr>
        <w:spacing w:before="0" w:after="60"/>
        <w:rPr/>
      </w:pPr>
      <w:r>
        <w:rPr>
          <w:rFonts w:eastAsia="Segoe UI" w:cs="Segoe UI" w:ascii="Segoe UI" w:hAnsi="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pStyle w:val="Normal"/>
        <w:numPr>
          <w:ilvl w:val="0"/>
          <w:numId w:val="1"/>
        </w:numPr>
        <w:spacing w:before="0" w:after="60"/>
        <w:rPr/>
      </w:pPr>
      <w:r>
        <w:rPr>
          <w:rFonts w:eastAsia="Segoe UI" w:cs="Segoe UI" w:ascii="Segoe UI" w:hAnsi="Segoe UI"/>
          <w:color w:val="101820"/>
          <w:sz w:val="21"/>
        </w:rPr>
        <w:t>The Subscription includes: the right of use of the OOTB version; updates, releases and regulatory form updates released for all customers; and standard support under the Service Level Agreement.</w:t>
      </w:r>
    </w:p>
    <w:p>
      <w:pPr>
        <w:pStyle w:val="Normal"/>
        <w:numPr>
          <w:ilvl w:val="0"/>
          <w:numId w:val="1"/>
        </w:numPr>
        <w:spacing w:before="0" w:after="60"/>
        <w:rPr/>
      </w:pPr>
      <w:r>
        <w:rPr>
          <w:rFonts w:eastAsia="Segoe UI" w:cs="Segoe UI" w:ascii="Segoe UI" w:hAnsi="Segoe UI"/>
          <w:color w:val="101820"/>
          <w:sz w:val="21"/>
        </w:rPr>
        <w:t>Hosting is not included in the Subscription. The Platform is hosted either by iorta TechNXT under the Hosting and Infrastructure Services Agreement or by the Client, as stated in the Order Form.</w:t>
      </w:r>
    </w:p>
    <w:p>
      <w:pPr>
        <w:pStyle w:val="Normal"/>
        <w:numPr>
          <w:ilvl w:val="0"/>
          <w:numId w:val="1"/>
        </w:numPr>
        <w:spacing w:before="0" w:after="60"/>
        <w:rPr/>
      </w:pPr>
      <w:r>
        <w:rPr>
          <w:rFonts w:eastAsia="Segoe UI" w:cs="Segoe UI" w:ascii="Segoe UI" w:hAnsi="Segoe UI"/>
          <w:color w:val="101820"/>
          <w:sz w:val="21"/>
        </w:rPr>
        <w:t>The restrictions in the Perpetual Software Licence Agreement (Restrictions clause) apply to the Subscription with the necessary changes.</w:t>
      </w:r>
    </w:p>
    <w:p>
      <w:pPr>
        <w:pStyle w:val="Heading2"/>
        <w:rPr/>
      </w:pPr>
      <w:bookmarkStart w:id="12" w:name="__RefHeading___Toc37114_4049217194"/>
      <w:bookmarkEnd w:id="12"/>
      <w:r>
        <w:rPr>
          <w:rFonts w:eastAsia="Segoe UI" w:cs="Segoe UI"/>
          <w:b/>
          <w:color w:val="0F4761"/>
          <w:sz w:val="26"/>
        </w:rPr>
        <w:t>5.2  Users and slabs</w:t>
      </w:r>
    </w:p>
    <w:p>
      <w:pPr>
        <w:pStyle w:val="Normal"/>
        <w:spacing w:lineRule="auto" w:line="276" w:before="0" w:after="120"/>
        <w:rPr/>
      </w:pPr>
      <w:r>
        <w:rPr>
          <w:rFonts w:eastAsia="Segoe UI" w:cs="Segoe UI" w:ascii="Segoe UI" w:hAnsi="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numPr>
          <w:ilvl w:val="0"/>
          <w:numId w:val="12"/>
        </w:numPr>
        <w:spacing w:before="0" w:after="60"/>
        <w:rPr/>
      </w:pPr>
      <w:r>
        <w:rPr>
          <w:rFonts w:eastAsia="Segoe UI" w:cs="Segoe UI" w:ascii="Segoe UI" w:hAnsi="Segoe UI"/>
          <w:color w:val="101820"/>
          <w:sz w:val="21"/>
        </w:rPr>
        <w:t>The size is set by the number of Subscribed Users. The minimum billable users of the size apply even if fewer users are active.</w:t>
      </w:r>
    </w:p>
    <w:p>
      <w:pPr>
        <w:pStyle w:val="Normal"/>
        <w:numPr>
          <w:ilvl w:val="0"/>
          <w:numId w:val="13"/>
        </w:numPr>
        <w:spacing w:before="0" w:after="60"/>
        <w:rPr/>
      </w:pPr>
      <w:r>
        <w:rPr>
          <w:rFonts w:eastAsia="Segoe UI" w:cs="Segoe UI" w:ascii="Segoe UI" w:hAnsi="Segoe UI"/>
          <w:color w:val="101820"/>
          <w:sz w:val="21"/>
        </w:rPr>
        <w:t>Example: 40 Subscribed Users are billed as 25 users at PHP 3,200.00 and 15 users at PHP 2,800.00, which is PHP 122,000.00 a month in Year 1.</w:t>
      </w:r>
    </w:p>
    <w:p>
      <w:pPr>
        <w:pStyle w:val="Normal"/>
        <w:numPr>
          <w:ilvl w:val="0"/>
          <w:numId w:val="14"/>
        </w:numPr>
        <w:spacing w:before="0" w:after="60"/>
        <w:rPr/>
      </w:pPr>
      <w:r>
        <w:rPr>
          <w:rFonts w:eastAsia="Segoe UI" w:cs="Segoe UI" w:ascii="Segoe UI" w:hAnsi="Segoe UI"/>
          <w:color w:val="101820"/>
          <w:sz w:val="21"/>
        </w:rPr>
        <w:t>The rates above are list rates of the price book dated 03 October 2026. The rates of the signed Order Form prevail.</w:t>
      </w:r>
    </w:p>
    <w:p>
      <w:pPr>
        <w:pStyle w:val="Heading2"/>
        <w:rPr/>
      </w:pPr>
      <w:bookmarkStart w:id="13" w:name="__RefHeading___Toc37116_4049217194"/>
      <w:bookmarkEnd w:id="13"/>
      <w:r>
        <w:rPr>
          <w:rFonts w:eastAsia="Segoe UI" w:cs="Segoe UI"/>
          <w:b/>
          <w:color w:val="0F4761"/>
          <w:sz w:val="26"/>
        </w:rPr>
        <w:t>5.3  Adding and reducing users</w:t>
      </w:r>
    </w:p>
    <w:p>
      <w:pPr>
        <w:pStyle w:val="Normal"/>
        <w:numPr>
          <w:ilvl w:val="0"/>
          <w:numId w:val="15"/>
        </w:numPr>
        <w:spacing w:before="0" w:after="60"/>
        <w:rPr/>
      </w:pPr>
      <w:r>
        <w:rPr>
          <w:rFonts w:eastAsia="Segoe UI" w:cs="Segoe UI" w:ascii="Segoe UI" w:hAnsi="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pStyle w:val="Normal"/>
        <w:numPr>
          <w:ilvl w:val="0"/>
          <w:numId w:val="16"/>
        </w:numPr>
        <w:spacing w:before="0" w:after="60"/>
        <w:rPr/>
      </w:pPr>
      <w:r>
        <w:rPr>
          <w:rFonts w:eastAsia="Segoe UI" w:cs="Segoe UI" w:ascii="Segoe UI" w:hAnsi="Segoe UI"/>
          <w:color w:val="101820"/>
          <w:sz w:val="21"/>
        </w:rPr>
        <w:t>The Client may reduce Subscribed Users only with effect from the start of a Renewal Term, on at least 60 days' written notice, and not below the minimum billable users of the size.</w:t>
      </w:r>
    </w:p>
    <w:p>
      <w:pPr>
        <w:pStyle w:val="Normal"/>
        <w:numPr>
          <w:ilvl w:val="0"/>
          <w:numId w:val="17"/>
        </w:numPr>
        <w:spacing w:before="0" w:after="60"/>
        <w:rPr/>
      </w:pPr>
      <w:r>
        <w:rPr>
          <w:rFonts w:eastAsia="Segoe UI" w:cs="Segoe UI" w:ascii="Segoe UI" w:hAnsi="Segoe UI"/>
          <w:color w:val="101820"/>
          <w:sz w:val="21"/>
        </w:rPr>
        <w:t>iorta TechNXT may check the number of active Named Users from the User Management records of the Platform. Active users above the Subscribed Users are billed from the month they first exceeded it.</w:t>
      </w:r>
      <w:r>
        <w:br w:type="page"/>
      </w:r>
    </w:p>
    <w:p>
      <w:pPr>
        <w:pStyle w:val="Heading1"/>
        <w:rPr/>
      </w:pPr>
      <w:bookmarkStart w:id="14" w:name="__RefHeading___Toc37118_4049217194"/>
      <w:bookmarkEnd w:id="14"/>
      <w:r>
        <w:rPr>
          <w:rFonts w:eastAsia="Segoe UI" w:cs="Segoe UI" w:ascii="Segoe UI" w:hAnsi="Segoe UI"/>
          <w:b/>
          <w:color w:val="0F4761"/>
          <w:sz w:val="32"/>
        </w:rPr>
        <w:t>6.  Term and renewal</w:t>
      </w:r>
    </w:p>
    <w:p>
      <w:pPr>
        <w:pStyle w:val="Heading2"/>
        <w:rPr/>
      </w:pPr>
      <w:bookmarkStart w:id="15" w:name="__RefHeading___Toc37120_4049217194"/>
      <w:bookmarkEnd w:id="15"/>
      <w:r>
        <w:rPr>
          <w:rFonts w:eastAsia="Segoe UI" w:cs="Segoe UI"/>
          <w:b/>
          <w:color w:val="0F4761"/>
          <w:sz w:val="26"/>
        </w:rPr>
        <w:t>6.1  Initial Term</w:t>
      </w:r>
    </w:p>
    <w:p>
      <w:pPr>
        <w:pStyle w:val="Normal"/>
        <w:spacing w:lineRule="auto" w:line="276" w:before="0" w:after="120"/>
        <w:rPr/>
      </w:pPr>
      <w:r>
        <w:rPr>
          <w:rFonts w:eastAsia="Segoe UI" w:cs="Segoe UI" w:ascii="Segoe UI" w:hAnsi="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rPr/>
      </w:pPr>
      <w:bookmarkStart w:id="16" w:name="__RefHeading___Toc37122_4049217194"/>
      <w:bookmarkEnd w:id="16"/>
      <w:r>
        <w:rPr>
          <w:rFonts w:eastAsia="Segoe UI" w:cs="Segoe UI"/>
          <w:b/>
          <w:color w:val="0F4761"/>
          <w:sz w:val="26"/>
        </w:rPr>
        <w:t>6.2  Auto-renewal</w:t>
      </w:r>
    </w:p>
    <w:p>
      <w:pPr>
        <w:pStyle w:val="Normal"/>
        <w:spacing w:lineRule="auto" w:line="276" w:before="0" w:after="120"/>
        <w:rPr/>
      </w:pPr>
      <w:r>
        <w:rPr>
          <w:rFonts w:eastAsia="Segoe UI" w:cs="Segoe UI" w:ascii="Segoe UI" w:hAnsi="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rPr/>
      </w:pPr>
      <w:bookmarkStart w:id="17" w:name="__RefHeading___Toc37124_4049217194"/>
      <w:bookmarkEnd w:id="17"/>
      <w:r>
        <w:rPr>
          <w:rFonts w:eastAsia="Segoe UI" w:cs="Segoe UI"/>
          <w:b/>
          <w:color w:val="0F4761"/>
          <w:sz w:val="26"/>
        </w:rPr>
        <w:t>6.3  Committed term</w:t>
      </w:r>
    </w:p>
    <w:p>
      <w:pPr>
        <w:pStyle w:val="Normal"/>
        <w:spacing w:lineRule="auto" w:line="276" w:before="0" w:after="120"/>
        <w:rPr/>
      </w:pPr>
      <w:r>
        <w:rPr>
          <w:rFonts w:eastAsia="Segoe UI" w:cs="Segoe UI" w:ascii="Segoe UI" w:hAnsi="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r>
        <w:br w:type="page"/>
      </w:r>
    </w:p>
    <w:p>
      <w:pPr>
        <w:pStyle w:val="Heading1"/>
        <w:rPr/>
      </w:pPr>
      <w:bookmarkStart w:id="18" w:name="__RefHeading___Toc37126_4049217194"/>
      <w:bookmarkEnd w:id="18"/>
      <w:r>
        <w:rPr>
          <w:rFonts w:eastAsia="Segoe UI" w:cs="Segoe UI" w:ascii="Segoe UI" w:hAnsi="Segoe UI"/>
          <w:b/>
          <w:color w:val="0F4761"/>
          <w:sz w:val="32"/>
        </w:rPr>
        <w:t>7.  Fees and billing</w:t>
      </w:r>
    </w:p>
    <w:p>
      <w:pPr>
        <w:pStyle w:val="Heading2"/>
        <w:rPr/>
      </w:pPr>
      <w:bookmarkStart w:id="19" w:name="__RefHeading___Toc37128_4049217194"/>
      <w:bookmarkEnd w:id="19"/>
      <w:r>
        <w:rPr>
          <w:rFonts w:eastAsia="Segoe UI" w:cs="Segoe UI"/>
          <w:b/>
          <w:color w:val="0F4761"/>
          <w:sz w:val="26"/>
        </w:rPr>
        <w:t>7.1  Onboarding Fee</w:t>
      </w:r>
    </w:p>
    <w:p>
      <w:pPr>
        <w:pStyle w:val="Normal"/>
        <w:spacing w:lineRule="auto" w:line="276" w:before="0" w:after="120"/>
        <w:rPr/>
      </w:pPr>
      <w:r>
        <w:rPr>
          <w:rFonts w:eastAsia="Segoe UI" w:cs="Segoe UI" w:ascii="Segoe UI" w:hAnsi="Segoe UI"/>
          <w:color w:val="101820"/>
          <w:sz w:val="21"/>
        </w:rPr>
        <w:t>The Onboarding Fee is invoiced 40% on signing of the Order Form, 40% on UAT sign-off and 20% on Go-Live, as stated in the Implementation SOW.</w:t>
      </w:r>
    </w:p>
    <w:p>
      <w:pPr>
        <w:pStyle w:val="Heading2"/>
        <w:rPr/>
      </w:pPr>
      <w:bookmarkStart w:id="20" w:name="__RefHeading___Toc37130_4049217194"/>
      <w:bookmarkEnd w:id="20"/>
      <w:r>
        <w:rPr>
          <w:rFonts w:eastAsia="Segoe UI" w:cs="Segoe UI"/>
          <w:b/>
          <w:color w:val="0F4761"/>
          <w:sz w:val="26"/>
        </w:rPr>
        <w:t>7.2  Monthly Fee</w:t>
      </w:r>
    </w:p>
    <w:p>
      <w:pPr>
        <w:pStyle w:val="Normal"/>
        <w:numPr>
          <w:ilvl w:val="0"/>
          <w:numId w:val="18"/>
        </w:numPr>
        <w:spacing w:before="0" w:after="60"/>
        <w:rPr/>
      </w:pPr>
      <w:r>
        <w:rPr>
          <w:rFonts w:eastAsia="Segoe UI" w:cs="Segoe UI" w:ascii="Segoe UI" w:hAnsi="Segoe UI"/>
          <w:color w:val="101820"/>
          <w:sz w:val="21"/>
        </w:rPr>
        <w:t>The Monthly Fee is invoiced monthly in advance, on the first day of each month, from Go-Live. The first and last months are prorated by day.</w:t>
      </w:r>
    </w:p>
    <w:p>
      <w:pPr>
        <w:pStyle w:val="Normal"/>
        <w:numPr>
          <w:ilvl w:val="0"/>
          <w:numId w:val="19"/>
        </w:numPr>
        <w:spacing w:before="0" w:after="60"/>
        <w:rPr/>
      </w:pPr>
      <w:r>
        <w:rPr>
          <w:rFonts w:eastAsia="Segoe UI" w:cs="Segoe UI" w:ascii="Segoe UI" w:hAnsi="Segoe UI"/>
          <w:color w:val="101820"/>
          <w:sz w:val="21"/>
        </w:rPr>
        <w:t>The Monthly Fee increases by 5% at each anniversary of Go-Live, for the Initial Term and every Renewal Term.</w:t>
      </w:r>
    </w:p>
    <w:p>
      <w:pPr>
        <w:pStyle w:val="Normal"/>
        <w:numPr>
          <w:ilvl w:val="0"/>
          <w:numId w:val="20"/>
        </w:numPr>
        <w:spacing w:before="0" w:after="60"/>
        <w:rPr/>
      </w:pPr>
      <w:r>
        <w:rPr>
          <w:rFonts w:eastAsia="Segoe UI" w:cs="Segoe UI" w:ascii="Segoe UI" w:hAnsi="Segoe UI"/>
          <w:color w:val="101820"/>
          <w:sz w:val="21"/>
        </w:rPr>
        <w:t>[Option: if the Order Form states that the Client prepays the Subscription yearly in advance, the Monthly Fee for the year is invoiced at the start of the year with the prepayment discount in the Order Form.]</w:t>
      </w:r>
    </w:p>
    <w:p>
      <w:pPr>
        <w:pStyle w:val="Normal"/>
        <w:numPr>
          <w:ilvl w:val="0"/>
          <w:numId w:val="21"/>
        </w:numPr>
        <w:spacing w:before="0" w:after="60"/>
        <w:rPr/>
      </w:pPr>
      <w:r>
        <w:rPr>
          <w:rFonts w:eastAsia="Segoe UI" w:cs="Segoe UI" w:ascii="Segoe UI" w:hAnsi="Segoe UI"/>
          <w:color w:val="101820"/>
          <w:sz w:val="21"/>
        </w:rPr>
        <w:t>Invoices are payable within 30 days of the invoice date. Fees exclude VAT, which is added at the rate in force. Withholding tax is handled as stated in the Taxes clause of the MSA.</w:t>
      </w:r>
    </w:p>
    <w:p>
      <w:pPr>
        <w:pStyle w:val="Heading2"/>
        <w:rPr/>
      </w:pPr>
      <w:bookmarkStart w:id="21" w:name="__RefHeading___Toc37132_4049217194"/>
      <w:bookmarkEnd w:id="21"/>
      <w:r>
        <w:rPr>
          <w:rFonts w:eastAsia="Segoe UI" w:cs="Segoe UI"/>
          <w:b/>
          <w:color w:val="0F4761"/>
          <w:sz w:val="26"/>
        </w:rPr>
        <w:t>7.3  Suspension for non-payment</w:t>
      </w:r>
    </w:p>
    <w:p>
      <w:pPr>
        <w:pStyle w:val="Normal"/>
        <w:numPr>
          <w:ilvl w:val="0"/>
          <w:numId w:val="22"/>
        </w:numPr>
        <w:spacing w:before="0" w:after="60"/>
        <w:rPr/>
      </w:pPr>
      <w:r>
        <w:rPr>
          <w:rFonts w:eastAsia="Segoe UI" w:cs="Segoe UI" w:ascii="Segoe UI" w:hAnsi="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pStyle w:val="Normal"/>
        <w:numPr>
          <w:ilvl w:val="0"/>
          <w:numId w:val="23"/>
        </w:numPr>
        <w:spacing w:before="0" w:after="60"/>
        <w:rPr/>
      </w:pPr>
      <w:r>
        <w:rPr>
          <w:rFonts w:eastAsia="Segoe UI" w:cs="Segoe UI" w:ascii="Segoe UI" w:hAnsi="Segoe UI"/>
          <w:color w:val="101820"/>
          <w:sz w:val="21"/>
        </w:rPr>
        <w:t>During suspension, Client Data is kept intact and the Client's System Administrator may still sign in to export reports, unless the Client has also breached the Acceptable use clause.</w:t>
      </w:r>
    </w:p>
    <w:p>
      <w:pPr>
        <w:pStyle w:val="Normal"/>
        <w:numPr>
          <w:ilvl w:val="0"/>
          <w:numId w:val="24"/>
        </w:numPr>
        <w:spacing w:before="0" w:after="60"/>
        <w:rPr/>
      </w:pPr>
      <w:r>
        <w:rPr>
          <w:rFonts w:eastAsia="Segoe UI" w:cs="Segoe UI" w:ascii="Segoe UI" w:hAnsi="Segoe UI"/>
          <w:color w:val="101820"/>
          <w:sz w:val="21"/>
        </w:rPr>
        <w:t>iorta TechNXT restores access within 1 Business Day after receiving payment of all overdue amounts. Fees continue to accrue during suspension.</w:t>
      </w:r>
    </w:p>
    <w:p>
      <w:pPr>
        <w:pStyle w:val="Normal"/>
        <w:numPr>
          <w:ilvl w:val="0"/>
          <w:numId w:val="25"/>
        </w:numPr>
        <w:spacing w:before="0" w:after="60"/>
        <w:rPr/>
      </w:pPr>
      <w:r>
        <w:rPr>
          <w:rFonts w:eastAsia="Segoe UI" w:cs="Segoe UI" w:ascii="Segoe UI" w:hAnsi="Segoe UI"/>
          <w:color w:val="101820"/>
          <w:sz w:val="21"/>
        </w:rPr>
        <w:t>If an overdue amount remains unpaid 30 days after suspension starts, iorta TechNXT may terminate the Subscription under the MSA.</w:t>
      </w:r>
      <w:r>
        <w:br w:type="page"/>
      </w:r>
    </w:p>
    <w:p>
      <w:pPr>
        <w:pStyle w:val="Heading1"/>
        <w:rPr/>
      </w:pPr>
      <w:bookmarkStart w:id="22" w:name="__RefHeading___Toc37134_4049217194"/>
      <w:bookmarkEnd w:id="22"/>
      <w:r>
        <w:rPr>
          <w:rFonts w:eastAsia="Segoe UI" w:cs="Segoe UI" w:ascii="Segoe UI" w:hAnsi="Segoe UI"/>
          <w:b/>
          <w:color w:val="0F4761"/>
          <w:sz w:val="32"/>
        </w:rPr>
        <w:t>8.  Acceptable use</w:t>
      </w:r>
    </w:p>
    <w:p>
      <w:pPr>
        <w:pStyle w:val="Normal"/>
        <w:spacing w:lineRule="auto" w:line="276" w:before="0" w:after="120"/>
        <w:rPr/>
      </w:pPr>
      <w:r>
        <w:rPr>
          <w:rFonts w:eastAsia="Segoe UI" w:cs="Segoe UI" w:ascii="Segoe UI" w:hAnsi="Segoe UI"/>
          <w:color w:val="101820"/>
          <w:sz w:val="21"/>
        </w:rPr>
        <w:t>The Client shall not, and shall ensure its Users do not:</w:t>
      </w:r>
    </w:p>
    <w:p>
      <w:pPr>
        <w:pStyle w:val="Normal"/>
        <w:numPr>
          <w:ilvl w:val="0"/>
          <w:numId w:val="26"/>
        </w:numPr>
        <w:spacing w:before="0" w:after="60"/>
        <w:rPr/>
      </w:pPr>
      <w:r>
        <w:rPr>
          <w:rFonts w:eastAsia="Segoe UI" w:cs="Segoe UI" w:ascii="Segoe UI" w:hAnsi="Segoe UI"/>
          <w:color w:val="101820"/>
          <w:sz w:val="21"/>
        </w:rPr>
        <w:t>use the Platform in breach of law, including the Data Privacy Act of 2012, the Insurance Code and the tax laws;</w:t>
      </w:r>
    </w:p>
    <w:p>
      <w:pPr>
        <w:pStyle w:val="Normal"/>
        <w:numPr>
          <w:ilvl w:val="0"/>
          <w:numId w:val="27"/>
        </w:numPr>
        <w:spacing w:before="0" w:after="60"/>
        <w:rPr/>
      </w:pPr>
      <w:r>
        <w:rPr>
          <w:rFonts w:eastAsia="Segoe UI" w:cs="Segoe UI" w:ascii="Segoe UI" w:hAnsi="Segoe UI"/>
          <w:color w:val="101820"/>
          <w:sz w:val="21"/>
        </w:rPr>
        <w:t>upload malicious code, or content that infringes the rights of others;</w:t>
      </w:r>
    </w:p>
    <w:p>
      <w:pPr>
        <w:pStyle w:val="Normal"/>
        <w:numPr>
          <w:ilvl w:val="0"/>
          <w:numId w:val="28"/>
        </w:numPr>
        <w:spacing w:before="0" w:after="60"/>
        <w:rPr/>
      </w:pPr>
      <w:r>
        <w:rPr>
          <w:rFonts w:eastAsia="Segoe UI" w:cs="Segoe UI" w:ascii="Segoe UI" w:hAnsi="Segoe UI"/>
          <w:color w:val="101820"/>
          <w:sz w:val="21"/>
        </w:rPr>
        <w:t>attempt to gain unauthorised access to the Platform or to other customers' data, test its security without written consent, or interfere with its operation;</w:t>
      </w:r>
    </w:p>
    <w:p>
      <w:pPr>
        <w:pStyle w:val="Normal"/>
        <w:numPr>
          <w:ilvl w:val="0"/>
          <w:numId w:val="29"/>
        </w:numPr>
        <w:spacing w:before="0" w:after="60"/>
        <w:rPr/>
      </w:pPr>
      <w:r>
        <w:rPr>
          <w:rFonts w:eastAsia="Segoe UI" w:cs="Segoe UI" w:ascii="Segoe UI" w:hAnsi="Segoe UI"/>
          <w:color w:val="101820"/>
          <w:sz w:val="21"/>
        </w:rPr>
        <w:t>share sign-in credentials, or let a person use the Platform under another person's account;</w:t>
      </w:r>
    </w:p>
    <w:p>
      <w:pPr>
        <w:pStyle w:val="Normal"/>
        <w:numPr>
          <w:ilvl w:val="0"/>
          <w:numId w:val="30"/>
        </w:numPr>
        <w:spacing w:before="0" w:after="60"/>
        <w:rPr/>
      </w:pPr>
      <w:r>
        <w:rPr>
          <w:rFonts w:eastAsia="Segoe UI" w:cs="Segoe UI" w:ascii="Segoe UI" w:hAnsi="Segoe UI"/>
          <w:color w:val="101820"/>
          <w:sz w:val="21"/>
        </w:rPr>
        <w:t>use automated means to extract data in volumes that degrade the service, except through the delivered exports and reports.</w:t>
      </w:r>
    </w:p>
    <w:p>
      <w:pPr>
        <w:pStyle w:val="Normal"/>
        <w:spacing w:lineRule="auto" w:line="276" w:before="0" w:after="120"/>
        <w:rPr/>
      </w:pPr>
      <w:r>
        <w:rPr>
          <w:rFonts w:eastAsia="Segoe UI" w:cs="Segoe UI" w:ascii="Segoe UI" w:hAnsi="Segoe UI"/>
          <w:color w:val="101820"/>
          <w:sz w:val="21"/>
        </w:rPr>
        <w:t>iorta TechNXT may suspend a User account that breaches this clause, informing the Client immediately.</w:t>
      </w:r>
      <w:r>
        <w:br w:type="page"/>
      </w:r>
    </w:p>
    <w:p>
      <w:pPr>
        <w:pStyle w:val="Heading1"/>
        <w:rPr/>
      </w:pPr>
      <w:bookmarkStart w:id="23" w:name="__RefHeading___Toc37136_4049217194"/>
      <w:bookmarkEnd w:id="23"/>
      <w:r>
        <w:rPr>
          <w:rFonts w:eastAsia="Segoe UI" w:cs="Segoe UI" w:ascii="Segoe UI" w:hAnsi="Segoe UI"/>
          <w:b/>
          <w:color w:val="0F4761"/>
          <w:sz w:val="32"/>
        </w:rPr>
        <w:t>9.  Service levels</w:t>
      </w:r>
    </w:p>
    <w:p>
      <w:pPr>
        <w:pStyle w:val="Normal"/>
        <w:spacing w:lineRule="auto" w:line="276" w:before="0" w:after="120"/>
        <w:rPr/>
      </w:pPr>
      <w:r>
        <w:rPr>
          <w:rFonts w:eastAsia="Segoe UI" w:cs="Segoe UI" w:ascii="Segoe UI" w:hAnsi="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r>
        <w:br w:type="page"/>
      </w:r>
    </w:p>
    <w:p>
      <w:pPr>
        <w:pStyle w:val="Heading1"/>
        <w:rPr/>
      </w:pPr>
      <w:bookmarkStart w:id="24" w:name="__RefHeading___Toc37138_4049217194"/>
      <w:bookmarkEnd w:id="24"/>
      <w:r>
        <w:rPr>
          <w:rFonts w:eastAsia="Segoe UI" w:cs="Segoe UI" w:ascii="Segoe UI" w:hAnsi="Segoe UI"/>
          <w:b/>
          <w:color w:val="0F4761"/>
          <w:sz w:val="32"/>
        </w:rPr>
        <w:t>10.  Client Data on exit</w:t>
      </w:r>
    </w:p>
    <w:p>
      <w:pPr>
        <w:pStyle w:val="Heading2"/>
        <w:rPr/>
      </w:pPr>
      <w:bookmarkStart w:id="25" w:name="__RefHeading___Toc37140_4049217194"/>
      <w:bookmarkEnd w:id="25"/>
      <w:r>
        <w:rPr>
          <w:rFonts w:eastAsia="Segoe UI" w:cs="Segoe UI"/>
          <w:b/>
          <w:color w:val="0F4761"/>
          <w:sz w:val="26"/>
        </w:rPr>
        <w:t>10.1  Data during the term</w:t>
      </w:r>
    </w:p>
    <w:p>
      <w:pPr>
        <w:pStyle w:val="Normal"/>
        <w:spacing w:lineRule="auto" w:line="276" w:before="0" w:after="120"/>
        <w:rPr/>
      </w:pPr>
      <w:r>
        <w:rPr>
          <w:rFonts w:eastAsia="Segoe UI" w:cs="Segoe UI" w:ascii="Segoe UI" w:hAnsi="Segoe UI"/>
          <w:color w:val="101820"/>
          <w:sz w:val="21"/>
        </w:rPr>
        <w:t>The Client owns its Client Data. During the Subscription Term, the Client can export Client Data at any time through the delivered reports and exports (XLSX, CSV and PDF).</w:t>
      </w:r>
    </w:p>
    <w:p>
      <w:pPr>
        <w:pStyle w:val="Heading2"/>
        <w:rPr/>
      </w:pPr>
      <w:bookmarkStart w:id="26" w:name="__RefHeading___Toc37142_4049217194"/>
      <w:bookmarkEnd w:id="26"/>
      <w:r>
        <w:rPr>
          <w:rFonts w:eastAsia="Segoe UI" w:cs="Segoe UI"/>
          <w:b/>
          <w:color w:val="0F4761"/>
          <w:sz w:val="26"/>
        </w:rPr>
        <w:t>10.2  Data return</w:t>
      </w:r>
    </w:p>
    <w:p>
      <w:pPr>
        <w:pStyle w:val="Normal"/>
        <w:numPr>
          <w:ilvl w:val="0"/>
          <w:numId w:val="31"/>
        </w:numPr>
        <w:spacing w:before="0" w:after="60"/>
        <w:rPr/>
      </w:pPr>
      <w:r>
        <w:rPr>
          <w:rFonts w:eastAsia="Segoe UI" w:cs="Segoe UI" w:ascii="Segoe UI" w:hAnsi="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pStyle w:val="Normal"/>
        <w:numPr>
          <w:ilvl w:val="0"/>
          <w:numId w:val="32"/>
        </w:numPr>
        <w:spacing w:before="0" w:after="60"/>
        <w:rPr/>
      </w:pPr>
      <w:r>
        <w:rPr>
          <w:rFonts w:eastAsia="Segoe UI" w:cs="Segoe UI" w:ascii="Segoe UI" w:hAnsi="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pStyle w:val="Normal"/>
        <w:numPr>
          <w:ilvl w:val="0"/>
          <w:numId w:val="33"/>
        </w:numPr>
        <w:spacing w:before="0" w:after="60"/>
        <w:rPr/>
      </w:pPr>
      <w:r>
        <w:rPr>
          <w:rFonts w:eastAsia="Segoe UI" w:cs="Segoe UI" w:ascii="Segoe UI" w:hAnsi="Segoe UI"/>
          <w:color w:val="101820"/>
          <w:sz w:val="21"/>
        </w:rPr>
        <w:t>During the 60-day period, iorta TechNXT keeps the Client Data and may keep read-only access open for the System Administrator at [no charge / the Monthly Fee prorated].</w:t>
      </w:r>
    </w:p>
    <w:p>
      <w:pPr>
        <w:pStyle w:val="Heading2"/>
        <w:rPr/>
      </w:pPr>
      <w:bookmarkStart w:id="27" w:name="__RefHeading___Toc37144_4049217194"/>
      <w:bookmarkEnd w:id="27"/>
      <w:r>
        <w:rPr>
          <w:rFonts w:eastAsia="Segoe UI" w:cs="Segoe UI"/>
          <w:b/>
          <w:color w:val="0F4761"/>
          <w:sz w:val="26"/>
        </w:rPr>
        <w:t>10.3  Data deletion</w:t>
      </w:r>
    </w:p>
    <w:p>
      <w:pPr>
        <w:pStyle w:val="Normal"/>
        <w:numPr>
          <w:ilvl w:val="0"/>
          <w:numId w:val="34"/>
        </w:numPr>
        <w:spacing w:before="0" w:after="60"/>
        <w:rPr/>
      </w:pPr>
      <w:r>
        <w:rPr>
          <w:rFonts w:eastAsia="Segoe UI" w:cs="Segoe UI" w:ascii="Segoe UI" w:hAnsi="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pStyle w:val="Normal"/>
        <w:numPr>
          <w:ilvl w:val="0"/>
          <w:numId w:val="35"/>
        </w:numPr>
        <w:spacing w:before="0" w:after="60"/>
        <w:rPr/>
      </w:pPr>
      <w:r>
        <w:rPr>
          <w:rFonts w:eastAsia="Segoe UI" w:cs="Segoe UI" w:ascii="Segoe UI" w:hAnsi="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pStyle w:val="Normal"/>
        <w:numPr>
          <w:ilvl w:val="0"/>
          <w:numId w:val="36"/>
        </w:numPr>
        <w:spacing w:before="0" w:after="60"/>
        <w:rPr/>
      </w:pPr>
      <w:r>
        <w:rPr>
          <w:rFonts w:eastAsia="Segoe UI" w:cs="Segoe UI" w:ascii="Segoe UI" w:hAnsi="Segoe UI"/>
          <w:color w:val="101820"/>
          <w:sz w:val="21"/>
        </w:rPr>
        <w:t>iorta TechNXT gives the Client a written certificate of deletion within 10 Business Days of completing deletion, signed by its data protection officer.</w:t>
      </w:r>
    </w:p>
    <w:p>
      <w:pPr>
        <w:pStyle w:val="Normal"/>
        <w:numPr>
          <w:ilvl w:val="0"/>
          <w:numId w:val="37"/>
        </w:numPr>
        <w:spacing w:before="0" w:after="60"/>
        <w:rPr/>
      </w:pPr>
      <w:r>
        <w:rPr>
          <w:rFonts w:eastAsia="Segoe UI" w:cs="Segoe UI" w:ascii="Segoe UI" w:hAnsi="Segoe UI"/>
          <w:color w:val="101820"/>
          <w:sz w:val="21"/>
        </w:rPr>
        <w:t>iorta TechNXT may keep Client Data longer only where law requires, under the Data Processing Agreement, and keeps it confidential and protected.</w:t>
      </w:r>
      <w:r>
        <w:br w:type="page"/>
      </w:r>
    </w:p>
    <w:p>
      <w:pPr>
        <w:pStyle w:val="Heading1"/>
        <w:rPr/>
      </w:pPr>
      <w:bookmarkStart w:id="28" w:name="__RefHeading___Toc37146_4049217194"/>
      <w:bookmarkEnd w:id="28"/>
      <w:r>
        <w:rPr>
          <w:rFonts w:eastAsia="Segoe UI" w:cs="Segoe UI" w:ascii="Segoe UI" w:hAnsi="Segoe UI"/>
          <w:b/>
          <w:color w:val="0F4761"/>
          <w:sz w:val="32"/>
        </w:rPr>
        <w:t>11.  Term and termination</w:t>
      </w:r>
    </w:p>
    <w:p>
      <w:pPr>
        <w:pStyle w:val="Normal"/>
        <w:numPr>
          <w:ilvl w:val="0"/>
          <w:numId w:val="38"/>
        </w:numPr>
        <w:spacing w:before="0" w:after="60"/>
        <w:rPr/>
      </w:pPr>
      <w:r>
        <w:rPr>
          <w:rFonts w:eastAsia="Segoe UI" w:cs="Segoe UI" w:ascii="Segoe UI" w:hAnsi="Segoe UI"/>
          <w:color w:val="101820"/>
          <w:sz w:val="21"/>
        </w:rPr>
        <w:t>This Subscription Agreement lasts for the Subscription Term.</w:t>
      </w:r>
    </w:p>
    <w:p>
      <w:pPr>
        <w:pStyle w:val="Normal"/>
        <w:numPr>
          <w:ilvl w:val="0"/>
          <w:numId w:val="39"/>
        </w:numPr>
        <w:spacing w:before="0" w:after="60"/>
        <w:rPr/>
      </w:pPr>
      <w:r>
        <w:rPr>
          <w:rFonts w:eastAsia="Segoe UI" w:cs="Segoe UI" w:ascii="Segoe UI" w:hAnsi="Segoe UI"/>
          <w:color w:val="101820"/>
          <w:sz w:val="21"/>
        </w:rPr>
        <w:t>Either Party may terminate it for cause under the MSA.</w:t>
      </w:r>
    </w:p>
    <w:p>
      <w:pPr>
        <w:pStyle w:val="Normal"/>
        <w:numPr>
          <w:ilvl w:val="0"/>
          <w:numId w:val="40"/>
        </w:numPr>
        <w:spacing w:before="0" w:after="60"/>
        <w:rPr/>
      </w:pPr>
      <w:r>
        <w:rPr>
          <w:rFonts w:eastAsia="Segoe UI" w:cs="Segoe UI" w:ascii="Segoe UI" w:hAnsi="Segoe UI"/>
          <w:color w:val="101820"/>
          <w:sz w:val="21"/>
        </w:rPr>
        <w:t>On expiry or termination: the right of use ends; the Client pays all Fees due up to the end date; the Client Data on exit clause applies.</w:t>
      </w:r>
      <w:r>
        <w:br w:type="page"/>
      </w:r>
    </w:p>
    <w:p>
      <w:pPr>
        <w:pStyle w:val="Heading1"/>
        <w:rPr/>
      </w:pPr>
      <w:bookmarkStart w:id="29" w:name="__RefHeading___Toc37148_4049217194"/>
      <w:bookmarkEnd w:id="29"/>
      <w:r>
        <w:rPr>
          <w:rFonts w:eastAsia="Segoe UI" w:cs="Segoe UI" w:ascii="Segoe UI" w:hAnsi="Segoe UI"/>
          <w:b/>
          <w:color w:val="0F4761"/>
          <w:sz w:val="32"/>
        </w:rPr>
        <w:t>12.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37150_4049217194"/>
      <w:bookmarkEnd w:id="30"/>
      <w:r>
        <w:rPr>
          <w:rFonts w:eastAsia="Segoe UI" w:cs="Segoe UI" w:ascii="Segoe UI" w:hAnsi="Segoe UI"/>
          <w:b/>
          <w:color w:val="0F4761"/>
          <w:sz w:val="32"/>
        </w:rPr>
        <w:t>13.  Schedule 1: subscription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01"/>
        <w:gridCol w:w="5212"/>
      </w:tblGrid>
      <w:tr>
        <w:trPr>
          <w:tblHeader w:val="true"/>
        </w:trPr>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minimum 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 / Medium 26 / Large 101 / Enterprise 301]</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 Year 1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 a month, for [the Initial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 before the end of the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 of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on AWS Singapore / Azure Southeast Asia / local partner / Client hosted]</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Prepayment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 yearly in advance]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1" w:name="__RefHeading___Toc37152_4049217194"/>
      <w:bookmarkStart w:id="32" w:name="_Toc233203395"/>
      <w:bookmarkEnd w:id="31"/>
      <w:r>
        <w:rPr>
          <w:rStyle w:val="BookTitle"/>
          <w:bCs w:val="false"/>
          <w:i w:val="false"/>
          <w:iCs w:val="false"/>
          <w:spacing w:val="0"/>
        </w:rPr>
        <w:t>14.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lvlOverride w:ilvl="0">
      <w:startOverride w:val="1"/>
    </w:lvlOverride>
  </w:num>
  <w:num w:numId="27">
    <w:abstractNumId w:val="1"/>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lvlOverride w:ilvl="0">
      <w:startOverride w:val="1"/>
    </w:lvlOverride>
  </w:num>
  <w:num w:numId="35">
    <w:abstractNumId w:val="1"/>
  </w:num>
  <w:num w:numId="36">
    <w:abstractNumId w:val="1"/>
  </w:num>
  <w:num w:numId="37">
    <w:abstractNumId w:val="1"/>
  </w:num>
  <w:num w:numId="38">
    <w:abstractNumId w:val="1"/>
    <w:lvlOverride w:ilvl="0">
      <w:startOverride w:val="1"/>
    </w:lvlOverride>
  </w:num>
  <w:num w:numId="39">
    <w:abstractNumId w:val="1"/>
  </w:num>
  <w:num w:numId="40">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2026-10-04T01:45:50Z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