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Pre-filled vendor questionnaire for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Pre-filled vendor questionnaire for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Security and Outsourcing Due Diligence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Security and Outsourcing Due Diligence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ISMS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Information security management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ISO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International Organization for Standardization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and Organization Controls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MFA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Multi-factor authentication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TLS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Transport Layer Security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KMS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management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SDLC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Secure development lifecycle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OWASP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Open Worldwide Application Security Project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Segregation of duties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PCI DSS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Payment Card Industry Data Security Standard</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questionnaire</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ascii="Segoe UI" w:hAnsi="Segoe UI" w:cs="Segoe UI" w:eastAsia="Segoe UI"/>
          <w:b/>
          <w:color w:val="101820"/>
          <w:sz w:val="21"/>
        </w:rPr>
        <w:t>BrokerVerse_Security_Due_Diligence_Questionnaire.xlsx</w:t>
      </w:r>
      <w:r>
        <w:rPr>
          <w:rFonts w:ascii="Segoe UI" w:hAnsi="Segoe UI" w:cs="Segoe UI" w:eastAsia="Segoe UI"/>
          <w:color w:val="101820"/>
          <w:sz w:val="21"/>
        </w:rPr>
        <w:t xml:space="preserve"> (one row per question, with the answer and the evidence document), which the broker can copy into its own template.</w:t>
      </w:r>
    </w:p>
    <w:p>
      <w:pPr>
        <w:spacing w:after="120" w:line="276" w:lineRule="auto"/>
      </w:pPr>
      <w:r>
        <w:rPr>
          <w:rFonts w:ascii="Segoe UI" w:hAnsi="Segoe UI" w:cs="Segoe UI" w:eastAsia="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pPr>
      <w:r>
        <w:rPr>
          <w:rFonts w:ascii="Segoe UI" w:hAnsi="Segoe UI" w:cs="Segoe UI" w:eastAsia="Segoe UI"/>
          <w:b/>
          <w:color w:val="0F4761"/>
          <w:sz w:val="26"/>
        </w:rPr>
        <w:t>3.2  How the answers are written</w:t>
      </w:r>
    </w:p>
    <w:p>
      <w:pPr>
        <w:spacing w:after="60"/>
        <w:numPr>
          <w:ilvl w:val="0"/>
          <w:numId w:val="3"/>
        </w:numPr>
      </w:pPr>
      <w:r>
        <w:rPr>
          <w:rFonts w:ascii="Segoe UI" w:hAnsi="Segoe UI" w:cs="Segoe UI" w:eastAsia="Segoe UI"/>
          <w:color w:val="101820"/>
          <w:sz w:val="21"/>
        </w:rPr>
        <w:t xml:space="preserve">Answers describe the product as delivered on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on 03 October 2026, the deployment package and the contract templates of the OOTB package.</w:t>
      </w:r>
    </w:p>
    <w:p>
      <w:pPr>
        <w:spacing w:after="60"/>
        <w:numPr>
          <w:ilvl w:val="0"/>
          <w:numId w:val="3"/>
        </w:numPr>
      </w:pPr>
      <w:r>
        <w:rPr>
          <w:rFonts w:ascii="Segoe UI" w:hAnsi="Segoe UI" w:cs="Segoe UI" w:eastAsia="Segoe UI"/>
          <w:b/>
          <w:color w:val="101820"/>
          <w:sz w:val="21"/>
        </w:rPr>
        <w:t>Response</w:t>
      </w:r>
      <w:r>
        <w:rPr>
          <w:rFonts w:ascii="Segoe UI" w:hAnsi="Segoe UI" w:cs="Segoe UI" w:eastAsia="Segoe UI"/>
          <w:color w:val="101820"/>
          <w:sz w:val="21"/>
        </w:rPr>
        <w:t xml:space="preserve"> is one of: </w:t>
      </w:r>
      <w:r>
        <w:rPr>
          <w:rFonts w:ascii="Segoe UI" w:hAnsi="Segoe UI" w:cs="Segoe UI" w:eastAsia="Segoe UI"/>
          <w:b/>
          <w:color w:val="101820"/>
          <w:sz w:val="21"/>
        </w:rPr>
        <w:t>Yes</w:t>
      </w:r>
      <w:r>
        <w:rPr>
          <w:rFonts w:ascii="Segoe UI" w:hAnsi="Segoe UI" w:cs="Segoe UI" w:eastAsia="Segoe UI"/>
          <w:color w:val="101820"/>
          <w:sz w:val="21"/>
        </w:rPr>
        <w:t xml:space="preserve"> (in place today), </w:t>
      </w:r>
      <w:r>
        <w:rPr>
          <w:rFonts w:ascii="Segoe UI" w:hAnsi="Segoe UI" w:cs="Segoe UI" w:eastAsia="Segoe UI"/>
          <w:b/>
          <w:color w:val="101820"/>
          <w:sz w:val="21"/>
        </w:rPr>
        <w:t>Partial</w:t>
      </w:r>
      <w:r>
        <w:rPr>
          <w:rFonts w:ascii="Segoe UI" w:hAnsi="Segoe UI" w:cs="Segoe UI" w:eastAsia="Segoe UI"/>
          <w:color w:val="101820"/>
          <w:sz w:val="21"/>
        </w:rPr>
        <w:t xml:space="preserve"> (in place with a stated limit), </w:t>
      </w:r>
      <w:r>
        <w:rPr>
          <w:rFonts w:ascii="Segoe UI" w:hAnsi="Segoe UI" w:cs="Segoe UI" w:eastAsia="Segoe UI"/>
          <w:b/>
          <w:color w:val="101820"/>
          <w:sz w:val="21"/>
        </w:rPr>
        <w:t>No</w:t>
      </w:r>
      <w:r>
        <w:rPr>
          <w:rFonts w:ascii="Segoe UI" w:hAnsi="Segoe UI" w:cs="Segoe UI" w:eastAsia="Segoe UI"/>
          <w:color w:val="101820"/>
          <w:sz w:val="21"/>
        </w:rPr>
        <w:t xml:space="preserve"> (not in place), </w:t>
      </w:r>
      <w:r>
        <w:rPr>
          <w:rFonts w:ascii="Segoe UI" w:hAnsi="Segoe UI" w:cs="Segoe UI" w:eastAsia="Segoe UI"/>
          <w:b/>
          <w:color w:val="101820"/>
          <w:sz w:val="21"/>
        </w:rPr>
        <w:t>Planned</w:t>
      </w:r>
      <w:r>
        <w:rPr>
          <w:rFonts w:ascii="Segoe UI" w:hAnsi="Segoe UI" w:cs="Segoe UI" w:eastAsia="Segoe UI"/>
          <w:color w:val="101820"/>
          <w:sz w:val="21"/>
        </w:rPr>
        <w:t xml:space="preserve"> (on the product backlog), </w:t>
      </w:r>
      <w:r>
        <w:rPr>
          <w:rFonts w:ascii="Segoe UI" w:hAnsi="Segoe UI" w:cs="Segoe UI" w:eastAsia="Segoe UI"/>
          <w:b/>
          <w:color w:val="101820"/>
          <w:sz w:val="21"/>
        </w:rPr>
        <w:t>Broker</w:t>
      </w:r>
      <w:r>
        <w:rPr>
          <w:rFonts w:ascii="Segoe UI" w:hAnsi="Segoe UI" w:cs="Segoe UI" w:eastAsia="Segoe UI"/>
          <w:color w:val="101820"/>
          <w:sz w:val="21"/>
        </w:rPr>
        <w:t xml:space="preserve"> (the broker's own control, outside iorta TechNXT's scope) or </w:t>
      </w:r>
      <w:r>
        <w:rPr>
          <w:rFonts w:ascii="Segoe UI" w:hAnsi="Segoe UI" w:cs="Segoe UI" w:eastAsia="Segoe UI"/>
          <w:b/>
          <w:color w:val="101820"/>
          <w:sz w:val="21"/>
        </w:rPr>
        <w:t>N/A</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spacing w:after="60"/>
        <w:numPr>
          <w:ilvl w:val="0"/>
          <w:numId w:val="3"/>
        </w:numPr>
      </w:pPr>
      <w:r>
        <w:rPr>
          <w:rFonts w:ascii="Segoe UI" w:hAnsi="Segoe UI" w:cs="Segoe UI" w:eastAsia="Segoe UI"/>
          <w:color w:val="101820"/>
          <w:sz w:val="21"/>
        </w:rPr>
        <w:t xml:space="preserve">Items marked </w:t>
      </w:r>
      <w:r>
        <w:rPr>
          <w:rFonts w:ascii="Segoe UI" w:hAnsi="Segoe UI" w:cs="Segoe UI" w:eastAsia="Segoe UI"/>
          <w:b/>
          <w:color w:val="101820"/>
          <w:sz w:val="21"/>
        </w:rPr>
        <w:t>[to confirm]</w:t>
      </w:r>
      <w:r>
        <w:rPr>
          <w:rFonts w:ascii="Segoe UI" w:hAnsi="Segoe UI" w:cs="Segoe UI" w:eastAsia="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spacing w:after="120" w:line="276" w:lineRule="auto"/>
      </w:pPr>
      <w:r>
        <w:rPr>
          <w:rFonts w:ascii="Segoe UI" w:hAnsi="Segoe UI" w:cs="Segoe UI" w:eastAsia="Segoe UI"/>
          <w:color w:val="101820"/>
          <w:sz w:val="21"/>
        </w:rPr>
        <w:t>This document is not legal advice. The broker's compliance officer and DPO decide how the IC circulars and NPC rules apply to the broker.</w:t>
      </w:r>
    </w:p>
    <w:p>
      <w:pPr>
        <w:pStyle w:val="Heading2"/>
      </w:pPr>
      <w:r>
        <w:rPr>
          <w:rFonts w:ascii="Segoe UI" w:hAnsi="Segoe UI" w:cs="Segoe UI" w:eastAsia="Segoe UI"/>
          <w:b/>
          <w:color w:val="0F4761"/>
          <w:sz w:val="26"/>
        </w:rPr>
        <w:t>3.3  Evidence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Code</w:t>
            </w:r>
          </w:p>
        </w:tc>
        <w:tc>
          <w:tcPr>
            <w:tcW w:type="dxa" w:w="6868"/>
            <w:shd w:val="clear" w:color="auto" w:fill="DCE9F7"/>
          </w:tcPr>
          <w:p>
            <w:pPr>
              <w:spacing w:after="20"/>
            </w:pPr>
            <w:r>
              <w:rPr>
                <w:rFonts w:ascii="Segoe UI" w:hAnsi="Segoe UI" w:cs="Segoe UI" w:eastAsia="Segoe UI"/>
                <w:b/>
                <w:color w:val="0F4761"/>
                <w:sz w:val="18"/>
              </w:rPr>
              <w:t>Document</w:t>
            </w:r>
          </w:p>
        </w:tc>
      </w:tr>
      <w:tr>
        <w:tc>
          <w:tcPr>
            <w:tcW w:type="dxa" w:w="2146"/>
          </w:tcPr>
          <w:p>
            <w:pPr>
              <w:spacing w:after="20"/>
            </w:pPr>
            <w:r>
              <w:rPr>
                <w:rFonts w:ascii="Segoe UI" w:hAnsi="Segoe UI" w:cs="Segoe UI" w:eastAsia="Segoe UI"/>
                <w:color w:val="101820"/>
                <w:sz w:val="18"/>
              </w:rPr>
              <w:t>AIS</w:t>
            </w:r>
          </w:p>
        </w:tc>
        <w:tc>
          <w:tcPr>
            <w:tcW w:type="dxa" w:w="6868"/>
          </w:tcPr>
          <w:p>
            <w:pPr>
              <w:spacing w:after="20"/>
            </w:pPr>
            <w:r>
              <w:rPr>
                <w:rFonts w:ascii="Segoe UI" w:hAnsi="Segoe UI" w:cs="Segoe UI" w:eastAsia="Segoe UI"/>
                <w:color w:val="101820"/>
                <w:sz w:val="18"/>
              </w:rPr>
              <w:t>Architecture, Infrastructure, Security and Data Privacy</w:t>
            </w:r>
          </w:p>
        </w:tc>
      </w:tr>
      <w:tr>
        <w:tc>
          <w:tcPr>
            <w:tcW w:type="dxa" w:w="2146"/>
          </w:tcPr>
          <w:p>
            <w:pPr>
              <w:spacing w:after="20"/>
            </w:pPr>
            <w:r>
              <w:rPr>
                <w:rFonts w:ascii="Segoe UI" w:hAnsi="Segoe UI" w:cs="Segoe UI" w:eastAsia="Segoe UI"/>
                <w:color w:val="101820"/>
                <w:sz w:val="18"/>
              </w:rPr>
              <w:t>TR</w:t>
            </w:r>
          </w:p>
        </w:tc>
        <w:tc>
          <w:tcPr>
            <w:tcW w:type="dxa" w:w="6868"/>
          </w:tcPr>
          <w:p>
            <w:pPr>
              <w:spacing w:after="20"/>
            </w:pPr>
            <w:r>
              <w:rPr>
                <w:rFonts w:ascii="Segoe UI" w:hAnsi="Segoe UI" w:cs="Segoe UI" w:eastAsia="Segoe UI"/>
                <w:color w:val="101820"/>
                <w:sz w:val="18"/>
              </w:rPr>
              <w:t>Technical Reference (code structure, standards, APIs and security controls in code)</w:t>
            </w:r>
          </w:p>
        </w:tc>
      </w:tr>
      <w:tr>
        <w:tc>
          <w:tcPr>
            <w:tcW w:type="dxa" w:w="2146"/>
          </w:tcPr>
          <w:p>
            <w:pPr>
              <w:spacing w:after="20"/>
            </w:pPr>
            <w:r>
              <w:rPr>
                <w:rFonts w:ascii="Segoe UI" w:hAnsi="Segoe UI" w:cs="Segoe UI" w:eastAsia="Segoe UI"/>
                <w:color w:val="101820"/>
                <w:sz w:val="18"/>
              </w:rPr>
              <w:t>TSR</w:t>
            </w:r>
          </w:p>
        </w:tc>
        <w:tc>
          <w:tcPr>
            <w:tcW w:type="dxa" w:w="6868"/>
          </w:tcPr>
          <w:p>
            <w:pPr>
              <w:spacing w:after="20"/>
            </w:pPr>
            <w:r>
              <w:rPr>
                <w:rFonts w:ascii="Segoe UI" w:hAnsi="Segoe UI" w:cs="Segoe UI" w:eastAsia="Segoe UI"/>
                <w:color w:val="101820"/>
                <w:sz w:val="18"/>
              </w:rPr>
              <w:t>Test Summary Report and the Test Cases workbook</w:t>
            </w:r>
          </w:p>
        </w:tc>
      </w:tr>
      <w:tr>
        <w:tc>
          <w:tcPr>
            <w:tcW w:type="dxa" w:w="2146"/>
          </w:tcPr>
          <w:p>
            <w:pPr>
              <w:spacing w:after="20"/>
            </w:pPr>
            <w:r>
              <w:rPr>
                <w:rFonts w:ascii="Segoe UI" w:hAnsi="Segoe UI" w:cs="Segoe UI" w:eastAsia="Segoe UI"/>
                <w:color w:val="101820"/>
                <w:sz w:val="18"/>
              </w:rPr>
              <w:t>PSS</w:t>
            </w:r>
          </w:p>
        </w:tc>
        <w:tc>
          <w:tcPr>
            <w:tcW w:type="dxa" w:w="6868"/>
          </w:tcPr>
          <w:p>
            <w:pPr>
              <w:spacing w:after="20"/>
            </w:pPr>
            <w:r>
              <w:rPr>
                <w:rFonts w:ascii="Segoe UI" w:hAnsi="Segoe UI" w:cs="Segoe UI" w:eastAsia="Segoe UI"/>
                <w:color w:val="101820"/>
                <w:sz w:val="18"/>
              </w:rPr>
              <w:t>Production Support Approach and Standards</w:t>
            </w:r>
          </w:p>
        </w:tc>
      </w:tr>
      <w:tr>
        <w:tc>
          <w:tcPr>
            <w:tcW w:type="dxa" w:w="2146"/>
          </w:tcPr>
          <w:p>
            <w:pPr>
              <w:spacing w:after="20"/>
            </w:pPr>
            <w:r>
              <w:rPr>
                <w:rFonts w:ascii="Segoe UI" w:hAnsi="Segoe UI" w:cs="Segoe UI" w:eastAsia="Segoe UI"/>
                <w:color w:val="101820"/>
                <w:sz w:val="18"/>
              </w:rPr>
              <w:t>BCDR</w:t>
            </w:r>
          </w:p>
        </w:tc>
        <w:tc>
          <w:tcPr>
            <w:tcW w:type="dxa" w:w="6868"/>
          </w:tcPr>
          <w:p>
            <w:pPr>
              <w:spacing w:after="20"/>
            </w:pPr>
            <w:r>
              <w:rPr>
                <w:rFonts w:ascii="Segoe UI" w:hAnsi="Segoe UI" w:cs="Segoe UI" w:eastAsia="Segoe UI"/>
                <w:color w:val="101820"/>
                <w:sz w:val="18"/>
              </w:rPr>
              <w:t>Business Continuity and Disaster Recovery Plan</w:t>
            </w:r>
          </w:p>
        </w:tc>
      </w:tr>
      <w:tr>
        <w:tc>
          <w:tcPr>
            <w:tcW w:type="dxa" w:w="2146"/>
          </w:tcPr>
          <w:p>
            <w:pPr>
              <w:spacing w:after="20"/>
            </w:pPr>
            <w:r>
              <w:rPr>
                <w:rFonts w:ascii="Segoe UI" w:hAnsi="Segoe UI" w:cs="Segoe UI" w:eastAsia="Segoe UI"/>
                <w:color w:val="101820"/>
                <w:sz w:val="18"/>
              </w:rPr>
              <w:t>PRCM</w:t>
            </w:r>
          </w:p>
        </w:tc>
        <w:tc>
          <w:tcPr>
            <w:tcW w:type="dxa" w:w="6868"/>
          </w:tcPr>
          <w:p>
            <w:pPr>
              <w:spacing w:after="20"/>
            </w:pPr>
            <w:r>
              <w:rPr>
                <w:rFonts w:ascii="Segoe UI" w:hAnsi="Segoe UI" w:cs="Segoe UI" w:eastAsia="Segoe UI"/>
                <w:color w:val="101820"/>
                <w:sz w:val="18"/>
              </w:rPr>
              <w:t>Philippine Regulatory Compliance Matrix</w:t>
            </w:r>
          </w:p>
        </w:tc>
      </w:tr>
      <w:tr>
        <w:tc>
          <w:tcPr>
            <w:tcW w:type="dxa" w:w="2146"/>
          </w:tcPr>
          <w:p>
            <w:pPr>
              <w:spacing w:after="20"/>
            </w:pPr>
            <w:r>
              <w:rPr>
                <w:rFonts w:ascii="Segoe UI" w:hAnsi="Segoe UI" w:cs="Segoe UI" w:eastAsia="Segoe UI"/>
                <w:color w:val="101820"/>
                <w:sz w:val="18"/>
              </w:rPr>
              <w:t>PF</w:t>
            </w:r>
          </w:p>
        </w:tc>
        <w:tc>
          <w:tcPr>
            <w:tcW w:type="dxa" w:w="6868"/>
          </w:tcPr>
          <w:p>
            <w:pPr>
              <w:spacing w:after="20"/>
            </w:pPr>
            <w:r>
              <w:rPr>
                <w:rFonts w:ascii="Segoe UI" w:hAnsi="Segoe UI" w:cs="Segoe UI" w:eastAsia="Segoe UI"/>
                <w:color w:val="101820"/>
                <w:sz w:val="18"/>
              </w:rPr>
              <w:t>Product Functionality</w:t>
            </w:r>
          </w:p>
        </w:tc>
      </w:tr>
      <w:tr>
        <w:tc>
          <w:tcPr>
            <w:tcW w:type="dxa" w:w="2146"/>
          </w:tcPr>
          <w:p>
            <w:pPr>
              <w:spacing w:after="20"/>
            </w:pPr>
            <w:r>
              <w:rPr>
                <w:rFonts w:ascii="Segoe UI" w:hAnsi="Segoe UI" w:cs="Segoe UI" w:eastAsia="Segoe UI"/>
                <w:color w:val="101820"/>
                <w:sz w:val="18"/>
              </w:rPr>
              <w:t>IAP</w:t>
            </w:r>
          </w:p>
        </w:tc>
        <w:tc>
          <w:tcPr>
            <w:tcW w:type="dxa" w:w="6868"/>
          </w:tcPr>
          <w:p>
            <w:pPr>
              <w:spacing w:after="20"/>
            </w:pPr>
            <w:r>
              <w:rPr>
                <w:rFonts w:ascii="Segoe UI" w:hAnsi="Segoe UI" w:cs="Segoe UI" w:eastAsia="Segoe UI"/>
                <w:color w:val="101820"/>
                <w:sz w:val="18"/>
              </w:rPr>
              <w:t>Implementation Approach and Plan</w:t>
            </w:r>
          </w:p>
        </w:tc>
      </w:tr>
      <w:tr>
        <w:tc>
          <w:tcPr>
            <w:tcW w:type="dxa" w:w="2146"/>
          </w:tcPr>
          <w:p>
            <w:pPr>
              <w:spacing w:after="20"/>
            </w:pPr>
            <w:r>
              <w:rPr>
                <w:rFonts w:ascii="Segoe UI" w:hAnsi="Segoe UI" w:cs="Segoe UI" w:eastAsia="Segoe UI"/>
                <w:color w:val="101820"/>
                <w:sz w:val="18"/>
              </w:rPr>
              <w:t>MSA</w:t>
            </w:r>
          </w:p>
        </w:tc>
        <w:tc>
          <w:tcPr>
            <w:tcW w:type="dxa" w:w="6868"/>
          </w:tcPr>
          <w:p>
            <w:pPr>
              <w:spacing w:after="20"/>
            </w:pPr>
            <w:r>
              <w:rPr>
                <w:rFonts w:ascii="Segoe UI" w:hAnsi="Segoe UI" w:cs="Segoe UI" w:eastAsia="Segoe UI"/>
                <w:color w:val="101820"/>
                <w:sz w:val="18"/>
              </w:rPr>
              <w:t>Master Services Agreement</w:t>
            </w:r>
          </w:p>
        </w:tc>
      </w:tr>
      <w:tr>
        <w:tc>
          <w:tcPr>
            <w:tcW w:type="dxa" w:w="2146"/>
          </w:tcPr>
          <w:p>
            <w:pPr>
              <w:spacing w:after="20"/>
            </w:pPr>
            <w:r>
              <w:rPr>
                <w:rFonts w:ascii="Segoe UI" w:hAnsi="Segoe UI" w:cs="Segoe UI" w:eastAsia="Segoe UI"/>
                <w:color w:val="101820"/>
                <w:sz w:val="18"/>
              </w:rPr>
              <w:t>DPA</w:t>
            </w:r>
          </w:p>
        </w:tc>
        <w:tc>
          <w:tcPr>
            <w:tcW w:type="dxa" w:w="6868"/>
          </w:tcPr>
          <w:p>
            <w:pPr>
              <w:spacing w:after="20"/>
            </w:pPr>
            <w:r>
              <w:rPr>
                <w:rFonts w:ascii="Segoe UI" w:hAnsi="Segoe UI" w:cs="Segoe UI" w:eastAsia="Segoe UI"/>
                <w:color w:val="101820"/>
                <w:sz w:val="18"/>
              </w:rPr>
              <w:t>Data Processing Agreement</w:t>
            </w:r>
          </w:p>
        </w:tc>
      </w:tr>
      <w:tr>
        <w:tc>
          <w:tcPr>
            <w:tcW w:type="dxa" w:w="2146"/>
          </w:tcPr>
          <w:p>
            <w:pPr>
              <w:spacing w:after="20"/>
            </w:pPr>
            <w:r>
              <w:rPr>
                <w:rFonts w:ascii="Segoe UI" w:hAnsi="Segoe UI" w:cs="Segoe UI" w:eastAsia="Segoe UI"/>
                <w:color w:val="101820"/>
                <w:sz w:val="18"/>
              </w:rPr>
              <w:t>HSA</w:t>
            </w:r>
          </w:p>
        </w:tc>
        <w:tc>
          <w:tcPr>
            <w:tcW w:type="dxa" w:w="6868"/>
          </w:tcPr>
          <w:p>
            <w:pPr>
              <w:spacing w:after="20"/>
            </w:pPr>
            <w:r>
              <w:rPr>
                <w:rFonts w:ascii="Segoe UI" w:hAnsi="Segoe UI" w:cs="Segoe UI" w:eastAsia="Segoe UI"/>
                <w:color w:val="101820"/>
                <w:sz w:val="18"/>
              </w:rPr>
              <w:t>Hosting and Infrastructure Services Agreement</w:t>
            </w:r>
          </w:p>
        </w:tc>
      </w:tr>
      <w:tr>
        <w:tc>
          <w:tcPr>
            <w:tcW w:type="dxa" w:w="2146"/>
          </w:tcPr>
          <w:p>
            <w:pPr>
              <w:spacing w:after="20"/>
            </w:pPr>
            <w:r>
              <w:rPr>
                <w:rFonts w:ascii="Segoe UI" w:hAnsi="Segoe UI" w:cs="Segoe UI" w:eastAsia="Segoe UI"/>
                <w:color w:val="101820"/>
                <w:sz w:val="18"/>
              </w:rPr>
              <w:t>SLA</w:t>
            </w:r>
          </w:p>
        </w:tc>
        <w:tc>
          <w:tcPr>
            <w:tcW w:type="dxa" w:w="6868"/>
          </w:tcPr>
          <w:p>
            <w:pPr>
              <w:spacing w:after="20"/>
            </w:pPr>
            <w:r>
              <w:rPr>
                <w:rFonts w:ascii="Segoe UI" w:hAnsi="Segoe UI" w:cs="Segoe UI" w:eastAsia="Segoe UI"/>
                <w:color w:val="101820"/>
                <w:sz w:val="18"/>
              </w:rPr>
              <w:t>Annual Maintenance, Support and SLA</w:t>
            </w:r>
          </w:p>
        </w:tc>
      </w:tr>
      <w:tr>
        <w:tc>
          <w:tcPr>
            <w:tcW w:type="dxa" w:w="2146"/>
          </w:tcPr>
          <w:p>
            <w:pPr>
              <w:spacing w:after="20"/>
            </w:pPr>
            <w:r>
              <w:rPr>
                <w:rFonts w:ascii="Segoe UI" w:hAnsi="Segoe UI" w:cs="Segoe UI" w:eastAsia="Segoe UI"/>
                <w:color w:val="101820"/>
                <w:sz w:val="18"/>
              </w:rPr>
              <w:t>ESC</w:t>
            </w:r>
          </w:p>
        </w:tc>
        <w:tc>
          <w:tcPr>
            <w:tcW w:type="dxa" w:w="6868"/>
          </w:tcPr>
          <w:p>
            <w:pPr>
              <w:spacing w:after="20"/>
            </w:pPr>
            <w:r>
              <w:rPr>
                <w:rFonts w:ascii="Segoe UI" w:hAnsi="Segoe UI" w:cs="Segoe UI" w:eastAsia="Segoe UI"/>
                <w:color w:val="101820"/>
                <w:sz w:val="18"/>
              </w:rPr>
              <w:t>Source Code Escrow Agreement (optional annex to the perpetual licence)</w:t>
            </w:r>
          </w:p>
        </w:tc>
      </w:tr>
      <w:tr>
        <w:tc>
          <w:tcPr>
            <w:tcW w:type="dxa" w:w="2146"/>
          </w:tcPr>
          <w:p>
            <w:pPr>
              <w:spacing w:after="20"/>
            </w:pPr>
            <w:r>
              <w:rPr>
                <w:rFonts w:ascii="Segoe UI" w:hAnsi="Segoe UI" w:cs="Segoe UI" w:eastAsia="Segoe UI"/>
                <w:color w:val="101820"/>
                <w:sz w:val="18"/>
              </w:rPr>
              <w:t>ARCH 08, 09, 11</w:t>
            </w:r>
          </w:p>
        </w:tc>
        <w:tc>
          <w:tcPr>
            <w:tcW w:type="dxa" w:w="6868"/>
          </w:tcPr>
          <w:p>
            <w:pPr>
              <w:spacing w:after="20"/>
            </w:pPr>
            <w:r>
              <w:rPr>
                <w:rFonts w:ascii="Segoe UI" w:hAnsi="Segoe UI" w:cs="Segoe UI" w:eastAsia="Segoe UI"/>
                <w:color w:val="101820"/>
                <w:sz w:val="18"/>
              </w:rPr>
              <w:t>Solution Architecture documents RTO and RPO, Backup and Recovery, Monitoring</w:t>
            </w:r>
          </w:p>
        </w:tc>
      </w:tr>
    </w:tbl>
    <w:p>
      <w:pPr>
        <w:pStyle w:val="Heading1"/>
        <w:pageBreakBefore/>
      </w:pPr>
      <w:r>
        <w:rPr>
          <w:rFonts w:ascii="Segoe UI" w:hAnsi="Segoe UI" w:cs="Segoe UI" w:eastAsia="Segoe UI"/>
          <w:b/>
          <w:color w:val="0F4761"/>
          <w:sz w:val="32"/>
        </w:rPr>
        <w:t>4.  Company and governance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77"/>
        <w:gridCol w:w="1123"/>
        <w:gridCol w:w="2414"/>
        <w:gridCol w:w="2194"/>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77"/>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414"/>
            <w:shd w:val="clear" w:color="auto" w:fill="DCE9F7"/>
          </w:tcPr>
          <w:p>
            <w:pPr>
              <w:spacing w:after="20"/>
            </w:pPr>
            <w:r>
              <w:rPr>
                <w:rFonts w:ascii="Segoe UI" w:hAnsi="Segoe UI" w:cs="Segoe UI" w:eastAsia="Segoe UI"/>
                <w:b/>
                <w:color w:val="0F4761"/>
                <w:sz w:val="16"/>
              </w:rPr>
              <w:t>Answer</w:t>
            </w:r>
          </w:p>
        </w:tc>
        <w:tc>
          <w:tcPr>
            <w:tcW w:type="dxa" w:w="2194"/>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GOV-01</w:t>
            </w:r>
          </w:p>
        </w:tc>
        <w:tc>
          <w:tcPr>
            <w:tcW w:type="dxa" w:w="2377"/>
          </w:tcPr>
          <w:p>
            <w:pPr>
              <w:spacing w:after="20"/>
            </w:pPr>
            <w:r>
              <w:rPr>
                <w:rFonts w:ascii="Segoe UI" w:hAnsi="Segoe UI" w:cs="Segoe UI" w:eastAsia="Segoe UI"/>
                <w:color w:val="101820"/>
                <w:sz w:val="16"/>
              </w:rPr>
              <w:t>Legal name, registration and address of the provider</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iorta TechNXT Corp., a Philippine corporation. SEC registration number, TIN and principal office address: [to confirm]</w:t>
            </w:r>
          </w:p>
        </w:tc>
        <w:tc>
          <w:tcPr>
            <w:tcW w:type="dxa" w:w="2194"/>
          </w:tcPr>
          <w:p>
            <w:pPr>
              <w:spacing w:after="20"/>
            </w:pPr>
            <w:r>
              <w:rPr>
                <w:rFonts w:ascii="Segoe UI" w:hAnsi="Segoe UI" w:cs="Segoe UI" w:eastAsia="Segoe UI"/>
                <w:color w:val="101820"/>
                <w:sz w:val="16"/>
              </w:rPr>
              <w:t>MSA, Parties</w:t>
            </w:r>
          </w:p>
        </w:tc>
      </w:tr>
      <w:tr>
        <w:tc>
          <w:tcPr>
            <w:tcW w:type="dxa" w:w="907"/>
          </w:tcPr>
          <w:p>
            <w:pPr>
              <w:spacing w:after="20"/>
            </w:pPr>
            <w:r>
              <w:rPr>
                <w:rFonts w:ascii="Segoe UI" w:hAnsi="Segoe UI" w:cs="Segoe UI" w:eastAsia="Segoe UI"/>
                <w:color w:val="101820"/>
                <w:sz w:val="16"/>
              </w:rPr>
              <w:t>GOV-02</w:t>
            </w:r>
          </w:p>
        </w:tc>
        <w:tc>
          <w:tcPr>
            <w:tcW w:type="dxa" w:w="2377"/>
          </w:tcPr>
          <w:p>
            <w:pPr>
              <w:spacing w:after="20"/>
            </w:pPr>
            <w:r>
              <w:rPr>
                <w:rFonts w:ascii="Segoe UI" w:hAnsi="Segoe UI" w:cs="Segoe UI" w:eastAsia="Segoe UI"/>
                <w:color w:val="101820"/>
                <w:sz w:val="16"/>
              </w:rPr>
              <w:t>Who owns the software and who develops and supports it</w:t>
            </w:r>
          </w:p>
        </w:tc>
        <w:tc>
          <w:tcPr>
            <w:tcW w:type="dxa" w:w="1123"/>
          </w:tcPr>
          <w:p>
            <w:pPr>
              <w:spacing w:after="20"/>
            </w:pPr>
            <w:r>
              <w:rPr>
                <w:rFonts w:ascii="Segoe UI" w:hAnsi="Segoe UI" w:cs="Segoe UI" w:eastAsia="Segoe UI"/>
                <w:color w:val="101820"/>
                <w:sz w:val="16"/>
              </w:rPr>
              <w:t>Yes</w:t>
            </w:r>
          </w:p>
        </w:tc>
        <w:tc>
          <w:tcPr>
            <w:tcW w:type="dxa" w:w="2414"/>
          </w:tcPr>
          <w:p>
            <w:pPr>
              <w:spacing w:after="20"/>
            </w:pPr>
            <w:r>
              <w:rPr>
                <w:rFonts w:ascii="Segoe UI" w:hAnsi="Segoe UI" w:cs="Segoe UI" w:eastAsia="Segoe UI"/>
                <w:color w:val="101820"/>
                <w:sz w:val="16"/>
              </w:rPr>
              <w:t>iorta TechNXT owns iNXT BrokerVerse and provides implementation (L2) and engineering support (L3). Location of the development and support teams: [to confirm]</w:t>
            </w:r>
          </w:p>
        </w:tc>
        <w:tc>
          <w:tcPr>
            <w:tcW w:type="dxa" w:w="2194"/>
          </w:tcPr>
          <w:p>
            <w:pPr>
              <w:spacing w:after="20"/>
            </w:pPr>
            <w:r>
              <w:rPr>
                <w:rFonts w:ascii="Segoe UI" w:hAnsi="Segoe UI" w:cs="Segoe UI" w:eastAsia="Segoe UI"/>
                <w:color w:val="101820"/>
                <w:sz w:val="16"/>
              </w:rPr>
              <w:t>MSA; PSS, Support model</w:t>
            </w:r>
          </w:p>
        </w:tc>
      </w:tr>
      <w:tr>
        <w:tc>
          <w:tcPr>
            <w:tcW w:type="dxa" w:w="907"/>
          </w:tcPr>
          <w:p>
            <w:pPr>
              <w:spacing w:after="20"/>
            </w:pPr>
            <w:r>
              <w:rPr>
                <w:rFonts w:ascii="Segoe UI" w:hAnsi="Segoe UI" w:cs="Segoe UI" w:eastAsia="Segoe UI"/>
                <w:color w:val="101820"/>
                <w:sz w:val="16"/>
              </w:rPr>
              <w:t>GOV-03</w:t>
            </w:r>
          </w:p>
        </w:tc>
        <w:tc>
          <w:tcPr>
            <w:tcW w:type="dxa" w:w="2377"/>
          </w:tcPr>
          <w:p>
            <w:pPr>
              <w:spacing w:after="20"/>
            </w:pPr>
            <w:r>
              <w:rPr>
                <w:rFonts w:ascii="Segoe UI" w:hAnsi="Segoe UI" w:cs="Segoe UI" w:eastAsia="Segoe UI"/>
                <w:color w:val="101820"/>
                <w:sz w:val="16"/>
              </w:rPr>
              <w:t>Does the provider have a documented information security policy approved by management</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Security controls of the product and the hosting are documented in AIS and HSA. A company-wide information security policy and its approval date: [to confirm]</w:t>
            </w:r>
          </w:p>
        </w:tc>
        <w:tc>
          <w:tcPr>
            <w:tcW w:type="dxa" w:w="2194"/>
          </w:tcPr>
          <w:p>
            <w:pPr>
              <w:spacing w:after="20"/>
            </w:pPr>
            <w:r>
              <w:rPr>
                <w:rFonts w:ascii="Segoe UI" w:hAnsi="Segoe UI" w:cs="Segoe UI" w:eastAsia="Segoe UI"/>
                <w:color w:val="101820"/>
                <w:sz w:val="16"/>
              </w:rPr>
              <w:t>AIS, Security architecture</w:t>
            </w:r>
          </w:p>
        </w:tc>
      </w:tr>
      <w:tr>
        <w:tc>
          <w:tcPr>
            <w:tcW w:type="dxa" w:w="907"/>
          </w:tcPr>
          <w:p>
            <w:pPr>
              <w:spacing w:after="20"/>
            </w:pPr>
            <w:r>
              <w:rPr>
                <w:rFonts w:ascii="Segoe UI" w:hAnsi="Segoe UI" w:cs="Segoe UI" w:eastAsia="Segoe UI"/>
                <w:color w:val="101820"/>
                <w:sz w:val="16"/>
              </w:rPr>
              <w:t>GOV-04</w:t>
            </w:r>
          </w:p>
        </w:tc>
        <w:tc>
          <w:tcPr>
            <w:tcW w:type="dxa" w:w="2377"/>
          </w:tcPr>
          <w:p>
            <w:pPr>
              <w:spacing w:after="20"/>
            </w:pPr>
            <w:r>
              <w:rPr>
                <w:rFonts w:ascii="Segoe UI" w:hAnsi="Segoe UI" w:cs="Segoe UI" w:eastAsia="Segoe UI"/>
                <w:color w:val="101820"/>
                <w:sz w:val="16"/>
              </w:rPr>
              <w:t>Is there a named person responsible for information security</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Named security officer of iorta TechNXT: [to confirm]. Security incidents are handled by iorta TechNXT engineering (L3) as P1</w:t>
            </w:r>
          </w:p>
        </w:tc>
        <w:tc>
          <w:tcPr>
            <w:tcW w:type="dxa" w:w="2194"/>
          </w:tcPr>
          <w:p>
            <w:pPr>
              <w:spacing w:after="20"/>
            </w:pPr>
            <w:r>
              <w:rPr>
                <w:rFonts w:ascii="Segoe UI" w:hAnsi="Segoe UI" w:cs="Segoe UI" w:eastAsia="Segoe UI"/>
                <w:color w:val="101820"/>
                <w:sz w:val="16"/>
              </w:rPr>
              <w:t>PSS, Security incidents</w:t>
            </w:r>
          </w:p>
        </w:tc>
      </w:tr>
      <w:tr>
        <w:tc>
          <w:tcPr>
            <w:tcW w:type="dxa" w:w="907"/>
          </w:tcPr>
          <w:p>
            <w:pPr>
              <w:spacing w:after="20"/>
            </w:pPr>
            <w:r>
              <w:rPr>
                <w:rFonts w:ascii="Segoe UI" w:hAnsi="Segoe UI" w:cs="Segoe UI" w:eastAsia="Segoe UI"/>
                <w:color w:val="101820"/>
                <w:sz w:val="16"/>
              </w:rPr>
              <w:t>GOV-05</w:t>
            </w:r>
          </w:p>
        </w:tc>
        <w:tc>
          <w:tcPr>
            <w:tcW w:type="dxa" w:w="2377"/>
          </w:tcPr>
          <w:p>
            <w:pPr>
              <w:spacing w:after="20"/>
            </w:pPr>
            <w:r>
              <w:rPr>
                <w:rFonts w:ascii="Segoe UI" w:hAnsi="Segoe UI" w:cs="Segoe UI" w:eastAsia="Segoe UI"/>
                <w:color w:val="101820"/>
                <w:sz w:val="16"/>
              </w:rPr>
              <w:t>Has the provider appointed a DPO and registered with the NPC</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iorta TechNXT acts as PIP for the broker. DPO name and NPC registration of iorta TechNXT: [to confirm]</w:t>
            </w:r>
          </w:p>
        </w:tc>
        <w:tc>
          <w:tcPr>
            <w:tcW w:type="dxa" w:w="2194"/>
          </w:tcPr>
          <w:p>
            <w:pPr>
              <w:spacing w:after="20"/>
            </w:pPr>
            <w:r>
              <w:rPr>
                <w:rFonts w:ascii="Segoe UI" w:hAnsi="Segoe UI" w:cs="Segoe UI" w:eastAsia="Segoe UI"/>
                <w:color w:val="101820"/>
                <w:sz w:val="16"/>
              </w:rPr>
              <w:t>DPA, Roles</w:t>
            </w:r>
          </w:p>
        </w:tc>
      </w:tr>
      <w:tr>
        <w:tc>
          <w:tcPr>
            <w:tcW w:type="dxa" w:w="907"/>
          </w:tcPr>
          <w:p>
            <w:pPr>
              <w:spacing w:after="20"/>
            </w:pPr>
            <w:r>
              <w:rPr>
                <w:rFonts w:ascii="Segoe UI" w:hAnsi="Segoe UI" w:cs="Segoe UI" w:eastAsia="Segoe UI"/>
                <w:color w:val="101820"/>
                <w:sz w:val="16"/>
              </w:rPr>
              <w:t>GOV-06</w:t>
            </w:r>
          </w:p>
        </w:tc>
        <w:tc>
          <w:tcPr>
            <w:tcW w:type="dxa" w:w="2377"/>
          </w:tcPr>
          <w:p>
            <w:pPr>
              <w:spacing w:after="20"/>
            </w:pPr>
            <w:r>
              <w:rPr>
                <w:rFonts w:ascii="Segoe UI" w:hAnsi="Segoe UI" w:cs="Segoe UI" w:eastAsia="Segoe UI"/>
                <w:color w:val="101820"/>
                <w:sz w:val="16"/>
              </w:rPr>
              <w:t>Does the provider hold ISO/IEC 27001 certification</w:t>
            </w:r>
          </w:p>
        </w:tc>
        <w:tc>
          <w:tcPr>
            <w:tcW w:type="dxa" w:w="1123"/>
          </w:tcPr>
          <w:p>
            <w:pPr>
              <w:spacing w:after="20"/>
            </w:pPr>
            <w:r>
              <w:rPr>
                <w:rFonts w:ascii="Segoe UI" w:hAnsi="Segoe UI" w:cs="Segoe UI" w:eastAsia="Segoe UI"/>
                <w:color w:val="101820"/>
                <w:sz w:val="16"/>
              </w:rPr>
              <w:t>No</w:t>
            </w:r>
          </w:p>
        </w:tc>
        <w:tc>
          <w:tcPr>
            <w:tcW w:type="dxa" w:w="2414"/>
          </w:tcPr>
          <w:p>
            <w:pPr>
              <w:spacing w:after="20"/>
            </w:pPr>
            <w:r>
              <w:rPr>
                <w:rFonts w:ascii="Segoe UI" w:hAnsi="Segoe UI" w:cs="Segoe UI" w:eastAsia="Segoe UI"/>
                <w:color w:val="101820"/>
                <w:sz w:val="16"/>
              </w:rPr>
              <w:t>Not held by iorta TechNXT at the date of this document. Certification plan and target date: [to confirm]. The cloud providers of hosting options A and B publish their own ISO/IEC 27001 certificates</w:t>
            </w:r>
          </w:p>
        </w:tc>
        <w:tc>
          <w:tcPr>
            <w:tcW w:type="dxa" w:w="2194"/>
          </w:tcPr>
          <w:p>
            <w:pPr>
              <w:spacing w:after="20"/>
            </w:pPr>
            <w:r>
              <w:rPr>
                <w:rFonts w:ascii="Segoe UI" w:hAnsi="Segoe UI" w:cs="Segoe UI" w:eastAsia="Segoe UI"/>
                <w:color w:val="101820"/>
                <w:sz w:val="16"/>
              </w:rPr>
              <w:t>HSA; AIS, Option A and B</w:t>
            </w:r>
          </w:p>
        </w:tc>
      </w:tr>
      <w:tr>
        <w:tc>
          <w:tcPr>
            <w:tcW w:type="dxa" w:w="907"/>
          </w:tcPr>
          <w:p>
            <w:pPr>
              <w:spacing w:after="20"/>
            </w:pPr>
            <w:r>
              <w:rPr>
                <w:rFonts w:ascii="Segoe UI" w:hAnsi="Segoe UI" w:cs="Segoe UI" w:eastAsia="Segoe UI"/>
                <w:color w:val="101820"/>
                <w:sz w:val="16"/>
              </w:rPr>
              <w:t>GOV-07</w:t>
            </w:r>
          </w:p>
        </w:tc>
        <w:tc>
          <w:tcPr>
            <w:tcW w:type="dxa" w:w="2377"/>
          </w:tcPr>
          <w:p>
            <w:pPr>
              <w:spacing w:after="20"/>
            </w:pPr>
            <w:r>
              <w:rPr>
                <w:rFonts w:ascii="Segoe UI" w:hAnsi="Segoe UI" w:cs="Segoe UI" w:eastAsia="Segoe UI"/>
                <w:color w:val="101820"/>
                <w:sz w:val="16"/>
              </w:rPr>
              <w:t>Does the provider have a SOC 2 Type II report</w:t>
            </w:r>
          </w:p>
        </w:tc>
        <w:tc>
          <w:tcPr>
            <w:tcW w:type="dxa" w:w="1123"/>
          </w:tcPr>
          <w:p>
            <w:pPr>
              <w:spacing w:after="20"/>
            </w:pPr>
            <w:r>
              <w:rPr>
                <w:rFonts w:ascii="Segoe UI" w:hAnsi="Segoe UI" w:cs="Segoe UI" w:eastAsia="Segoe UI"/>
                <w:color w:val="101820"/>
                <w:sz w:val="16"/>
              </w:rPr>
              <w:t>No</w:t>
            </w:r>
          </w:p>
        </w:tc>
        <w:tc>
          <w:tcPr>
            <w:tcW w:type="dxa" w:w="2414"/>
          </w:tcPr>
          <w:p>
            <w:pPr>
              <w:spacing w:after="20"/>
            </w:pPr>
            <w:r>
              <w:rPr>
                <w:rFonts w:ascii="Segoe UI" w:hAnsi="Segoe UI" w:cs="Segoe UI" w:eastAsia="Segoe UI"/>
                <w:color w:val="101820"/>
                <w:sz w:val="16"/>
              </w:rPr>
              <w:t>Not held. Roadmap: [to confirm]. AWS and Microsoft Azure make their SOC reports available to their customers through their compliance portals</w:t>
            </w:r>
          </w:p>
        </w:tc>
        <w:tc>
          <w:tcPr>
            <w:tcW w:type="dxa" w:w="2194"/>
          </w:tcPr>
          <w:p>
            <w:pPr>
              <w:spacing w:after="20"/>
            </w:pPr>
            <w:r>
              <w:rPr>
                <w:rFonts w:ascii="Segoe UI" w:hAnsi="Segoe UI" w:cs="Segoe UI" w:eastAsia="Segoe UI"/>
                <w:color w:val="101820"/>
                <w:sz w:val="16"/>
              </w:rPr>
              <w:t>HSA</w:t>
            </w:r>
          </w:p>
        </w:tc>
      </w:tr>
      <w:tr>
        <w:tc>
          <w:tcPr>
            <w:tcW w:type="dxa" w:w="907"/>
          </w:tcPr>
          <w:p>
            <w:pPr>
              <w:spacing w:after="20"/>
            </w:pPr>
            <w:r>
              <w:rPr>
                <w:rFonts w:ascii="Segoe UI" w:hAnsi="Segoe UI" w:cs="Segoe UI" w:eastAsia="Segoe UI"/>
                <w:color w:val="101820"/>
                <w:sz w:val="16"/>
              </w:rPr>
              <w:t>GOV-08</w:t>
            </w:r>
          </w:p>
        </w:tc>
        <w:tc>
          <w:tcPr>
            <w:tcW w:type="dxa" w:w="2377"/>
          </w:tcPr>
          <w:p>
            <w:pPr>
              <w:spacing w:after="20"/>
            </w:pPr>
            <w:r>
              <w:rPr>
                <w:rFonts w:ascii="Segoe UI" w:hAnsi="Segoe UI" w:cs="Segoe UI" w:eastAsia="Segoe UI"/>
                <w:color w:val="101820"/>
                <w:sz w:val="16"/>
              </w:rPr>
              <w:t>Is the provider PCI DSS certified</w:t>
            </w:r>
          </w:p>
        </w:tc>
        <w:tc>
          <w:tcPr>
            <w:tcW w:type="dxa" w:w="1123"/>
          </w:tcPr>
          <w:p>
            <w:pPr>
              <w:spacing w:after="20"/>
            </w:pPr>
            <w:r>
              <w:rPr>
                <w:rFonts w:ascii="Segoe UI" w:hAnsi="Segoe UI" w:cs="Segoe UI" w:eastAsia="Segoe UI"/>
                <w:color w:val="101820"/>
                <w:sz w:val="16"/>
              </w:rPr>
              <w:t>N/A</w:t>
            </w:r>
          </w:p>
        </w:tc>
        <w:tc>
          <w:tcPr>
            <w:tcW w:type="dxa" w:w="2414"/>
          </w:tcPr>
          <w:p>
            <w:pPr>
              <w:spacing w:after="20"/>
            </w:pPr>
            <w:r>
              <w:rPr>
                <w:rFonts w:ascii="Segoe UI" w:hAnsi="Segoe UI" w:cs="Segoe UI" w:eastAsia="Segoe UI"/>
                <w:color w:val="101820"/>
                <w:sz w:val="16"/>
              </w:rPr>
              <w:t>BrokerVerse never receives card numbers. Card details are entered on the payment gateway's own page (PayMongo or Dragonpay); the broker uses gateways that hold PCI DSS certification</w:t>
            </w:r>
          </w:p>
        </w:tc>
        <w:tc>
          <w:tcPr>
            <w:tcW w:type="dxa" w:w="2194"/>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GOV-09</w:t>
            </w:r>
          </w:p>
        </w:tc>
        <w:tc>
          <w:tcPr>
            <w:tcW w:type="dxa" w:w="2377"/>
          </w:tcPr>
          <w:p>
            <w:pPr>
              <w:spacing w:after="20"/>
            </w:pPr>
            <w:r>
              <w:rPr>
                <w:rFonts w:ascii="Segoe UI" w:hAnsi="Segoe UI" w:cs="Segoe UI" w:eastAsia="Segoe UI"/>
                <w:color w:val="101820"/>
                <w:sz w:val="16"/>
              </w:rPr>
              <w:t>Are security risks assessed and recorded</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Product risks are recorded as Gap items in AIS and as defects in TSR (open: Medium 3, Low 5, no Critical or High). A company risk register: [to confirm]</w:t>
            </w:r>
          </w:p>
        </w:tc>
        <w:tc>
          <w:tcPr>
            <w:tcW w:type="dxa" w:w="2194"/>
          </w:tcPr>
          <w:p>
            <w:pPr>
              <w:spacing w:after="20"/>
            </w:pPr>
            <w:r>
              <w:rPr>
                <w:rFonts w:ascii="Segoe UI" w:hAnsi="Segoe UI" w:cs="Segoe UI" w:eastAsia="Segoe UI"/>
                <w:color w:val="101820"/>
                <w:sz w:val="16"/>
              </w:rPr>
              <w:t>AIS; TSR, Defects</w:t>
            </w:r>
          </w:p>
        </w:tc>
      </w:tr>
      <w:tr>
        <w:tc>
          <w:tcPr>
            <w:tcW w:type="dxa" w:w="907"/>
          </w:tcPr>
          <w:p>
            <w:pPr>
              <w:spacing w:after="20"/>
            </w:pPr>
            <w:r>
              <w:rPr>
                <w:rFonts w:ascii="Segoe UI" w:hAnsi="Segoe UI" w:cs="Segoe UI" w:eastAsia="Segoe UI"/>
                <w:color w:val="101820"/>
                <w:sz w:val="16"/>
              </w:rPr>
              <w:t>GOV-10</w:t>
            </w:r>
          </w:p>
        </w:tc>
        <w:tc>
          <w:tcPr>
            <w:tcW w:type="dxa" w:w="2377"/>
          </w:tcPr>
          <w:p>
            <w:pPr>
              <w:spacing w:after="20"/>
            </w:pPr>
            <w:r>
              <w:rPr>
                <w:rFonts w:ascii="Segoe UI" w:hAnsi="Segoe UI" w:cs="Segoe UI" w:eastAsia="Segoe UI"/>
                <w:color w:val="101820"/>
                <w:sz w:val="16"/>
              </w:rPr>
              <w:t>Are staff screened before hiring</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Background check practice for staff with production access: [to confirm]</w:t>
            </w:r>
          </w:p>
        </w:tc>
        <w:tc>
          <w:tcPr>
            <w:tcW w:type="dxa" w:w="2194"/>
          </w:tcPr>
          <w:p>
            <w:pPr>
              <w:spacing w:after="20"/>
            </w:pPr>
            <w:r>
              <w:rPr>
                <w:rFonts w:ascii="Segoe UI" w:hAnsi="Segoe UI" w:cs="Segoe UI" w:eastAsia="Segoe UI"/>
                <w:color w:val="101820"/>
                <w:sz w:val="16"/>
              </w:rPr>
              <w:t>MSA, Personnel</w:t>
            </w:r>
          </w:p>
        </w:tc>
      </w:tr>
      <w:tr>
        <w:tc>
          <w:tcPr>
            <w:tcW w:type="dxa" w:w="907"/>
          </w:tcPr>
          <w:p>
            <w:pPr>
              <w:spacing w:after="20"/>
            </w:pPr>
            <w:r>
              <w:rPr>
                <w:rFonts w:ascii="Segoe UI" w:hAnsi="Segoe UI" w:cs="Segoe UI" w:eastAsia="Segoe UI"/>
                <w:color w:val="101820"/>
                <w:sz w:val="16"/>
              </w:rPr>
              <w:t>GOV-11</w:t>
            </w:r>
          </w:p>
        </w:tc>
        <w:tc>
          <w:tcPr>
            <w:tcW w:type="dxa" w:w="2377"/>
          </w:tcPr>
          <w:p>
            <w:pPr>
              <w:spacing w:after="20"/>
            </w:pPr>
            <w:r>
              <w:rPr>
                <w:rFonts w:ascii="Segoe UI" w:hAnsi="Segoe UI" w:cs="Segoe UI" w:eastAsia="Segoe UI"/>
                <w:color w:val="101820"/>
                <w:sz w:val="16"/>
              </w:rPr>
              <w:t>Are staff bound by confidentiality</w:t>
            </w:r>
          </w:p>
        </w:tc>
        <w:tc>
          <w:tcPr>
            <w:tcW w:type="dxa" w:w="1123"/>
          </w:tcPr>
          <w:p>
            <w:pPr>
              <w:spacing w:after="20"/>
            </w:pPr>
            <w:r>
              <w:rPr>
                <w:rFonts w:ascii="Segoe UI" w:hAnsi="Segoe UI" w:cs="Segoe UI" w:eastAsia="Segoe UI"/>
                <w:color w:val="101820"/>
                <w:sz w:val="16"/>
              </w:rPr>
              <w:t>Yes</w:t>
            </w:r>
          </w:p>
        </w:tc>
        <w:tc>
          <w:tcPr>
            <w:tcW w:type="dxa" w:w="2414"/>
          </w:tcPr>
          <w:p>
            <w:pPr>
              <w:spacing w:after="20"/>
            </w:pPr>
            <w:r>
              <w:rPr>
                <w:rFonts w:ascii="Segoe UI" w:hAnsi="Segoe UI" w:cs="Segoe UI" w:eastAsia="Segoe UI"/>
                <w:color w:val="101820"/>
                <w:sz w:val="16"/>
              </w:rPr>
              <w:t>Every person who processes the broker's personal data is bound by confidentiality, trained in data privacy, and the duty continues after the person leaves</w:t>
            </w:r>
          </w:p>
        </w:tc>
        <w:tc>
          <w:tcPr>
            <w:tcW w:type="dxa" w:w="2194"/>
          </w:tcPr>
          <w:p>
            <w:pPr>
              <w:spacing w:after="20"/>
            </w:pPr>
            <w:r>
              <w:rPr>
                <w:rFonts w:ascii="Segoe UI" w:hAnsi="Segoe UI" w:cs="Segoe UI" w:eastAsia="Segoe UI"/>
                <w:color w:val="101820"/>
                <w:sz w:val="16"/>
              </w:rPr>
              <w:t>DPA, Confidentiality; MSA, Confidentiality</w:t>
            </w:r>
          </w:p>
        </w:tc>
      </w:tr>
      <w:tr>
        <w:tc>
          <w:tcPr>
            <w:tcW w:type="dxa" w:w="907"/>
          </w:tcPr>
          <w:p>
            <w:pPr>
              <w:spacing w:after="20"/>
            </w:pPr>
            <w:r>
              <w:rPr>
                <w:rFonts w:ascii="Segoe UI" w:hAnsi="Segoe UI" w:cs="Segoe UI" w:eastAsia="Segoe UI"/>
                <w:color w:val="101820"/>
                <w:sz w:val="16"/>
              </w:rPr>
              <w:t>GOV-12</w:t>
            </w:r>
          </w:p>
        </w:tc>
        <w:tc>
          <w:tcPr>
            <w:tcW w:type="dxa" w:w="2377"/>
          </w:tcPr>
          <w:p>
            <w:pPr>
              <w:spacing w:after="20"/>
            </w:pPr>
            <w:r>
              <w:rPr>
                <w:rFonts w:ascii="Segoe UI" w:hAnsi="Segoe UI" w:cs="Segoe UI" w:eastAsia="Segoe UI"/>
                <w:color w:val="101820"/>
                <w:sz w:val="16"/>
              </w:rPr>
              <w:t>Do staff receive security and privacy awareness training</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Required by the DPA template for personnel handling personal data. Training programme and frequency: [to confirm]</w:t>
            </w:r>
          </w:p>
        </w:tc>
        <w:tc>
          <w:tcPr>
            <w:tcW w:type="dxa" w:w="2194"/>
          </w:tcPr>
          <w:p>
            <w:pPr>
              <w:spacing w:after="20"/>
            </w:pPr>
            <w:r>
              <w:rPr>
                <w:rFonts w:ascii="Segoe UI" w:hAnsi="Segoe UI" w:cs="Segoe UI" w:eastAsia="Segoe UI"/>
                <w:color w:val="101820"/>
                <w:sz w:val="16"/>
              </w:rPr>
              <w:t>DPA, Confidentiality</w:t>
            </w:r>
          </w:p>
        </w:tc>
      </w:tr>
      <w:tr>
        <w:tc>
          <w:tcPr>
            <w:tcW w:type="dxa" w:w="907"/>
          </w:tcPr>
          <w:p>
            <w:pPr>
              <w:spacing w:after="20"/>
            </w:pPr>
            <w:r>
              <w:rPr>
                <w:rFonts w:ascii="Segoe UI" w:hAnsi="Segoe UI" w:cs="Segoe UI" w:eastAsia="Segoe UI"/>
                <w:color w:val="101820"/>
                <w:sz w:val="16"/>
              </w:rPr>
              <w:t>GOV-13</w:t>
            </w:r>
          </w:p>
        </w:tc>
        <w:tc>
          <w:tcPr>
            <w:tcW w:type="dxa" w:w="2377"/>
          </w:tcPr>
          <w:p>
            <w:pPr>
              <w:spacing w:after="20"/>
            </w:pPr>
            <w:r>
              <w:rPr>
                <w:rFonts w:ascii="Segoe UI" w:hAnsi="Segoe UI" w:cs="Segoe UI" w:eastAsia="Segoe UI"/>
                <w:color w:val="101820"/>
                <w:sz w:val="16"/>
              </w:rPr>
              <w:t>Does the provider carry professional indemnity or cyber insurance</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[to confirm: insurer, cover and limit]</w:t>
            </w:r>
          </w:p>
        </w:tc>
        <w:tc>
          <w:tcPr>
            <w:tcW w:type="dxa" w:w="2194"/>
          </w:tcPr>
          <w:p>
            <w:pPr>
              <w:spacing w:after="20"/>
            </w:pPr>
            <w:r>
              <w:rPr>
                <w:rFonts w:ascii="Segoe UI" w:hAnsi="Segoe UI" w:cs="Segoe UI" w:eastAsia="Segoe UI"/>
                <w:color w:val="101820"/>
                <w:sz w:val="16"/>
              </w:rPr>
              <w:t>MSA</w:t>
            </w:r>
          </w:p>
        </w:tc>
      </w:tr>
      <w:tr>
        <w:tc>
          <w:tcPr>
            <w:tcW w:type="dxa" w:w="907"/>
          </w:tcPr>
          <w:p>
            <w:pPr>
              <w:spacing w:after="20"/>
            </w:pPr>
            <w:r>
              <w:rPr>
                <w:rFonts w:ascii="Segoe UI" w:hAnsi="Segoe UI" w:cs="Segoe UI" w:eastAsia="Segoe UI"/>
                <w:color w:val="101820"/>
                <w:sz w:val="16"/>
              </w:rPr>
              <w:t>GOV-14</w:t>
            </w:r>
          </w:p>
        </w:tc>
        <w:tc>
          <w:tcPr>
            <w:tcW w:type="dxa" w:w="2377"/>
          </w:tcPr>
          <w:p>
            <w:pPr>
              <w:spacing w:after="20"/>
            </w:pPr>
            <w:r>
              <w:rPr>
                <w:rFonts w:ascii="Segoe UI" w:hAnsi="Segoe UI" w:cs="Segoe UI" w:eastAsia="Segoe UI"/>
                <w:color w:val="101820"/>
                <w:sz w:val="16"/>
              </w:rPr>
              <w:t>Is the provider financially stable; what protects the broker if it fails</w:t>
            </w:r>
          </w:p>
        </w:tc>
        <w:tc>
          <w:tcPr>
            <w:tcW w:type="dxa" w:w="1123"/>
          </w:tcPr>
          <w:p>
            <w:pPr>
              <w:spacing w:after="20"/>
            </w:pPr>
            <w:r>
              <w:rPr>
                <w:rFonts w:ascii="Segoe UI" w:hAnsi="Segoe UI" w:cs="Segoe UI" w:eastAsia="Segoe UI"/>
                <w:color w:val="101820"/>
                <w:sz w:val="16"/>
              </w:rPr>
              <w:t>Partial</w:t>
            </w:r>
          </w:p>
        </w:tc>
        <w:tc>
          <w:tcPr>
            <w:tcW w:type="dxa" w:w="2414"/>
          </w:tcPr>
          <w:p>
            <w:pPr>
              <w:spacing w:after="20"/>
            </w:pPr>
            <w:r>
              <w:rPr>
                <w:rFonts w:ascii="Segoe UI" w:hAnsi="Segoe UI" w:cs="Segoe UI" w:eastAsia="Segoe UI"/>
                <w:color w:val="101820"/>
                <w:sz w:val="16"/>
              </w:rPr>
              <w:t>Financial statements: [to confirm]. Protection for the broker: the broker may host the system itself; data return on exit; optional source code escrow with the perpetual licence</w:t>
            </w:r>
          </w:p>
        </w:tc>
        <w:tc>
          <w:tcPr>
            <w:tcW w:type="dxa" w:w="2194"/>
          </w:tcPr>
          <w:p>
            <w:pPr>
              <w:spacing w:after="20"/>
            </w:pPr>
            <w:r>
              <w:rPr>
                <w:rFonts w:ascii="Segoe UI" w:hAnsi="Segoe UI" w:cs="Segoe UI" w:eastAsia="Segoe UI"/>
                <w:color w:val="101820"/>
                <w:sz w:val="16"/>
              </w:rPr>
              <w:t>ESC; MSA; Exit and Transition Plan</w:t>
            </w:r>
          </w:p>
        </w:tc>
      </w:tr>
    </w:tbl>
    <w:p>
      <w:pPr>
        <w:pStyle w:val="Heading1"/>
        <w:pageBreakBefore/>
      </w:pPr>
      <w:r>
        <w:rPr>
          <w:rFonts w:ascii="Segoe UI" w:hAnsi="Segoe UI" w:cs="Segoe UI" w:eastAsia="Segoe UI"/>
          <w:b/>
          <w:color w:val="0F4761"/>
          <w:sz w:val="32"/>
        </w:rPr>
        <w:t>5.  Regulatory: Insurance Commission and outsourcing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89"/>
        <w:gridCol w:w="1123"/>
        <w:gridCol w:w="2317"/>
        <w:gridCol w:w="227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89"/>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17"/>
            <w:shd w:val="clear" w:color="auto" w:fill="DCE9F7"/>
          </w:tcPr>
          <w:p>
            <w:pPr>
              <w:spacing w:after="20"/>
            </w:pPr>
            <w:r>
              <w:rPr>
                <w:rFonts w:ascii="Segoe UI" w:hAnsi="Segoe UI" w:cs="Segoe UI" w:eastAsia="Segoe UI"/>
                <w:b/>
                <w:color w:val="0F4761"/>
                <w:sz w:val="16"/>
              </w:rPr>
              <w:t>Answer</w:t>
            </w:r>
          </w:p>
        </w:tc>
        <w:tc>
          <w:tcPr>
            <w:tcW w:type="dxa" w:w="227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REG-01</w:t>
            </w:r>
          </w:p>
        </w:tc>
        <w:tc>
          <w:tcPr>
            <w:tcW w:type="dxa" w:w="2389"/>
          </w:tcPr>
          <w:p>
            <w:pPr>
              <w:spacing w:after="20"/>
            </w:pPr>
            <w:r>
              <w:rPr>
                <w:rFonts w:ascii="Segoe UI" w:hAnsi="Segoe UI" w:cs="Segoe UI" w:eastAsia="Segoe UI"/>
                <w:color w:val="101820"/>
                <w:sz w:val="16"/>
              </w:rPr>
              <w:t>Which IC circulars on IT risk and outsourcing have been considered</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type="dxa" w:w="2279"/>
          </w:tcPr>
          <w:p>
            <w:pPr>
              <w:spacing w:after="20"/>
            </w:pPr>
            <w:r>
              <w:rPr>
                <w:rFonts w:ascii="Segoe UI" w:hAnsi="Segoe UI" w:cs="Segoe UI" w:eastAsia="Segoe UI"/>
                <w:color w:val="101820"/>
                <w:sz w:val="16"/>
              </w:rPr>
              <w:t>PRCM; AIS, Insurance Commission and records</w:t>
            </w:r>
          </w:p>
        </w:tc>
      </w:tr>
      <w:tr>
        <w:tc>
          <w:tcPr>
            <w:tcW w:type="dxa" w:w="907"/>
          </w:tcPr>
          <w:p>
            <w:pPr>
              <w:spacing w:after="20"/>
            </w:pPr>
            <w:r>
              <w:rPr>
                <w:rFonts w:ascii="Segoe UI" w:hAnsi="Segoe UI" w:cs="Segoe UI" w:eastAsia="Segoe UI"/>
                <w:color w:val="101820"/>
                <w:sz w:val="16"/>
              </w:rPr>
              <w:t>REG-02</w:t>
            </w:r>
          </w:p>
        </w:tc>
        <w:tc>
          <w:tcPr>
            <w:tcW w:type="dxa" w:w="2389"/>
          </w:tcPr>
          <w:p>
            <w:pPr>
              <w:spacing w:after="20"/>
            </w:pPr>
            <w:r>
              <w:rPr>
                <w:rFonts w:ascii="Segoe UI" w:hAnsi="Segoe UI" w:cs="Segoe UI" w:eastAsia="Segoe UI"/>
                <w:color w:val="101820"/>
                <w:sz w:val="16"/>
              </w:rPr>
              <w:t>Does the outsourcing keep the broker in control of its books and records</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All policy, premium, commission, remittance and ledger records are in the broker's database; reports export to Excel, CSV and PDF; the broker can obtain a full export at any time and on exit</w:t>
            </w:r>
          </w:p>
        </w:tc>
        <w:tc>
          <w:tcPr>
            <w:tcW w:type="dxa" w:w="2279"/>
          </w:tcPr>
          <w:p>
            <w:pPr>
              <w:spacing w:after="20"/>
            </w:pPr>
            <w:r>
              <w:rPr>
                <w:rFonts w:ascii="Segoe UI" w:hAnsi="Segoe UI" w:cs="Segoe UI" w:eastAsia="Segoe UI"/>
                <w:color w:val="101820"/>
                <w:sz w:val="16"/>
              </w:rPr>
              <w:t>AIS, IC and records; Exit and Transition Plan</w:t>
            </w:r>
          </w:p>
        </w:tc>
      </w:tr>
      <w:tr>
        <w:tc>
          <w:tcPr>
            <w:tcW w:type="dxa" w:w="907"/>
          </w:tcPr>
          <w:p>
            <w:pPr>
              <w:spacing w:after="20"/>
            </w:pPr>
            <w:r>
              <w:rPr>
                <w:rFonts w:ascii="Segoe UI" w:hAnsi="Segoe UI" w:cs="Segoe UI" w:eastAsia="Segoe UI"/>
                <w:color w:val="101820"/>
                <w:sz w:val="16"/>
              </w:rPr>
              <w:t>REG-03</w:t>
            </w:r>
          </w:p>
        </w:tc>
        <w:tc>
          <w:tcPr>
            <w:tcW w:type="dxa" w:w="2389"/>
          </w:tcPr>
          <w:p>
            <w:pPr>
              <w:spacing w:after="20"/>
            </w:pPr>
            <w:r>
              <w:rPr>
                <w:rFonts w:ascii="Segoe UI" w:hAnsi="Segoe UI" w:cs="Segoe UI" w:eastAsia="Segoe UI"/>
                <w:color w:val="101820"/>
                <w:sz w:val="16"/>
              </w:rPr>
              <w:t>Can the IC examine the broker's records held in the system</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Registers, reports and the audit trail are available to the broker for IC examination. The MSA allows disclosure to the IC when required. An explicit right of access for the IC to iorta TechNXT premises: [to confirm in the MSA]</w:t>
            </w:r>
          </w:p>
        </w:tc>
        <w:tc>
          <w:tcPr>
            <w:tcW w:type="dxa" w:w="2279"/>
          </w:tcPr>
          <w:p>
            <w:pPr>
              <w:spacing w:after="20"/>
            </w:pPr>
            <w:r>
              <w:rPr>
                <w:rFonts w:ascii="Segoe UI" w:hAnsi="Segoe UI" w:cs="Segoe UI" w:eastAsia="Segoe UI"/>
                <w:color w:val="101820"/>
                <w:sz w:val="16"/>
              </w:rPr>
              <w:t>MSA, Confidentiality; AIS</w:t>
            </w:r>
          </w:p>
        </w:tc>
      </w:tr>
      <w:tr>
        <w:tc>
          <w:tcPr>
            <w:tcW w:type="dxa" w:w="907"/>
          </w:tcPr>
          <w:p>
            <w:pPr>
              <w:spacing w:after="20"/>
            </w:pPr>
            <w:r>
              <w:rPr>
                <w:rFonts w:ascii="Segoe UI" w:hAnsi="Segoe UI" w:cs="Segoe UI" w:eastAsia="Segoe UI"/>
                <w:color w:val="101820"/>
                <w:sz w:val="16"/>
              </w:rPr>
              <w:t>REG-04</w:t>
            </w:r>
          </w:p>
        </w:tc>
        <w:tc>
          <w:tcPr>
            <w:tcW w:type="dxa" w:w="2389"/>
          </w:tcPr>
          <w:p>
            <w:pPr>
              <w:spacing w:after="20"/>
            </w:pPr>
            <w:r>
              <w:rPr>
                <w:rFonts w:ascii="Segoe UI" w:hAnsi="Segoe UI" w:cs="Segoe UI" w:eastAsia="Segoe UI"/>
                <w:color w:val="101820"/>
                <w:sz w:val="16"/>
              </w:rPr>
              <w:t>Does the system keep premiums due to insurers apart</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Premium trust bank account in the masters; amounts due to each insurer in the ledger; remittance with approval; remittance ageing on the insurer's terms</w:t>
            </w:r>
          </w:p>
        </w:tc>
        <w:tc>
          <w:tcPr>
            <w:tcW w:type="dxa" w:w="2279"/>
          </w:tcPr>
          <w:p>
            <w:pPr>
              <w:spacing w:after="20"/>
            </w:pPr>
            <w:r>
              <w:rPr>
                <w:rFonts w:ascii="Segoe UI" w:hAnsi="Segoe UI" w:cs="Segoe UI" w:eastAsia="Segoe UI"/>
                <w:color w:val="101820"/>
                <w:sz w:val="16"/>
              </w:rPr>
              <w:t>PRCM; PF, Remittance</w:t>
            </w:r>
          </w:p>
        </w:tc>
      </w:tr>
      <w:tr>
        <w:tc>
          <w:tcPr>
            <w:tcW w:type="dxa" w:w="907"/>
          </w:tcPr>
          <w:p>
            <w:pPr>
              <w:spacing w:after="20"/>
            </w:pPr>
            <w:r>
              <w:rPr>
                <w:rFonts w:ascii="Segoe UI" w:hAnsi="Segoe UI" w:cs="Segoe UI" w:eastAsia="Segoe UI"/>
                <w:color w:val="101820"/>
                <w:sz w:val="16"/>
              </w:rPr>
              <w:t>REG-05</w:t>
            </w:r>
          </w:p>
        </w:tc>
        <w:tc>
          <w:tcPr>
            <w:tcW w:type="dxa" w:w="2389"/>
          </w:tcPr>
          <w:p>
            <w:pPr>
              <w:spacing w:after="20"/>
            </w:pPr>
            <w:r>
              <w:rPr>
                <w:rFonts w:ascii="Segoe UI" w:hAnsi="Segoe UI" w:cs="Segoe UI" w:eastAsia="Segoe UI"/>
                <w:color w:val="101820"/>
                <w:sz w:val="16"/>
              </w:rPr>
              <w:t>Is there a written outsourcing agreement covering services, SLAs, confidentiality, data, audit and exit</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MSA with the Statement of Work, Support and SLA, Hosting Agreement, DPA and Exit and Transition Plan</w:t>
            </w:r>
          </w:p>
        </w:tc>
        <w:tc>
          <w:tcPr>
            <w:tcW w:type="dxa" w:w="2279"/>
          </w:tcPr>
          <w:p>
            <w:pPr>
              <w:spacing w:after="20"/>
            </w:pPr>
            <w:r>
              <w:rPr>
                <w:rFonts w:ascii="Segoe UI" w:hAnsi="Segoe UI" w:cs="Segoe UI" w:eastAsia="Segoe UI"/>
                <w:color w:val="101820"/>
                <w:sz w:val="16"/>
              </w:rPr>
              <w:t>MSA; SLA; HSA; DPA</w:t>
            </w:r>
          </w:p>
        </w:tc>
      </w:tr>
      <w:tr>
        <w:tc>
          <w:tcPr>
            <w:tcW w:type="dxa" w:w="907"/>
          </w:tcPr>
          <w:p>
            <w:pPr>
              <w:spacing w:after="20"/>
            </w:pPr>
            <w:r>
              <w:rPr>
                <w:rFonts w:ascii="Segoe UI" w:hAnsi="Segoe UI" w:cs="Segoe UI" w:eastAsia="Segoe UI"/>
                <w:color w:val="101820"/>
                <w:sz w:val="16"/>
              </w:rPr>
              <w:t>REG-06</w:t>
            </w:r>
          </w:p>
        </w:tc>
        <w:tc>
          <w:tcPr>
            <w:tcW w:type="dxa" w:w="2389"/>
          </w:tcPr>
          <w:p>
            <w:pPr>
              <w:spacing w:after="20"/>
            </w:pPr>
            <w:r>
              <w:rPr>
                <w:rFonts w:ascii="Segoe UI" w:hAnsi="Segoe UI" w:cs="Segoe UI" w:eastAsia="Segoe UI"/>
                <w:color w:val="101820"/>
                <w:sz w:val="16"/>
              </w:rPr>
              <w:t>Are service levels defined and reported</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Severity P1 to P4 with response and restore targets; availability target 99.5% for hosted production; monthly service report and review</w:t>
            </w:r>
          </w:p>
        </w:tc>
        <w:tc>
          <w:tcPr>
            <w:tcW w:type="dxa" w:w="2279"/>
          </w:tcPr>
          <w:p>
            <w:pPr>
              <w:spacing w:after="20"/>
            </w:pPr>
            <w:r>
              <w:rPr>
                <w:rFonts w:ascii="Segoe UI" w:hAnsi="Segoe UI" w:cs="Segoe UI" w:eastAsia="Segoe UI"/>
                <w:color w:val="101820"/>
                <w:sz w:val="16"/>
              </w:rPr>
              <w:t>SLA; PSS, Severity levels; HSA, Availability</w:t>
            </w:r>
          </w:p>
        </w:tc>
      </w:tr>
      <w:tr>
        <w:tc>
          <w:tcPr>
            <w:tcW w:type="dxa" w:w="907"/>
          </w:tcPr>
          <w:p>
            <w:pPr>
              <w:spacing w:after="20"/>
            </w:pPr>
            <w:r>
              <w:rPr>
                <w:rFonts w:ascii="Segoe UI" w:hAnsi="Segoe UI" w:cs="Segoe UI" w:eastAsia="Segoe UI"/>
                <w:color w:val="101820"/>
                <w:sz w:val="16"/>
              </w:rPr>
              <w:t>REG-07</w:t>
            </w:r>
          </w:p>
        </w:tc>
        <w:tc>
          <w:tcPr>
            <w:tcW w:type="dxa" w:w="2389"/>
          </w:tcPr>
          <w:p>
            <w:pPr>
              <w:spacing w:after="20"/>
            </w:pPr>
            <w:r>
              <w:rPr>
                <w:rFonts w:ascii="Segoe UI" w:hAnsi="Segoe UI" w:cs="Segoe UI" w:eastAsia="Segoe UI"/>
                <w:color w:val="101820"/>
                <w:sz w:val="16"/>
              </w:rPr>
              <w:t>Can the broker terminate and get its data back</w:t>
            </w:r>
          </w:p>
        </w:tc>
        <w:tc>
          <w:tcPr>
            <w:tcW w:type="dxa" w:w="1123"/>
          </w:tcPr>
          <w:p>
            <w:pPr>
              <w:spacing w:after="20"/>
            </w:pPr>
            <w:r>
              <w:rPr>
                <w:rFonts w:ascii="Segoe UI" w:hAnsi="Segoe UI" w:cs="Segoe UI" w:eastAsia="Segoe UI"/>
                <w:color w:val="101820"/>
                <w:sz w:val="16"/>
              </w:rPr>
              <w:t>Yes</w:t>
            </w:r>
          </w:p>
        </w:tc>
        <w:tc>
          <w:tcPr>
            <w:tcW w:type="dxa" w:w="2317"/>
          </w:tcPr>
          <w:p>
            <w:pPr>
              <w:spacing w:after="20"/>
            </w:pPr>
            <w:r>
              <w:rPr>
                <w:rFonts w:ascii="Segoe UI" w:hAnsi="Segoe UI" w:cs="Segoe UI" w:eastAsia="Segoe UI"/>
                <w:color w:val="101820"/>
                <w:sz w:val="16"/>
              </w:rPr>
              <w:t>Data returned in an agreed format and deleted within 30 days after the broker confirms the export, with a certificate of deletion</w:t>
            </w:r>
          </w:p>
        </w:tc>
        <w:tc>
          <w:tcPr>
            <w:tcW w:type="dxa" w:w="2279"/>
          </w:tcPr>
          <w:p>
            <w:pPr>
              <w:spacing w:after="20"/>
            </w:pPr>
            <w:r>
              <w:rPr>
                <w:rFonts w:ascii="Segoe UI" w:hAnsi="Segoe UI" w:cs="Segoe UI" w:eastAsia="Segoe UI"/>
                <w:color w:val="101820"/>
                <w:sz w:val="16"/>
              </w:rPr>
              <w:t>HSA, Exit; DPA; Exit and Transition Plan</w:t>
            </w:r>
          </w:p>
        </w:tc>
      </w:tr>
      <w:tr>
        <w:tc>
          <w:tcPr>
            <w:tcW w:type="dxa" w:w="907"/>
          </w:tcPr>
          <w:p>
            <w:pPr>
              <w:spacing w:after="20"/>
            </w:pPr>
            <w:r>
              <w:rPr>
                <w:rFonts w:ascii="Segoe UI" w:hAnsi="Segoe UI" w:cs="Segoe UI" w:eastAsia="Segoe UI"/>
                <w:color w:val="101820"/>
                <w:sz w:val="16"/>
              </w:rPr>
              <w:t>REG-08</w:t>
            </w:r>
          </w:p>
        </w:tc>
        <w:tc>
          <w:tcPr>
            <w:tcW w:type="dxa" w:w="2389"/>
          </w:tcPr>
          <w:p>
            <w:pPr>
              <w:spacing w:after="20"/>
            </w:pPr>
            <w:r>
              <w:rPr>
                <w:rFonts w:ascii="Segoe UI" w:hAnsi="Segoe UI" w:cs="Segoe UI" w:eastAsia="Segoe UI"/>
                <w:color w:val="101820"/>
                <w:sz w:val="16"/>
              </w:rPr>
              <w:t>Does the provider support the broker's BIR obligations</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BIR working papers (Form 2307, VAT Summary, SAWT, QAP, SLSP) from the ledger. Registration of the system as a Computerized Accounting System and filing remain with the broker</w:t>
            </w:r>
          </w:p>
        </w:tc>
        <w:tc>
          <w:tcPr>
            <w:tcW w:type="dxa" w:w="2279"/>
          </w:tcPr>
          <w:p>
            <w:pPr>
              <w:spacing w:after="20"/>
            </w:pPr>
            <w:r>
              <w:rPr>
                <w:rFonts w:ascii="Segoe UI" w:hAnsi="Segoe UI" w:cs="Segoe UI" w:eastAsia="Segoe UI"/>
                <w:color w:val="101820"/>
                <w:sz w:val="16"/>
              </w:rPr>
              <w:t>PRCM, BIR</w:t>
            </w:r>
          </w:p>
        </w:tc>
      </w:tr>
      <w:tr>
        <w:tc>
          <w:tcPr>
            <w:tcW w:type="dxa" w:w="907"/>
          </w:tcPr>
          <w:p>
            <w:pPr>
              <w:spacing w:after="20"/>
            </w:pPr>
            <w:r>
              <w:rPr>
                <w:rFonts w:ascii="Segoe UI" w:hAnsi="Segoe UI" w:cs="Segoe UI" w:eastAsia="Segoe UI"/>
                <w:color w:val="101820"/>
                <w:sz w:val="16"/>
              </w:rPr>
              <w:t>REG-09</w:t>
            </w:r>
          </w:p>
        </w:tc>
        <w:tc>
          <w:tcPr>
            <w:tcW w:type="dxa" w:w="2389"/>
          </w:tcPr>
          <w:p>
            <w:pPr>
              <w:spacing w:after="20"/>
            </w:pPr>
            <w:r>
              <w:rPr>
                <w:rFonts w:ascii="Segoe UI" w:hAnsi="Segoe UI" w:cs="Segoe UI" w:eastAsia="Segoe UI"/>
                <w:color w:val="101820"/>
                <w:sz w:val="16"/>
              </w:rPr>
              <w:t>Does the system support anti-money laundering checks</w:t>
            </w:r>
          </w:p>
        </w:tc>
        <w:tc>
          <w:tcPr>
            <w:tcW w:type="dxa" w:w="1123"/>
          </w:tcPr>
          <w:p>
            <w:pPr>
              <w:spacing w:after="20"/>
            </w:pPr>
            <w:r>
              <w:rPr>
                <w:rFonts w:ascii="Segoe UI" w:hAnsi="Segoe UI" w:cs="Segoe UI" w:eastAsia="Segoe UI"/>
                <w:color w:val="101820"/>
                <w:sz w:val="16"/>
              </w:rPr>
              <w:t>Partial</w:t>
            </w:r>
          </w:p>
        </w:tc>
        <w:tc>
          <w:tcPr>
            <w:tcW w:type="dxa" w:w="2317"/>
          </w:tcPr>
          <w:p>
            <w:pPr>
              <w:spacing w:after="20"/>
            </w:pPr>
            <w:r>
              <w:rPr>
                <w:rFonts w:ascii="Segoe UI" w:hAnsi="Segoe UI" w:cs="Segoe UI" w:eastAsia="Segoe UI"/>
                <w:color w:val="101820"/>
                <w:sz w:val="16"/>
              </w:rPr>
              <w:t>KYC data (government ID type, number and image) required before motor issue. No transaction monitoring, sanctions or PEP screening, or AMLC reporting</w:t>
            </w:r>
          </w:p>
        </w:tc>
        <w:tc>
          <w:tcPr>
            <w:tcW w:type="dxa" w:w="2279"/>
          </w:tcPr>
          <w:p>
            <w:pPr>
              <w:spacing w:after="20"/>
            </w:pPr>
            <w:r>
              <w:rPr>
                <w:rFonts w:ascii="Segoe UI" w:hAnsi="Segoe UI" w:cs="Segoe UI" w:eastAsia="Segoe UI"/>
                <w:color w:val="101820"/>
                <w:sz w:val="16"/>
              </w:rPr>
              <w:t>PRCM, AMLA; PF</w:t>
            </w:r>
          </w:p>
        </w:tc>
      </w:tr>
    </w:tbl>
    <w:p>
      <w:pPr>
        <w:pStyle w:val="Heading1"/>
        <w:pageBreakBefore/>
      </w:pPr>
      <w:r>
        <w:rPr>
          <w:rFonts w:ascii="Segoe UI" w:hAnsi="Segoe UI" w:cs="Segoe UI" w:eastAsia="Segoe UI"/>
          <w:b/>
          <w:color w:val="0F4761"/>
          <w:sz w:val="32"/>
        </w:rPr>
        <w:t>6.  Regulatory: Data Privacy Act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30"/>
        <w:gridCol w:w="1123"/>
        <w:gridCol w:w="2399"/>
        <w:gridCol w:w="2256"/>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3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99"/>
            <w:shd w:val="clear" w:color="auto" w:fill="DCE9F7"/>
          </w:tcPr>
          <w:p>
            <w:pPr>
              <w:spacing w:after="20"/>
            </w:pPr>
            <w:r>
              <w:rPr>
                <w:rFonts w:ascii="Segoe UI" w:hAnsi="Segoe UI" w:cs="Segoe UI" w:eastAsia="Segoe UI"/>
                <w:b/>
                <w:color w:val="0F4761"/>
                <w:sz w:val="16"/>
              </w:rPr>
              <w:t>Answer</w:t>
            </w:r>
          </w:p>
        </w:tc>
        <w:tc>
          <w:tcPr>
            <w:tcW w:type="dxa" w:w="2256"/>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DPA-01</w:t>
            </w:r>
          </w:p>
        </w:tc>
        <w:tc>
          <w:tcPr>
            <w:tcW w:type="dxa" w:w="2330"/>
          </w:tcPr>
          <w:p>
            <w:pPr>
              <w:spacing w:after="20"/>
            </w:pPr>
            <w:r>
              <w:rPr>
                <w:rFonts w:ascii="Segoe UI" w:hAnsi="Segoe UI" w:cs="Segoe UI" w:eastAsia="Segoe UI"/>
                <w:color w:val="101820"/>
                <w:sz w:val="16"/>
              </w:rPr>
              <w:t>What is the role of iorta TechNXT under the DPA</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The broker is the PIC. iorta TechNXT is a PIP when it hosts, supports or accesses production data, and acts only on the broker's documented instructions</w:t>
            </w:r>
          </w:p>
        </w:tc>
        <w:tc>
          <w:tcPr>
            <w:tcW w:type="dxa" w:w="2256"/>
          </w:tcPr>
          <w:p>
            <w:pPr>
              <w:spacing w:after="20"/>
            </w:pPr>
            <w:r>
              <w:rPr>
                <w:rFonts w:ascii="Segoe UI" w:hAnsi="Segoe UI" w:cs="Segoe UI" w:eastAsia="Segoe UI"/>
                <w:color w:val="101820"/>
                <w:sz w:val="16"/>
              </w:rPr>
              <w:t>DPA; AIS, Roles under the DPA</w:t>
            </w:r>
          </w:p>
        </w:tc>
      </w:tr>
      <w:tr>
        <w:tc>
          <w:tcPr>
            <w:tcW w:type="dxa" w:w="907"/>
          </w:tcPr>
          <w:p>
            <w:pPr>
              <w:spacing w:after="20"/>
            </w:pPr>
            <w:r>
              <w:rPr>
                <w:rFonts w:ascii="Segoe UI" w:hAnsi="Segoe UI" w:cs="Segoe UI" w:eastAsia="Segoe UI"/>
                <w:color w:val="101820"/>
                <w:sz w:val="16"/>
              </w:rPr>
              <w:t>DPA-02</w:t>
            </w:r>
          </w:p>
        </w:tc>
        <w:tc>
          <w:tcPr>
            <w:tcW w:type="dxa" w:w="2330"/>
          </w:tcPr>
          <w:p>
            <w:pPr>
              <w:spacing w:after="20"/>
            </w:pPr>
            <w:r>
              <w:rPr>
                <w:rFonts w:ascii="Segoe UI" w:hAnsi="Segoe UI" w:cs="Segoe UI" w:eastAsia="Segoe UI"/>
                <w:color w:val="101820"/>
                <w:sz w:val="16"/>
              </w:rPr>
              <w:t>Is a data processing agreement signed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Template DPA covering subject matter, instructions, confidentiality, security measures, sub-processors, assistance, breach notice, return and deletion, and audits</w:t>
            </w:r>
          </w:p>
        </w:tc>
        <w:tc>
          <w:tcPr>
            <w:tcW w:type="dxa" w:w="2256"/>
          </w:tcPr>
          <w:p>
            <w:pPr>
              <w:spacing w:after="20"/>
            </w:pPr>
            <w:r>
              <w:rPr>
                <w:rFonts w:ascii="Segoe UI" w:hAnsi="Segoe UI" w:cs="Segoe UI" w:eastAsia="Segoe UI"/>
                <w:color w:val="101820"/>
                <w:sz w:val="16"/>
              </w:rPr>
              <w:t>DPA</w:t>
            </w:r>
          </w:p>
        </w:tc>
      </w:tr>
      <w:tr>
        <w:tc>
          <w:tcPr>
            <w:tcW w:type="dxa" w:w="907"/>
          </w:tcPr>
          <w:p>
            <w:pPr>
              <w:spacing w:after="20"/>
            </w:pPr>
            <w:r>
              <w:rPr>
                <w:rFonts w:ascii="Segoe UI" w:hAnsi="Segoe UI" w:cs="Segoe UI" w:eastAsia="Segoe UI"/>
                <w:color w:val="101820"/>
                <w:sz w:val="16"/>
              </w:rPr>
              <w:t>DPA-03</w:t>
            </w:r>
          </w:p>
        </w:tc>
        <w:tc>
          <w:tcPr>
            <w:tcW w:type="dxa" w:w="2330"/>
          </w:tcPr>
          <w:p>
            <w:pPr>
              <w:spacing w:after="20"/>
            </w:pPr>
            <w:r>
              <w:rPr>
                <w:rFonts w:ascii="Segoe UI" w:hAnsi="Segoe UI" w:cs="Segoe UI" w:eastAsia="Segoe UI"/>
                <w:color w:val="101820"/>
                <w:sz w:val="16"/>
              </w:rPr>
              <w:t>What personal data does the system hold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Leads, clients, insured risks, KYC IDs and images, claimants and payees, payment references (no card numbers), referrers and their bank accounts, staff users and sign-in history</w:t>
            </w:r>
          </w:p>
        </w:tc>
        <w:tc>
          <w:tcPr>
            <w:tcW w:type="dxa" w:w="2256"/>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DPA-04</w:t>
            </w:r>
          </w:p>
        </w:tc>
        <w:tc>
          <w:tcPr>
            <w:tcW w:type="dxa" w:w="2330"/>
          </w:tcPr>
          <w:p>
            <w:pPr>
              <w:spacing w:after="20"/>
            </w:pPr>
            <w:r>
              <w:rPr>
                <w:rFonts w:ascii="Segoe UI" w:hAnsi="Segoe UI" w:cs="Segoe UI" w:eastAsia="Segoe UI"/>
                <w:color w:val="101820"/>
                <w:sz w:val="16"/>
              </w:rPr>
              <w:t>Does it hold sensitive personal information</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Government-issued ID numbers and images; some claim details (for example injury in a personal accident claim)</w:t>
            </w:r>
          </w:p>
        </w:tc>
        <w:tc>
          <w:tcPr>
            <w:tcW w:type="dxa" w:w="2256"/>
          </w:tcPr>
          <w:p>
            <w:pPr>
              <w:spacing w:after="20"/>
            </w:pPr>
            <w:r>
              <w:rPr>
                <w:rFonts w:ascii="Segoe UI" w:hAnsi="Segoe UI" w:cs="Segoe UI" w:eastAsia="Segoe UI"/>
                <w:color w:val="101820"/>
                <w:sz w:val="16"/>
              </w:rPr>
              <w:t>AIS, Personal data held</w:t>
            </w:r>
          </w:p>
        </w:tc>
      </w:tr>
      <w:tr>
        <w:tc>
          <w:tcPr>
            <w:tcW w:type="dxa" w:w="907"/>
          </w:tcPr>
          <w:p>
            <w:pPr>
              <w:spacing w:after="20"/>
            </w:pPr>
            <w:r>
              <w:rPr>
                <w:rFonts w:ascii="Segoe UI" w:hAnsi="Segoe UI" w:cs="Segoe UI" w:eastAsia="Segoe UI"/>
                <w:color w:val="101820"/>
                <w:sz w:val="16"/>
              </w:rPr>
              <w:t>DPA-05</w:t>
            </w:r>
          </w:p>
        </w:tc>
        <w:tc>
          <w:tcPr>
            <w:tcW w:type="dxa" w:w="2330"/>
          </w:tcPr>
          <w:p>
            <w:pPr>
              <w:spacing w:after="20"/>
            </w:pPr>
            <w:r>
              <w:rPr>
                <w:rFonts w:ascii="Segoe UI" w:hAnsi="Segoe UI" w:cs="Segoe UI" w:eastAsia="Segoe UI"/>
                <w:color w:val="101820"/>
                <w:sz w:val="16"/>
              </w:rPr>
              <w:t>Can consent be recorded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Master &gt; Data Privacy &gt; Consent Register and consent per purpose on the client and prospect (processing, marketing, sharing with insurers), with channel, notice version and evidence. Delivered after the release test and re-tested on 03 October 2026 (BV-SEC-034 passed)</w:t>
            </w:r>
          </w:p>
        </w:tc>
        <w:tc>
          <w:tcPr>
            <w:tcW w:type="dxa" w:w="2256"/>
          </w:tcPr>
          <w:p>
            <w:pPr>
              <w:spacing w:after="20"/>
            </w:pPr>
            <w:r>
              <w:rPr>
                <w:rFonts w:ascii="Segoe UI" w:hAnsi="Segoe UI" w:cs="Segoe UI" w:eastAsia="Segoe UI"/>
                <w:color w:val="101820"/>
                <w:sz w:val="16"/>
              </w:rPr>
              <w:t>PF, Data privacy; TSR, BV-DEF-002</w:t>
            </w:r>
          </w:p>
        </w:tc>
      </w:tr>
      <w:tr>
        <w:tc>
          <w:tcPr>
            <w:tcW w:type="dxa" w:w="907"/>
          </w:tcPr>
          <w:p>
            <w:pPr>
              <w:spacing w:after="20"/>
            </w:pPr>
            <w:r>
              <w:rPr>
                <w:rFonts w:ascii="Segoe UI" w:hAnsi="Segoe UI" w:cs="Segoe UI" w:eastAsia="Segoe UI"/>
                <w:color w:val="101820"/>
                <w:sz w:val="16"/>
              </w:rPr>
              <w:t>DPA-06</w:t>
            </w:r>
          </w:p>
        </w:tc>
        <w:tc>
          <w:tcPr>
            <w:tcW w:type="dxa" w:w="2330"/>
          </w:tcPr>
          <w:p>
            <w:pPr>
              <w:spacing w:after="20"/>
            </w:pPr>
            <w:r>
              <w:rPr>
                <w:rFonts w:ascii="Segoe UI" w:hAnsi="Segoe UI" w:cs="Segoe UI" w:eastAsia="Segoe UI"/>
                <w:color w:val="101820"/>
                <w:sz w:val="16"/>
              </w:rPr>
              <w:t>Can data subject requests be logged and answered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Master &gt; Data Privacy &gt; Data Subject Requests (DSR- numbers), due date 15 calendar days (</w:t>
            </w:r>
            <w:r>
              <w:rPr>
                <w:rFonts w:ascii="Consolas" w:hAnsi="Consolas" w:cs="Consolas" w:eastAsia="Consolas"/>
                <w:color w:val="101820"/>
                <w:sz w:val="14"/>
              </w:rPr>
              <w:t>privacy.request_due_days</w:t>
            </w:r>
            <w:r>
              <w:rPr>
                <w:rFonts w:ascii="Segoe UI" w:hAnsi="Segoe UI" w:cs="Segoe UI" w:eastAsia="Segoe UI"/>
                <w:color w:val="101820"/>
                <w:sz w:val="16"/>
              </w:rPr>
              <w:t>), personal data export as JSON or Excel. Re-tested on 03 October 2026 (BV-SEC-035 passed)</w:t>
            </w:r>
          </w:p>
        </w:tc>
        <w:tc>
          <w:tcPr>
            <w:tcW w:type="dxa" w:w="2256"/>
          </w:tcPr>
          <w:p>
            <w:pPr>
              <w:spacing w:after="20"/>
            </w:pPr>
            <w:r>
              <w:rPr>
                <w:rFonts w:ascii="Segoe UI" w:hAnsi="Segoe UI" w:cs="Segoe UI" w:eastAsia="Segoe UI"/>
                <w:color w:val="101820"/>
                <w:sz w:val="16"/>
              </w:rPr>
              <w:t>PF, Data privacy</w:t>
            </w:r>
          </w:p>
        </w:tc>
      </w:tr>
      <w:tr>
        <w:tc>
          <w:tcPr>
            <w:tcW w:type="dxa" w:w="907"/>
          </w:tcPr>
          <w:p>
            <w:pPr>
              <w:spacing w:after="20"/>
            </w:pPr>
            <w:r>
              <w:rPr>
                <w:rFonts w:ascii="Segoe UI" w:hAnsi="Segoe UI" w:cs="Segoe UI" w:eastAsia="Segoe UI"/>
                <w:color w:val="101820"/>
                <w:sz w:val="16"/>
              </w:rPr>
              <w:t>DPA-07</w:t>
            </w:r>
          </w:p>
        </w:tc>
        <w:tc>
          <w:tcPr>
            <w:tcW w:type="dxa" w:w="2330"/>
          </w:tcPr>
          <w:p>
            <w:pPr>
              <w:spacing w:after="20"/>
            </w:pPr>
            <w:r>
              <w:rPr>
                <w:rFonts w:ascii="Segoe UI" w:hAnsi="Segoe UI" w:cs="Segoe UI" w:eastAsia="Segoe UI"/>
                <w:color w:val="101820"/>
                <w:sz w:val="16"/>
              </w:rPr>
              <w:t>Can personal data be erased or anonymised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Anonymisation of a client or prospect with a dry run, refused while policies are in force, items are open, or within 10 years of the last expiry (</w:t>
            </w:r>
            <w:r>
              <w:rPr>
                <w:rFonts w:ascii="Consolas" w:hAnsi="Consolas" w:cs="Consolas" w:eastAsia="Consolas"/>
                <w:color w:val="101820"/>
                <w:sz w:val="14"/>
              </w:rPr>
              <w:t>privacy.retention_years</w:t>
            </w:r>
            <w:r>
              <w:rPr>
                <w:rFonts w:ascii="Segoe UI" w:hAnsi="Segoe UI" w:cs="Segoe UI" w:eastAsia="Segoe UI"/>
                <w:color w:val="101820"/>
                <w:sz w:val="16"/>
              </w:rPr>
              <w:t>); every action in the audit trail</w:t>
            </w:r>
          </w:p>
        </w:tc>
        <w:tc>
          <w:tcPr>
            <w:tcW w:type="dxa" w:w="2256"/>
          </w:tcPr>
          <w:p>
            <w:pPr>
              <w:spacing w:after="20"/>
            </w:pPr>
            <w:r>
              <w:rPr>
                <w:rFonts w:ascii="Segoe UI" w:hAnsi="Segoe UI" w:cs="Segoe UI" w:eastAsia="Segoe UI"/>
                <w:color w:val="101820"/>
                <w:sz w:val="16"/>
              </w:rPr>
              <w:t>PF, Data privacy</w:t>
            </w:r>
          </w:p>
        </w:tc>
      </w:tr>
      <w:tr>
        <w:tc>
          <w:tcPr>
            <w:tcW w:type="dxa" w:w="907"/>
          </w:tcPr>
          <w:p>
            <w:pPr>
              <w:spacing w:after="20"/>
            </w:pPr>
            <w:r>
              <w:rPr>
                <w:rFonts w:ascii="Segoe UI" w:hAnsi="Segoe UI" w:cs="Segoe UI" w:eastAsia="Segoe UI"/>
                <w:color w:val="101820"/>
                <w:sz w:val="16"/>
              </w:rPr>
              <w:t>DPA-08</w:t>
            </w:r>
          </w:p>
        </w:tc>
        <w:tc>
          <w:tcPr>
            <w:tcW w:type="dxa" w:w="2330"/>
          </w:tcPr>
          <w:p>
            <w:pPr>
              <w:spacing w:after="20"/>
            </w:pPr>
            <w:r>
              <w:rPr>
                <w:rFonts w:ascii="Segoe UI" w:hAnsi="Segoe UI" w:cs="Segoe UI" w:eastAsia="Segoe UI"/>
                <w:color w:val="101820"/>
                <w:sz w:val="16"/>
              </w:rPr>
              <w:t>Is personal data encrypted</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type="dxa" w:w="2256"/>
          </w:tcPr>
          <w:p>
            <w:pPr>
              <w:spacing w:after="20"/>
            </w:pPr>
            <w:r>
              <w:rPr>
                <w:rFonts w:ascii="Segoe UI" w:hAnsi="Segoe UI" w:cs="Segoe UI" w:eastAsia="Segoe UI"/>
                <w:color w:val="101820"/>
                <w:sz w:val="16"/>
              </w:rPr>
              <w:t>AIS, Encryption; TSR</w:t>
            </w:r>
          </w:p>
        </w:tc>
      </w:tr>
      <w:tr>
        <w:tc>
          <w:tcPr>
            <w:tcW w:type="dxa" w:w="907"/>
          </w:tcPr>
          <w:p>
            <w:pPr>
              <w:spacing w:after="20"/>
            </w:pPr>
            <w:r>
              <w:rPr>
                <w:rFonts w:ascii="Segoe UI" w:hAnsi="Segoe UI" w:cs="Segoe UI" w:eastAsia="Segoe UI"/>
                <w:color w:val="101820"/>
                <w:sz w:val="16"/>
              </w:rPr>
              <w:t>DPA-09</w:t>
            </w:r>
          </w:p>
        </w:tc>
        <w:tc>
          <w:tcPr>
            <w:tcW w:type="dxa" w:w="2330"/>
          </w:tcPr>
          <w:p>
            <w:pPr>
              <w:spacing w:after="20"/>
            </w:pPr>
            <w:r>
              <w:rPr>
                <w:rFonts w:ascii="Segoe UI" w:hAnsi="Segoe UI" w:cs="Segoe UI" w:eastAsia="Segoe UI"/>
                <w:color w:val="101820"/>
                <w:sz w:val="16"/>
              </w:rPr>
              <w:t>Where is the data stored</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Chosen per broker: AWS or Azure in Singapore, a Philippine hosting partner, or the broker's own data centre. Stated in the Order Form; not moved without the broker's written consent</w:t>
            </w:r>
          </w:p>
        </w:tc>
        <w:tc>
          <w:tcPr>
            <w:tcW w:type="dxa" w:w="2256"/>
          </w:tcPr>
          <w:p>
            <w:pPr>
              <w:spacing w:after="20"/>
            </w:pPr>
            <w:r>
              <w:rPr>
                <w:rFonts w:ascii="Segoe UI" w:hAnsi="Segoe UI" w:cs="Segoe UI" w:eastAsia="Segoe UI"/>
                <w:color w:val="101820"/>
                <w:sz w:val="16"/>
              </w:rPr>
              <w:t>HSA, Data location; AIS, Cross-border transfer</w:t>
            </w:r>
          </w:p>
        </w:tc>
      </w:tr>
      <w:tr>
        <w:tc>
          <w:tcPr>
            <w:tcW w:type="dxa" w:w="907"/>
          </w:tcPr>
          <w:p>
            <w:pPr>
              <w:spacing w:after="20"/>
            </w:pPr>
            <w:r>
              <w:rPr>
                <w:rFonts w:ascii="Segoe UI" w:hAnsi="Segoe UI" w:cs="Segoe UI" w:eastAsia="Segoe UI"/>
                <w:color w:val="101820"/>
                <w:sz w:val="16"/>
              </w:rPr>
              <w:t>DPA-10</w:t>
            </w:r>
          </w:p>
        </w:tc>
        <w:tc>
          <w:tcPr>
            <w:tcW w:type="dxa" w:w="2330"/>
          </w:tcPr>
          <w:p>
            <w:pPr>
              <w:spacing w:after="20"/>
            </w:pPr>
            <w:r>
              <w:rPr>
                <w:rFonts w:ascii="Segoe UI" w:hAnsi="Segoe UI" w:cs="Segoe UI" w:eastAsia="Segoe UI"/>
                <w:color w:val="101820"/>
                <w:sz w:val="16"/>
              </w:rPr>
              <w:t>How are cross-border transfers handled</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Hosting in Singapore is a transfer the DPA allows; the broker remains accountable (DPA section 21), documents it in its privacy notice, processing records and privacy impact assessment; iorta TechNXT provides comparable protection by contract</w:t>
            </w:r>
          </w:p>
        </w:tc>
        <w:tc>
          <w:tcPr>
            <w:tcW w:type="dxa" w:w="2256"/>
          </w:tcPr>
          <w:p>
            <w:pPr>
              <w:spacing w:after="20"/>
            </w:pPr>
            <w:r>
              <w:rPr>
                <w:rFonts w:ascii="Segoe UI" w:hAnsi="Segoe UI" w:cs="Segoe UI" w:eastAsia="Segoe UI"/>
                <w:color w:val="101820"/>
                <w:sz w:val="16"/>
              </w:rPr>
              <w:t>DPA, Location; AIS</w:t>
            </w:r>
          </w:p>
        </w:tc>
      </w:tr>
      <w:tr>
        <w:tc>
          <w:tcPr>
            <w:tcW w:type="dxa" w:w="907"/>
          </w:tcPr>
          <w:p>
            <w:pPr>
              <w:spacing w:after="20"/>
            </w:pPr>
            <w:r>
              <w:rPr>
                <w:rFonts w:ascii="Segoe UI" w:hAnsi="Segoe UI" w:cs="Segoe UI" w:eastAsia="Segoe UI"/>
                <w:color w:val="101820"/>
                <w:sz w:val="16"/>
              </w:rPr>
              <w:t>DPA-11</w:t>
            </w:r>
          </w:p>
        </w:tc>
        <w:tc>
          <w:tcPr>
            <w:tcW w:type="dxa" w:w="2330"/>
          </w:tcPr>
          <w:p>
            <w:pPr>
              <w:spacing w:after="20"/>
            </w:pPr>
            <w:r>
              <w:rPr>
                <w:rFonts w:ascii="Segoe UI" w:hAnsi="Segoe UI" w:cs="Segoe UI" w:eastAsia="Segoe UI"/>
                <w:color w:val="101820"/>
                <w:sz w:val="16"/>
              </w:rPr>
              <w:t>What is the breach notification commitment</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type="dxa" w:w="2256"/>
          </w:tcPr>
          <w:p>
            <w:pPr>
              <w:spacing w:after="20"/>
            </w:pPr>
            <w:r>
              <w:rPr>
                <w:rFonts w:ascii="Segoe UI" w:hAnsi="Segoe UI" w:cs="Segoe UI" w:eastAsia="Segoe UI"/>
                <w:color w:val="101820"/>
                <w:sz w:val="16"/>
              </w:rPr>
              <w:t>DPA, Personal data breach; PSS</w:t>
            </w:r>
          </w:p>
        </w:tc>
      </w:tr>
      <w:tr>
        <w:tc>
          <w:tcPr>
            <w:tcW w:type="dxa" w:w="907"/>
          </w:tcPr>
          <w:p>
            <w:pPr>
              <w:spacing w:after="20"/>
            </w:pPr>
            <w:r>
              <w:rPr>
                <w:rFonts w:ascii="Segoe UI" w:hAnsi="Segoe UI" w:cs="Segoe UI" w:eastAsia="Segoe UI"/>
                <w:color w:val="101820"/>
                <w:sz w:val="16"/>
              </w:rPr>
              <w:t>DPA-12</w:t>
            </w:r>
          </w:p>
        </w:tc>
        <w:tc>
          <w:tcPr>
            <w:tcW w:type="dxa" w:w="2330"/>
          </w:tcPr>
          <w:p>
            <w:pPr>
              <w:spacing w:after="20"/>
            </w:pPr>
            <w:r>
              <w:rPr>
                <w:rFonts w:ascii="Segoe UI" w:hAnsi="Segoe UI" w:cs="Segoe UI" w:eastAsia="Segoe UI"/>
                <w:color w:val="101820"/>
                <w:sz w:val="16"/>
              </w:rPr>
              <w:t>Is there a retention schedule</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 xml:space="preserve">Housekeeping job removes temporary data on configured periods; audit trail kept by default and never purged below 7 years; business records kept; personal data of a client or prospect anonymised on request once </w:t>
            </w:r>
            <w:r>
              <w:rPr>
                <w:rFonts w:ascii="Consolas" w:hAnsi="Consolas" w:cs="Consolas" w:eastAsia="Consolas"/>
                <w:color w:val="101820"/>
                <w:sz w:val="14"/>
              </w:rPr>
              <w:t>privacy.retention_years</w:t>
            </w:r>
            <w:r>
              <w:rPr>
                <w:rFonts w:ascii="Segoe UI" w:hAnsi="Segoe UI" w:cs="Segoe UI" w:eastAsia="Segoe UI"/>
                <w:color w:val="101820"/>
                <w:sz w:val="16"/>
              </w:rPr>
              <w:t xml:space="preserve"> (10) has passed; recommended retention of 10 years for financial and policy records, confirmed by the broker</w:t>
            </w:r>
          </w:p>
        </w:tc>
        <w:tc>
          <w:tcPr>
            <w:tcW w:type="dxa" w:w="2256"/>
          </w:tcPr>
          <w:p>
            <w:pPr>
              <w:spacing w:after="20"/>
            </w:pPr>
            <w:r>
              <w:rPr>
                <w:rFonts w:ascii="Segoe UI" w:hAnsi="Segoe UI" w:cs="Segoe UI" w:eastAsia="Segoe UI"/>
                <w:color w:val="101820"/>
                <w:sz w:val="16"/>
              </w:rPr>
              <w:t>AIS, Retention and disposal</w:t>
            </w:r>
          </w:p>
        </w:tc>
      </w:tr>
      <w:tr>
        <w:tc>
          <w:tcPr>
            <w:tcW w:type="dxa" w:w="907"/>
          </w:tcPr>
          <w:p>
            <w:pPr>
              <w:spacing w:after="20"/>
            </w:pPr>
            <w:r>
              <w:rPr>
                <w:rFonts w:ascii="Segoe UI" w:hAnsi="Segoe UI" w:cs="Segoe UI" w:eastAsia="Segoe UI"/>
                <w:color w:val="101820"/>
                <w:sz w:val="16"/>
              </w:rPr>
              <w:t>DPA-13</w:t>
            </w:r>
          </w:p>
        </w:tc>
        <w:tc>
          <w:tcPr>
            <w:tcW w:type="dxa" w:w="2330"/>
          </w:tcPr>
          <w:p>
            <w:pPr>
              <w:spacing w:after="20"/>
            </w:pPr>
            <w:r>
              <w:rPr>
                <w:rFonts w:ascii="Segoe UI" w:hAnsi="Segoe UI" w:cs="Segoe UI" w:eastAsia="Segoe UI"/>
                <w:color w:val="101820"/>
                <w:sz w:val="16"/>
              </w:rPr>
              <w:t>Who are the sub-processors</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The hosting provider of the chosen option, and the e-mail provider or support tooling only where they apply. Listed in DPA Annex 3; 30 days' notice before a change, with a right to object</w:t>
            </w:r>
          </w:p>
        </w:tc>
        <w:tc>
          <w:tcPr>
            <w:tcW w:type="dxa" w:w="2256"/>
          </w:tcPr>
          <w:p>
            <w:pPr>
              <w:spacing w:after="20"/>
            </w:pPr>
            <w:r>
              <w:rPr>
                <w:rFonts w:ascii="Segoe UI" w:hAnsi="Segoe UI" w:cs="Segoe UI" w:eastAsia="Segoe UI"/>
                <w:color w:val="101820"/>
                <w:sz w:val="16"/>
              </w:rPr>
              <w:t>DPA, Sub-processors and Annex 3</w:t>
            </w:r>
          </w:p>
        </w:tc>
      </w:tr>
      <w:tr>
        <w:tc>
          <w:tcPr>
            <w:tcW w:type="dxa" w:w="907"/>
          </w:tcPr>
          <w:p>
            <w:pPr>
              <w:spacing w:after="20"/>
            </w:pPr>
            <w:r>
              <w:rPr>
                <w:rFonts w:ascii="Segoe UI" w:hAnsi="Segoe UI" w:cs="Segoe UI" w:eastAsia="Segoe UI"/>
                <w:color w:val="101820"/>
                <w:sz w:val="16"/>
              </w:rPr>
              <w:t>DPA-14</w:t>
            </w:r>
          </w:p>
        </w:tc>
        <w:tc>
          <w:tcPr>
            <w:tcW w:type="dxa" w:w="2330"/>
          </w:tcPr>
          <w:p>
            <w:pPr>
              <w:spacing w:after="20"/>
            </w:pPr>
            <w:r>
              <w:rPr>
                <w:rFonts w:ascii="Segoe UI" w:hAnsi="Segoe UI" w:cs="Segoe UI" w:eastAsia="Segoe UI"/>
                <w:color w:val="101820"/>
                <w:sz w:val="16"/>
              </w:rPr>
              <w:t>Has a privacy impact assessment been done</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The PIA is the broker's as PIC. iorta TechNXT supplies the system description, data inventory and security measures (AIS) as input</w:t>
            </w:r>
          </w:p>
        </w:tc>
        <w:tc>
          <w:tcPr>
            <w:tcW w:type="dxa" w:w="2256"/>
          </w:tcPr>
          <w:p>
            <w:pPr>
              <w:spacing w:after="20"/>
            </w:pPr>
            <w:r>
              <w:rPr>
                <w:rFonts w:ascii="Segoe UI" w:hAnsi="Segoe UI" w:cs="Segoe UI" w:eastAsia="Segoe UI"/>
                <w:color w:val="101820"/>
                <w:sz w:val="16"/>
              </w:rPr>
              <w:t>AIS, Data privacy</w:t>
            </w:r>
          </w:p>
        </w:tc>
      </w:tr>
      <w:tr>
        <w:tc>
          <w:tcPr>
            <w:tcW w:type="dxa" w:w="907"/>
          </w:tcPr>
          <w:p>
            <w:pPr>
              <w:spacing w:after="20"/>
            </w:pPr>
            <w:r>
              <w:rPr>
                <w:rFonts w:ascii="Segoe UI" w:hAnsi="Segoe UI" w:cs="Segoe UI" w:eastAsia="Segoe UI"/>
                <w:color w:val="101820"/>
                <w:sz w:val="16"/>
              </w:rPr>
              <w:t>DPA-15</w:t>
            </w:r>
          </w:p>
        </w:tc>
        <w:tc>
          <w:tcPr>
            <w:tcW w:type="dxa" w:w="2330"/>
          </w:tcPr>
          <w:p>
            <w:pPr>
              <w:spacing w:after="20"/>
            </w:pPr>
            <w:r>
              <w:rPr>
                <w:rFonts w:ascii="Segoe UI" w:hAnsi="Segoe UI" w:cs="Segoe UI" w:eastAsia="Segoe UI"/>
                <w:color w:val="101820"/>
                <w:sz w:val="16"/>
              </w:rPr>
              <w:t>Are NPC registration and the privacy notice handled</w:t>
            </w:r>
          </w:p>
        </w:tc>
        <w:tc>
          <w:tcPr>
            <w:tcW w:type="dxa" w:w="1123"/>
          </w:tcPr>
          <w:p>
            <w:pPr>
              <w:spacing w:after="20"/>
            </w:pPr>
            <w:r>
              <w:rPr>
                <w:rFonts w:ascii="Segoe UI" w:hAnsi="Segoe UI" w:cs="Segoe UI" w:eastAsia="Segoe UI"/>
                <w:color w:val="101820"/>
                <w:sz w:val="16"/>
              </w:rPr>
              <w:t>Broker</w:t>
            </w:r>
          </w:p>
        </w:tc>
        <w:tc>
          <w:tcPr>
            <w:tcW w:type="dxa" w:w="2399"/>
          </w:tcPr>
          <w:p>
            <w:pPr>
              <w:spacing w:after="20"/>
            </w:pPr>
            <w:r>
              <w:rPr>
                <w:rFonts w:ascii="Segoe UI" w:hAnsi="Segoe UI" w:cs="Segoe UI" w:eastAsia="Segoe UI"/>
                <w:color w:val="101820"/>
                <w:sz w:val="16"/>
              </w:rPr>
              <w:t>Registration of the processing system and DPO (NPC Circular 2022-04) and the privacy notice are the broker's. The notice version is recorded with each consent (</w:t>
            </w:r>
            <w:r>
              <w:rPr>
                <w:rFonts w:ascii="Consolas" w:hAnsi="Consolas" w:cs="Consolas" w:eastAsia="Consolas"/>
                <w:color w:val="101820"/>
                <w:sz w:val="14"/>
              </w:rPr>
              <w:t>privacy.notice_version</w:t>
            </w:r>
            <w:r>
              <w:rPr>
                <w:rFonts w:ascii="Segoe UI" w:hAnsi="Segoe UI" w:cs="Segoe UI" w:eastAsia="Segoe UI"/>
                <w:color w:val="101820"/>
                <w:sz w:val="16"/>
              </w:rPr>
              <w:t>)</w:t>
            </w:r>
          </w:p>
        </w:tc>
        <w:tc>
          <w:tcPr>
            <w:tcW w:type="dxa" w:w="2256"/>
          </w:tcPr>
          <w:p>
            <w:pPr>
              <w:spacing w:after="20"/>
            </w:pPr>
            <w:r>
              <w:rPr>
                <w:rFonts w:ascii="Segoe UI" w:hAnsi="Segoe UI" w:cs="Segoe UI" w:eastAsia="Segoe UI"/>
                <w:color w:val="101820"/>
                <w:sz w:val="16"/>
              </w:rPr>
              <w:t>AIS, Legal framework; PF</w:t>
            </w:r>
          </w:p>
        </w:tc>
      </w:tr>
    </w:tbl>
    <w:p>
      <w:pPr>
        <w:pStyle w:val="Heading1"/>
        <w:pageBreakBefore/>
      </w:pPr>
      <w:r>
        <w:rPr>
          <w:rFonts w:ascii="Segoe UI" w:hAnsi="Segoe UI" w:cs="Segoe UI" w:eastAsia="Segoe UI"/>
          <w:b/>
          <w:color w:val="0F4761"/>
          <w:sz w:val="32"/>
        </w:rPr>
        <w:t>7.  Access control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31"/>
        <w:gridCol w:w="1123"/>
        <w:gridCol w:w="2596"/>
        <w:gridCol w:w="1858"/>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31"/>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596"/>
            <w:shd w:val="clear" w:color="auto" w:fill="DCE9F7"/>
          </w:tcPr>
          <w:p>
            <w:pPr>
              <w:spacing w:after="20"/>
            </w:pPr>
            <w:r>
              <w:rPr>
                <w:rFonts w:ascii="Segoe UI" w:hAnsi="Segoe UI" w:cs="Segoe UI" w:eastAsia="Segoe UI"/>
                <w:b/>
                <w:color w:val="0F4761"/>
                <w:sz w:val="16"/>
              </w:rPr>
              <w:t>Answer</w:t>
            </w:r>
          </w:p>
        </w:tc>
        <w:tc>
          <w:tcPr>
            <w:tcW w:type="dxa" w:w="1858"/>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ACC-01</w:t>
            </w:r>
          </w:p>
        </w:tc>
        <w:tc>
          <w:tcPr>
            <w:tcW w:type="dxa" w:w="2531"/>
          </w:tcPr>
          <w:p>
            <w:pPr>
              <w:spacing w:after="20"/>
            </w:pPr>
            <w:r>
              <w:rPr>
                <w:rFonts w:ascii="Segoe UI" w:hAnsi="Segoe UI" w:cs="Segoe UI" w:eastAsia="Segoe UI"/>
                <w:color w:val="101820"/>
                <w:sz w:val="16"/>
              </w:rPr>
              <w:t>Are all users uniquely identified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Named users only; no shared or agent sign-in. The initial password must be changed at first sign-in</w:t>
            </w:r>
          </w:p>
        </w:tc>
        <w:tc>
          <w:tcPr>
            <w:tcW w:type="dxa" w:w="1858"/>
          </w:tcPr>
          <w:p>
            <w:pPr>
              <w:spacing w:after="20"/>
            </w:pPr>
            <w:r>
              <w:rPr>
                <w:rFonts w:ascii="Segoe UI" w:hAnsi="Segoe UI" w:cs="Segoe UI" w:eastAsia="Segoe UI"/>
                <w:color w:val="101820"/>
                <w:sz w:val="16"/>
              </w:rPr>
              <w:t>AIS, Identity and authentication</w:t>
            </w:r>
          </w:p>
        </w:tc>
      </w:tr>
      <w:tr>
        <w:tc>
          <w:tcPr>
            <w:tcW w:type="dxa" w:w="907"/>
          </w:tcPr>
          <w:p>
            <w:pPr>
              <w:spacing w:after="20"/>
            </w:pPr>
            <w:r>
              <w:rPr>
                <w:rFonts w:ascii="Segoe UI" w:hAnsi="Segoe UI" w:cs="Segoe UI" w:eastAsia="Segoe UI"/>
                <w:color w:val="101820"/>
                <w:sz w:val="16"/>
              </w:rPr>
              <w:t>ACC-02</w:t>
            </w:r>
          </w:p>
        </w:tc>
        <w:tc>
          <w:tcPr>
            <w:tcW w:type="dxa" w:w="2531"/>
          </w:tcPr>
          <w:p>
            <w:pPr>
              <w:spacing w:after="20"/>
            </w:pPr>
            <w:r>
              <w:rPr>
                <w:rFonts w:ascii="Segoe UI" w:hAnsi="Segoe UI" w:cs="Segoe UI" w:eastAsia="Segoe UI"/>
                <w:color w:val="101820"/>
                <w:sz w:val="16"/>
              </w:rPr>
              <w:t>What is the password policy</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Minimum 8 characters with upper case, lower case, digit and symbol; last 5 passwords refused; maximum age 90 days. All values are settings (</w:t>
            </w:r>
            <w:r>
              <w:rPr>
                <w:rFonts w:ascii="Consolas" w:hAnsi="Consolas" w:cs="Consolas" w:eastAsia="Consolas"/>
                <w:color w:val="101820"/>
                <w:sz w:val="14"/>
              </w:rPr>
              <w:t>security.password_*</w:t>
            </w:r>
            <w:r>
              <w:rPr>
                <w:rFonts w:ascii="Segoe UI" w:hAnsi="Segoe UI" w:cs="Segoe UI" w:eastAsia="Segoe UI"/>
                <w:color w:val="101820"/>
                <w:sz w:val="16"/>
              </w:rPr>
              <w:t>)</w:t>
            </w:r>
          </w:p>
        </w:tc>
        <w:tc>
          <w:tcPr>
            <w:tcW w:type="dxa" w:w="1858"/>
          </w:tcPr>
          <w:p>
            <w:pPr>
              <w:spacing w:after="20"/>
            </w:pPr>
            <w:r>
              <w:rPr>
                <w:rFonts w:ascii="Segoe UI" w:hAnsi="Segoe UI" w:cs="Segoe UI" w:eastAsia="Segoe UI"/>
                <w:color w:val="101820"/>
                <w:sz w:val="16"/>
              </w:rPr>
              <w:t>TR, Password policy</w:t>
            </w:r>
          </w:p>
        </w:tc>
      </w:tr>
      <w:tr>
        <w:tc>
          <w:tcPr>
            <w:tcW w:type="dxa" w:w="907"/>
          </w:tcPr>
          <w:p>
            <w:pPr>
              <w:spacing w:after="20"/>
            </w:pPr>
            <w:r>
              <w:rPr>
                <w:rFonts w:ascii="Segoe UI" w:hAnsi="Segoe UI" w:cs="Segoe UI" w:eastAsia="Segoe UI"/>
                <w:color w:val="101820"/>
                <w:sz w:val="16"/>
              </w:rPr>
              <w:t>ACC-03</w:t>
            </w:r>
          </w:p>
        </w:tc>
        <w:tc>
          <w:tcPr>
            <w:tcW w:type="dxa" w:w="2531"/>
          </w:tcPr>
          <w:p>
            <w:pPr>
              <w:spacing w:after="20"/>
            </w:pPr>
            <w:r>
              <w:rPr>
                <w:rFonts w:ascii="Segoe UI" w:hAnsi="Segoe UI" w:cs="Segoe UI" w:eastAsia="Segoe UI"/>
                <w:color w:val="101820"/>
                <w:sz w:val="16"/>
              </w:rPr>
              <w:t>How are passwords stored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bcrypt hash (cost 10). An unknown user name costs the same comparison time, so names cannot be discovered by timing</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ACC-04</w:t>
            </w:r>
          </w:p>
        </w:tc>
        <w:tc>
          <w:tcPr>
            <w:tcW w:type="dxa" w:w="2531"/>
          </w:tcPr>
          <w:p>
            <w:pPr>
              <w:spacing w:after="20"/>
            </w:pPr>
            <w:r>
              <w:rPr>
                <w:rFonts w:ascii="Segoe UI" w:hAnsi="Segoe UI" w:cs="Segoe UI" w:eastAsia="Segoe UI"/>
                <w:color w:val="101820"/>
                <w:sz w:val="16"/>
              </w:rPr>
              <w:t>Is there an account lockout</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Locked after 5 wrong passwords (</w:t>
            </w:r>
            <w:r>
              <w:rPr>
                <w:rFonts w:ascii="Consolas" w:hAnsi="Consolas" w:cs="Consolas" w:eastAsia="Consolas"/>
                <w:color w:val="101820"/>
                <w:sz w:val="14"/>
              </w:rPr>
              <w:t>limits.max_login_attempts</w:t>
            </w:r>
            <w:r>
              <w:rPr>
                <w:rFonts w:ascii="Segoe UI" w:hAnsi="Segoe UI" w:cs="Segoe UI" w:eastAsia="Segoe UI"/>
                <w:color w:val="101820"/>
                <w:sz w:val="16"/>
              </w:rPr>
              <w:t>); sign-in and forgot-password limited to 10 attempts per 5 minutes per IP and per user name; reopening a locked account is audited</w:t>
            </w:r>
          </w:p>
        </w:tc>
        <w:tc>
          <w:tcPr>
            <w:tcW w:type="dxa" w:w="1858"/>
          </w:tcPr>
          <w:p>
            <w:pPr>
              <w:spacing w:after="20"/>
            </w:pPr>
            <w:r>
              <w:rPr>
                <w:rFonts w:ascii="Segoe UI" w:hAnsi="Segoe UI" w:cs="Segoe UI" w:eastAsia="Segoe UI"/>
                <w:color w:val="101820"/>
                <w:sz w:val="16"/>
              </w:rPr>
              <w:t>TR; TSR, Security testing</w:t>
            </w:r>
          </w:p>
        </w:tc>
      </w:tr>
      <w:tr>
        <w:tc>
          <w:tcPr>
            <w:tcW w:type="dxa" w:w="907"/>
          </w:tcPr>
          <w:p>
            <w:pPr>
              <w:spacing w:after="20"/>
            </w:pPr>
            <w:r>
              <w:rPr>
                <w:rFonts w:ascii="Segoe UI" w:hAnsi="Segoe UI" w:cs="Segoe UI" w:eastAsia="Segoe UI"/>
                <w:color w:val="101820"/>
                <w:sz w:val="16"/>
              </w:rPr>
              <w:t>ACC-05</w:t>
            </w:r>
          </w:p>
        </w:tc>
        <w:tc>
          <w:tcPr>
            <w:tcW w:type="dxa" w:w="2531"/>
          </w:tcPr>
          <w:p>
            <w:pPr>
              <w:spacing w:after="20"/>
            </w:pPr>
            <w:r>
              <w:rPr>
                <w:rFonts w:ascii="Segoe UI" w:hAnsi="Segoe UI" w:cs="Segoe UI" w:eastAsia="Segoe UI"/>
                <w:color w:val="101820"/>
                <w:sz w:val="16"/>
              </w:rPr>
              <w:t>Is multi-factor authentication available</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 xml:space="preserve">TOTP to RFC 6238 with any authenticator app; a code cannot be reused; compulsory for the roles in </w:t>
            </w:r>
            <w:r>
              <w:rPr>
                <w:rFonts w:ascii="Consolas" w:hAnsi="Consolas" w:cs="Consolas" w:eastAsia="Consolas"/>
                <w:color w:val="101820"/>
                <w:sz w:val="14"/>
              </w:rPr>
              <w:t>security.require_2fa_roles</w:t>
            </w:r>
            <w:r>
              <w:rPr>
                <w:rFonts w:ascii="Segoe UI" w:hAnsi="Segoe UI" w:cs="Segoe UI" w:eastAsia="Segoe UI"/>
                <w:color w:val="101820"/>
                <w:sz w:val="16"/>
              </w:rPr>
              <w:t xml:space="preserve"> (empty when delivered; set at go-live for at least System Administrator, Accounting and Accounting Manager)</w:t>
            </w:r>
          </w:p>
        </w:tc>
        <w:tc>
          <w:tcPr>
            <w:tcW w:type="dxa" w:w="1858"/>
          </w:tcPr>
          <w:p>
            <w:pPr>
              <w:spacing w:after="20"/>
            </w:pPr>
            <w:r>
              <w:rPr>
                <w:rFonts w:ascii="Segoe UI" w:hAnsi="Segoe UI" w:cs="Segoe UI" w:eastAsia="Segoe UI"/>
                <w:color w:val="101820"/>
                <w:sz w:val="16"/>
              </w:rPr>
              <w:t>TR; AIS</w:t>
            </w:r>
          </w:p>
        </w:tc>
      </w:tr>
      <w:tr>
        <w:tc>
          <w:tcPr>
            <w:tcW w:type="dxa" w:w="907"/>
          </w:tcPr>
          <w:p>
            <w:pPr>
              <w:spacing w:after="20"/>
            </w:pPr>
            <w:r>
              <w:rPr>
                <w:rFonts w:ascii="Segoe UI" w:hAnsi="Segoe UI" w:cs="Segoe UI" w:eastAsia="Segoe UI"/>
                <w:color w:val="101820"/>
                <w:sz w:val="16"/>
              </w:rPr>
              <w:t>ACC-06</w:t>
            </w:r>
          </w:p>
        </w:tc>
        <w:tc>
          <w:tcPr>
            <w:tcW w:type="dxa" w:w="2531"/>
          </w:tcPr>
          <w:p>
            <w:pPr>
              <w:spacing w:after="20"/>
            </w:pPr>
            <w:r>
              <w:rPr>
                <w:rFonts w:ascii="Segoe UI" w:hAnsi="Segoe UI" w:cs="Segoe UI" w:eastAsia="Segoe UI"/>
                <w:color w:val="101820"/>
                <w:sz w:val="16"/>
              </w:rPr>
              <w:t>How are sessions controlled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Access token 30 minutes; refresh token 30 days, rotated on each use, reuse revokes the token family; idle sign-out after 30 minutes with a warning</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ACC-07</w:t>
            </w:r>
          </w:p>
        </w:tc>
        <w:tc>
          <w:tcPr>
            <w:tcW w:type="dxa" w:w="2531"/>
          </w:tcPr>
          <w:p>
            <w:pPr>
              <w:spacing w:after="20"/>
            </w:pPr>
            <w:r>
              <w:rPr>
                <w:rFonts w:ascii="Segoe UI" w:hAnsi="Segoe UI" w:cs="Segoe UI" w:eastAsia="Segoe UI"/>
                <w:color w:val="101820"/>
                <w:sz w:val="16"/>
              </w:rPr>
              <w:t>Can sessions be ended centrally</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Password change or reset, deactivation, role change and Sign out everywhere end every session of the user at once (token version)</w:t>
            </w:r>
          </w:p>
        </w:tc>
        <w:tc>
          <w:tcPr>
            <w:tcW w:type="dxa" w:w="1858"/>
          </w:tcPr>
          <w:p>
            <w:pPr>
              <w:spacing w:after="20"/>
            </w:pPr>
            <w:r>
              <w:rPr>
                <w:rFonts w:ascii="Segoe UI" w:hAnsi="Segoe UI" w:cs="Segoe UI" w:eastAsia="Segoe UI"/>
                <w:color w:val="101820"/>
                <w:sz w:val="16"/>
              </w:rPr>
              <w:t>TR, Authentication</w:t>
            </w:r>
          </w:p>
        </w:tc>
      </w:tr>
      <w:tr>
        <w:tc>
          <w:tcPr>
            <w:tcW w:type="dxa" w:w="907"/>
          </w:tcPr>
          <w:p>
            <w:pPr>
              <w:spacing w:after="20"/>
            </w:pPr>
            <w:r>
              <w:rPr>
                <w:rFonts w:ascii="Segoe UI" w:hAnsi="Segoe UI" w:cs="Segoe UI" w:eastAsia="Segoe UI"/>
                <w:color w:val="101820"/>
                <w:sz w:val="16"/>
              </w:rPr>
              <w:t>ACC-08</w:t>
            </w:r>
          </w:p>
        </w:tc>
        <w:tc>
          <w:tcPr>
            <w:tcW w:type="dxa" w:w="2531"/>
          </w:tcPr>
          <w:p>
            <w:pPr>
              <w:spacing w:after="20"/>
            </w:pPr>
            <w:r>
              <w:rPr>
                <w:rFonts w:ascii="Segoe UI" w:hAnsi="Segoe UI" w:cs="Segoe UI" w:eastAsia="Segoe UI"/>
                <w:color w:val="101820"/>
                <w:sz w:val="16"/>
              </w:rPr>
              <w:t>Where are session tokens stored in the browser</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In browser local storage, accepted for go-live; a move to an httpOnly cookie is planned</w:t>
            </w:r>
          </w:p>
        </w:tc>
        <w:tc>
          <w:tcPr>
            <w:tcW w:type="dxa" w:w="1858"/>
          </w:tcPr>
          <w:p>
            <w:pPr>
              <w:spacing w:after="20"/>
            </w:pPr>
            <w:r>
              <w:rPr>
                <w:rFonts w:ascii="Segoe UI" w:hAnsi="Segoe UI" w:cs="Segoe UI" w:eastAsia="Segoe UI"/>
                <w:color w:val="101820"/>
                <w:sz w:val="16"/>
              </w:rPr>
              <w:t>AIS, Known limitation</w:t>
            </w:r>
          </w:p>
        </w:tc>
      </w:tr>
      <w:tr>
        <w:tc>
          <w:tcPr>
            <w:tcW w:type="dxa" w:w="907"/>
          </w:tcPr>
          <w:p>
            <w:pPr>
              <w:spacing w:after="20"/>
            </w:pPr>
            <w:r>
              <w:rPr>
                <w:rFonts w:ascii="Segoe UI" w:hAnsi="Segoe UI" w:cs="Segoe UI" w:eastAsia="Segoe UI"/>
                <w:color w:val="101820"/>
                <w:sz w:val="16"/>
              </w:rPr>
              <w:t>ACC-09</w:t>
            </w:r>
          </w:p>
        </w:tc>
        <w:tc>
          <w:tcPr>
            <w:tcW w:type="dxa" w:w="2531"/>
          </w:tcPr>
          <w:p>
            <w:pPr>
              <w:spacing w:after="20"/>
            </w:pPr>
            <w:r>
              <w:rPr>
                <w:rFonts w:ascii="Segoe UI" w:hAnsi="Segoe UI" w:cs="Segoe UI" w:eastAsia="Segoe UI"/>
                <w:color w:val="101820"/>
                <w:sz w:val="16"/>
              </w:rPr>
              <w:t>Is access role-based and least privilege</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Seven delivered roles; permissions checked by the server on every route (807 of 868 routes need a permission or role, 42 need sign-in only, 19 are public by design); menus deny by default</w:t>
            </w:r>
          </w:p>
        </w:tc>
        <w:tc>
          <w:tcPr>
            <w:tcW w:type="dxa" w:w="1858"/>
          </w:tcPr>
          <w:p>
            <w:pPr>
              <w:spacing w:after="20"/>
            </w:pPr>
            <w:r>
              <w:rPr>
                <w:rFonts w:ascii="Segoe UI" w:hAnsi="Segoe UI" w:cs="Segoe UI" w:eastAsia="Segoe UI"/>
                <w:color w:val="101820"/>
                <w:sz w:val="16"/>
              </w:rPr>
              <w:t>TR, Authorisation</w:t>
            </w:r>
          </w:p>
        </w:tc>
      </w:tr>
      <w:tr>
        <w:tc>
          <w:tcPr>
            <w:tcW w:type="dxa" w:w="907"/>
          </w:tcPr>
          <w:p>
            <w:pPr>
              <w:spacing w:after="20"/>
            </w:pPr>
            <w:r>
              <w:rPr>
                <w:rFonts w:ascii="Segoe UI" w:hAnsi="Segoe UI" w:cs="Segoe UI" w:eastAsia="Segoe UI"/>
                <w:color w:val="101820"/>
                <w:sz w:val="16"/>
              </w:rPr>
              <w:t>ACC-10</w:t>
            </w:r>
          </w:p>
        </w:tc>
        <w:tc>
          <w:tcPr>
            <w:tcW w:type="dxa" w:w="2531"/>
          </w:tcPr>
          <w:p>
            <w:pPr>
              <w:spacing w:after="20"/>
            </w:pPr>
            <w:r>
              <w:rPr>
                <w:rFonts w:ascii="Segoe UI" w:hAnsi="Segoe UI" w:cs="Segoe UI" w:eastAsia="Segoe UI"/>
                <w:color w:val="101820"/>
                <w:sz w:val="16"/>
              </w:rPr>
              <w:t>Can users be restricted to their own records</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 xml:space="preserve">Roles in </w:t>
            </w:r>
            <w:r>
              <w:rPr>
                <w:rFonts w:ascii="Consolas" w:hAnsi="Consolas" w:cs="Consolas" w:eastAsia="Consolas"/>
                <w:color w:val="101820"/>
                <w:sz w:val="14"/>
              </w:rPr>
              <w:t>security.scoped_roles</w:t>
            </w:r>
            <w:r>
              <w:rPr>
                <w:rFonts w:ascii="Segoe UI" w:hAnsi="Segoe UI" w:cs="Segoe UI" w:eastAsia="Segoe UI"/>
                <w:color w:val="101820"/>
                <w:sz w:val="16"/>
              </w:rPr>
              <w:t xml:space="preserve"> see only their own book; another user's record answers 404</w:t>
            </w:r>
          </w:p>
        </w:tc>
        <w:tc>
          <w:tcPr>
            <w:tcW w:type="dxa" w:w="1858"/>
          </w:tcPr>
          <w:p>
            <w:pPr>
              <w:spacing w:after="20"/>
            </w:pPr>
            <w:r>
              <w:rPr>
                <w:rFonts w:ascii="Segoe UI" w:hAnsi="Segoe UI" w:cs="Segoe UI" w:eastAsia="Segoe UI"/>
                <w:color w:val="101820"/>
                <w:sz w:val="16"/>
              </w:rPr>
              <w:t>TR, Authorisation</w:t>
            </w:r>
          </w:p>
        </w:tc>
      </w:tr>
      <w:tr>
        <w:tc>
          <w:tcPr>
            <w:tcW w:type="dxa" w:w="907"/>
          </w:tcPr>
          <w:p>
            <w:pPr>
              <w:spacing w:after="20"/>
            </w:pPr>
            <w:r>
              <w:rPr>
                <w:rFonts w:ascii="Segoe UI" w:hAnsi="Segoe UI" w:cs="Segoe UI" w:eastAsia="Segoe UI"/>
                <w:color w:val="101820"/>
                <w:sz w:val="16"/>
              </w:rPr>
              <w:t>ACC-11</w:t>
            </w:r>
          </w:p>
        </w:tc>
        <w:tc>
          <w:tcPr>
            <w:tcW w:type="dxa" w:w="2531"/>
          </w:tcPr>
          <w:p>
            <w:pPr>
              <w:spacing w:after="20"/>
            </w:pPr>
            <w:r>
              <w:rPr>
                <w:rFonts w:ascii="Segoe UI" w:hAnsi="Segoe UI" w:cs="Segoe UI" w:eastAsia="Segoe UI"/>
                <w:color w:val="101820"/>
                <w:sz w:val="16"/>
              </w:rPr>
              <w:t>Is there segregation of duties</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SoD rules on role pairs checked at assignment (block or warn); maker-checker on approvals; authority matrix limits in PHP per transaction type and role</w:t>
            </w:r>
          </w:p>
        </w:tc>
        <w:tc>
          <w:tcPr>
            <w:tcW w:type="dxa" w:w="1858"/>
          </w:tcPr>
          <w:p>
            <w:pPr>
              <w:spacing w:after="20"/>
            </w:pPr>
            <w:r>
              <w:rPr>
                <w:rFonts w:ascii="Segoe UI" w:hAnsi="Segoe UI" w:cs="Segoe UI" w:eastAsia="Segoe UI"/>
                <w:color w:val="101820"/>
                <w:sz w:val="16"/>
              </w:rPr>
              <w:t>AIS, Authorisation; PF</w:t>
            </w:r>
          </w:p>
        </w:tc>
      </w:tr>
      <w:tr>
        <w:tc>
          <w:tcPr>
            <w:tcW w:type="dxa" w:w="907"/>
          </w:tcPr>
          <w:p>
            <w:pPr>
              <w:spacing w:after="20"/>
            </w:pPr>
            <w:r>
              <w:rPr>
                <w:rFonts w:ascii="Segoe UI" w:hAnsi="Segoe UI" w:cs="Segoe UI" w:eastAsia="Segoe UI"/>
                <w:color w:val="101820"/>
                <w:sz w:val="16"/>
              </w:rPr>
              <w:t>ACC-12</w:t>
            </w:r>
          </w:p>
        </w:tc>
        <w:tc>
          <w:tcPr>
            <w:tcW w:type="dxa" w:w="2531"/>
          </w:tcPr>
          <w:p>
            <w:pPr>
              <w:spacing w:after="20"/>
            </w:pPr>
            <w:r>
              <w:rPr>
                <w:rFonts w:ascii="Segoe UI" w:hAnsi="Segoe UI" w:cs="Segoe UI" w:eastAsia="Segoe UI"/>
                <w:color w:val="101820"/>
                <w:sz w:val="16"/>
              </w:rPr>
              <w:t>How are privileged accounts controlled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Only a System Administrator can grant that role or change an administrator; nobody can change their own roles or status; all changes audited</w:t>
            </w:r>
          </w:p>
        </w:tc>
        <w:tc>
          <w:tcPr>
            <w:tcW w:type="dxa" w:w="1858"/>
          </w:tcPr>
          <w:p>
            <w:pPr>
              <w:spacing w:after="20"/>
            </w:pPr>
            <w:r>
              <w:rPr>
                <w:rFonts w:ascii="Segoe UI" w:hAnsi="Segoe UI" w:cs="Segoe UI" w:eastAsia="Segoe UI"/>
                <w:color w:val="101820"/>
                <w:sz w:val="16"/>
              </w:rPr>
              <w:t>AIS, Authorisation</w:t>
            </w:r>
          </w:p>
        </w:tc>
      </w:tr>
      <w:tr>
        <w:tc>
          <w:tcPr>
            <w:tcW w:type="dxa" w:w="907"/>
          </w:tcPr>
          <w:p>
            <w:pPr>
              <w:spacing w:after="20"/>
            </w:pPr>
            <w:r>
              <w:rPr>
                <w:rFonts w:ascii="Segoe UI" w:hAnsi="Segoe UI" w:cs="Segoe UI" w:eastAsia="Segoe UI"/>
                <w:color w:val="101820"/>
                <w:sz w:val="16"/>
              </w:rPr>
              <w:t>ACC-13</w:t>
            </w:r>
          </w:p>
        </w:tc>
        <w:tc>
          <w:tcPr>
            <w:tcW w:type="dxa" w:w="2531"/>
          </w:tcPr>
          <w:p>
            <w:pPr>
              <w:spacing w:after="20"/>
            </w:pPr>
            <w:r>
              <w:rPr>
                <w:rFonts w:ascii="Segoe UI" w:hAnsi="Segoe UI" w:cs="Segoe UI" w:eastAsia="Segoe UI"/>
                <w:color w:val="101820"/>
                <w:sz w:val="16"/>
              </w:rPr>
              <w:t>Are access rights reviewed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Access Reviews campaigns in Master &gt; Generals &gt; User Management; revoke deactivates and signs out; User Access Matrix and Role Permissions exports</w:t>
            </w:r>
          </w:p>
        </w:tc>
        <w:tc>
          <w:tcPr>
            <w:tcW w:type="dxa" w:w="1858"/>
          </w:tcPr>
          <w:p>
            <w:pPr>
              <w:spacing w:after="20"/>
            </w:pPr>
            <w:r>
              <w:rPr>
                <w:rFonts w:ascii="Segoe UI" w:hAnsi="Segoe UI" w:cs="Segoe UI" w:eastAsia="Segoe UI"/>
                <w:color w:val="101820"/>
                <w:sz w:val="16"/>
              </w:rPr>
              <w:t>AIS; PF</w:t>
            </w:r>
          </w:p>
        </w:tc>
      </w:tr>
      <w:tr>
        <w:tc>
          <w:tcPr>
            <w:tcW w:type="dxa" w:w="907"/>
          </w:tcPr>
          <w:p>
            <w:pPr>
              <w:spacing w:after="20"/>
            </w:pPr>
            <w:r>
              <w:rPr>
                <w:rFonts w:ascii="Segoe UI" w:hAnsi="Segoe UI" w:cs="Segoe UI" w:eastAsia="Segoe UI"/>
                <w:color w:val="101820"/>
                <w:sz w:val="16"/>
              </w:rPr>
              <w:t>ACC-14</w:t>
            </w:r>
          </w:p>
        </w:tc>
        <w:tc>
          <w:tcPr>
            <w:tcW w:type="dxa" w:w="2531"/>
          </w:tcPr>
          <w:p>
            <w:pPr>
              <w:spacing w:after="20"/>
            </w:pPr>
            <w:r>
              <w:rPr>
                <w:rFonts w:ascii="Segoe UI" w:hAnsi="Segoe UI" w:cs="Segoe UI" w:eastAsia="Segoe UI"/>
                <w:color w:val="101820"/>
                <w:sz w:val="16"/>
              </w:rPr>
              <w:t>Are dormant accounts disabled</w:t>
            </w:r>
          </w:p>
        </w:tc>
        <w:tc>
          <w:tcPr>
            <w:tcW w:type="dxa" w:w="1123"/>
          </w:tcPr>
          <w:p>
            <w:pPr>
              <w:spacing w:after="20"/>
            </w:pPr>
            <w:r>
              <w:rPr>
                <w:rFonts w:ascii="Segoe UI" w:hAnsi="Segoe UI" w:cs="Segoe UI" w:eastAsia="Segoe UI"/>
                <w:color w:val="101820"/>
                <w:sz w:val="16"/>
              </w:rPr>
              <w:t>Yes</w:t>
            </w:r>
          </w:p>
        </w:tc>
        <w:tc>
          <w:tcPr>
            <w:tcW w:type="dxa" w:w="2596"/>
          </w:tcPr>
          <w:p>
            <w:pPr>
              <w:spacing w:after="20"/>
            </w:pPr>
            <w:r>
              <w:rPr>
                <w:rFonts w:ascii="Segoe UI" w:hAnsi="Segoe UI" w:cs="Segoe UI" w:eastAsia="Segoe UI"/>
                <w:color w:val="101820"/>
                <w:sz w:val="16"/>
              </w:rPr>
              <w:t>Daily job deactivates accounts without a sign-in for 90 days (</w:t>
            </w:r>
            <w:r>
              <w:rPr>
                <w:rFonts w:ascii="Consolas" w:hAnsi="Consolas" w:cs="Consolas" w:eastAsia="Consolas"/>
                <w:color w:val="101820"/>
                <w:sz w:val="14"/>
              </w:rPr>
              <w:t>access.dormant_days</w:t>
            </w:r>
            <w:r>
              <w:rPr>
                <w:rFonts w:ascii="Segoe UI" w:hAnsi="Segoe UI" w:cs="Segoe UI" w:eastAsia="Segoe UI"/>
                <w:color w:val="101820"/>
                <w:sz w:val="16"/>
              </w:rPr>
              <w:t>), the built-in administrator excepted</w:t>
            </w:r>
          </w:p>
        </w:tc>
        <w:tc>
          <w:tcPr>
            <w:tcW w:type="dxa" w:w="1858"/>
          </w:tcPr>
          <w:p>
            <w:pPr>
              <w:spacing w:after="20"/>
            </w:pPr>
            <w:r>
              <w:rPr>
                <w:rFonts w:ascii="Segoe UI" w:hAnsi="Segoe UI" w:cs="Segoe UI" w:eastAsia="Segoe UI"/>
                <w:color w:val="101820"/>
                <w:sz w:val="16"/>
              </w:rPr>
              <w:t>AIS, Archival and housekeeping</w:t>
            </w:r>
          </w:p>
        </w:tc>
      </w:tr>
      <w:tr>
        <w:tc>
          <w:tcPr>
            <w:tcW w:type="dxa" w:w="907"/>
          </w:tcPr>
          <w:p>
            <w:pPr>
              <w:spacing w:after="20"/>
            </w:pPr>
            <w:r>
              <w:rPr>
                <w:rFonts w:ascii="Segoe UI" w:hAnsi="Segoe UI" w:cs="Segoe UI" w:eastAsia="Segoe UI"/>
                <w:color w:val="101820"/>
                <w:sz w:val="16"/>
              </w:rPr>
              <w:t>ACC-15</w:t>
            </w:r>
          </w:p>
        </w:tc>
        <w:tc>
          <w:tcPr>
            <w:tcW w:type="dxa" w:w="2531"/>
          </w:tcPr>
          <w:p>
            <w:pPr>
              <w:spacing w:after="20"/>
            </w:pPr>
            <w:r>
              <w:rPr>
                <w:rFonts w:ascii="Segoe UI" w:hAnsi="Segoe UI" w:cs="Segoe UI" w:eastAsia="Segoe UI"/>
                <w:color w:val="101820"/>
                <w:sz w:val="16"/>
              </w:rPr>
              <w:t>Who approves joiners, movers and leavers</w:t>
            </w:r>
          </w:p>
        </w:tc>
        <w:tc>
          <w:tcPr>
            <w:tcW w:type="dxa" w:w="1123"/>
          </w:tcPr>
          <w:p>
            <w:pPr>
              <w:spacing w:after="20"/>
            </w:pPr>
            <w:r>
              <w:rPr>
                <w:rFonts w:ascii="Segoe UI" w:hAnsi="Segoe UI" w:cs="Segoe UI" w:eastAsia="Segoe UI"/>
                <w:color w:val="101820"/>
                <w:sz w:val="16"/>
              </w:rPr>
              <w:t>Broker</w:t>
            </w:r>
          </w:p>
        </w:tc>
        <w:tc>
          <w:tcPr>
            <w:tcW w:type="dxa" w:w="2596"/>
          </w:tcPr>
          <w:p>
            <w:pPr>
              <w:spacing w:after="20"/>
            </w:pPr>
            <w:r>
              <w:rPr>
                <w:rFonts w:ascii="Segoe UI" w:hAnsi="Segoe UI" w:cs="Segoe UI" w:eastAsia="Segoe UI"/>
                <w:color w:val="101820"/>
                <w:sz w:val="16"/>
              </w:rPr>
              <w:t>The broker requests, approves and removes access; the System Administrator executes in User Management</w:t>
            </w:r>
          </w:p>
        </w:tc>
        <w:tc>
          <w:tcPr>
            <w:tcW w:type="dxa" w:w="1858"/>
          </w:tcPr>
          <w:p>
            <w:pPr>
              <w:spacing w:after="20"/>
            </w:pPr>
            <w:r>
              <w:rPr>
                <w:rFonts w:ascii="Segoe UI" w:hAnsi="Segoe UI" w:cs="Segoe UI" w:eastAsia="Segoe UI"/>
                <w:color w:val="101820"/>
                <w:sz w:val="16"/>
              </w:rPr>
              <w:t>AIS, Compliance checklist</w:t>
            </w:r>
          </w:p>
        </w:tc>
      </w:tr>
      <w:tr>
        <w:tc>
          <w:tcPr>
            <w:tcW w:type="dxa" w:w="907"/>
          </w:tcPr>
          <w:p>
            <w:pPr>
              <w:spacing w:after="20"/>
            </w:pPr>
            <w:r>
              <w:rPr>
                <w:rFonts w:ascii="Segoe UI" w:hAnsi="Segoe UI" w:cs="Segoe UI" w:eastAsia="Segoe UI"/>
                <w:color w:val="101820"/>
                <w:sz w:val="16"/>
              </w:rPr>
              <w:t>ACC-16</w:t>
            </w:r>
          </w:p>
        </w:tc>
        <w:tc>
          <w:tcPr>
            <w:tcW w:type="dxa" w:w="2531"/>
          </w:tcPr>
          <w:p>
            <w:pPr>
              <w:spacing w:after="20"/>
            </w:pPr>
            <w:r>
              <w:rPr>
                <w:rFonts w:ascii="Segoe UI" w:hAnsi="Segoe UI" w:cs="Segoe UI" w:eastAsia="Segoe UI"/>
                <w:color w:val="101820"/>
                <w:sz w:val="16"/>
              </w:rPr>
              <w:t>How is iorta TechNXT staff access to production controlled</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Recommended design: management zone with bastion or session manager, multi-factor sign-in, logged. Named list of iorta TechNXT staff with production access and the approval process: [to confirm]</w:t>
            </w:r>
          </w:p>
        </w:tc>
        <w:tc>
          <w:tcPr>
            <w:tcW w:type="dxa" w:w="1858"/>
          </w:tcPr>
          <w:p>
            <w:pPr>
              <w:spacing w:after="20"/>
            </w:pPr>
            <w:r>
              <w:rPr>
                <w:rFonts w:ascii="Segoe UI" w:hAnsi="Segoe UI" w:cs="Segoe UI" w:eastAsia="Segoe UI"/>
                <w:color w:val="101820"/>
                <w:sz w:val="16"/>
              </w:rPr>
              <w:t>AIS, Network zones; HSA</w:t>
            </w:r>
          </w:p>
        </w:tc>
      </w:tr>
      <w:tr>
        <w:tc>
          <w:tcPr>
            <w:tcW w:type="dxa" w:w="907"/>
          </w:tcPr>
          <w:p>
            <w:pPr>
              <w:spacing w:after="20"/>
            </w:pPr>
            <w:r>
              <w:rPr>
                <w:rFonts w:ascii="Segoe UI" w:hAnsi="Segoe UI" w:cs="Segoe UI" w:eastAsia="Segoe UI"/>
                <w:color w:val="101820"/>
                <w:sz w:val="16"/>
              </w:rPr>
              <w:t>ACC-17</w:t>
            </w:r>
          </w:p>
        </w:tc>
        <w:tc>
          <w:tcPr>
            <w:tcW w:type="dxa" w:w="2531"/>
          </w:tcPr>
          <w:p>
            <w:pPr>
              <w:spacing w:after="20"/>
            </w:pPr>
            <w:r>
              <w:rPr>
                <w:rFonts w:ascii="Segoe UI" w:hAnsi="Segoe UI" w:cs="Segoe UI" w:eastAsia="Segoe UI"/>
                <w:color w:val="101820"/>
                <w:sz w:val="16"/>
              </w:rPr>
              <w:t>Are infrastructure administrator actions logged</w:t>
            </w:r>
          </w:p>
        </w:tc>
        <w:tc>
          <w:tcPr>
            <w:tcW w:type="dxa" w:w="1123"/>
          </w:tcPr>
          <w:p>
            <w:pPr>
              <w:spacing w:after="20"/>
            </w:pPr>
            <w:r>
              <w:rPr>
                <w:rFonts w:ascii="Segoe UI" w:hAnsi="Segoe UI" w:cs="Segoe UI" w:eastAsia="Segoe UI"/>
                <w:color w:val="101820"/>
                <w:sz w:val="16"/>
              </w:rPr>
              <w:t>Partial</w:t>
            </w:r>
          </w:p>
        </w:tc>
        <w:tc>
          <w:tcPr>
            <w:tcW w:type="dxa" w:w="2596"/>
          </w:tcPr>
          <w:p>
            <w:pPr>
              <w:spacing w:after="20"/>
            </w:pPr>
            <w:r>
              <w:rPr>
                <w:rFonts w:ascii="Segoe UI" w:hAnsi="Segoe UI" w:cs="Segoe UI" w:eastAsia="Segoe UI"/>
                <w:color w:val="101820"/>
                <w:sz w:val="16"/>
              </w:rPr>
              <w:t>Cloud provider audit logs (for example AWS CloudTrail) on hosted options [to confirm that the hosting runbook enables them]; partner or broker logs under option C</w:t>
            </w:r>
          </w:p>
        </w:tc>
        <w:tc>
          <w:tcPr>
            <w:tcW w:type="dxa" w:w="1858"/>
          </w:tcPr>
          <w:p>
            <w:pPr>
              <w:spacing w:after="20"/>
            </w:pPr>
            <w:r>
              <w:rPr>
                <w:rFonts w:ascii="Segoe UI" w:hAnsi="Segoe UI" w:cs="Segoe UI" w:eastAsia="Segoe UI"/>
                <w:color w:val="101820"/>
                <w:sz w:val="16"/>
              </w:rPr>
              <w:t>HSA</w:t>
            </w:r>
          </w:p>
        </w:tc>
      </w:tr>
    </w:tbl>
    <w:p>
      <w:pPr>
        <w:pStyle w:val="Heading1"/>
        <w:pageBreakBefore/>
      </w:pPr>
      <w:r>
        <w:rPr>
          <w:rFonts w:ascii="Segoe UI" w:hAnsi="Segoe UI" w:cs="Segoe UI" w:eastAsia="Segoe UI"/>
          <w:b/>
          <w:color w:val="0F4761"/>
          <w:sz w:val="32"/>
        </w:rPr>
        <w:t>8.  Cryptography and key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920"/>
        <w:gridCol w:w="1123"/>
        <w:gridCol w:w="2884"/>
        <w:gridCol w:w="2180"/>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192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884"/>
            <w:shd w:val="clear" w:color="auto" w:fill="DCE9F7"/>
          </w:tcPr>
          <w:p>
            <w:pPr>
              <w:spacing w:after="20"/>
            </w:pPr>
            <w:r>
              <w:rPr>
                <w:rFonts w:ascii="Segoe UI" w:hAnsi="Segoe UI" w:cs="Segoe UI" w:eastAsia="Segoe UI"/>
                <w:b/>
                <w:color w:val="0F4761"/>
                <w:sz w:val="16"/>
              </w:rPr>
              <w:t>Answer</w:t>
            </w:r>
          </w:p>
        </w:tc>
        <w:tc>
          <w:tcPr>
            <w:tcW w:type="dxa" w:w="2180"/>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CRY-01</w:t>
            </w:r>
          </w:p>
        </w:tc>
        <w:tc>
          <w:tcPr>
            <w:tcW w:type="dxa" w:w="1920"/>
          </w:tcPr>
          <w:p>
            <w:pPr>
              <w:spacing w:after="20"/>
            </w:pPr>
            <w:r>
              <w:rPr>
                <w:rFonts w:ascii="Segoe UI" w:hAnsi="Segoe UI" w:cs="Segoe UI" w:eastAsia="Segoe UI"/>
                <w:color w:val="101820"/>
                <w:sz w:val="16"/>
              </w:rPr>
              <w:t>Is data encrypted in transit</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HTTPS at the CDN, load balancer or reverse proxy; TLS from API to database (</w:t>
            </w:r>
            <w:r>
              <w:rPr>
                <w:rFonts w:ascii="Consolas" w:hAnsi="Consolas" w:cs="Consolas" w:eastAsia="Consolas"/>
                <w:color w:val="101820"/>
                <w:sz w:val="14"/>
              </w:rPr>
              <w:t>sslmode=require</w:t>
            </w:r>
            <w:r>
              <w:rPr>
                <w:rFonts w:ascii="Segoe UI" w:hAnsi="Segoe UI" w:cs="Segoe UI" w:eastAsia="Segoe UI"/>
                <w:color w:val="101820"/>
                <w:sz w:val="16"/>
              </w:rPr>
              <w:t>); STARTTLS to SMTP. Minimum TLS version at the edge: TLS 1.2 recommended [to confirm in the hosting runbook]</w:t>
            </w:r>
          </w:p>
        </w:tc>
        <w:tc>
          <w:tcPr>
            <w:tcW w:type="dxa" w:w="2180"/>
          </w:tcPr>
          <w:p>
            <w:pPr>
              <w:spacing w:after="20"/>
            </w:pPr>
            <w:r>
              <w:rPr>
                <w:rFonts w:ascii="Segoe UI" w:hAnsi="Segoe UI" w:cs="Segoe UI" w:eastAsia="Segoe UI"/>
                <w:color w:val="101820"/>
                <w:sz w:val="16"/>
              </w:rPr>
              <w:t>AIS, Encryption</w:t>
            </w:r>
          </w:p>
        </w:tc>
      </w:tr>
      <w:tr>
        <w:tc>
          <w:tcPr>
            <w:tcW w:type="dxa" w:w="907"/>
          </w:tcPr>
          <w:p>
            <w:pPr>
              <w:spacing w:after="20"/>
            </w:pPr>
            <w:r>
              <w:rPr>
                <w:rFonts w:ascii="Segoe UI" w:hAnsi="Segoe UI" w:cs="Segoe UI" w:eastAsia="Segoe UI"/>
                <w:color w:val="101820"/>
                <w:sz w:val="16"/>
              </w:rPr>
              <w:t>CRY-02</w:t>
            </w:r>
          </w:p>
        </w:tc>
        <w:tc>
          <w:tcPr>
            <w:tcW w:type="dxa" w:w="1920"/>
          </w:tcPr>
          <w:p>
            <w:pPr>
              <w:spacing w:after="20"/>
            </w:pPr>
            <w:r>
              <w:rPr>
                <w:rFonts w:ascii="Segoe UI" w:hAnsi="Segoe UI" w:cs="Segoe UI" w:eastAsia="Segoe UI"/>
                <w:color w:val="101820"/>
                <w:sz w:val="16"/>
              </w:rPr>
              <w:t>Is data encrypted at rest</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Segoe UI" w:hAnsi="Segoe UI" w:cs="Segoe UI" w:eastAsia="Segoe UI"/>
                <w:color w:val="101820"/>
                <w:sz w:val="16"/>
              </w:rPr>
              <w:t>Storage encryption of database, file store and backups with the provider's key service in hosted options; recommended in every option. Application-level encryption only for two-step secrets</w:t>
            </w:r>
          </w:p>
        </w:tc>
        <w:tc>
          <w:tcPr>
            <w:tcW w:type="dxa" w:w="2180"/>
          </w:tcPr>
          <w:p>
            <w:pPr>
              <w:spacing w:after="20"/>
            </w:pPr>
            <w:r>
              <w:rPr>
                <w:rFonts w:ascii="Segoe UI" w:hAnsi="Segoe UI" w:cs="Segoe UI" w:eastAsia="Segoe UI"/>
                <w:color w:val="101820"/>
                <w:sz w:val="16"/>
              </w:rPr>
              <w:t>HSA, Security; AIS</w:t>
            </w:r>
          </w:p>
        </w:tc>
      </w:tr>
      <w:tr>
        <w:tc>
          <w:tcPr>
            <w:tcW w:type="dxa" w:w="907"/>
          </w:tcPr>
          <w:p>
            <w:pPr>
              <w:spacing w:after="20"/>
            </w:pPr>
            <w:r>
              <w:rPr>
                <w:rFonts w:ascii="Segoe UI" w:hAnsi="Segoe UI" w:cs="Segoe UI" w:eastAsia="Segoe UI"/>
                <w:color w:val="101820"/>
                <w:sz w:val="16"/>
              </w:rPr>
              <w:t>CRY-03</w:t>
            </w:r>
          </w:p>
        </w:tc>
        <w:tc>
          <w:tcPr>
            <w:tcW w:type="dxa" w:w="1920"/>
          </w:tcPr>
          <w:p>
            <w:pPr>
              <w:spacing w:after="20"/>
            </w:pPr>
            <w:r>
              <w:rPr>
                <w:rFonts w:ascii="Segoe UI" w:hAnsi="Segoe UI" w:cs="Segoe UI" w:eastAsia="Segoe UI"/>
                <w:color w:val="101820"/>
                <w:sz w:val="16"/>
              </w:rPr>
              <w:t>Which algorithms are used</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bcrypt for passwords; AES-256-GCM for TOTP secrets; HMAC-SHA256 for file links, reset codes and webhooks; JWT limited to HS256</w:t>
            </w:r>
          </w:p>
        </w:tc>
        <w:tc>
          <w:tcPr>
            <w:tcW w:type="dxa" w:w="2180"/>
          </w:tcPr>
          <w:p>
            <w:pPr>
              <w:spacing w:after="20"/>
            </w:pPr>
            <w:r>
              <w:rPr>
                <w:rFonts w:ascii="Segoe UI" w:hAnsi="Segoe UI" w:cs="Segoe UI" w:eastAsia="Segoe UI"/>
                <w:color w:val="101820"/>
                <w:sz w:val="16"/>
              </w:rPr>
              <w:t>AIS, OWASP table</w:t>
            </w:r>
          </w:p>
        </w:tc>
      </w:tr>
      <w:tr>
        <w:tc>
          <w:tcPr>
            <w:tcW w:type="dxa" w:w="907"/>
          </w:tcPr>
          <w:p>
            <w:pPr>
              <w:spacing w:after="20"/>
            </w:pPr>
            <w:r>
              <w:rPr>
                <w:rFonts w:ascii="Segoe UI" w:hAnsi="Segoe UI" w:cs="Segoe UI" w:eastAsia="Segoe UI"/>
                <w:color w:val="101820"/>
                <w:sz w:val="16"/>
              </w:rPr>
              <w:t>CRY-04</w:t>
            </w:r>
          </w:p>
        </w:tc>
        <w:tc>
          <w:tcPr>
            <w:tcW w:type="dxa" w:w="1920"/>
          </w:tcPr>
          <w:p>
            <w:pPr>
              <w:spacing w:after="20"/>
            </w:pPr>
            <w:r>
              <w:rPr>
                <w:rFonts w:ascii="Segoe UI" w:hAnsi="Segoe UI" w:cs="Segoe UI" w:eastAsia="Segoe UI"/>
                <w:color w:val="101820"/>
                <w:sz w:val="16"/>
              </w:rPr>
              <w:t>How are keys and secrets managed</w:t>
            </w:r>
          </w:p>
        </w:tc>
        <w:tc>
          <w:tcPr>
            <w:tcW w:type="dxa" w:w="1123"/>
          </w:tcPr>
          <w:p>
            <w:pPr>
              <w:spacing w:after="20"/>
            </w:pPr>
            <w:r>
              <w:rPr>
                <w:rFonts w:ascii="Segoe UI" w:hAnsi="Segoe UI" w:cs="Segoe UI" w:eastAsia="Segoe UI"/>
                <w:color w:val="101820"/>
                <w:sz w:val="16"/>
              </w:rPr>
              <w:t>Yes</w:t>
            </w:r>
          </w:p>
        </w:tc>
        <w:tc>
          <w:tcPr>
            <w:tcW w:type="dxa" w:w="2884"/>
          </w:tcPr>
          <w:p>
            <w:pPr>
              <w:spacing w:after="20"/>
            </w:pPr>
            <w:r>
              <w:rPr>
                <w:rFonts w:ascii="Segoe UI" w:hAnsi="Segoe UI" w:cs="Segoe UI" w:eastAsia="Segoe UI"/>
                <w:color w:val="101820"/>
                <w:sz w:val="16"/>
              </w:rPr>
              <w:t xml:space="preserve">Secrets only in the environment or a secret store, never in the repository; separate per environment; production start refuses missing, short or placeholder secrets; sealed escrow copy of </w:t>
            </w:r>
            <w:r>
              <w:rPr>
                <w:rFonts w:ascii="Consolas" w:hAnsi="Consolas" w:cs="Consolas" w:eastAsia="Consolas"/>
                <w:color w:val="101820"/>
                <w:sz w:val="14"/>
              </w:rPr>
              <w:t>DATA_ENCRYPTION_KEY</w:t>
            </w:r>
            <w:r>
              <w:rPr>
                <w:rFonts w:ascii="Segoe UI" w:hAnsi="Segoe UI" w:cs="Segoe UI" w:eastAsia="Segoe UI"/>
                <w:color w:val="101820"/>
                <w:sz w:val="16"/>
              </w:rPr>
              <w:t xml:space="preserve"> under dual control</w:t>
            </w:r>
          </w:p>
        </w:tc>
        <w:tc>
          <w:tcPr>
            <w:tcW w:type="dxa" w:w="2180"/>
          </w:tcPr>
          <w:p>
            <w:pPr>
              <w:spacing w:after="20"/>
            </w:pPr>
            <w:r>
              <w:rPr>
                <w:rFonts w:ascii="Segoe UI" w:hAnsi="Segoe UI" w:cs="Segoe UI" w:eastAsia="Segoe UI"/>
                <w:color w:val="101820"/>
                <w:sz w:val="16"/>
              </w:rPr>
              <w:t>AIS, Environment configuration; HSA</w:t>
            </w:r>
          </w:p>
        </w:tc>
      </w:tr>
      <w:tr>
        <w:tc>
          <w:tcPr>
            <w:tcW w:type="dxa" w:w="907"/>
          </w:tcPr>
          <w:p>
            <w:pPr>
              <w:spacing w:after="20"/>
            </w:pPr>
            <w:r>
              <w:rPr>
                <w:rFonts w:ascii="Segoe UI" w:hAnsi="Segoe UI" w:cs="Segoe UI" w:eastAsia="Segoe UI"/>
                <w:color w:val="101820"/>
                <w:sz w:val="16"/>
              </w:rPr>
              <w:t>CRY-05</w:t>
            </w:r>
          </w:p>
        </w:tc>
        <w:tc>
          <w:tcPr>
            <w:tcW w:type="dxa" w:w="1920"/>
          </w:tcPr>
          <w:p>
            <w:pPr>
              <w:spacing w:after="20"/>
            </w:pPr>
            <w:r>
              <w:rPr>
                <w:rFonts w:ascii="Segoe UI" w:hAnsi="Segoe UI" w:cs="Segoe UI" w:eastAsia="Segoe UI"/>
                <w:color w:val="101820"/>
                <w:sz w:val="16"/>
              </w:rPr>
              <w:t>Who holds the encryption keys</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Segoe UI" w:hAnsi="Segoe UI" w:cs="Segoe UI" w:eastAsia="Segoe UI"/>
                <w:color w:val="101820"/>
                <w:sz w:val="16"/>
              </w:rPr>
              <w:t>Hosted: the provider's key service under the hosting account [to confirm whether the account is the broker's or iorta TechNXT's for each option]. Broker-hosted: the broker</w:t>
            </w:r>
          </w:p>
        </w:tc>
        <w:tc>
          <w:tcPr>
            <w:tcW w:type="dxa" w:w="2180"/>
          </w:tcPr>
          <w:p>
            <w:pPr>
              <w:spacing w:after="20"/>
            </w:pPr>
            <w:r>
              <w:rPr>
                <w:rFonts w:ascii="Segoe UI" w:hAnsi="Segoe UI" w:cs="Segoe UI" w:eastAsia="Segoe UI"/>
                <w:color w:val="101820"/>
                <w:sz w:val="16"/>
              </w:rPr>
              <w:t>HSA; AIS, Cross-border transfer</w:t>
            </w:r>
          </w:p>
        </w:tc>
      </w:tr>
      <w:tr>
        <w:tc>
          <w:tcPr>
            <w:tcW w:type="dxa" w:w="907"/>
          </w:tcPr>
          <w:p>
            <w:pPr>
              <w:spacing w:after="20"/>
            </w:pPr>
            <w:r>
              <w:rPr>
                <w:rFonts w:ascii="Segoe UI" w:hAnsi="Segoe UI" w:cs="Segoe UI" w:eastAsia="Segoe UI"/>
                <w:color w:val="101820"/>
                <w:sz w:val="16"/>
              </w:rPr>
              <w:t>CRY-06</w:t>
            </w:r>
          </w:p>
        </w:tc>
        <w:tc>
          <w:tcPr>
            <w:tcW w:type="dxa" w:w="1920"/>
          </w:tcPr>
          <w:p>
            <w:pPr>
              <w:spacing w:after="20"/>
            </w:pPr>
            <w:r>
              <w:rPr>
                <w:rFonts w:ascii="Segoe UI" w:hAnsi="Segoe UI" w:cs="Segoe UI" w:eastAsia="Segoe UI"/>
                <w:color w:val="101820"/>
                <w:sz w:val="16"/>
              </w:rPr>
              <w:t>Can keys be rotated</w:t>
            </w:r>
          </w:p>
        </w:tc>
        <w:tc>
          <w:tcPr>
            <w:tcW w:type="dxa" w:w="1123"/>
          </w:tcPr>
          <w:p>
            <w:pPr>
              <w:spacing w:after="20"/>
            </w:pPr>
            <w:r>
              <w:rPr>
                <w:rFonts w:ascii="Segoe UI" w:hAnsi="Segoe UI" w:cs="Segoe UI" w:eastAsia="Segoe UI"/>
                <w:color w:val="101820"/>
                <w:sz w:val="16"/>
              </w:rPr>
              <w:t>Partial</w:t>
            </w:r>
          </w:p>
        </w:tc>
        <w:tc>
          <w:tcPr>
            <w:tcW w:type="dxa" w:w="2884"/>
          </w:tcPr>
          <w:p>
            <w:pPr>
              <w:spacing w:after="20"/>
            </w:pPr>
            <w:r>
              <w:rPr>
                <w:rFonts w:ascii="Consolas" w:hAnsi="Consolas" w:cs="Consolas" w:eastAsia="Consolas"/>
                <w:color w:val="101820"/>
                <w:sz w:val="14"/>
              </w:rPr>
              <w:t>JWT_SECRET</w:t>
            </w:r>
            <w:r>
              <w:rPr>
                <w:rFonts w:ascii="Segoe UI" w:hAnsi="Segoe UI" w:cs="Segoe UI" w:eastAsia="Segoe UI"/>
                <w:color w:val="101820"/>
                <w:sz w:val="16"/>
              </w:rPr>
              <w:t xml:space="preserve"> rotation signs everyone out and voids file links. </w:t>
            </w:r>
            <w:r>
              <w:rPr>
                <w:rFonts w:ascii="Consolas" w:hAnsi="Consolas" w:cs="Consolas" w:eastAsia="Consolas"/>
                <w:color w:val="101820"/>
                <w:sz w:val="14"/>
              </w:rPr>
              <w:t>DATA_ENCRYPTION_KEY</w:t>
            </w:r>
            <w:r>
              <w:rPr>
                <w:rFonts w:ascii="Segoe UI" w:hAnsi="Segoe UI" w:cs="Segoe UI" w:eastAsia="Segoe UI"/>
                <w:color w:val="101820"/>
                <w:sz w:val="16"/>
              </w:rPr>
              <w:t xml:space="preserve"> rotation requires users with two-step verification to enrol again; planned with the restore impact in mind</w:t>
            </w:r>
          </w:p>
        </w:tc>
        <w:tc>
          <w:tcPr>
            <w:tcW w:type="dxa" w:w="2180"/>
          </w:tcPr>
          <w:p>
            <w:pPr>
              <w:spacing w:after="20"/>
            </w:pPr>
            <w:r>
              <w:rPr>
                <w:rFonts w:ascii="Segoe UI" w:hAnsi="Segoe UI" w:cs="Segoe UI" w:eastAsia="Segoe UI"/>
                <w:color w:val="101820"/>
                <w:sz w:val="16"/>
              </w:rPr>
              <w:t>PSS, Security incidents; TR</w:t>
            </w:r>
          </w:p>
        </w:tc>
      </w:tr>
    </w:tbl>
    <w:p>
      <w:pPr>
        <w:pStyle w:val="Heading1"/>
        <w:pageBreakBefore/>
      </w:pPr>
      <w:r>
        <w:rPr>
          <w:rFonts w:ascii="Segoe UI" w:hAnsi="Segoe UI" w:cs="Segoe UI" w:eastAsia="Segoe UI"/>
          <w:b/>
          <w:color w:val="0F4761"/>
          <w:sz w:val="32"/>
        </w:rPr>
        <w:t>9.  Application and infrastructure security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05"/>
        <w:gridCol w:w="1123"/>
        <w:gridCol w:w="2619"/>
        <w:gridCol w:w="1861"/>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05"/>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19"/>
            <w:shd w:val="clear" w:color="auto" w:fill="DCE9F7"/>
          </w:tcPr>
          <w:p>
            <w:pPr>
              <w:spacing w:after="20"/>
            </w:pPr>
            <w:r>
              <w:rPr>
                <w:rFonts w:ascii="Segoe UI" w:hAnsi="Segoe UI" w:cs="Segoe UI" w:eastAsia="Segoe UI"/>
                <w:b/>
                <w:color w:val="0F4761"/>
                <w:sz w:val="16"/>
              </w:rPr>
              <w:t>Answer</w:t>
            </w:r>
          </w:p>
        </w:tc>
        <w:tc>
          <w:tcPr>
            <w:tcW w:type="dxa" w:w="1861"/>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APP-01</w:t>
            </w:r>
          </w:p>
        </w:tc>
        <w:tc>
          <w:tcPr>
            <w:tcW w:type="dxa" w:w="2505"/>
          </w:tcPr>
          <w:p>
            <w:pPr>
              <w:spacing w:after="20"/>
            </w:pPr>
            <w:r>
              <w:rPr>
                <w:rFonts w:ascii="Segoe UI" w:hAnsi="Segoe UI" w:cs="Segoe UI" w:eastAsia="Segoe UI"/>
                <w:color w:val="101820"/>
                <w:sz w:val="16"/>
              </w:rPr>
              <w:t>Is the application tested against the OWASP Top 10</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Controls mapped to each OWASP Top 10 (2021) risk with the code location</w:t>
            </w:r>
          </w:p>
        </w:tc>
        <w:tc>
          <w:tcPr>
            <w:tcW w:type="dxa" w:w="1861"/>
          </w:tcPr>
          <w:p>
            <w:pPr>
              <w:spacing w:after="20"/>
            </w:pPr>
            <w:r>
              <w:rPr>
                <w:rFonts w:ascii="Segoe UI" w:hAnsi="Segoe UI" w:cs="Segoe UI" w:eastAsia="Segoe UI"/>
                <w:color w:val="101820"/>
                <w:sz w:val="16"/>
              </w:rPr>
              <w:t>TR, OWASP mapping; AIS</w:t>
            </w:r>
          </w:p>
        </w:tc>
      </w:tr>
      <w:tr>
        <w:tc>
          <w:tcPr>
            <w:tcW w:type="dxa" w:w="907"/>
          </w:tcPr>
          <w:p>
            <w:pPr>
              <w:spacing w:after="20"/>
            </w:pPr>
            <w:r>
              <w:rPr>
                <w:rFonts w:ascii="Segoe UI" w:hAnsi="Segoe UI" w:cs="Segoe UI" w:eastAsia="Segoe UI"/>
                <w:color w:val="101820"/>
                <w:sz w:val="16"/>
              </w:rPr>
              <w:t>APP-02</w:t>
            </w:r>
          </w:p>
        </w:tc>
        <w:tc>
          <w:tcPr>
            <w:tcW w:type="dxa" w:w="2505"/>
          </w:tcPr>
          <w:p>
            <w:pPr>
              <w:spacing w:after="20"/>
            </w:pPr>
            <w:r>
              <w:rPr>
                <w:rFonts w:ascii="Segoe UI" w:hAnsi="Segoe UI" w:cs="Segoe UI" w:eastAsia="Segoe UI"/>
                <w:color w:val="101820"/>
                <w:sz w:val="16"/>
              </w:rPr>
              <w:t>How is SQL injection prevented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Parameterised SQL only; 953 SQL statements reviewed on 03 October 2026; dynamic identifiers only from allow-lists in code</w:t>
            </w:r>
          </w:p>
        </w:tc>
        <w:tc>
          <w:tcPr>
            <w:tcW w:type="dxa" w:w="1861"/>
          </w:tcPr>
          <w:p>
            <w:pPr>
              <w:spacing w:after="20"/>
            </w:pPr>
            <w:r>
              <w:rPr>
                <w:rFonts w:ascii="Segoe UI" w:hAnsi="Segoe UI" w:cs="Segoe UI" w:eastAsia="Segoe UI"/>
                <w:color w:val="101820"/>
                <w:sz w:val="16"/>
              </w:rPr>
              <w:t>TR, SQL injection prevention</w:t>
            </w:r>
          </w:p>
        </w:tc>
      </w:tr>
      <w:tr>
        <w:tc>
          <w:tcPr>
            <w:tcW w:type="dxa" w:w="907"/>
          </w:tcPr>
          <w:p>
            <w:pPr>
              <w:spacing w:after="20"/>
            </w:pPr>
            <w:r>
              <w:rPr>
                <w:rFonts w:ascii="Segoe UI" w:hAnsi="Segoe UI" w:cs="Segoe UI" w:eastAsia="Segoe UI"/>
                <w:color w:val="101820"/>
                <w:sz w:val="16"/>
              </w:rPr>
              <w:t>APP-03</w:t>
            </w:r>
          </w:p>
        </w:tc>
        <w:tc>
          <w:tcPr>
            <w:tcW w:type="dxa" w:w="2505"/>
          </w:tcPr>
          <w:p>
            <w:pPr>
              <w:spacing w:after="20"/>
            </w:pPr>
            <w:r>
              <w:rPr>
                <w:rFonts w:ascii="Segoe UI" w:hAnsi="Segoe UI" w:cs="Segoe UI" w:eastAsia="Segoe UI"/>
                <w:color w:val="101820"/>
                <w:sz w:val="16"/>
              </w:rPr>
              <w:t>Is input validated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zod schemas on bodies and queries; JSON body limit 2 MB; list pages capped at 500 rows</w:t>
            </w:r>
          </w:p>
        </w:tc>
        <w:tc>
          <w:tcPr>
            <w:tcW w:type="dxa" w:w="1861"/>
          </w:tcPr>
          <w:p>
            <w:pPr>
              <w:spacing w:after="20"/>
            </w:pPr>
            <w:r>
              <w:rPr>
                <w:rFonts w:ascii="Segoe UI" w:hAnsi="Segoe UI" w:cs="Segoe UI" w:eastAsia="Segoe UI"/>
                <w:color w:val="101820"/>
                <w:sz w:val="16"/>
              </w:rPr>
              <w:t>TR, Input validation</w:t>
            </w:r>
          </w:p>
        </w:tc>
      </w:tr>
      <w:tr>
        <w:tc>
          <w:tcPr>
            <w:tcW w:type="dxa" w:w="907"/>
          </w:tcPr>
          <w:p>
            <w:pPr>
              <w:spacing w:after="20"/>
            </w:pPr>
            <w:r>
              <w:rPr>
                <w:rFonts w:ascii="Segoe UI" w:hAnsi="Segoe UI" w:cs="Segoe UI" w:eastAsia="Segoe UI"/>
                <w:color w:val="101820"/>
                <w:sz w:val="16"/>
              </w:rPr>
              <w:t>APP-04</w:t>
            </w:r>
          </w:p>
        </w:tc>
        <w:tc>
          <w:tcPr>
            <w:tcW w:type="dxa" w:w="2505"/>
          </w:tcPr>
          <w:p>
            <w:pPr>
              <w:spacing w:after="20"/>
            </w:pPr>
            <w:r>
              <w:rPr>
                <w:rFonts w:ascii="Segoe UI" w:hAnsi="Segoe UI" w:cs="Segoe UI" w:eastAsia="Segoe UI"/>
                <w:color w:val="101820"/>
                <w:sz w:val="16"/>
              </w:rPr>
              <w:t>Which HTTP security headers are set</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 xml:space="preserve">helmet 8 defaults on every response (including Strict-Transport-Security, Content-Security-Policy, X-Content-Type-Options, X-Frame-Options), </w:t>
            </w:r>
            <w:r>
              <w:rPr>
                <w:rFonts w:ascii="Consolas" w:hAnsi="Consolas" w:cs="Consolas" w:eastAsia="Consolas"/>
                <w:color w:val="101820"/>
                <w:sz w:val="14"/>
              </w:rPr>
              <w:t>x-powered-by</w:t>
            </w:r>
            <w:r>
              <w:rPr>
                <w:rFonts w:ascii="Segoe UI" w:hAnsi="Segoe UI" w:cs="Segoe UI" w:eastAsia="Segoe UI"/>
                <w:color w:val="101820"/>
                <w:sz w:val="16"/>
              </w:rPr>
              <w:t xml:space="preserve"> off, CORS limited to </w:t>
            </w:r>
            <w:r>
              <w:rPr>
                <w:rFonts w:ascii="Consolas" w:hAnsi="Consolas" w:cs="Consolas" w:eastAsia="Consolas"/>
                <w:color w:val="101820"/>
                <w:sz w:val="14"/>
              </w:rPr>
              <w:t>CORS_ORIGINS</w:t>
            </w:r>
            <w:r>
              <w:rPr>
                <w:rFonts w:ascii="Segoe UI" w:hAnsi="Segoe UI" w:cs="Segoe UI" w:eastAsia="Segoe UI"/>
                <w:color w:val="101820"/>
                <w:sz w:val="16"/>
              </w:rPr>
              <w:t xml:space="preserve"> (</w:t>
            </w:r>
            <w:r>
              <w:rPr>
                <w:rFonts w:ascii="Consolas" w:hAnsi="Consolas" w:cs="Consolas" w:eastAsia="Consolas"/>
                <w:color w:val="101820"/>
                <w:sz w:val="14"/>
              </w:rPr>
              <w:t>*</w:t>
            </w:r>
            <w:r>
              <w:rPr>
                <w:rFonts w:ascii="Segoe UI" w:hAnsi="Segoe UI" w:cs="Segoe UI" w:eastAsia="Segoe UI"/>
                <w:color w:val="101820"/>
                <w:sz w:val="16"/>
              </w:rPr>
              <w:t xml:space="preserve"> refused in production)</w:t>
            </w:r>
          </w:p>
        </w:tc>
        <w:tc>
          <w:tcPr>
            <w:tcW w:type="dxa" w:w="1861"/>
          </w:tcPr>
          <w:p>
            <w:pPr>
              <w:spacing w:after="20"/>
            </w:pPr>
            <w:r>
              <w:rPr>
                <w:rFonts w:ascii="Segoe UI" w:hAnsi="Segoe UI" w:cs="Segoe UI" w:eastAsia="Segoe UI"/>
                <w:color w:val="101820"/>
                <w:sz w:val="16"/>
              </w:rPr>
              <w:t>TR, HTTP headers</w:t>
            </w:r>
          </w:p>
        </w:tc>
      </w:tr>
      <w:tr>
        <w:tc>
          <w:tcPr>
            <w:tcW w:type="dxa" w:w="907"/>
          </w:tcPr>
          <w:p>
            <w:pPr>
              <w:spacing w:after="20"/>
            </w:pPr>
            <w:r>
              <w:rPr>
                <w:rFonts w:ascii="Segoe UI" w:hAnsi="Segoe UI" w:cs="Segoe UI" w:eastAsia="Segoe UI"/>
                <w:color w:val="101820"/>
                <w:sz w:val="16"/>
              </w:rPr>
              <w:t>APP-05</w:t>
            </w:r>
          </w:p>
        </w:tc>
        <w:tc>
          <w:tcPr>
            <w:tcW w:type="dxa" w:w="2505"/>
          </w:tcPr>
          <w:p>
            <w:pPr>
              <w:spacing w:after="20"/>
            </w:pPr>
            <w:r>
              <w:rPr>
                <w:rFonts w:ascii="Segoe UI" w:hAnsi="Segoe UI" w:cs="Segoe UI" w:eastAsia="Segoe UI"/>
                <w:color w:val="101820"/>
                <w:sz w:val="16"/>
              </w:rPr>
              <w:t>Is there API rate limiting</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600 requests per 60 seconds per user or IP; 429 with Retry-After. Counted per API instance, so the WAF should also enforce limits</w:t>
            </w:r>
          </w:p>
        </w:tc>
        <w:tc>
          <w:tcPr>
            <w:tcW w:type="dxa" w:w="1861"/>
          </w:tcPr>
          <w:p>
            <w:pPr>
              <w:spacing w:after="20"/>
            </w:pPr>
            <w:r>
              <w:rPr>
                <w:rFonts w:ascii="Segoe UI" w:hAnsi="Segoe UI" w:cs="Segoe UI" w:eastAsia="Segoe UI"/>
                <w:color w:val="101820"/>
                <w:sz w:val="16"/>
              </w:rPr>
              <w:t>TR; AIS, Known limitation</w:t>
            </w:r>
          </w:p>
        </w:tc>
      </w:tr>
      <w:tr>
        <w:tc>
          <w:tcPr>
            <w:tcW w:type="dxa" w:w="907"/>
          </w:tcPr>
          <w:p>
            <w:pPr>
              <w:spacing w:after="20"/>
            </w:pPr>
            <w:r>
              <w:rPr>
                <w:rFonts w:ascii="Segoe UI" w:hAnsi="Segoe UI" w:cs="Segoe UI" w:eastAsia="Segoe UI"/>
                <w:color w:val="101820"/>
                <w:sz w:val="16"/>
              </w:rPr>
              <w:t>APP-06</w:t>
            </w:r>
          </w:p>
        </w:tc>
        <w:tc>
          <w:tcPr>
            <w:tcW w:type="dxa" w:w="2505"/>
          </w:tcPr>
          <w:p>
            <w:pPr>
              <w:spacing w:after="20"/>
            </w:pPr>
            <w:r>
              <w:rPr>
                <w:rFonts w:ascii="Segoe UI" w:hAnsi="Segoe UI" w:cs="Segoe UI" w:eastAsia="Segoe UI"/>
                <w:color w:val="101820"/>
                <w:sz w:val="16"/>
              </w:rPr>
              <w:t>How are file uploads protected</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Type decided from the file signature; allowed types only; 10 MB per file, 10 files, 50 MB decompressed; random 128-bit keys; nosniff and sandbox CSP on download. No antivirus scan of uploads in the application [to confirm whether the hosting adds one]</w:t>
            </w:r>
          </w:p>
        </w:tc>
        <w:tc>
          <w:tcPr>
            <w:tcW w:type="dxa" w:w="1861"/>
          </w:tcPr>
          <w:p>
            <w:pPr>
              <w:spacing w:after="20"/>
            </w:pPr>
            <w:r>
              <w:rPr>
                <w:rFonts w:ascii="Segoe UI" w:hAnsi="Segoe UI" w:cs="Segoe UI" w:eastAsia="Segoe UI"/>
                <w:color w:val="101820"/>
                <w:sz w:val="16"/>
              </w:rPr>
              <w:t>TR, File uploads</w:t>
            </w:r>
          </w:p>
        </w:tc>
      </w:tr>
      <w:tr>
        <w:tc>
          <w:tcPr>
            <w:tcW w:type="dxa" w:w="907"/>
          </w:tcPr>
          <w:p>
            <w:pPr>
              <w:spacing w:after="20"/>
            </w:pPr>
            <w:r>
              <w:rPr>
                <w:rFonts w:ascii="Segoe UI" w:hAnsi="Segoe UI" w:cs="Segoe UI" w:eastAsia="Segoe UI"/>
                <w:color w:val="101820"/>
                <w:sz w:val="16"/>
              </w:rPr>
              <w:t>APP-07</w:t>
            </w:r>
          </w:p>
        </w:tc>
        <w:tc>
          <w:tcPr>
            <w:tcW w:type="dxa" w:w="2505"/>
          </w:tcPr>
          <w:p>
            <w:pPr>
              <w:spacing w:after="20"/>
            </w:pPr>
            <w:r>
              <w:rPr>
                <w:rFonts w:ascii="Segoe UI" w:hAnsi="Segoe UI" w:cs="Segoe UI" w:eastAsia="Segoe UI"/>
                <w:color w:val="101820"/>
                <w:sz w:val="16"/>
              </w:rPr>
              <w:t>Are error messages safe</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5xx answers a generic message with a request id; no stack traces to clients</w:t>
            </w:r>
          </w:p>
        </w:tc>
        <w:tc>
          <w:tcPr>
            <w:tcW w:type="dxa" w:w="1861"/>
          </w:tcPr>
          <w:p>
            <w:pPr>
              <w:spacing w:after="20"/>
            </w:pPr>
            <w:r>
              <w:rPr>
                <w:rFonts w:ascii="Segoe UI" w:hAnsi="Segoe UI" w:cs="Segoe UI" w:eastAsia="Segoe UI"/>
                <w:color w:val="101820"/>
                <w:sz w:val="16"/>
              </w:rPr>
              <w:t>AIS; TR</w:t>
            </w:r>
          </w:p>
        </w:tc>
      </w:tr>
      <w:tr>
        <w:tc>
          <w:tcPr>
            <w:tcW w:type="dxa" w:w="907"/>
          </w:tcPr>
          <w:p>
            <w:pPr>
              <w:spacing w:after="20"/>
            </w:pPr>
            <w:r>
              <w:rPr>
                <w:rFonts w:ascii="Segoe UI" w:hAnsi="Segoe UI" w:cs="Segoe UI" w:eastAsia="Segoe UI"/>
                <w:color w:val="101820"/>
                <w:sz w:val="16"/>
              </w:rPr>
              <w:t>APP-08</w:t>
            </w:r>
          </w:p>
        </w:tc>
        <w:tc>
          <w:tcPr>
            <w:tcW w:type="dxa" w:w="2505"/>
          </w:tcPr>
          <w:p>
            <w:pPr>
              <w:spacing w:after="20"/>
            </w:pPr>
            <w:r>
              <w:rPr>
                <w:rFonts w:ascii="Segoe UI" w:hAnsi="Segoe UI" w:cs="Segoe UI" w:eastAsia="Segoe UI"/>
                <w:color w:val="101820"/>
                <w:sz w:val="16"/>
              </w:rPr>
              <w:t>Are public endpoints limited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19 public routes by design: health and version, quotation approval, payment checkout and gateway webhooks; webhooks verified by signature on the raw body, idempotent, with an amount check</w:t>
            </w:r>
          </w:p>
        </w:tc>
        <w:tc>
          <w:tcPr>
            <w:tcW w:type="dxa" w:w="1861"/>
          </w:tcPr>
          <w:p>
            <w:pPr>
              <w:spacing w:after="20"/>
            </w:pPr>
            <w:r>
              <w:rPr>
                <w:rFonts w:ascii="Segoe UI" w:hAnsi="Segoe UI" w:cs="Segoe UI" w:eastAsia="Segoe UI"/>
                <w:color w:val="101820"/>
                <w:sz w:val="16"/>
              </w:rPr>
              <w:t>TR, Public endpoints</w:t>
            </w:r>
          </w:p>
        </w:tc>
      </w:tr>
      <w:tr>
        <w:tc>
          <w:tcPr>
            <w:tcW w:type="dxa" w:w="907"/>
          </w:tcPr>
          <w:p>
            <w:pPr>
              <w:spacing w:after="20"/>
            </w:pPr>
            <w:r>
              <w:rPr>
                <w:rFonts w:ascii="Segoe UI" w:hAnsi="Segoe UI" w:cs="Segoe UI" w:eastAsia="Segoe UI"/>
                <w:color w:val="101820"/>
                <w:sz w:val="16"/>
              </w:rPr>
              <w:t>APP-09</w:t>
            </w:r>
          </w:p>
        </w:tc>
        <w:tc>
          <w:tcPr>
            <w:tcW w:type="dxa" w:w="2505"/>
          </w:tcPr>
          <w:p>
            <w:pPr>
              <w:spacing w:after="20"/>
            </w:pPr>
            <w:r>
              <w:rPr>
                <w:rFonts w:ascii="Segoe UI" w:hAnsi="Segoe UI" w:cs="Segoe UI" w:eastAsia="Segoe UI"/>
                <w:color w:val="101820"/>
                <w:sz w:val="16"/>
              </w:rPr>
              <w:t>Is there a web application firewall</w:t>
            </w:r>
          </w:p>
        </w:tc>
        <w:tc>
          <w:tcPr>
            <w:tcW w:type="dxa" w:w="1123"/>
          </w:tcPr>
          <w:p>
            <w:pPr>
              <w:spacing w:after="20"/>
            </w:pPr>
            <w:r>
              <w:rPr>
                <w:rFonts w:ascii="Segoe UI" w:hAnsi="Segoe UI" w:cs="Segoe UI" w:eastAsia="Segoe UI"/>
                <w:color w:val="101820"/>
                <w:sz w:val="16"/>
              </w:rPr>
              <w:t>Partial</w:t>
            </w:r>
          </w:p>
        </w:tc>
        <w:tc>
          <w:tcPr>
            <w:tcW w:type="dxa" w:w="2619"/>
          </w:tcPr>
          <w:p>
            <w:pPr>
              <w:spacing w:after="20"/>
            </w:pPr>
            <w:r>
              <w:rPr>
                <w:rFonts w:ascii="Segoe UI" w:hAnsi="Segoe UI" w:cs="Segoe UI" w:eastAsia="Segoe UI"/>
                <w:color w:val="101820"/>
                <w:sz w:val="16"/>
              </w:rPr>
              <w:t>Included in the hosted design (AWS WAF, Azure Front Door WAF, ModSecurity or appliance for option C); recommended when the broker hosts</w:t>
            </w:r>
          </w:p>
        </w:tc>
        <w:tc>
          <w:tcPr>
            <w:tcW w:type="dxa" w:w="1861"/>
          </w:tcPr>
          <w:p>
            <w:pPr>
              <w:spacing w:after="20"/>
            </w:pPr>
            <w:r>
              <w:rPr>
                <w:rFonts w:ascii="Segoe UI" w:hAnsi="Segoe UI" w:cs="Segoe UI" w:eastAsia="Segoe UI"/>
                <w:color w:val="101820"/>
                <w:sz w:val="16"/>
              </w:rPr>
              <w:t>AIS, Deployment options; HSA</w:t>
            </w:r>
          </w:p>
        </w:tc>
      </w:tr>
      <w:tr>
        <w:tc>
          <w:tcPr>
            <w:tcW w:type="dxa" w:w="907"/>
          </w:tcPr>
          <w:p>
            <w:pPr>
              <w:spacing w:after="20"/>
            </w:pPr>
            <w:r>
              <w:rPr>
                <w:rFonts w:ascii="Segoe UI" w:hAnsi="Segoe UI" w:cs="Segoe UI" w:eastAsia="Segoe UI"/>
                <w:color w:val="101820"/>
                <w:sz w:val="16"/>
              </w:rPr>
              <w:t>APP-10</w:t>
            </w:r>
          </w:p>
        </w:tc>
        <w:tc>
          <w:tcPr>
            <w:tcW w:type="dxa" w:w="2505"/>
          </w:tcPr>
          <w:p>
            <w:pPr>
              <w:spacing w:after="20"/>
            </w:pPr>
            <w:r>
              <w:rPr>
                <w:rFonts w:ascii="Segoe UI" w:hAnsi="Segoe UI" w:cs="Segoe UI" w:eastAsia="Segoe UI"/>
                <w:color w:val="101820"/>
                <w:sz w:val="16"/>
              </w:rPr>
              <w:t>Is the network segmented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Public edge, private application zone, private data zone and management zone, with only the listed traffic allowed</w:t>
            </w:r>
          </w:p>
        </w:tc>
        <w:tc>
          <w:tcPr>
            <w:tcW w:type="dxa" w:w="1861"/>
          </w:tcPr>
          <w:p>
            <w:pPr>
              <w:spacing w:after="20"/>
            </w:pPr>
            <w:r>
              <w:rPr>
                <w:rFonts w:ascii="Segoe UI" w:hAnsi="Segoe UI" w:cs="Segoe UI" w:eastAsia="Segoe UI"/>
                <w:color w:val="101820"/>
                <w:sz w:val="16"/>
              </w:rPr>
              <w:t>AIS, Network zones</w:t>
            </w:r>
          </w:p>
        </w:tc>
      </w:tr>
      <w:tr>
        <w:tc>
          <w:tcPr>
            <w:tcW w:type="dxa" w:w="907"/>
          </w:tcPr>
          <w:p>
            <w:pPr>
              <w:spacing w:after="20"/>
            </w:pPr>
            <w:r>
              <w:rPr>
                <w:rFonts w:ascii="Segoe UI" w:hAnsi="Segoe UI" w:cs="Segoe UI" w:eastAsia="Segoe UI"/>
                <w:color w:val="101820"/>
                <w:sz w:val="16"/>
              </w:rPr>
              <w:t>APP-11</w:t>
            </w:r>
          </w:p>
        </w:tc>
        <w:tc>
          <w:tcPr>
            <w:tcW w:type="dxa" w:w="2505"/>
          </w:tcPr>
          <w:p>
            <w:pPr>
              <w:spacing w:after="20"/>
            </w:pPr>
            <w:r>
              <w:rPr>
                <w:rFonts w:ascii="Segoe UI" w:hAnsi="Segoe UI" w:cs="Segoe UI" w:eastAsia="Segoe UI"/>
                <w:color w:val="101820"/>
                <w:sz w:val="16"/>
              </w:rPr>
              <w:t>Are environments separated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DEV, UAT, PROD and DR with their own secrets; production starts with reference data only; no production personal data in DEV or UAT without masking</w:t>
            </w:r>
          </w:p>
        </w:tc>
        <w:tc>
          <w:tcPr>
            <w:tcW w:type="dxa" w:w="1861"/>
          </w:tcPr>
          <w:p>
            <w:pPr>
              <w:spacing w:after="20"/>
            </w:pPr>
            <w:r>
              <w:rPr>
                <w:rFonts w:ascii="Segoe UI" w:hAnsi="Segoe UI" w:cs="Segoe UI" w:eastAsia="Segoe UI"/>
                <w:color w:val="101820"/>
                <w:sz w:val="16"/>
              </w:rPr>
              <w:t>AIS, Environment layout</w:t>
            </w:r>
          </w:p>
        </w:tc>
      </w:tr>
      <w:tr>
        <w:tc>
          <w:tcPr>
            <w:tcW w:type="dxa" w:w="907"/>
          </w:tcPr>
          <w:p>
            <w:pPr>
              <w:spacing w:after="20"/>
            </w:pPr>
            <w:r>
              <w:rPr>
                <w:rFonts w:ascii="Segoe UI" w:hAnsi="Segoe UI" w:cs="Segoe UI" w:eastAsia="Segoe UI"/>
                <w:color w:val="101820"/>
                <w:sz w:val="16"/>
              </w:rPr>
              <w:t>APP-12</w:t>
            </w:r>
          </w:p>
        </w:tc>
        <w:tc>
          <w:tcPr>
            <w:tcW w:type="dxa" w:w="2505"/>
          </w:tcPr>
          <w:p>
            <w:pPr>
              <w:spacing w:after="20"/>
            </w:pPr>
            <w:r>
              <w:rPr>
                <w:rFonts w:ascii="Segoe UI" w:hAnsi="Segoe UI" w:cs="Segoe UI" w:eastAsia="Segoe UI"/>
                <w:color w:val="101820"/>
                <w:sz w:val="16"/>
              </w:rPr>
              <w:t>Are points for the security review disclosed</w:t>
            </w:r>
          </w:p>
        </w:tc>
        <w:tc>
          <w:tcPr>
            <w:tcW w:type="dxa" w:w="1123"/>
          </w:tcPr>
          <w:p>
            <w:pPr>
              <w:spacing w:after="20"/>
            </w:pPr>
            <w:r>
              <w:rPr>
                <w:rFonts w:ascii="Segoe UI" w:hAnsi="Segoe UI" w:cs="Segoe UI" w:eastAsia="Segoe UI"/>
                <w:color w:val="101820"/>
                <w:sz w:val="16"/>
              </w:rPr>
              <w:t>Yes</w:t>
            </w:r>
          </w:p>
        </w:tc>
        <w:tc>
          <w:tcPr>
            <w:tcW w:type="dxa" w:w="2619"/>
          </w:tcPr>
          <w:p>
            <w:pPr>
              <w:spacing w:after="20"/>
            </w:pPr>
            <w:r>
              <w:rPr>
                <w:rFonts w:ascii="Segoe UI" w:hAnsi="Segoe UI" w:cs="Segoe UI" w:eastAsia="Segoe UI"/>
                <w:color w:val="101820"/>
                <w:sz w:val="16"/>
              </w:rPr>
              <w:t>Settings readable by every signed-in user (no secrets in settings); file key gives read access to signed-in users; tokens in local storage; per-instance rate limits; two-step roles empty by default</w:t>
            </w:r>
          </w:p>
        </w:tc>
        <w:tc>
          <w:tcPr>
            <w:tcW w:type="dxa" w:w="1861"/>
          </w:tcPr>
          <w:p>
            <w:pPr>
              <w:spacing w:after="20"/>
            </w:pPr>
            <w:r>
              <w:rPr>
                <w:rFonts w:ascii="Segoe UI" w:hAnsi="Segoe UI" w:cs="Segoe UI" w:eastAsia="Segoe UI"/>
                <w:color w:val="101820"/>
                <w:sz w:val="16"/>
              </w:rPr>
              <w:t>TR, Points for the security review</w:t>
            </w:r>
          </w:p>
        </w:tc>
      </w:tr>
    </w:tbl>
    <w:p>
      <w:pPr>
        <w:pStyle w:val="Heading1"/>
        <w:pageBreakBefore/>
      </w:pPr>
      <w:r>
        <w:rPr>
          <w:rFonts w:ascii="Segoe UI" w:hAnsi="Segoe UI" w:cs="Segoe UI" w:eastAsia="Segoe UI"/>
          <w:b/>
          <w:color w:val="0F4761"/>
          <w:sz w:val="32"/>
        </w:rPr>
        <w:t>10.  Logging and monitoring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472"/>
        <w:gridCol w:w="1123"/>
        <w:gridCol w:w="2795"/>
        <w:gridCol w:w="1717"/>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472"/>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95"/>
            <w:shd w:val="clear" w:color="auto" w:fill="DCE9F7"/>
          </w:tcPr>
          <w:p>
            <w:pPr>
              <w:spacing w:after="20"/>
            </w:pPr>
            <w:r>
              <w:rPr>
                <w:rFonts w:ascii="Segoe UI" w:hAnsi="Segoe UI" w:cs="Segoe UI" w:eastAsia="Segoe UI"/>
                <w:b/>
                <w:color w:val="0F4761"/>
                <w:sz w:val="16"/>
              </w:rPr>
              <w:t>Answer</w:t>
            </w:r>
          </w:p>
        </w:tc>
        <w:tc>
          <w:tcPr>
            <w:tcW w:type="dxa" w:w="1717"/>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LOG-01</w:t>
            </w:r>
          </w:p>
        </w:tc>
        <w:tc>
          <w:tcPr>
            <w:tcW w:type="dxa" w:w="2472"/>
          </w:tcPr>
          <w:p>
            <w:pPr>
              <w:spacing w:after="20"/>
            </w:pPr>
            <w:r>
              <w:rPr>
                <w:rFonts w:ascii="Segoe UI" w:hAnsi="Segoe UI" w:cs="Segoe UI" w:eastAsia="Segoe UI"/>
                <w:color w:val="101820"/>
                <w:sz w:val="16"/>
              </w:rPr>
              <w:t>Is there an audit trail of business changes</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Consolas" w:hAnsi="Consolas" w:cs="Consolas" w:eastAsia="Consolas"/>
                <w:color w:val="101820"/>
                <w:sz w:val="14"/>
              </w:rPr>
              <w:t>audit_log</w:t>
            </w:r>
            <w:r>
              <w:rPr>
                <w:rFonts w:ascii="Segoe UI" w:hAnsi="Segoe UI" w:cs="Segoe UI" w:eastAsia="Segoe UI"/>
                <w:color w:val="101820"/>
                <w:sz w:val="16"/>
              </w:rPr>
              <w:t xml:space="preserve"> with user, entity, record, action, before and after values, IP and time, written by every change; Master &gt; Audit Trail filters by entity, record, user and date</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LOG-02</w:t>
            </w:r>
          </w:p>
        </w:tc>
        <w:tc>
          <w:tcPr>
            <w:tcW w:type="dxa" w:w="2472"/>
          </w:tcPr>
          <w:p>
            <w:pPr>
              <w:spacing w:after="20"/>
            </w:pPr>
            <w:r>
              <w:rPr>
                <w:rFonts w:ascii="Segoe UI" w:hAnsi="Segoe UI" w:cs="Segoe UI" w:eastAsia="Segoe UI"/>
                <w:color w:val="101820"/>
                <w:sz w:val="16"/>
              </w:rPr>
              <w:t>How long is the audit trail kept</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Kept by default (setting 0); if a period is set it can never be shorter than 2,557 days (seven years)</w:t>
            </w:r>
          </w:p>
        </w:tc>
        <w:tc>
          <w:tcPr>
            <w:tcW w:type="dxa" w:w="1717"/>
          </w:tcPr>
          <w:p>
            <w:pPr>
              <w:spacing w:after="20"/>
            </w:pPr>
            <w:r>
              <w:rPr>
                <w:rFonts w:ascii="Segoe UI" w:hAnsi="Segoe UI" w:cs="Segoe UI" w:eastAsia="Segoe UI"/>
                <w:color w:val="101820"/>
                <w:sz w:val="16"/>
              </w:rPr>
              <w:t>AIS, Archival</w:t>
            </w:r>
          </w:p>
        </w:tc>
      </w:tr>
      <w:tr>
        <w:tc>
          <w:tcPr>
            <w:tcW w:type="dxa" w:w="907"/>
          </w:tcPr>
          <w:p>
            <w:pPr>
              <w:spacing w:after="20"/>
            </w:pPr>
            <w:r>
              <w:rPr>
                <w:rFonts w:ascii="Segoe UI" w:hAnsi="Segoe UI" w:cs="Segoe UI" w:eastAsia="Segoe UI"/>
                <w:color w:val="101820"/>
                <w:sz w:val="16"/>
              </w:rPr>
              <w:t>LOG-03</w:t>
            </w:r>
          </w:p>
        </w:tc>
        <w:tc>
          <w:tcPr>
            <w:tcW w:type="dxa" w:w="2472"/>
          </w:tcPr>
          <w:p>
            <w:pPr>
              <w:spacing w:after="20"/>
            </w:pPr>
            <w:r>
              <w:rPr>
                <w:rFonts w:ascii="Segoe UI" w:hAnsi="Segoe UI" w:cs="Segoe UI" w:eastAsia="Segoe UI"/>
                <w:color w:val="101820"/>
                <w:sz w:val="16"/>
              </w:rPr>
              <w:t>Are sign-in events logged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 xml:space="preserve">Every attempt in </w:t>
            </w:r>
            <w:r>
              <w:rPr>
                <w:rFonts w:ascii="Consolas" w:hAnsi="Consolas" w:cs="Consolas" w:eastAsia="Consolas"/>
                <w:color w:val="101820"/>
                <w:sz w:val="14"/>
              </w:rPr>
              <w:t>login_history</w:t>
            </w:r>
            <w:r>
              <w:rPr>
                <w:rFonts w:ascii="Segoe UI" w:hAnsi="Segoe UI" w:cs="Segoe UI" w:eastAsia="Segoe UI"/>
                <w:color w:val="101820"/>
                <w:sz w:val="16"/>
              </w:rPr>
              <w:t xml:space="preserve"> with result, reason, IP and user agent; kept 365 days by default</w:t>
            </w:r>
          </w:p>
        </w:tc>
        <w:tc>
          <w:tcPr>
            <w:tcW w:type="dxa" w:w="1717"/>
          </w:tcPr>
          <w:p>
            <w:pPr>
              <w:spacing w:after="20"/>
            </w:pPr>
            <w:r>
              <w:rPr>
                <w:rFonts w:ascii="Segoe UI" w:hAnsi="Segoe UI" w:cs="Segoe UI" w:eastAsia="Segoe UI"/>
                <w:color w:val="101820"/>
                <w:sz w:val="16"/>
              </w:rPr>
              <w:t>TR, Audit and sign-in logging</w:t>
            </w:r>
          </w:p>
        </w:tc>
      </w:tr>
      <w:tr>
        <w:tc>
          <w:tcPr>
            <w:tcW w:type="dxa" w:w="907"/>
          </w:tcPr>
          <w:p>
            <w:pPr>
              <w:spacing w:after="20"/>
            </w:pPr>
            <w:r>
              <w:rPr>
                <w:rFonts w:ascii="Segoe UI" w:hAnsi="Segoe UI" w:cs="Segoe UI" w:eastAsia="Segoe UI"/>
                <w:color w:val="101820"/>
                <w:sz w:val="16"/>
              </w:rPr>
              <w:t>LOG-04</w:t>
            </w:r>
          </w:p>
        </w:tc>
        <w:tc>
          <w:tcPr>
            <w:tcW w:type="dxa" w:w="2472"/>
          </w:tcPr>
          <w:p>
            <w:pPr>
              <w:spacing w:after="20"/>
            </w:pPr>
            <w:r>
              <w:rPr>
                <w:rFonts w:ascii="Segoe UI" w:hAnsi="Segoe UI" w:cs="Segoe UI" w:eastAsia="Segoe UI"/>
                <w:color w:val="101820"/>
                <w:sz w:val="16"/>
              </w:rPr>
              <w:t>Are payment notifications logged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 xml:space="preserve">Every gateway notification in </w:t>
            </w:r>
            <w:r>
              <w:rPr>
                <w:rFonts w:ascii="Consolas" w:hAnsi="Consolas" w:cs="Consolas" w:eastAsia="Consolas"/>
                <w:color w:val="101820"/>
                <w:sz w:val="14"/>
              </w:rPr>
              <w:t>payment_events</w:t>
            </w:r>
            <w:r>
              <w:rPr>
                <w:rFonts w:ascii="Segoe UI" w:hAnsi="Segoe UI" w:cs="Segoe UI" w:eastAsia="Segoe UI"/>
                <w:color w:val="101820"/>
                <w:sz w:val="16"/>
              </w:rPr>
              <w:t xml:space="preserve"> with its signature result</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LOG-05</w:t>
            </w:r>
          </w:p>
        </w:tc>
        <w:tc>
          <w:tcPr>
            <w:tcW w:type="dxa" w:w="2472"/>
          </w:tcPr>
          <w:p>
            <w:pPr>
              <w:spacing w:after="20"/>
            </w:pPr>
            <w:r>
              <w:rPr>
                <w:rFonts w:ascii="Segoe UI" w:hAnsi="Segoe UI" w:cs="Segoe UI" w:eastAsia="Segoe UI"/>
                <w:color w:val="101820"/>
                <w:sz w:val="16"/>
              </w:rPr>
              <w:t>Are secrets kept out of logs</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JSON logs with request id; authorization headers, passwords, tokens and signatures redacted; tested (BV-SEC-030)</w:t>
            </w:r>
          </w:p>
        </w:tc>
        <w:tc>
          <w:tcPr>
            <w:tcW w:type="dxa" w:w="1717"/>
          </w:tcPr>
          <w:p>
            <w:pPr>
              <w:spacing w:after="20"/>
            </w:pPr>
            <w:r>
              <w:rPr>
                <w:rFonts w:ascii="Segoe UI" w:hAnsi="Segoe UI" w:cs="Segoe UI" w:eastAsia="Segoe UI"/>
                <w:color w:val="101820"/>
                <w:sz w:val="16"/>
              </w:rPr>
              <w:t>TSR; AIS, Monitoring</w:t>
            </w:r>
          </w:p>
        </w:tc>
      </w:tr>
      <w:tr>
        <w:tc>
          <w:tcPr>
            <w:tcW w:type="dxa" w:w="907"/>
          </w:tcPr>
          <w:p>
            <w:pPr>
              <w:spacing w:after="20"/>
            </w:pPr>
            <w:r>
              <w:rPr>
                <w:rFonts w:ascii="Segoe UI" w:hAnsi="Segoe UI" w:cs="Segoe UI" w:eastAsia="Segoe UI"/>
                <w:color w:val="101820"/>
                <w:sz w:val="16"/>
              </w:rPr>
              <w:t>LOG-06</w:t>
            </w:r>
          </w:p>
        </w:tc>
        <w:tc>
          <w:tcPr>
            <w:tcW w:type="dxa" w:w="2472"/>
          </w:tcPr>
          <w:p>
            <w:pPr>
              <w:spacing w:after="20"/>
            </w:pPr>
            <w:r>
              <w:rPr>
                <w:rFonts w:ascii="Segoe UI" w:hAnsi="Segoe UI" w:cs="Segoe UI" w:eastAsia="Segoe UI"/>
                <w:color w:val="101820"/>
                <w:sz w:val="16"/>
              </w:rPr>
              <w:t>Can the audit trail be altered</w:t>
            </w:r>
          </w:p>
        </w:tc>
        <w:tc>
          <w:tcPr>
            <w:tcW w:type="dxa" w:w="1123"/>
          </w:tcPr>
          <w:p>
            <w:pPr>
              <w:spacing w:after="20"/>
            </w:pPr>
            <w:r>
              <w:rPr>
                <w:rFonts w:ascii="Segoe UI" w:hAnsi="Segoe UI" w:cs="Segoe UI" w:eastAsia="Segoe UI"/>
                <w:color w:val="101820"/>
                <w:sz w:val="16"/>
              </w:rPr>
              <w:t>Partial</w:t>
            </w:r>
          </w:p>
        </w:tc>
        <w:tc>
          <w:tcPr>
            <w:tcW w:type="dxa" w:w="2795"/>
          </w:tcPr>
          <w:p>
            <w:pPr>
              <w:spacing w:after="20"/>
            </w:pPr>
            <w:r>
              <w:rPr>
                <w:rFonts w:ascii="Segoe UI" w:hAnsi="Segoe UI" w:cs="Segoe UI" w:eastAsia="Segoe UI"/>
                <w:color w:val="101820"/>
                <w:sz w:val="16"/>
              </w:rPr>
              <w:t>Written by the application only; no screen edits or deletes it. Database administrators could alter it; recommended: ship logs to write-once central storage for at least one year [to confirm in the hosting runbook]</w:t>
            </w:r>
          </w:p>
        </w:tc>
        <w:tc>
          <w:tcPr>
            <w:tcW w:type="dxa" w:w="1717"/>
          </w:tcPr>
          <w:p>
            <w:pPr>
              <w:spacing w:after="20"/>
            </w:pPr>
            <w:r>
              <w:rPr>
                <w:rFonts w:ascii="Segoe UI" w:hAnsi="Segoe UI" w:cs="Segoe UI" w:eastAsia="Segoe UI"/>
                <w:color w:val="101820"/>
                <w:sz w:val="16"/>
              </w:rPr>
              <w:t>AIS, Audit trail</w:t>
            </w:r>
          </w:p>
        </w:tc>
      </w:tr>
      <w:tr>
        <w:tc>
          <w:tcPr>
            <w:tcW w:type="dxa" w:w="907"/>
          </w:tcPr>
          <w:p>
            <w:pPr>
              <w:spacing w:after="20"/>
            </w:pPr>
            <w:r>
              <w:rPr>
                <w:rFonts w:ascii="Segoe UI" w:hAnsi="Segoe UI" w:cs="Segoe UI" w:eastAsia="Segoe UI"/>
                <w:color w:val="101820"/>
                <w:sz w:val="16"/>
              </w:rPr>
              <w:t>LOG-07</w:t>
            </w:r>
          </w:p>
        </w:tc>
        <w:tc>
          <w:tcPr>
            <w:tcW w:type="dxa" w:w="2472"/>
          </w:tcPr>
          <w:p>
            <w:pPr>
              <w:spacing w:after="20"/>
            </w:pPr>
            <w:r>
              <w:rPr>
                <w:rFonts w:ascii="Segoe UI" w:hAnsi="Segoe UI" w:cs="Segoe UI" w:eastAsia="Segoe UI"/>
                <w:color w:val="101820"/>
                <w:sz w:val="16"/>
              </w:rPr>
              <w:t>Is there security monitoring and alerting</w:t>
            </w:r>
          </w:p>
        </w:tc>
        <w:tc>
          <w:tcPr>
            <w:tcW w:type="dxa" w:w="1123"/>
          </w:tcPr>
          <w:p>
            <w:pPr>
              <w:spacing w:after="20"/>
            </w:pPr>
            <w:r>
              <w:rPr>
                <w:rFonts w:ascii="Segoe UI" w:hAnsi="Segoe UI" w:cs="Segoe UI" w:eastAsia="Segoe UI"/>
                <w:color w:val="101820"/>
                <w:sz w:val="16"/>
              </w:rPr>
              <w:t>Partial</w:t>
            </w:r>
          </w:p>
        </w:tc>
        <w:tc>
          <w:tcPr>
            <w:tcW w:type="dxa" w:w="2795"/>
          </w:tcPr>
          <w:p>
            <w:pPr>
              <w:spacing w:after="20"/>
            </w:pPr>
            <w:r>
              <w:rPr>
                <w:rFonts w:ascii="Segoe UI" w:hAnsi="Segoe UI" w:cs="Segoe UI" w:eastAsia="Segoe UI"/>
                <w:color w:val="101820"/>
                <w:sz w:val="16"/>
              </w:rPr>
              <w:t>Hosted: health checks every 5 minutes and alarms on errors, response time, capacity, jobs, failed sign-ins, token reuse, backups and certificate expiry. The deployment package itself holds no monitoring configuration</w:t>
            </w:r>
          </w:p>
        </w:tc>
        <w:tc>
          <w:tcPr>
            <w:tcW w:type="dxa" w:w="1717"/>
          </w:tcPr>
          <w:p>
            <w:pPr>
              <w:spacing w:after="20"/>
            </w:pPr>
            <w:r>
              <w:rPr>
                <w:rFonts w:ascii="Segoe UI" w:hAnsi="Segoe UI" w:cs="Segoe UI" w:eastAsia="Segoe UI"/>
                <w:color w:val="101820"/>
                <w:sz w:val="16"/>
              </w:rPr>
              <w:t>HSA; ARCH 11; PSS, Monitoring</w:t>
            </w:r>
          </w:p>
        </w:tc>
      </w:tr>
      <w:tr>
        <w:tc>
          <w:tcPr>
            <w:tcW w:type="dxa" w:w="907"/>
          </w:tcPr>
          <w:p>
            <w:pPr>
              <w:spacing w:after="20"/>
            </w:pPr>
            <w:r>
              <w:rPr>
                <w:rFonts w:ascii="Segoe UI" w:hAnsi="Segoe UI" w:cs="Segoe UI" w:eastAsia="Segoe UI"/>
                <w:color w:val="101820"/>
                <w:sz w:val="16"/>
              </w:rPr>
              <w:t>LOG-08</w:t>
            </w:r>
          </w:p>
        </w:tc>
        <w:tc>
          <w:tcPr>
            <w:tcW w:type="dxa" w:w="2472"/>
          </w:tcPr>
          <w:p>
            <w:pPr>
              <w:spacing w:after="20"/>
            </w:pPr>
            <w:r>
              <w:rPr>
                <w:rFonts w:ascii="Segoe UI" w:hAnsi="Segoe UI" w:cs="Segoe UI" w:eastAsia="Segoe UI"/>
                <w:color w:val="101820"/>
                <w:sz w:val="16"/>
              </w:rPr>
              <w:t>Are clocks synchronised</w:t>
            </w:r>
          </w:p>
        </w:tc>
        <w:tc>
          <w:tcPr>
            <w:tcW w:type="dxa" w:w="1123"/>
          </w:tcPr>
          <w:p>
            <w:pPr>
              <w:spacing w:after="20"/>
            </w:pPr>
            <w:r>
              <w:rPr>
                <w:rFonts w:ascii="Segoe UI" w:hAnsi="Segoe UI" w:cs="Segoe UI" w:eastAsia="Segoe UI"/>
                <w:color w:val="101820"/>
                <w:sz w:val="16"/>
              </w:rPr>
              <w:t>Yes</w:t>
            </w:r>
          </w:p>
        </w:tc>
        <w:tc>
          <w:tcPr>
            <w:tcW w:type="dxa" w:w="2795"/>
          </w:tcPr>
          <w:p>
            <w:pPr>
              <w:spacing w:after="20"/>
            </w:pPr>
            <w:r>
              <w:rPr>
                <w:rFonts w:ascii="Segoe UI" w:hAnsi="Segoe UI" w:cs="Segoe UI" w:eastAsia="Segoe UI"/>
                <w:color w:val="101820"/>
                <w:sz w:val="16"/>
              </w:rPr>
              <w:t>Application and database in Asia/Manila; cloud and managed services use provider time sync; option C uses NTP [to confirm for the partner]</w:t>
            </w:r>
          </w:p>
        </w:tc>
        <w:tc>
          <w:tcPr>
            <w:tcW w:type="dxa" w:w="1717"/>
          </w:tcPr>
          <w:p>
            <w:pPr>
              <w:spacing w:after="20"/>
            </w:pPr>
            <w:r>
              <w:rPr>
                <w:rFonts w:ascii="Segoe UI" w:hAnsi="Segoe UI" w:cs="Segoe UI" w:eastAsia="Segoe UI"/>
                <w:color w:val="101820"/>
                <w:sz w:val="16"/>
              </w:rPr>
              <w:t>AIS, Common building blocks</w:t>
            </w:r>
          </w:p>
        </w:tc>
      </w:tr>
    </w:tbl>
    <w:p>
      <w:pPr>
        <w:pStyle w:val="Heading1"/>
        <w:pageBreakBefore/>
      </w:pPr>
      <w:r>
        <w:rPr>
          <w:rFonts w:ascii="Segoe UI" w:hAnsi="Segoe UI" w:cs="Segoe UI" w:eastAsia="Segoe UI"/>
          <w:b/>
          <w:color w:val="0F4761"/>
          <w:sz w:val="32"/>
        </w:rPr>
        <w:t>11.  Vulnerability and patch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64"/>
        <w:gridCol w:w="1123"/>
        <w:gridCol w:w="2399"/>
        <w:gridCol w:w="2222"/>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364"/>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399"/>
            <w:shd w:val="clear" w:color="auto" w:fill="DCE9F7"/>
          </w:tcPr>
          <w:p>
            <w:pPr>
              <w:spacing w:after="20"/>
            </w:pPr>
            <w:r>
              <w:rPr>
                <w:rFonts w:ascii="Segoe UI" w:hAnsi="Segoe UI" w:cs="Segoe UI" w:eastAsia="Segoe UI"/>
                <w:b/>
                <w:color w:val="0F4761"/>
                <w:sz w:val="16"/>
              </w:rPr>
              <w:t>Answer</w:t>
            </w:r>
          </w:p>
        </w:tc>
        <w:tc>
          <w:tcPr>
            <w:tcW w:type="dxa" w:w="2222"/>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VUL-01</w:t>
            </w:r>
          </w:p>
        </w:tc>
        <w:tc>
          <w:tcPr>
            <w:tcW w:type="dxa" w:w="2364"/>
          </w:tcPr>
          <w:p>
            <w:pPr>
              <w:spacing w:after="20"/>
            </w:pPr>
            <w:r>
              <w:rPr>
                <w:rFonts w:ascii="Segoe UI" w:hAnsi="Segoe UI" w:cs="Segoe UI" w:eastAsia="Segoe UI"/>
                <w:color w:val="101820"/>
                <w:sz w:val="16"/>
              </w:rPr>
              <w:t>Are third-party components checked for vulnerabilities</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Release audit of runtime dependencies: backend 0 vulnerabilities; front end 2 moderate findings in react-router (BV-DEF-001), upgrade in the next minor release. Automated scanning in CI not yet in place</w:t>
            </w:r>
          </w:p>
        </w:tc>
        <w:tc>
          <w:tcPr>
            <w:tcW w:type="dxa" w:w="2222"/>
          </w:tcPr>
          <w:p>
            <w:pPr>
              <w:spacing w:after="20"/>
            </w:pPr>
            <w:r>
              <w:rPr>
                <w:rFonts w:ascii="Segoe UI" w:hAnsi="Segoe UI" w:cs="Segoe UI" w:eastAsia="Segoe UI"/>
                <w:color w:val="101820"/>
                <w:sz w:val="16"/>
              </w:rPr>
              <w:t>TSR, BV-DEF-001; AIS, Vulnerability management</w:t>
            </w:r>
          </w:p>
        </w:tc>
      </w:tr>
      <w:tr>
        <w:tc>
          <w:tcPr>
            <w:tcW w:type="dxa" w:w="907"/>
          </w:tcPr>
          <w:p>
            <w:pPr>
              <w:spacing w:after="20"/>
            </w:pPr>
            <w:r>
              <w:rPr>
                <w:rFonts w:ascii="Segoe UI" w:hAnsi="Segoe UI" w:cs="Segoe UI" w:eastAsia="Segoe UI"/>
                <w:color w:val="101820"/>
                <w:sz w:val="16"/>
              </w:rPr>
              <w:t>VUL-02</w:t>
            </w:r>
          </w:p>
        </w:tc>
        <w:tc>
          <w:tcPr>
            <w:tcW w:type="dxa" w:w="2364"/>
          </w:tcPr>
          <w:p>
            <w:pPr>
              <w:spacing w:after="20"/>
            </w:pPr>
            <w:r>
              <w:rPr>
                <w:rFonts w:ascii="Segoe UI" w:hAnsi="Segoe UI" w:cs="Segoe UI" w:eastAsia="Segoe UI"/>
                <w:color w:val="101820"/>
                <w:sz w:val="16"/>
              </w:rPr>
              <w:t>What are the patching timelines</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Critical security patches within 14 days and high within 30 days; operating system, PostgreSQL and nginx monthly</w:t>
            </w:r>
          </w:p>
        </w:tc>
        <w:tc>
          <w:tcPr>
            <w:tcW w:type="dxa" w:w="2222"/>
          </w:tcPr>
          <w:p>
            <w:pPr>
              <w:spacing w:after="20"/>
            </w:pPr>
            <w:r>
              <w:rPr>
                <w:rFonts w:ascii="Segoe UI" w:hAnsi="Segoe UI" w:cs="Segoe UI" w:eastAsia="Segoe UI"/>
                <w:color w:val="101820"/>
                <w:sz w:val="16"/>
              </w:rPr>
              <w:t>DPA, Annex 2; HSA; AIS; PSS, Patching</w:t>
            </w:r>
          </w:p>
        </w:tc>
      </w:tr>
      <w:tr>
        <w:tc>
          <w:tcPr>
            <w:tcW w:type="dxa" w:w="907"/>
          </w:tcPr>
          <w:p>
            <w:pPr>
              <w:spacing w:after="20"/>
            </w:pPr>
            <w:r>
              <w:rPr>
                <w:rFonts w:ascii="Segoe UI" w:hAnsi="Segoe UI" w:cs="Segoe UI" w:eastAsia="Segoe UI"/>
                <w:color w:val="101820"/>
                <w:sz w:val="16"/>
              </w:rPr>
              <w:t>VUL-03</w:t>
            </w:r>
          </w:p>
        </w:tc>
        <w:tc>
          <w:tcPr>
            <w:tcW w:type="dxa" w:w="2364"/>
          </w:tcPr>
          <w:p>
            <w:pPr>
              <w:spacing w:after="20"/>
            </w:pPr>
            <w:r>
              <w:rPr>
                <w:rFonts w:ascii="Segoe UI" w:hAnsi="Segoe UI" w:cs="Segoe UI" w:eastAsia="Segoe UI"/>
                <w:color w:val="101820"/>
                <w:sz w:val="16"/>
              </w:rPr>
              <w:t>Has a penetration test been performed</w:t>
            </w:r>
          </w:p>
        </w:tc>
        <w:tc>
          <w:tcPr>
            <w:tcW w:type="dxa" w:w="1123"/>
          </w:tcPr>
          <w:p>
            <w:pPr>
              <w:spacing w:after="20"/>
            </w:pPr>
            <w:r>
              <w:rPr>
                <w:rFonts w:ascii="Segoe UI" w:hAnsi="Segoe UI" w:cs="Segoe UI" w:eastAsia="Segoe UI"/>
                <w:color w:val="101820"/>
                <w:sz w:val="16"/>
              </w:rPr>
              <w:t>No</w:t>
            </w:r>
          </w:p>
        </w:tc>
        <w:tc>
          <w:tcPr>
            <w:tcW w:type="dxa" w:w="2399"/>
          </w:tcPr>
          <w:p>
            <w:pPr>
              <w:spacing w:after="20"/>
            </w:pPr>
            <w:r>
              <w:rPr>
                <w:rFonts w:ascii="Segoe UI" w:hAnsi="Segoe UI" w:cs="Segoe UI" w:eastAsia="Segoe UI"/>
                <w:color w:val="101820"/>
                <w:sz w:val="16"/>
              </w:rPr>
              <w:t>No external penetration test yet. An independent test is recommended before go-live and committed yearly in the DPA; the summary is shared with the broker</w:t>
            </w:r>
          </w:p>
        </w:tc>
        <w:tc>
          <w:tcPr>
            <w:tcW w:type="dxa" w:w="2222"/>
          </w:tcPr>
          <w:p>
            <w:pPr>
              <w:spacing w:after="20"/>
            </w:pPr>
            <w:r>
              <w:rPr>
                <w:rFonts w:ascii="Segoe UI" w:hAnsi="Segoe UI" w:cs="Segoe UI" w:eastAsia="Segoe UI"/>
                <w:color w:val="101820"/>
                <w:sz w:val="16"/>
              </w:rPr>
              <w:t>TSR, Security testing; DPA, Audits</w:t>
            </w:r>
          </w:p>
        </w:tc>
      </w:tr>
      <w:tr>
        <w:tc>
          <w:tcPr>
            <w:tcW w:type="dxa" w:w="907"/>
          </w:tcPr>
          <w:p>
            <w:pPr>
              <w:spacing w:after="20"/>
            </w:pPr>
            <w:r>
              <w:rPr>
                <w:rFonts w:ascii="Segoe UI" w:hAnsi="Segoe UI" w:cs="Segoe UI" w:eastAsia="Segoe UI"/>
                <w:color w:val="101820"/>
                <w:sz w:val="16"/>
              </w:rPr>
              <w:t>VUL-04</w:t>
            </w:r>
          </w:p>
        </w:tc>
        <w:tc>
          <w:tcPr>
            <w:tcW w:type="dxa" w:w="2364"/>
          </w:tcPr>
          <w:p>
            <w:pPr>
              <w:spacing w:after="20"/>
            </w:pPr>
            <w:r>
              <w:rPr>
                <w:rFonts w:ascii="Segoe UI" w:hAnsi="Segoe UI" w:cs="Segoe UI" w:eastAsia="Segoe UI"/>
                <w:color w:val="101820"/>
                <w:sz w:val="16"/>
              </w:rPr>
              <w:t>What internal security testing was done</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Segoe UI" w:hAnsi="Segoe UI" w:cs="Segoe UI" w:eastAsia="Segoe UI"/>
                <w:color w:val="101820"/>
                <w:sz w:val="16"/>
              </w:rPr>
              <w:t>Authentication on every endpoint, tokens, password policy, lockout, two-step verification, role probes, injection probes, document links, headers, secrets in logs, dependency audit</w:t>
            </w:r>
          </w:p>
        </w:tc>
        <w:tc>
          <w:tcPr>
            <w:tcW w:type="dxa" w:w="2222"/>
          </w:tcPr>
          <w:p>
            <w:pPr>
              <w:spacing w:after="20"/>
            </w:pPr>
            <w:r>
              <w:rPr>
                <w:rFonts w:ascii="Segoe UI" w:hAnsi="Segoe UI" w:cs="Segoe UI" w:eastAsia="Segoe UI"/>
                <w:color w:val="101820"/>
                <w:sz w:val="16"/>
              </w:rPr>
              <w:t>TSR, Security testing performed</w:t>
            </w:r>
          </w:p>
        </w:tc>
      </w:tr>
      <w:tr>
        <w:tc>
          <w:tcPr>
            <w:tcW w:type="dxa" w:w="907"/>
          </w:tcPr>
          <w:p>
            <w:pPr>
              <w:spacing w:after="20"/>
            </w:pPr>
            <w:r>
              <w:rPr>
                <w:rFonts w:ascii="Segoe UI" w:hAnsi="Segoe UI" w:cs="Segoe UI" w:eastAsia="Segoe UI"/>
                <w:color w:val="101820"/>
                <w:sz w:val="16"/>
              </w:rPr>
              <w:t>VUL-05</w:t>
            </w:r>
          </w:p>
        </w:tc>
        <w:tc>
          <w:tcPr>
            <w:tcW w:type="dxa" w:w="2364"/>
          </w:tcPr>
          <w:p>
            <w:pPr>
              <w:spacing w:after="20"/>
            </w:pPr>
            <w:r>
              <w:rPr>
                <w:rFonts w:ascii="Segoe UI" w:hAnsi="Segoe UI" w:cs="Segoe UI" w:eastAsia="Segoe UI"/>
                <w:color w:val="101820"/>
                <w:sz w:val="16"/>
              </w:rPr>
              <w:t>Are base images and the runtime current</w:t>
            </w:r>
          </w:p>
        </w:tc>
        <w:tc>
          <w:tcPr>
            <w:tcW w:type="dxa" w:w="1123"/>
          </w:tcPr>
          <w:p>
            <w:pPr>
              <w:spacing w:after="20"/>
            </w:pPr>
            <w:r>
              <w:rPr>
                <w:rFonts w:ascii="Segoe UI" w:hAnsi="Segoe UI" w:cs="Segoe UI" w:eastAsia="Segoe UI"/>
                <w:color w:val="101820"/>
                <w:sz w:val="16"/>
              </w:rPr>
              <w:t>Yes</w:t>
            </w:r>
          </w:p>
        </w:tc>
        <w:tc>
          <w:tcPr>
            <w:tcW w:type="dxa" w:w="2399"/>
          </w:tcPr>
          <w:p>
            <w:pPr>
              <w:spacing w:after="20"/>
            </w:pPr>
            <w:r>
              <w:rPr>
                <w:rFonts w:ascii="Consolas" w:hAnsi="Consolas" w:cs="Consolas" w:eastAsia="Consolas"/>
                <w:color w:val="101820"/>
                <w:sz w:val="14"/>
              </w:rPr>
              <w:t>node:22-alpine</w:t>
            </w:r>
            <w:r>
              <w:rPr>
                <w:rFonts w:ascii="Segoe UI" w:hAnsi="Segoe UI" w:cs="Segoe UI" w:eastAsia="Segoe UI"/>
                <w:color w:val="101820"/>
                <w:sz w:val="16"/>
              </w:rPr>
              <w:t xml:space="preserve">, </w:t>
            </w:r>
            <w:r>
              <w:rPr>
                <w:rFonts w:ascii="Consolas" w:hAnsi="Consolas" w:cs="Consolas" w:eastAsia="Consolas"/>
                <w:color w:val="101820"/>
                <w:sz w:val="14"/>
              </w:rPr>
              <w:t>nginx:1.27-alpine</w:t>
            </w:r>
            <w:r>
              <w:rPr>
                <w:rFonts w:ascii="Segoe UI" w:hAnsi="Segoe UI" w:cs="Segoe UI" w:eastAsia="Segoe UI"/>
                <w:color w:val="101820"/>
                <w:sz w:val="16"/>
              </w:rPr>
              <w:t xml:space="preserve">, </w:t>
            </w:r>
            <w:r>
              <w:rPr>
                <w:rFonts w:ascii="Consolas" w:hAnsi="Consolas" w:cs="Consolas" w:eastAsia="Consolas"/>
                <w:color w:val="101820"/>
                <w:sz w:val="14"/>
              </w:rPr>
              <w:t>postgres:16-alpine</w:t>
            </w:r>
            <w:r>
              <w:rPr>
                <w:rFonts w:ascii="Segoe UI" w:hAnsi="Segoe UI" w:cs="Segoe UI" w:eastAsia="Segoe UI"/>
                <w:color w:val="101820"/>
                <w:sz w:val="16"/>
              </w:rPr>
              <w:t>; rebuilt with each release and at least quarterly</w:t>
            </w:r>
          </w:p>
        </w:tc>
        <w:tc>
          <w:tcPr>
            <w:tcW w:type="dxa" w:w="2222"/>
          </w:tcPr>
          <w:p>
            <w:pPr>
              <w:spacing w:after="20"/>
            </w:pPr>
            <w:r>
              <w:rPr>
                <w:rFonts w:ascii="Segoe UI" w:hAnsi="Segoe UI" w:cs="Segoe UI" w:eastAsia="Segoe UI"/>
                <w:color w:val="101820"/>
                <w:sz w:val="16"/>
              </w:rPr>
              <w:t>AIS; PSS, Patching</w:t>
            </w:r>
          </w:p>
        </w:tc>
      </w:tr>
      <w:tr>
        <w:tc>
          <w:tcPr>
            <w:tcW w:type="dxa" w:w="907"/>
          </w:tcPr>
          <w:p>
            <w:pPr>
              <w:spacing w:after="20"/>
            </w:pPr>
            <w:r>
              <w:rPr>
                <w:rFonts w:ascii="Segoe UI" w:hAnsi="Segoe UI" w:cs="Segoe UI" w:eastAsia="Segoe UI"/>
                <w:color w:val="101820"/>
                <w:sz w:val="16"/>
              </w:rPr>
              <w:t>VUL-06</w:t>
            </w:r>
          </w:p>
        </w:tc>
        <w:tc>
          <w:tcPr>
            <w:tcW w:type="dxa" w:w="2364"/>
          </w:tcPr>
          <w:p>
            <w:pPr>
              <w:spacing w:after="20"/>
            </w:pPr>
            <w:r>
              <w:rPr>
                <w:rFonts w:ascii="Segoe UI" w:hAnsi="Segoe UI" w:cs="Segoe UI" w:eastAsia="Segoe UI"/>
                <w:color w:val="101820"/>
                <w:sz w:val="16"/>
              </w:rPr>
              <w:t>Are unsupported components in use</w:t>
            </w:r>
          </w:p>
        </w:tc>
        <w:tc>
          <w:tcPr>
            <w:tcW w:type="dxa" w:w="1123"/>
          </w:tcPr>
          <w:p>
            <w:pPr>
              <w:spacing w:after="20"/>
            </w:pPr>
            <w:r>
              <w:rPr>
                <w:rFonts w:ascii="Segoe UI" w:hAnsi="Segoe UI" w:cs="Segoe UI" w:eastAsia="Segoe UI"/>
                <w:color w:val="101820"/>
                <w:sz w:val="16"/>
              </w:rPr>
              <w:t>Partial</w:t>
            </w:r>
          </w:p>
        </w:tc>
        <w:tc>
          <w:tcPr>
            <w:tcW w:type="dxa" w:w="2399"/>
          </w:tcPr>
          <w:p>
            <w:pPr>
              <w:spacing w:after="20"/>
            </w:pPr>
            <w:r>
              <w:rPr>
                <w:rFonts w:ascii="Segoe UI" w:hAnsi="Segoe UI" w:cs="Segoe UI" w:eastAsia="Segoe UI"/>
                <w:color w:val="101820"/>
                <w:sz w:val="16"/>
              </w:rPr>
              <w:t>Create React App (react-scripts 5.0.1) is no longer maintained; most front-end advisories are build-time only; move to Vite planned</w:t>
            </w:r>
          </w:p>
        </w:tc>
        <w:tc>
          <w:tcPr>
            <w:tcW w:type="dxa" w:w="2222"/>
          </w:tcPr>
          <w:p>
            <w:pPr>
              <w:spacing w:after="20"/>
            </w:pPr>
            <w:r>
              <w:rPr>
                <w:rFonts w:ascii="Segoe UI" w:hAnsi="Segoe UI" w:cs="Segoe UI" w:eastAsia="Segoe UI"/>
                <w:color w:val="101820"/>
                <w:sz w:val="16"/>
              </w:rPr>
              <w:t>AIS, Vulnerability management</w:t>
            </w:r>
          </w:p>
        </w:tc>
      </w:tr>
    </w:tbl>
    <w:p>
      <w:pPr>
        <w:pStyle w:val="Heading1"/>
        <w:pageBreakBefore/>
      </w:pPr>
      <w:r>
        <w:rPr>
          <w:rFonts w:ascii="Segoe UI" w:hAnsi="Segoe UI" w:cs="Segoe UI" w:eastAsia="Segoe UI"/>
          <w:b/>
          <w:color w:val="0F4761"/>
          <w:sz w:val="32"/>
        </w:rPr>
        <w:t>12.  Secure development and change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270"/>
        <w:gridCol w:w="1123"/>
        <w:gridCol w:w="2736"/>
        <w:gridCol w:w="197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270"/>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36"/>
            <w:shd w:val="clear" w:color="auto" w:fill="DCE9F7"/>
          </w:tcPr>
          <w:p>
            <w:pPr>
              <w:spacing w:after="20"/>
            </w:pPr>
            <w:r>
              <w:rPr>
                <w:rFonts w:ascii="Segoe UI" w:hAnsi="Segoe UI" w:cs="Segoe UI" w:eastAsia="Segoe UI"/>
                <w:b/>
                <w:color w:val="0F4761"/>
                <w:sz w:val="16"/>
              </w:rPr>
              <w:t>Answer</w:t>
            </w:r>
          </w:p>
        </w:tc>
        <w:tc>
          <w:tcPr>
            <w:tcW w:type="dxa" w:w="197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SDL-01</w:t>
            </w:r>
          </w:p>
        </w:tc>
        <w:tc>
          <w:tcPr>
            <w:tcW w:type="dxa" w:w="2270"/>
          </w:tcPr>
          <w:p>
            <w:pPr>
              <w:spacing w:after="20"/>
            </w:pPr>
            <w:r>
              <w:rPr>
                <w:rFonts w:ascii="Segoe UI" w:hAnsi="Segoe UI" w:cs="Segoe UI" w:eastAsia="Segoe UI"/>
                <w:color w:val="101820"/>
                <w:sz w:val="16"/>
              </w:rPr>
              <w:t>Is there a defined SDLC with code review</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Pull requests run CI (lint, backend tests against PostgreSQL 16, front-end tests). Branch protection with required reviews is recommended and not yet enforced</w:t>
            </w:r>
          </w:p>
        </w:tc>
        <w:tc>
          <w:tcPr>
            <w:tcW w:type="dxa" w:w="1979"/>
          </w:tcPr>
          <w:p>
            <w:pPr>
              <w:spacing w:after="20"/>
            </w:pPr>
            <w:r>
              <w:rPr>
                <w:rFonts w:ascii="Segoe UI" w:hAnsi="Segoe UI" w:cs="Segoe UI" w:eastAsia="Segoe UI"/>
                <w:color w:val="101820"/>
                <w:sz w:val="16"/>
              </w:rPr>
              <w:t>AIS, Secure development lifecycle</w:t>
            </w:r>
          </w:p>
        </w:tc>
      </w:tr>
      <w:tr>
        <w:tc>
          <w:tcPr>
            <w:tcW w:type="dxa" w:w="907"/>
          </w:tcPr>
          <w:p>
            <w:pPr>
              <w:spacing w:after="20"/>
            </w:pPr>
            <w:r>
              <w:rPr>
                <w:rFonts w:ascii="Segoe UI" w:hAnsi="Segoe UI" w:cs="Segoe UI" w:eastAsia="Segoe UI"/>
                <w:color w:val="101820"/>
                <w:sz w:val="16"/>
              </w:rPr>
              <w:t>SDL-02</w:t>
            </w:r>
          </w:p>
        </w:tc>
        <w:tc>
          <w:tcPr>
            <w:tcW w:type="dxa" w:w="2270"/>
          </w:tcPr>
          <w:p>
            <w:pPr>
              <w:spacing w:after="20"/>
            </w:pPr>
            <w:r>
              <w:rPr>
                <w:rFonts w:ascii="Segoe UI" w:hAnsi="Segoe UI" w:cs="Segoe UI" w:eastAsia="Segoe UI"/>
                <w:color w:val="101820"/>
                <w:sz w:val="16"/>
              </w:rPr>
              <w:t>What automated tests exist</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634 backend business-rule tests (03 October 2026), 43 front-end tests, a 371-step end-to-end UAT cycle with one user per role</w:t>
            </w:r>
          </w:p>
        </w:tc>
        <w:tc>
          <w:tcPr>
            <w:tcW w:type="dxa" w:w="1979"/>
          </w:tcPr>
          <w:p>
            <w:pPr>
              <w:spacing w:after="20"/>
            </w:pPr>
            <w:r>
              <w:rPr>
                <w:rFonts w:ascii="Segoe UI" w:hAnsi="Segoe UI" w:cs="Segoe UI" w:eastAsia="Segoe UI"/>
                <w:color w:val="101820"/>
                <w:sz w:val="16"/>
              </w:rPr>
              <w:t>TSR, Approach</w:t>
            </w:r>
          </w:p>
        </w:tc>
      </w:tr>
      <w:tr>
        <w:tc>
          <w:tcPr>
            <w:tcW w:type="dxa" w:w="907"/>
          </w:tcPr>
          <w:p>
            <w:pPr>
              <w:spacing w:after="20"/>
            </w:pPr>
            <w:r>
              <w:rPr>
                <w:rFonts w:ascii="Segoe UI" w:hAnsi="Segoe UI" w:cs="Segoe UI" w:eastAsia="Segoe UI"/>
                <w:color w:val="101820"/>
                <w:sz w:val="16"/>
              </w:rPr>
              <w:t>SDL-03</w:t>
            </w:r>
          </w:p>
        </w:tc>
        <w:tc>
          <w:tcPr>
            <w:tcW w:type="dxa" w:w="2270"/>
          </w:tcPr>
          <w:p>
            <w:pPr>
              <w:spacing w:after="20"/>
            </w:pPr>
            <w:r>
              <w:rPr>
                <w:rFonts w:ascii="Segoe UI" w:hAnsi="Segoe UI" w:cs="Segoe UI" w:eastAsia="Segoe UI"/>
                <w:color w:val="101820"/>
                <w:sz w:val="16"/>
              </w:rPr>
              <w:t>Do deployments run the tests</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Gap: the deploy workflow does not run lint and tests on push; tests run on pull requests only. Remedy: restore test jobs as a dependency of deployment</w:t>
            </w:r>
          </w:p>
        </w:tc>
        <w:tc>
          <w:tcPr>
            <w:tcW w:type="dxa" w:w="1979"/>
          </w:tcPr>
          <w:p>
            <w:pPr>
              <w:spacing w:after="20"/>
            </w:pPr>
            <w:r>
              <w:rPr>
                <w:rFonts w:ascii="Segoe UI" w:hAnsi="Segoe UI" w:cs="Segoe UI" w:eastAsia="Segoe UI"/>
                <w:color w:val="101820"/>
                <w:sz w:val="16"/>
              </w:rPr>
              <w:t>AIS, CI/CD</w:t>
            </w:r>
          </w:p>
        </w:tc>
      </w:tr>
      <w:tr>
        <w:tc>
          <w:tcPr>
            <w:tcW w:type="dxa" w:w="907"/>
          </w:tcPr>
          <w:p>
            <w:pPr>
              <w:spacing w:after="20"/>
            </w:pPr>
            <w:r>
              <w:rPr>
                <w:rFonts w:ascii="Segoe UI" w:hAnsi="Segoe UI" w:cs="Segoe UI" w:eastAsia="Segoe UI"/>
                <w:color w:val="101820"/>
                <w:sz w:val="16"/>
              </w:rPr>
              <w:t>SDL-04</w:t>
            </w:r>
          </w:p>
        </w:tc>
        <w:tc>
          <w:tcPr>
            <w:tcW w:type="dxa" w:w="2270"/>
          </w:tcPr>
          <w:p>
            <w:pPr>
              <w:spacing w:after="20"/>
            </w:pPr>
            <w:r>
              <w:rPr>
                <w:rFonts w:ascii="Segoe UI" w:hAnsi="Segoe UI" w:cs="Segoe UI" w:eastAsia="Segoe UI"/>
                <w:color w:val="101820"/>
                <w:sz w:val="16"/>
              </w:rPr>
              <w:t>Are coding standards documented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Naming, route registry, zod validation, error envelope, parameterised SQL, audit, settings, logging, lint rules (</w:t>
            </w:r>
            <w:r>
              <w:rPr>
                <w:rFonts w:ascii="Consolas" w:hAnsi="Consolas" w:cs="Consolas" w:eastAsia="Consolas"/>
                <w:color w:val="101820"/>
                <w:sz w:val="14"/>
              </w:rPr>
              <w:t>no-console</w:t>
            </w:r>
            <w:r>
              <w:rPr>
                <w:rFonts w:ascii="Segoe UI" w:hAnsi="Segoe UI" w:cs="Segoe UI" w:eastAsia="Segoe UI"/>
                <w:color w:val="101820"/>
                <w:sz w:val="16"/>
              </w:rPr>
              <w:t xml:space="preserve">, </w:t>
            </w:r>
            <w:r>
              <w:rPr>
                <w:rFonts w:ascii="Consolas" w:hAnsi="Consolas" w:cs="Consolas" w:eastAsia="Consolas"/>
                <w:color w:val="101820"/>
                <w:sz w:val="14"/>
              </w:rPr>
              <w:t>eqeqeq</w:t>
            </w:r>
            <w:r>
              <w:rPr>
                <w:rFonts w:ascii="Segoe UI" w:hAnsi="Segoe UI" w:cs="Segoe UI" w:eastAsia="Segoe UI"/>
                <w:color w:val="101820"/>
                <w:sz w:val="16"/>
              </w:rPr>
              <w:t>)</w:t>
            </w:r>
          </w:p>
        </w:tc>
        <w:tc>
          <w:tcPr>
            <w:tcW w:type="dxa" w:w="1979"/>
          </w:tcPr>
          <w:p>
            <w:pPr>
              <w:spacing w:after="20"/>
            </w:pPr>
            <w:r>
              <w:rPr>
                <w:rFonts w:ascii="Segoe UI" w:hAnsi="Segoe UI" w:cs="Segoe UI" w:eastAsia="Segoe UI"/>
                <w:color w:val="101820"/>
                <w:sz w:val="16"/>
              </w:rPr>
              <w:t>TR, Coding standards</w:t>
            </w:r>
          </w:p>
        </w:tc>
      </w:tr>
      <w:tr>
        <w:tc>
          <w:tcPr>
            <w:tcW w:type="dxa" w:w="907"/>
          </w:tcPr>
          <w:p>
            <w:pPr>
              <w:spacing w:after="20"/>
            </w:pPr>
            <w:r>
              <w:rPr>
                <w:rFonts w:ascii="Segoe UI" w:hAnsi="Segoe UI" w:cs="Segoe UI" w:eastAsia="Segoe UI"/>
                <w:color w:val="101820"/>
                <w:sz w:val="16"/>
              </w:rPr>
              <w:t>SDL-05</w:t>
            </w:r>
          </w:p>
        </w:tc>
        <w:tc>
          <w:tcPr>
            <w:tcW w:type="dxa" w:w="2270"/>
          </w:tcPr>
          <w:p>
            <w:pPr>
              <w:spacing w:after="20"/>
            </w:pPr>
            <w:r>
              <w:rPr>
                <w:rFonts w:ascii="Segoe UI" w:hAnsi="Segoe UI" w:cs="Segoe UI" w:eastAsia="Segoe UI"/>
                <w:color w:val="101820"/>
                <w:sz w:val="16"/>
              </w:rPr>
              <w:t>Are secrets kept out of source code</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 xml:space="preserve">No secret in the repository; </w:t>
            </w:r>
            <w:r>
              <w:rPr>
                <w:rFonts w:ascii="Consolas" w:hAnsi="Consolas" w:cs="Consolas" w:eastAsia="Consolas"/>
                <w:color w:val="101820"/>
                <w:sz w:val="14"/>
              </w:rPr>
              <w:t>.env.example</w:t>
            </w:r>
            <w:r>
              <w:rPr>
                <w:rFonts w:ascii="Segoe UI" w:hAnsi="Segoe UI" w:cs="Segoe UI" w:eastAsia="Segoe UI"/>
                <w:color w:val="101820"/>
                <w:sz w:val="16"/>
              </w:rPr>
              <w:t xml:space="preserve"> files carry placeholders that production refuses</w:t>
            </w:r>
          </w:p>
        </w:tc>
        <w:tc>
          <w:tcPr>
            <w:tcW w:type="dxa" w:w="1979"/>
          </w:tcPr>
          <w:p>
            <w:pPr>
              <w:spacing w:after="20"/>
            </w:pPr>
            <w:r>
              <w:rPr>
                <w:rFonts w:ascii="Segoe UI" w:hAnsi="Segoe UI" w:cs="Segoe UI" w:eastAsia="Segoe UI"/>
                <w:color w:val="101820"/>
                <w:sz w:val="16"/>
              </w:rPr>
              <w:t>TR, Encryption and secrets</w:t>
            </w:r>
          </w:p>
        </w:tc>
      </w:tr>
      <w:tr>
        <w:tc>
          <w:tcPr>
            <w:tcW w:type="dxa" w:w="907"/>
          </w:tcPr>
          <w:p>
            <w:pPr>
              <w:spacing w:after="20"/>
            </w:pPr>
            <w:r>
              <w:rPr>
                <w:rFonts w:ascii="Segoe UI" w:hAnsi="Segoe UI" w:cs="Segoe UI" w:eastAsia="Segoe UI"/>
                <w:color w:val="101820"/>
                <w:sz w:val="16"/>
              </w:rPr>
              <w:t>SDL-06</w:t>
            </w:r>
          </w:p>
        </w:tc>
        <w:tc>
          <w:tcPr>
            <w:tcW w:type="dxa" w:w="2270"/>
          </w:tcPr>
          <w:p>
            <w:pPr>
              <w:spacing w:after="20"/>
            </w:pPr>
            <w:r>
              <w:rPr>
                <w:rFonts w:ascii="Segoe UI" w:hAnsi="Segoe UI" w:cs="Segoe UI" w:eastAsia="Segoe UI"/>
                <w:color w:val="101820"/>
                <w:sz w:val="16"/>
              </w:rPr>
              <w:t>How are database changes controlled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Numbered migrations that only add, applied in transactions under an advisory lock and recorded; snapshot before each release with migrations</w:t>
            </w:r>
          </w:p>
        </w:tc>
        <w:tc>
          <w:tcPr>
            <w:tcW w:type="dxa" w:w="1979"/>
          </w:tcPr>
          <w:p>
            <w:pPr>
              <w:spacing w:after="20"/>
            </w:pPr>
            <w:r>
              <w:rPr>
                <w:rFonts w:ascii="Segoe UI" w:hAnsi="Segoe UI" w:cs="Segoe UI" w:eastAsia="Segoe UI"/>
                <w:color w:val="101820"/>
                <w:sz w:val="16"/>
              </w:rPr>
              <w:t>AIS, Database migrations</w:t>
            </w:r>
          </w:p>
        </w:tc>
      </w:tr>
      <w:tr>
        <w:tc>
          <w:tcPr>
            <w:tcW w:type="dxa" w:w="907"/>
          </w:tcPr>
          <w:p>
            <w:pPr>
              <w:spacing w:after="20"/>
            </w:pPr>
            <w:r>
              <w:rPr>
                <w:rFonts w:ascii="Segoe UI" w:hAnsi="Segoe UI" w:cs="Segoe UI" w:eastAsia="Segoe UI"/>
                <w:color w:val="101820"/>
                <w:sz w:val="16"/>
              </w:rPr>
              <w:t>SDL-07</w:t>
            </w:r>
          </w:p>
        </w:tc>
        <w:tc>
          <w:tcPr>
            <w:tcW w:type="dxa" w:w="2270"/>
          </w:tcPr>
          <w:p>
            <w:pPr>
              <w:spacing w:after="20"/>
            </w:pPr>
            <w:r>
              <w:rPr>
                <w:rFonts w:ascii="Segoe UI" w:hAnsi="Segoe UI" w:cs="Segoe UI" w:eastAsia="Segoe UI"/>
                <w:color w:val="101820"/>
                <w:sz w:val="16"/>
              </w:rPr>
              <w:t>How are production changes approved</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Segoe UI" w:hAnsi="Segoe UI" w:cs="Segoe UI" w:eastAsia="Segoe UI"/>
                <w:color w:val="101820"/>
                <w:sz w:val="16"/>
              </w:rPr>
              <w:t>CAB approval with test evidence; UAT scripts by the broker; maintenance window announced 5 business days ahead; rollback plan</w:t>
            </w:r>
          </w:p>
        </w:tc>
        <w:tc>
          <w:tcPr>
            <w:tcW w:type="dxa" w:w="1979"/>
          </w:tcPr>
          <w:p>
            <w:pPr>
              <w:spacing w:after="20"/>
            </w:pPr>
            <w:r>
              <w:rPr>
                <w:rFonts w:ascii="Segoe UI" w:hAnsi="Segoe UI" w:cs="Segoe UI" w:eastAsia="Segoe UI"/>
                <w:color w:val="101820"/>
                <w:sz w:val="16"/>
              </w:rPr>
              <w:t>PSS, Change and release management</w:t>
            </w:r>
          </w:p>
        </w:tc>
      </w:tr>
      <w:tr>
        <w:tc>
          <w:tcPr>
            <w:tcW w:type="dxa" w:w="907"/>
          </w:tcPr>
          <w:p>
            <w:pPr>
              <w:spacing w:after="20"/>
            </w:pPr>
            <w:r>
              <w:rPr>
                <w:rFonts w:ascii="Segoe UI" w:hAnsi="Segoe UI" w:cs="Segoe UI" w:eastAsia="Segoe UI"/>
                <w:color w:val="101820"/>
                <w:sz w:val="16"/>
              </w:rPr>
              <w:t>SDL-08</w:t>
            </w:r>
          </w:p>
        </w:tc>
        <w:tc>
          <w:tcPr>
            <w:tcW w:type="dxa" w:w="2270"/>
          </w:tcPr>
          <w:p>
            <w:pPr>
              <w:spacing w:after="20"/>
            </w:pPr>
            <w:r>
              <w:rPr>
                <w:rFonts w:ascii="Segoe UI" w:hAnsi="Segoe UI" w:cs="Segoe UI" w:eastAsia="Segoe UI"/>
                <w:color w:val="101820"/>
                <w:sz w:val="16"/>
              </w:rPr>
              <w:t>Is there an inventory of APIs</w:t>
            </w:r>
          </w:p>
        </w:tc>
        <w:tc>
          <w:tcPr>
            <w:tcW w:type="dxa" w:w="1123"/>
          </w:tcPr>
          <w:p>
            <w:pPr>
              <w:spacing w:after="20"/>
            </w:pPr>
            <w:r>
              <w:rPr>
                <w:rFonts w:ascii="Segoe UI" w:hAnsi="Segoe UI" w:cs="Segoe UI" w:eastAsia="Segoe UI"/>
                <w:color w:val="101820"/>
                <w:sz w:val="16"/>
              </w:rPr>
              <w:t>Yes</w:t>
            </w:r>
          </w:p>
        </w:tc>
        <w:tc>
          <w:tcPr>
            <w:tcW w:type="dxa" w:w="2736"/>
          </w:tcPr>
          <w:p>
            <w:pPr>
              <w:spacing w:after="20"/>
            </w:pPr>
            <w:r>
              <w:rPr>
                <w:rFonts w:ascii="Consolas" w:hAnsi="Consolas" w:cs="Consolas" w:eastAsia="Consolas"/>
                <w:color w:val="101820"/>
                <w:sz w:val="14"/>
              </w:rPr>
              <w:t>npm run export:api</w:t>
            </w:r>
            <w:r>
              <w:rPr>
                <w:rFonts w:ascii="Segoe UI" w:hAnsi="Segoe UI" w:cs="Segoe UI" w:eastAsia="Segoe UI"/>
                <w:color w:val="101820"/>
                <w:sz w:val="16"/>
              </w:rPr>
              <w:t xml:space="preserve"> writes OpenAPI, Postman and Excel lists of every route with its permission</w:t>
            </w:r>
          </w:p>
        </w:tc>
        <w:tc>
          <w:tcPr>
            <w:tcW w:type="dxa" w:w="1979"/>
          </w:tcPr>
          <w:p>
            <w:pPr>
              <w:spacing w:after="20"/>
            </w:pPr>
            <w:r>
              <w:rPr>
                <w:rFonts w:ascii="Segoe UI" w:hAnsi="Segoe UI" w:cs="Segoe UI" w:eastAsia="Segoe UI"/>
                <w:color w:val="101820"/>
                <w:sz w:val="16"/>
              </w:rPr>
              <w:t>AIS; TR, API catalogue</w:t>
            </w:r>
          </w:p>
        </w:tc>
      </w:tr>
      <w:tr>
        <w:tc>
          <w:tcPr>
            <w:tcW w:type="dxa" w:w="907"/>
          </w:tcPr>
          <w:p>
            <w:pPr>
              <w:spacing w:after="20"/>
            </w:pPr>
            <w:r>
              <w:rPr>
                <w:rFonts w:ascii="Segoe UI" w:hAnsi="Segoe UI" w:cs="Segoe UI" w:eastAsia="Segoe UI"/>
                <w:color w:val="101820"/>
                <w:sz w:val="16"/>
              </w:rPr>
              <w:t>SDL-09</w:t>
            </w:r>
          </w:p>
        </w:tc>
        <w:tc>
          <w:tcPr>
            <w:tcW w:type="dxa" w:w="2270"/>
          </w:tcPr>
          <w:p>
            <w:pPr>
              <w:spacing w:after="20"/>
            </w:pPr>
            <w:r>
              <w:rPr>
                <w:rFonts w:ascii="Segoe UI" w:hAnsi="Segoe UI" w:cs="Segoe UI" w:eastAsia="Segoe UI"/>
                <w:color w:val="101820"/>
                <w:sz w:val="16"/>
              </w:rPr>
              <w:t>Are developers trained in secure coding</w:t>
            </w:r>
          </w:p>
        </w:tc>
        <w:tc>
          <w:tcPr>
            <w:tcW w:type="dxa" w:w="1123"/>
          </w:tcPr>
          <w:p>
            <w:pPr>
              <w:spacing w:after="20"/>
            </w:pPr>
            <w:r>
              <w:rPr>
                <w:rFonts w:ascii="Segoe UI" w:hAnsi="Segoe UI" w:cs="Segoe UI" w:eastAsia="Segoe UI"/>
                <w:color w:val="101820"/>
                <w:sz w:val="16"/>
              </w:rPr>
              <w:t>Partial</w:t>
            </w:r>
          </w:p>
        </w:tc>
        <w:tc>
          <w:tcPr>
            <w:tcW w:type="dxa" w:w="2736"/>
          </w:tcPr>
          <w:p>
            <w:pPr>
              <w:spacing w:after="20"/>
            </w:pPr>
            <w:r>
              <w:rPr>
                <w:rFonts w:ascii="Segoe UI" w:hAnsi="Segoe UI" w:cs="Segoe UI" w:eastAsia="Segoe UI"/>
                <w:color w:val="101820"/>
                <w:sz w:val="16"/>
              </w:rPr>
              <w:t>[to confirm: training programme]</w:t>
            </w:r>
          </w:p>
        </w:tc>
        <w:tc>
          <w:tcPr>
            <w:tcW w:type="dxa" w:w="1979"/>
          </w:tcPr>
          <w:p>
            <w:pPr>
              <w:spacing w:after="20"/>
            </w:pPr>
          </w:p>
        </w:tc>
      </w:tr>
    </w:tbl>
    <w:p>
      <w:pPr>
        <w:pStyle w:val="Heading1"/>
        <w:pageBreakBefore/>
      </w:pPr>
      <w:r>
        <w:rPr>
          <w:rFonts w:ascii="Segoe UI" w:hAnsi="Segoe UI" w:cs="Segoe UI" w:eastAsia="Segoe UI"/>
          <w:b/>
          <w:color w:val="0F4761"/>
          <w:sz w:val="32"/>
        </w:rPr>
        <w:t>13.  Backup, continuity and disaster recovery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83"/>
        <w:gridCol w:w="1123"/>
        <w:gridCol w:w="2609"/>
        <w:gridCol w:w="1793"/>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83"/>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09"/>
            <w:shd w:val="clear" w:color="auto" w:fill="DCE9F7"/>
          </w:tcPr>
          <w:p>
            <w:pPr>
              <w:spacing w:after="20"/>
            </w:pPr>
            <w:r>
              <w:rPr>
                <w:rFonts w:ascii="Segoe UI" w:hAnsi="Segoe UI" w:cs="Segoe UI" w:eastAsia="Segoe UI"/>
                <w:b/>
                <w:color w:val="0F4761"/>
                <w:sz w:val="16"/>
              </w:rPr>
              <w:t>Answer</w:t>
            </w:r>
          </w:p>
        </w:tc>
        <w:tc>
          <w:tcPr>
            <w:tcW w:type="dxa" w:w="1793"/>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BCP-01</w:t>
            </w:r>
          </w:p>
        </w:tc>
        <w:tc>
          <w:tcPr>
            <w:tcW w:type="dxa" w:w="2583"/>
          </w:tcPr>
          <w:p>
            <w:pPr>
              <w:spacing w:after="20"/>
            </w:pPr>
            <w:r>
              <w:rPr>
                <w:rFonts w:ascii="Segoe UI" w:hAnsi="Segoe UI" w:cs="Segoe UI" w:eastAsia="Segoe UI"/>
                <w:color w:val="101820"/>
                <w:sz w:val="16"/>
              </w:rPr>
              <w:t>How is data backed up</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Hosted: automated database backups with PITR (35 days), daily snapshots, monthly copies to a second region or site, monthly logical dump to write-once storage, daily file store backup, snapshot before releases and year-end</w:t>
            </w:r>
          </w:p>
        </w:tc>
        <w:tc>
          <w:tcPr>
            <w:tcW w:type="dxa" w:w="1793"/>
          </w:tcPr>
          <w:p>
            <w:pPr>
              <w:spacing w:after="20"/>
            </w:pPr>
            <w:r>
              <w:rPr>
                <w:rFonts w:ascii="Segoe UI" w:hAnsi="Segoe UI" w:cs="Segoe UI" w:eastAsia="Segoe UI"/>
                <w:color w:val="101820"/>
                <w:sz w:val="16"/>
              </w:rPr>
              <w:t>HSA, Backups; BCDR</w:t>
            </w:r>
          </w:p>
        </w:tc>
      </w:tr>
      <w:tr>
        <w:tc>
          <w:tcPr>
            <w:tcW w:type="dxa" w:w="907"/>
          </w:tcPr>
          <w:p>
            <w:pPr>
              <w:spacing w:after="20"/>
            </w:pPr>
            <w:r>
              <w:rPr>
                <w:rFonts w:ascii="Segoe UI" w:hAnsi="Segoe UI" w:cs="Segoe UI" w:eastAsia="Segoe UI"/>
                <w:color w:val="101820"/>
                <w:sz w:val="16"/>
              </w:rPr>
              <w:t>BCP-02</w:t>
            </w:r>
          </w:p>
        </w:tc>
        <w:tc>
          <w:tcPr>
            <w:tcW w:type="dxa" w:w="2583"/>
          </w:tcPr>
          <w:p>
            <w:pPr>
              <w:spacing w:after="20"/>
            </w:pPr>
            <w:r>
              <w:rPr>
                <w:rFonts w:ascii="Segoe UI" w:hAnsi="Segoe UI" w:cs="Segoe UI" w:eastAsia="Segoe UI"/>
                <w:color w:val="101820"/>
                <w:sz w:val="16"/>
              </w:rPr>
              <w:t>Are backups encrypted and kept off-site</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Encrypted snapshots; cross-region or second-site copies; write-once storage for monthly dumps</w:t>
            </w:r>
          </w:p>
        </w:tc>
        <w:tc>
          <w:tcPr>
            <w:tcW w:type="dxa" w:w="1793"/>
          </w:tcPr>
          <w:p>
            <w:pPr>
              <w:spacing w:after="20"/>
            </w:pPr>
            <w:r>
              <w:rPr>
                <w:rFonts w:ascii="Segoe UI" w:hAnsi="Segoe UI" w:cs="Segoe UI" w:eastAsia="Segoe UI"/>
                <w:color w:val="101820"/>
                <w:sz w:val="16"/>
              </w:rPr>
              <w:t>AIS, Backup; BCDR</w:t>
            </w:r>
          </w:p>
        </w:tc>
      </w:tr>
      <w:tr>
        <w:tc>
          <w:tcPr>
            <w:tcW w:type="dxa" w:w="907"/>
          </w:tcPr>
          <w:p>
            <w:pPr>
              <w:spacing w:after="20"/>
            </w:pPr>
            <w:r>
              <w:rPr>
                <w:rFonts w:ascii="Segoe UI" w:hAnsi="Segoe UI" w:cs="Segoe UI" w:eastAsia="Segoe UI"/>
                <w:color w:val="101820"/>
                <w:sz w:val="16"/>
              </w:rPr>
              <w:t>BCP-03</w:t>
            </w:r>
          </w:p>
        </w:tc>
        <w:tc>
          <w:tcPr>
            <w:tcW w:type="dxa" w:w="2583"/>
          </w:tcPr>
          <w:p>
            <w:pPr>
              <w:spacing w:after="20"/>
            </w:pPr>
            <w:r>
              <w:rPr>
                <w:rFonts w:ascii="Segoe UI" w:hAnsi="Segoe UI" w:cs="Segoe UI" w:eastAsia="Segoe UI"/>
                <w:color w:val="101820"/>
                <w:sz w:val="16"/>
              </w:rPr>
              <w:t>What are the RTO and RPO</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Proposed: database restore RPO 15 minutes, RTO 4 hours; in-region failure RPO 0, RTO 15 minutes; region or site loss RPO and RTO 24 hours (8 hours with warm standby). Binding once accepted in the Order Form and provisioned</w:t>
            </w:r>
          </w:p>
        </w:tc>
        <w:tc>
          <w:tcPr>
            <w:tcW w:type="dxa" w:w="1793"/>
          </w:tcPr>
          <w:p>
            <w:pPr>
              <w:spacing w:after="20"/>
            </w:pPr>
            <w:r>
              <w:rPr>
                <w:rFonts w:ascii="Segoe UI" w:hAnsi="Segoe UI" w:cs="Segoe UI" w:eastAsia="Segoe UI"/>
                <w:color w:val="101820"/>
                <w:sz w:val="16"/>
              </w:rPr>
              <w:t>BCDR; HSA, Recovery objectives</w:t>
            </w:r>
          </w:p>
        </w:tc>
      </w:tr>
      <w:tr>
        <w:tc>
          <w:tcPr>
            <w:tcW w:type="dxa" w:w="907"/>
          </w:tcPr>
          <w:p>
            <w:pPr>
              <w:spacing w:after="20"/>
            </w:pPr>
            <w:r>
              <w:rPr>
                <w:rFonts w:ascii="Segoe UI" w:hAnsi="Segoe UI" w:cs="Segoe UI" w:eastAsia="Segoe UI"/>
                <w:color w:val="101820"/>
                <w:sz w:val="16"/>
              </w:rPr>
              <w:t>BCP-04</w:t>
            </w:r>
          </w:p>
        </w:tc>
        <w:tc>
          <w:tcPr>
            <w:tcW w:type="dxa" w:w="2583"/>
          </w:tcPr>
          <w:p>
            <w:pPr>
              <w:spacing w:after="20"/>
            </w:pPr>
            <w:r>
              <w:rPr>
                <w:rFonts w:ascii="Segoe UI" w:hAnsi="Segoe UI" w:cs="Segoe UI" w:eastAsia="Segoe UI"/>
                <w:color w:val="101820"/>
                <w:sz w:val="16"/>
              </w:rPr>
              <w:t>Are restores tested</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Daily backup check; PITR restore quarterly and before go-live; dump restore twice a year; secret escrow yearly; results in the monthly service report</w:t>
            </w:r>
          </w:p>
        </w:tc>
        <w:tc>
          <w:tcPr>
            <w:tcW w:type="dxa" w:w="1793"/>
          </w:tcPr>
          <w:p>
            <w:pPr>
              <w:spacing w:after="20"/>
            </w:pPr>
            <w:r>
              <w:rPr>
                <w:rFonts w:ascii="Segoe UI" w:hAnsi="Segoe UI" w:cs="Segoe UI" w:eastAsia="Segoe UI"/>
                <w:color w:val="101820"/>
                <w:sz w:val="16"/>
              </w:rPr>
              <w:t>PSS, Backup verification; HSA</w:t>
            </w:r>
          </w:p>
        </w:tc>
      </w:tr>
      <w:tr>
        <w:tc>
          <w:tcPr>
            <w:tcW w:type="dxa" w:w="907"/>
          </w:tcPr>
          <w:p>
            <w:pPr>
              <w:spacing w:after="20"/>
            </w:pPr>
            <w:r>
              <w:rPr>
                <w:rFonts w:ascii="Segoe UI" w:hAnsi="Segoe UI" w:cs="Segoe UI" w:eastAsia="Segoe UI"/>
                <w:color w:val="101820"/>
                <w:sz w:val="16"/>
              </w:rPr>
              <w:t>BCP-05</w:t>
            </w:r>
          </w:p>
        </w:tc>
        <w:tc>
          <w:tcPr>
            <w:tcW w:type="dxa" w:w="2583"/>
          </w:tcPr>
          <w:p>
            <w:pPr>
              <w:spacing w:after="20"/>
            </w:pPr>
            <w:r>
              <w:rPr>
                <w:rFonts w:ascii="Segoe UI" w:hAnsi="Segoe UI" w:cs="Segoe UI" w:eastAsia="Segoe UI"/>
                <w:color w:val="101820"/>
                <w:sz w:val="16"/>
              </w:rPr>
              <w:t>Is there a DR plan and is it exercised</w:t>
            </w:r>
          </w:p>
        </w:tc>
        <w:tc>
          <w:tcPr>
            <w:tcW w:type="dxa" w:w="1123"/>
          </w:tcPr>
          <w:p>
            <w:pPr>
              <w:spacing w:after="20"/>
            </w:pPr>
            <w:r>
              <w:rPr>
                <w:rFonts w:ascii="Segoe UI" w:hAnsi="Segoe UI" w:cs="Segoe UI" w:eastAsia="Segoe UI"/>
                <w:color w:val="101820"/>
                <w:sz w:val="16"/>
              </w:rPr>
              <w:t>Yes</w:t>
            </w:r>
          </w:p>
        </w:tc>
        <w:tc>
          <w:tcPr>
            <w:tcW w:type="dxa" w:w="2609"/>
          </w:tcPr>
          <w:p>
            <w:pPr>
              <w:spacing w:after="20"/>
            </w:pPr>
            <w:r>
              <w:rPr>
                <w:rFonts w:ascii="Segoe UI" w:hAnsi="Segoe UI" w:cs="Segoe UI" w:eastAsia="Segoe UI"/>
                <w:color w:val="101820"/>
                <w:sz w:val="16"/>
              </w:rPr>
              <w:t>Business Continuity and Disaster Recovery Plan; tabletop yearly, full recovery every two years</w:t>
            </w:r>
          </w:p>
        </w:tc>
        <w:tc>
          <w:tcPr>
            <w:tcW w:type="dxa" w:w="1793"/>
          </w:tcPr>
          <w:p>
            <w:pPr>
              <w:spacing w:after="20"/>
            </w:pPr>
            <w:r>
              <w:rPr>
                <w:rFonts w:ascii="Segoe UI" w:hAnsi="Segoe UI" w:cs="Segoe UI" w:eastAsia="Segoe UI"/>
                <w:color w:val="101820"/>
                <w:sz w:val="16"/>
              </w:rPr>
              <w:t>BCDR; HSA</w:t>
            </w:r>
          </w:p>
        </w:tc>
      </w:tr>
      <w:tr>
        <w:tc>
          <w:tcPr>
            <w:tcW w:type="dxa" w:w="907"/>
          </w:tcPr>
          <w:p>
            <w:pPr>
              <w:spacing w:after="20"/>
            </w:pPr>
            <w:r>
              <w:rPr>
                <w:rFonts w:ascii="Segoe UI" w:hAnsi="Segoe UI" w:cs="Segoe UI" w:eastAsia="Segoe UI"/>
                <w:color w:val="101820"/>
                <w:sz w:val="16"/>
              </w:rPr>
              <w:t>BCP-06</w:t>
            </w:r>
          </w:p>
        </w:tc>
        <w:tc>
          <w:tcPr>
            <w:tcW w:type="dxa" w:w="2583"/>
          </w:tcPr>
          <w:p>
            <w:pPr>
              <w:spacing w:after="20"/>
            </w:pPr>
            <w:r>
              <w:rPr>
                <w:rFonts w:ascii="Segoe UI" w:hAnsi="Segoe UI" w:cs="Segoe UI" w:eastAsia="Segoe UI"/>
                <w:color w:val="101820"/>
                <w:sz w:val="16"/>
              </w:rPr>
              <w:t>Is a DR environment included</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Included for the Enterprise size; optional for other sizes (Order Form). Without it, recovery after a region loss is from cross-region backups</w:t>
            </w:r>
          </w:p>
        </w:tc>
        <w:tc>
          <w:tcPr>
            <w:tcW w:type="dxa" w:w="1793"/>
          </w:tcPr>
          <w:p>
            <w:pPr>
              <w:spacing w:after="20"/>
            </w:pPr>
            <w:r>
              <w:rPr>
                <w:rFonts w:ascii="Segoe UI" w:hAnsi="Segoe UI" w:cs="Segoe UI" w:eastAsia="Segoe UI"/>
                <w:color w:val="101820"/>
                <w:sz w:val="16"/>
              </w:rPr>
              <w:t>HSA, Recovery objectives; BCDR</w:t>
            </w:r>
          </w:p>
        </w:tc>
      </w:tr>
      <w:tr>
        <w:tc>
          <w:tcPr>
            <w:tcW w:type="dxa" w:w="907"/>
          </w:tcPr>
          <w:p>
            <w:pPr>
              <w:spacing w:after="20"/>
            </w:pPr>
            <w:r>
              <w:rPr>
                <w:rFonts w:ascii="Segoe UI" w:hAnsi="Segoe UI" w:cs="Segoe UI" w:eastAsia="Segoe UI"/>
                <w:color w:val="101820"/>
                <w:sz w:val="16"/>
              </w:rPr>
              <w:t>BCP-07</w:t>
            </w:r>
          </w:p>
        </w:tc>
        <w:tc>
          <w:tcPr>
            <w:tcW w:type="dxa" w:w="2583"/>
          </w:tcPr>
          <w:p>
            <w:pPr>
              <w:spacing w:after="20"/>
            </w:pPr>
            <w:r>
              <w:rPr>
                <w:rFonts w:ascii="Segoe UI" w:hAnsi="Segoe UI" w:cs="Segoe UI" w:eastAsia="Segoe UI"/>
                <w:color w:val="101820"/>
                <w:sz w:val="16"/>
              </w:rPr>
              <w:t>Does the provider have its own business continuity plan for the support team</w:t>
            </w:r>
          </w:p>
        </w:tc>
        <w:tc>
          <w:tcPr>
            <w:tcW w:type="dxa" w:w="1123"/>
          </w:tcPr>
          <w:p>
            <w:pPr>
              <w:spacing w:after="20"/>
            </w:pPr>
            <w:r>
              <w:rPr>
                <w:rFonts w:ascii="Segoe UI" w:hAnsi="Segoe UI" w:cs="Segoe UI" w:eastAsia="Segoe UI"/>
                <w:color w:val="101820"/>
                <w:sz w:val="16"/>
              </w:rPr>
              <w:t>Partial</w:t>
            </w:r>
          </w:p>
        </w:tc>
        <w:tc>
          <w:tcPr>
            <w:tcW w:type="dxa" w:w="2609"/>
          </w:tcPr>
          <w:p>
            <w:pPr>
              <w:spacing w:after="20"/>
            </w:pPr>
            <w:r>
              <w:rPr>
                <w:rFonts w:ascii="Segoe UI" w:hAnsi="Segoe UI" w:cs="Segoe UI" w:eastAsia="Segoe UI"/>
                <w:color w:val="101820"/>
                <w:sz w:val="16"/>
              </w:rPr>
              <w:t>Support continuity measures are in BCDR (key person, knowledge base, escrow). iorta TechNXT corporate BCP: [to confirm]</w:t>
            </w:r>
          </w:p>
        </w:tc>
        <w:tc>
          <w:tcPr>
            <w:tcW w:type="dxa" w:w="1793"/>
          </w:tcPr>
          <w:p>
            <w:pPr>
              <w:spacing w:after="20"/>
            </w:pPr>
            <w:r>
              <w:rPr>
                <w:rFonts w:ascii="Segoe UI" w:hAnsi="Segoe UI" w:cs="Segoe UI" w:eastAsia="Segoe UI"/>
                <w:color w:val="101820"/>
                <w:sz w:val="16"/>
              </w:rPr>
              <w:t>BCDR, Scenarios</w:t>
            </w:r>
          </w:p>
        </w:tc>
      </w:tr>
    </w:tbl>
    <w:p>
      <w:pPr>
        <w:pStyle w:val="Heading1"/>
        <w:pageBreakBefore/>
      </w:pPr>
      <w:r>
        <w:rPr>
          <w:rFonts w:ascii="Segoe UI" w:hAnsi="Segoe UI" w:cs="Segoe UI" w:eastAsia="Segoe UI"/>
          <w:b/>
          <w:color w:val="0F4761"/>
          <w:sz w:val="32"/>
        </w:rPr>
        <w:t>14.  Incident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533"/>
        <w:gridCol w:w="1123"/>
        <w:gridCol w:w="2741"/>
        <w:gridCol w:w="1710"/>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533"/>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741"/>
            <w:shd w:val="clear" w:color="auto" w:fill="DCE9F7"/>
          </w:tcPr>
          <w:p>
            <w:pPr>
              <w:spacing w:after="20"/>
            </w:pPr>
            <w:r>
              <w:rPr>
                <w:rFonts w:ascii="Segoe UI" w:hAnsi="Segoe UI" w:cs="Segoe UI" w:eastAsia="Segoe UI"/>
                <w:b/>
                <w:color w:val="0F4761"/>
                <w:sz w:val="16"/>
              </w:rPr>
              <w:t>Answer</w:t>
            </w:r>
          </w:p>
        </w:tc>
        <w:tc>
          <w:tcPr>
            <w:tcW w:type="dxa" w:w="1710"/>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INC-01</w:t>
            </w:r>
          </w:p>
        </w:tc>
        <w:tc>
          <w:tcPr>
            <w:tcW w:type="dxa" w:w="2533"/>
          </w:tcPr>
          <w:p>
            <w:pPr>
              <w:spacing w:after="20"/>
            </w:pPr>
            <w:r>
              <w:rPr>
                <w:rFonts w:ascii="Segoe UI" w:hAnsi="Segoe UI" w:cs="Segoe UI" w:eastAsia="Segoe UI"/>
                <w:color w:val="101820"/>
                <w:sz w:val="16"/>
              </w:rPr>
              <w:t>Is there a documented incident response process</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Suspected security incidents are P1: contain, preserve evidence, assess, recover, report and learn</w:t>
            </w:r>
          </w:p>
        </w:tc>
        <w:tc>
          <w:tcPr>
            <w:tcW w:type="dxa" w:w="1710"/>
          </w:tcPr>
          <w:p>
            <w:pPr>
              <w:spacing w:after="20"/>
            </w:pPr>
            <w:r>
              <w:rPr>
                <w:rFonts w:ascii="Segoe UI" w:hAnsi="Segoe UI" w:cs="Segoe UI" w:eastAsia="Segoe UI"/>
                <w:color w:val="101820"/>
                <w:sz w:val="16"/>
              </w:rPr>
              <w:t>PSS, Security incidents</w:t>
            </w:r>
          </w:p>
        </w:tc>
      </w:tr>
      <w:tr>
        <w:tc>
          <w:tcPr>
            <w:tcW w:type="dxa" w:w="907"/>
          </w:tcPr>
          <w:p>
            <w:pPr>
              <w:spacing w:after="20"/>
            </w:pPr>
            <w:r>
              <w:rPr>
                <w:rFonts w:ascii="Segoe UI" w:hAnsi="Segoe UI" w:cs="Segoe UI" w:eastAsia="Segoe UI"/>
                <w:color w:val="101820"/>
                <w:sz w:val="16"/>
              </w:rPr>
              <w:t>INC-02</w:t>
            </w:r>
          </w:p>
        </w:tc>
        <w:tc>
          <w:tcPr>
            <w:tcW w:type="dxa" w:w="2533"/>
          </w:tcPr>
          <w:p>
            <w:pPr>
              <w:spacing w:after="20"/>
            </w:pPr>
            <w:r>
              <w:rPr>
                <w:rFonts w:ascii="Segoe UI" w:hAnsi="Segoe UI" w:cs="Segoe UI" w:eastAsia="Segoe UI"/>
                <w:color w:val="101820"/>
                <w:sz w:val="16"/>
              </w:rPr>
              <w:t>How fast is the broker informed</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P1 first response in 30 minutes; personal data breach notice within [24] hours of discovery</w:t>
            </w:r>
          </w:p>
        </w:tc>
        <w:tc>
          <w:tcPr>
            <w:tcW w:type="dxa" w:w="1710"/>
          </w:tcPr>
          <w:p>
            <w:pPr>
              <w:spacing w:after="20"/>
            </w:pPr>
            <w:r>
              <w:rPr>
                <w:rFonts w:ascii="Segoe UI" w:hAnsi="Segoe UI" w:cs="Segoe UI" w:eastAsia="Segoe UI"/>
                <w:color w:val="101820"/>
                <w:sz w:val="16"/>
              </w:rPr>
              <w:t>SLA; DPA</w:t>
            </w:r>
          </w:p>
        </w:tc>
      </w:tr>
      <w:tr>
        <w:tc>
          <w:tcPr>
            <w:tcW w:type="dxa" w:w="907"/>
          </w:tcPr>
          <w:p>
            <w:pPr>
              <w:spacing w:after="20"/>
            </w:pPr>
            <w:r>
              <w:rPr>
                <w:rFonts w:ascii="Segoe UI" w:hAnsi="Segoe UI" w:cs="Segoe UI" w:eastAsia="Segoe UI"/>
                <w:color w:val="101820"/>
                <w:sz w:val="16"/>
              </w:rPr>
              <w:t>INC-03</w:t>
            </w:r>
          </w:p>
        </w:tc>
        <w:tc>
          <w:tcPr>
            <w:tcW w:type="dxa" w:w="2533"/>
          </w:tcPr>
          <w:p>
            <w:pPr>
              <w:spacing w:after="20"/>
            </w:pPr>
            <w:r>
              <w:rPr>
                <w:rFonts w:ascii="Segoe UI" w:hAnsi="Segoe UI" w:cs="Segoe UI" w:eastAsia="Segoe UI"/>
                <w:color w:val="101820"/>
                <w:sz w:val="16"/>
              </w:rPr>
              <w:t>What evidence is kept</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 xml:space="preserve">Logs, </w:t>
            </w:r>
            <w:r>
              <w:rPr>
                <w:rFonts w:ascii="Consolas" w:hAnsi="Consolas" w:cs="Consolas" w:eastAsia="Consolas"/>
                <w:color w:val="101820"/>
                <w:sz w:val="14"/>
              </w:rPr>
              <w:t>login_history</w:t>
            </w:r>
            <w:r>
              <w:rPr>
                <w:rFonts w:ascii="Segoe UI" w:hAnsi="Segoe UI" w:cs="Segoe UI" w:eastAsia="Segoe UI"/>
                <w:color w:val="101820"/>
                <w:sz w:val="16"/>
              </w:rPr>
              <w:t xml:space="preserve">, </w:t>
            </w:r>
            <w:r>
              <w:rPr>
                <w:rFonts w:ascii="Consolas" w:hAnsi="Consolas" w:cs="Consolas" w:eastAsia="Consolas"/>
                <w:color w:val="101820"/>
                <w:sz w:val="14"/>
              </w:rPr>
              <w:t>audit_log</w:t>
            </w:r>
            <w:r>
              <w:rPr>
                <w:rFonts w:ascii="Segoe UI" w:hAnsi="Segoe UI" w:cs="Segoe UI" w:eastAsia="Segoe UI"/>
                <w:color w:val="101820"/>
                <w:sz w:val="16"/>
              </w:rPr>
              <w:t>, monitoring data and a database snapshot</w:t>
            </w:r>
          </w:p>
        </w:tc>
        <w:tc>
          <w:tcPr>
            <w:tcW w:type="dxa" w:w="1710"/>
          </w:tcPr>
          <w:p>
            <w:pPr>
              <w:spacing w:after="20"/>
            </w:pPr>
            <w:r>
              <w:rPr>
                <w:rFonts w:ascii="Segoe UI" w:hAnsi="Segoe UI" w:cs="Segoe UI" w:eastAsia="Segoe UI"/>
                <w:color w:val="101820"/>
                <w:sz w:val="16"/>
              </w:rPr>
              <w:t>DPA, Containment and evidence</w:t>
            </w:r>
          </w:p>
        </w:tc>
      </w:tr>
      <w:tr>
        <w:tc>
          <w:tcPr>
            <w:tcW w:type="dxa" w:w="907"/>
          </w:tcPr>
          <w:p>
            <w:pPr>
              <w:spacing w:after="20"/>
            </w:pPr>
            <w:r>
              <w:rPr>
                <w:rFonts w:ascii="Segoe UI" w:hAnsi="Segoe UI" w:cs="Segoe UI" w:eastAsia="Segoe UI"/>
                <w:color w:val="101820"/>
                <w:sz w:val="16"/>
              </w:rPr>
              <w:t>INC-04</w:t>
            </w:r>
          </w:p>
        </w:tc>
        <w:tc>
          <w:tcPr>
            <w:tcW w:type="dxa" w:w="2533"/>
          </w:tcPr>
          <w:p>
            <w:pPr>
              <w:spacing w:after="20"/>
            </w:pPr>
            <w:r>
              <w:rPr>
                <w:rFonts w:ascii="Segoe UI" w:hAnsi="Segoe UI" w:cs="Segoe UI" w:eastAsia="Segoe UI"/>
                <w:color w:val="101820"/>
                <w:sz w:val="16"/>
              </w:rPr>
              <w:t>Is there root-cause analysis</w:t>
            </w:r>
          </w:p>
        </w:tc>
        <w:tc>
          <w:tcPr>
            <w:tcW w:type="dxa" w:w="1123"/>
          </w:tcPr>
          <w:p>
            <w:pPr>
              <w:spacing w:after="20"/>
            </w:pPr>
            <w:r>
              <w:rPr>
                <w:rFonts w:ascii="Segoe UI" w:hAnsi="Segoe UI" w:cs="Segoe UI" w:eastAsia="Segoe UI"/>
                <w:color w:val="101820"/>
                <w:sz w:val="16"/>
              </w:rPr>
              <w:t>Yes</w:t>
            </w:r>
          </w:p>
        </w:tc>
        <w:tc>
          <w:tcPr>
            <w:tcW w:type="dxa" w:w="2741"/>
          </w:tcPr>
          <w:p>
            <w:pPr>
              <w:spacing w:after="20"/>
            </w:pPr>
            <w:r>
              <w:rPr>
                <w:rFonts w:ascii="Segoe UI" w:hAnsi="Segoe UI" w:cs="Segoe UI" w:eastAsia="Segoe UI"/>
                <w:color w:val="101820"/>
                <w:sz w:val="16"/>
              </w:rPr>
              <w:t>Written RCA for every P1 and every problem record, draft to the broker within 5 business days of restore; known-error records in the knowledge base</w:t>
            </w:r>
          </w:p>
        </w:tc>
        <w:tc>
          <w:tcPr>
            <w:tcW w:type="dxa" w:w="1710"/>
          </w:tcPr>
          <w:p>
            <w:pPr>
              <w:spacing w:after="20"/>
            </w:pPr>
            <w:r>
              <w:rPr>
                <w:rFonts w:ascii="Segoe UI" w:hAnsi="Segoe UI" w:cs="Segoe UI" w:eastAsia="Segoe UI"/>
                <w:color w:val="101820"/>
                <w:sz w:val="16"/>
              </w:rPr>
              <w:t>PSS, Root-cause analysis</w:t>
            </w:r>
          </w:p>
        </w:tc>
      </w:tr>
      <w:tr>
        <w:tc>
          <w:tcPr>
            <w:tcW w:type="dxa" w:w="907"/>
          </w:tcPr>
          <w:p>
            <w:pPr>
              <w:spacing w:after="20"/>
            </w:pPr>
            <w:r>
              <w:rPr>
                <w:rFonts w:ascii="Segoe UI" w:hAnsi="Segoe UI" w:cs="Segoe UI" w:eastAsia="Segoe UI"/>
                <w:color w:val="101820"/>
                <w:sz w:val="16"/>
              </w:rPr>
              <w:t>INC-05</w:t>
            </w:r>
          </w:p>
        </w:tc>
        <w:tc>
          <w:tcPr>
            <w:tcW w:type="dxa" w:w="2533"/>
          </w:tcPr>
          <w:p>
            <w:pPr>
              <w:spacing w:after="20"/>
            </w:pPr>
            <w:r>
              <w:rPr>
                <w:rFonts w:ascii="Segoe UI" w:hAnsi="Segoe UI" w:cs="Segoe UI" w:eastAsia="Segoe UI"/>
                <w:color w:val="101820"/>
                <w:sz w:val="16"/>
              </w:rPr>
              <w:t>Who notifies the NPC</w:t>
            </w:r>
          </w:p>
        </w:tc>
        <w:tc>
          <w:tcPr>
            <w:tcW w:type="dxa" w:w="1123"/>
          </w:tcPr>
          <w:p>
            <w:pPr>
              <w:spacing w:after="20"/>
            </w:pPr>
            <w:r>
              <w:rPr>
                <w:rFonts w:ascii="Segoe UI" w:hAnsi="Segoe UI" w:cs="Segoe UI" w:eastAsia="Segoe UI"/>
                <w:color w:val="101820"/>
                <w:sz w:val="16"/>
              </w:rPr>
              <w:t>Broker</w:t>
            </w:r>
          </w:p>
        </w:tc>
        <w:tc>
          <w:tcPr>
            <w:tcW w:type="dxa" w:w="2741"/>
          </w:tcPr>
          <w:p>
            <w:pPr>
              <w:spacing w:after="20"/>
            </w:pPr>
            <w:r>
              <w:rPr>
                <w:rFonts w:ascii="Segoe UI" w:hAnsi="Segoe UI" w:cs="Segoe UI" w:eastAsia="Segoe UI"/>
                <w:color w:val="101820"/>
                <w:sz w:val="16"/>
              </w:rPr>
              <w:t>The broker's DPO decides and notifies within 72 hours where required; iorta TechNXT supplies the facts</w:t>
            </w:r>
          </w:p>
        </w:tc>
        <w:tc>
          <w:tcPr>
            <w:tcW w:type="dxa" w:w="1710"/>
          </w:tcPr>
          <w:p>
            <w:pPr>
              <w:spacing w:after="20"/>
            </w:pPr>
            <w:r>
              <w:rPr>
                <w:rFonts w:ascii="Segoe UI" w:hAnsi="Segoe UI" w:cs="Segoe UI" w:eastAsia="Segoe UI"/>
                <w:color w:val="101820"/>
                <w:sz w:val="16"/>
              </w:rPr>
              <w:t>DPA; PSS</w:t>
            </w:r>
          </w:p>
        </w:tc>
      </w:tr>
    </w:tbl>
    <w:p>
      <w:pPr>
        <w:pStyle w:val="Heading1"/>
        <w:pageBreakBefore/>
      </w:pPr>
      <w:r>
        <w:rPr>
          <w:rFonts w:ascii="Segoe UI" w:hAnsi="Segoe UI" w:cs="Segoe UI" w:eastAsia="Segoe UI"/>
          <w:b/>
          <w:color w:val="0F4761"/>
          <w:sz w:val="32"/>
        </w:rPr>
        <w:t>15.  Subcontractors, hosting and data residency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612"/>
        <w:gridCol w:w="1123"/>
        <w:gridCol w:w="2644"/>
        <w:gridCol w:w="172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612"/>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644"/>
            <w:shd w:val="clear" w:color="auto" w:fill="DCE9F7"/>
          </w:tcPr>
          <w:p>
            <w:pPr>
              <w:spacing w:after="20"/>
            </w:pPr>
            <w:r>
              <w:rPr>
                <w:rFonts w:ascii="Segoe UI" w:hAnsi="Segoe UI" w:cs="Segoe UI" w:eastAsia="Segoe UI"/>
                <w:b/>
                <w:color w:val="0F4761"/>
                <w:sz w:val="16"/>
              </w:rPr>
              <w:t>Answer</w:t>
            </w:r>
          </w:p>
        </w:tc>
        <w:tc>
          <w:tcPr>
            <w:tcW w:type="dxa" w:w="172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SUB-01</w:t>
            </w:r>
          </w:p>
        </w:tc>
        <w:tc>
          <w:tcPr>
            <w:tcW w:type="dxa" w:w="2612"/>
          </w:tcPr>
          <w:p>
            <w:pPr>
              <w:spacing w:after="20"/>
            </w:pPr>
            <w:r>
              <w:rPr>
                <w:rFonts w:ascii="Segoe UI" w:hAnsi="Segoe UI" w:cs="Segoe UI" w:eastAsia="Segoe UI"/>
                <w:color w:val="101820"/>
                <w:sz w:val="16"/>
              </w:rPr>
              <w:t>Which hosting options are offered</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A: AWS ap-southeast-1 (Singapore); B: Azure Southeast Asia (Singapore); C: Philippine hosting partner; or hosting by the broker</w:t>
            </w:r>
          </w:p>
        </w:tc>
        <w:tc>
          <w:tcPr>
            <w:tcW w:type="dxa" w:w="1729"/>
          </w:tcPr>
          <w:p>
            <w:pPr>
              <w:spacing w:after="20"/>
            </w:pPr>
            <w:r>
              <w:rPr>
                <w:rFonts w:ascii="Segoe UI" w:hAnsi="Segoe UI" w:cs="Segoe UI" w:eastAsia="Segoe UI"/>
                <w:color w:val="101820"/>
                <w:sz w:val="16"/>
              </w:rPr>
              <w:t>AIS, Deployment options; HSA</w:t>
            </w:r>
          </w:p>
        </w:tc>
      </w:tr>
      <w:tr>
        <w:tc>
          <w:tcPr>
            <w:tcW w:type="dxa" w:w="907"/>
          </w:tcPr>
          <w:p>
            <w:pPr>
              <w:spacing w:after="20"/>
            </w:pPr>
            <w:r>
              <w:rPr>
                <w:rFonts w:ascii="Segoe UI" w:hAnsi="Segoe UI" w:cs="Segoe UI" w:eastAsia="Segoe UI"/>
                <w:color w:val="101820"/>
                <w:sz w:val="16"/>
              </w:rPr>
              <w:t>SUB-02</w:t>
            </w:r>
          </w:p>
        </w:tc>
        <w:tc>
          <w:tcPr>
            <w:tcW w:type="dxa" w:w="2612"/>
          </w:tcPr>
          <w:p>
            <w:pPr>
              <w:spacing w:after="20"/>
            </w:pPr>
            <w:r>
              <w:rPr>
                <w:rFonts w:ascii="Segoe UI" w:hAnsi="Segoe UI" w:cs="Segoe UI" w:eastAsia="Segoe UI"/>
                <w:color w:val="101820"/>
                <w:sz w:val="16"/>
              </w:rPr>
              <w:t>Can the data stay in the Philippines</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Option C or broker hosting keeps data, backups and the off-site copy in the Philippines</w:t>
            </w:r>
          </w:p>
        </w:tc>
        <w:tc>
          <w:tcPr>
            <w:tcW w:type="dxa" w:w="1729"/>
          </w:tcPr>
          <w:p>
            <w:pPr>
              <w:spacing w:after="20"/>
            </w:pPr>
            <w:r>
              <w:rPr>
                <w:rFonts w:ascii="Segoe UI" w:hAnsi="Segoe UI" w:cs="Segoe UI" w:eastAsia="Segoe UI"/>
                <w:color w:val="101820"/>
                <w:sz w:val="16"/>
              </w:rPr>
              <w:t>HSA, Data location</w:t>
            </w:r>
          </w:p>
        </w:tc>
      </w:tr>
      <w:tr>
        <w:tc>
          <w:tcPr>
            <w:tcW w:type="dxa" w:w="907"/>
          </w:tcPr>
          <w:p>
            <w:pPr>
              <w:spacing w:after="20"/>
            </w:pPr>
            <w:r>
              <w:rPr>
                <w:rFonts w:ascii="Segoe UI" w:hAnsi="Segoe UI" w:cs="Segoe UI" w:eastAsia="Segoe UI"/>
                <w:color w:val="101820"/>
                <w:sz w:val="16"/>
              </w:rPr>
              <w:t>SUB-03</w:t>
            </w:r>
          </w:p>
        </w:tc>
        <w:tc>
          <w:tcPr>
            <w:tcW w:type="dxa" w:w="2612"/>
          </w:tcPr>
          <w:p>
            <w:pPr>
              <w:spacing w:after="20"/>
            </w:pPr>
            <w:r>
              <w:rPr>
                <w:rFonts w:ascii="Segoe UI" w:hAnsi="Segoe UI" w:cs="Segoe UI" w:eastAsia="Segoe UI"/>
                <w:color w:val="101820"/>
                <w:sz w:val="16"/>
              </w:rPr>
              <w:t>Who is the Philippine hosting partner</w:t>
            </w:r>
          </w:p>
        </w:tc>
        <w:tc>
          <w:tcPr>
            <w:tcW w:type="dxa" w:w="1123"/>
          </w:tcPr>
          <w:p>
            <w:pPr>
              <w:spacing w:after="20"/>
            </w:pPr>
            <w:r>
              <w:rPr>
                <w:rFonts w:ascii="Segoe UI" w:hAnsi="Segoe UI" w:cs="Segoe UI" w:eastAsia="Segoe UI"/>
                <w:color w:val="101820"/>
                <w:sz w:val="16"/>
              </w:rPr>
              <w:t>Partial</w:t>
            </w:r>
          </w:p>
        </w:tc>
        <w:tc>
          <w:tcPr>
            <w:tcW w:type="dxa" w:w="2644"/>
          </w:tcPr>
          <w:p>
            <w:pPr>
              <w:spacing w:after="20"/>
            </w:pPr>
            <w:r>
              <w:rPr>
                <w:rFonts w:ascii="Segoe UI" w:hAnsi="Segoe UI" w:cs="Segoe UI" w:eastAsia="Segoe UI"/>
                <w:color w:val="101820"/>
                <w:sz w:val="16"/>
              </w:rPr>
              <w:t>[to confirm: partner name, data centre city, certifications]</w:t>
            </w:r>
          </w:p>
        </w:tc>
        <w:tc>
          <w:tcPr>
            <w:tcW w:type="dxa" w:w="1729"/>
          </w:tcPr>
          <w:p>
            <w:pPr>
              <w:spacing w:after="20"/>
            </w:pPr>
            <w:r>
              <w:rPr>
                <w:rFonts w:ascii="Segoe UI" w:hAnsi="Segoe UI" w:cs="Segoe UI" w:eastAsia="Segoe UI"/>
                <w:color w:val="101820"/>
                <w:sz w:val="16"/>
              </w:rPr>
              <w:t>HSA; DPA, Annex 3</w:t>
            </w:r>
          </w:p>
        </w:tc>
      </w:tr>
      <w:tr>
        <w:tc>
          <w:tcPr>
            <w:tcW w:type="dxa" w:w="907"/>
          </w:tcPr>
          <w:p>
            <w:pPr>
              <w:spacing w:after="20"/>
            </w:pPr>
            <w:r>
              <w:rPr>
                <w:rFonts w:ascii="Segoe UI" w:hAnsi="Segoe UI" w:cs="Segoe UI" w:eastAsia="Segoe UI"/>
                <w:color w:val="101820"/>
                <w:sz w:val="16"/>
              </w:rPr>
              <w:t>SUB-04</w:t>
            </w:r>
          </w:p>
        </w:tc>
        <w:tc>
          <w:tcPr>
            <w:tcW w:type="dxa" w:w="2612"/>
          </w:tcPr>
          <w:p>
            <w:pPr>
              <w:spacing w:after="20"/>
            </w:pPr>
            <w:r>
              <w:rPr>
                <w:rFonts w:ascii="Segoe UI" w:hAnsi="Segoe UI" w:cs="Segoe UI" w:eastAsia="Segoe UI"/>
                <w:color w:val="101820"/>
                <w:sz w:val="16"/>
              </w:rPr>
              <w:t>Are subcontractors bound to equivalent obligations</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By written contract with obligations no less protective than the DPA; iorta TechNXT remains responsible</w:t>
            </w:r>
          </w:p>
        </w:tc>
        <w:tc>
          <w:tcPr>
            <w:tcW w:type="dxa" w:w="1729"/>
          </w:tcPr>
          <w:p>
            <w:pPr>
              <w:spacing w:after="20"/>
            </w:pPr>
            <w:r>
              <w:rPr>
                <w:rFonts w:ascii="Segoe UI" w:hAnsi="Segoe UI" w:cs="Segoe UI" w:eastAsia="Segoe UI"/>
                <w:color w:val="101820"/>
                <w:sz w:val="16"/>
              </w:rPr>
              <w:t>DPA, Sub-processors</w:t>
            </w:r>
          </w:p>
        </w:tc>
      </w:tr>
      <w:tr>
        <w:tc>
          <w:tcPr>
            <w:tcW w:type="dxa" w:w="907"/>
          </w:tcPr>
          <w:p>
            <w:pPr>
              <w:spacing w:after="20"/>
            </w:pPr>
            <w:r>
              <w:rPr>
                <w:rFonts w:ascii="Segoe UI" w:hAnsi="Segoe UI" w:cs="Segoe UI" w:eastAsia="Segoe UI"/>
                <w:color w:val="101820"/>
                <w:sz w:val="16"/>
              </w:rPr>
              <w:t>SUB-05</w:t>
            </w:r>
          </w:p>
        </w:tc>
        <w:tc>
          <w:tcPr>
            <w:tcW w:type="dxa" w:w="2612"/>
          </w:tcPr>
          <w:p>
            <w:pPr>
              <w:spacing w:after="20"/>
            </w:pPr>
            <w:r>
              <w:rPr>
                <w:rFonts w:ascii="Segoe UI" w:hAnsi="Segoe UI" w:cs="Segoe UI" w:eastAsia="Segoe UI"/>
                <w:color w:val="101820"/>
                <w:sz w:val="16"/>
              </w:rPr>
              <w:t>Is support provided from outside the Philippines</w:t>
            </w:r>
          </w:p>
        </w:tc>
        <w:tc>
          <w:tcPr>
            <w:tcW w:type="dxa" w:w="1123"/>
          </w:tcPr>
          <w:p>
            <w:pPr>
              <w:spacing w:after="20"/>
            </w:pPr>
            <w:r>
              <w:rPr>
                <w:rFonts w:ascii="Segoe UI" w:hAnsi="Segoe UI" w:cs="Segoe UI" w:eastAsia="Segoe UI"/>
                <w:color w:val="101820"/>
                <w:sz w:val="16"/>
              </w:rPr>
              <w:t>Partial</w:t>
            </w:r>
          </w:p>
        </w:tc>
        <w:tc>
          <w:tcPr>
            <w:tcW w:type="dxa" w:w="2644"/>
          </w:tcPr>
          <w:p>
            <w:pPr>
              <w:spacing w:after="20"/>
            </w:pPr>
            <w:r>
              <w:rPr>
                <w:rFonts w:ascii="Segoe UI" w:hAnsi="Segoe UI" w:cs="Segoe UI" w:eastAsia="Segoe UI"/>
                <w:color w:val="101820"/>
                <w:sz w:val="16"/>
              </w:rPr>
              <w:t>[to confirm: location of L2 and L3 teams and whether they access production data from abroad]. If yes, this is a further transfer the broker documents</w:t>
            </w:r>
          </w:p>
        </w:tc>
        <w:tc>
          <w:tcPr>
            <w:tcW w:type="dxa" w:w="1729"/>
          </w:tcPr>
          <w:p>
            <w:pPr>
              <w:spacing w:after="20"/>
            </w:pPr>
            <w:r>
              <w:rPr>
                <w:rFonts w:ascii="Segoe UI" w:hAnsi="Segoe UI" w:cs="Segoe UI" w:eastAsia="Segoe UI"/>
                <w:color w:val="101820"/>
                <w:sz w:val="16"/>
              </w:rPr>
              <w:t>PSS; DPA</w:t>
            </w:r>
          </w:p>
        </w:tc>
      </w:tr>
      <w:tr>
        <w:tc>
          <w:tcPr>
            <w:tcW w:type="dxa" w:w="907"/>
          </w:tcPr>
          <w:p>
            <w:pPr>
              <w:spacing w:after="20"/>
            </w:pPr>
            <w:r>
              <w:rPr>
                <w:rFonts w:ascii="Segoe UI" w:hAnsi="Segoe UI" w:cs="Segoe UI" w:eastAsia="Segoe UI"/>
                <w:color w:val="101820"/>
                <w:sz w:val="16"/>
              </w:rPr>
              <w:t>SUB-06</w:t>
            </w:r>
          </w:p>
        </w:tc>
        <w:tc>
          <w:tcPr>
            <w:tcW w:type="dxa" w:w="2612"/>
          </w:tcPr>
          <w:p>
            <w:pPr>
              <w:spacing w:after="20"/>
            </w:pPr>
            <w:r>
              <w:rPr>
                <w:rFonts w:ascii="Segoe UI" w:hAnsi="Segoe UI" w:cs="Segoe UI" w:eastAsia="Segoe UI"/>
                <w:color w:val="101820"/>
                <w:sz w:val="16"/>
              </w:rPr>
              <w:t>Can the broker host the system itself</w:t>
            </w:r>
          </w:p>
        </w:tc>
        <w:tc>
          <w:tcPr>
            <w:tcW w:type="dxa" w:w="1123"/>
          </w:tcPr>
          <w:p>
            <w:pPr>
              <w:spacing w:after="20"/>
            </w:pPr>
            <w:r>
              <w:rPr>
                <w:rFonts w:ascii="Segoe UI" w:hAnsi="Segoe UI" w:cs="Segoe UI" w:eastAsia="Segoe UI"/>
                <w:color w:val="101820"/>
                <w:sz w:val="16"/>
              </w:rPr>
              <w:t>Yes</w:t>
            </w:r>
          </w:p>
        </w:tc>
        <w:tc>
          <w:tcPr>
            <w:tcW w:type="dxa" w:w="2644"/>
          </w:tcPr>
          <w:p>
            <w:pPr>
              <w:spacing w:after="20"/>
            </w:pPr>
            <w:r>
              <w:rPr>
                <w:rFonts w:ascii="Segoe UI" w:hAnsi="Segoe UI" w:cs="Segoe UI" w:eastAsia="Segoe UI"/>
                <w:color w:val="101820"/>
                <w:sz w:val="16"/>
              </w:rPr>
              <w:t>Yes, with the deployment guide; no hosting fee; set-up support at day rates</w:t>
            </w:r>
          </w:p>
        </w:tc>
        <w:tc>
          <w:tcPr>
            <w:tcW w:type="dxa" w:w="1729"/>
          </w:tcPr>
          <w:p>
            <w:pPr>
              <w:spacing w:after="20"/>
            </w:pPr>
            <w:r>
              <w:rPr>
                <w:rFonts w:ascii="Segoe UI" w:hAnsi="Segoe UI" w:cs="Segoe UI" w:eastAsia="Segoe UI"/>
                <w:color w:val="101820"/>
                <w:sz w:val="16"/>
              </w:rPr>
              <w:t>AIS; Rate Card</w:t>
            </w:r>
          </w:p>
        </w:tc>
      </w:tr>
    </w:tbl>
    <w:p>
      <w:pPr>
        <w:pStyle w:val="Heading1"/>
        <w:pageBreakBefore/>
      </w:pPr>
      <w:r>
        <w:rPr>
          <w:rFonts w:ascii="Segoe UI" w:hAnsi="Segoe UI" w:cs="Segoe UI" w:eastAsia="Segoe UI"/>
          <w:b/>
          <w:color w:val="0F4761"/>
          <w:sz w:val="32"/>
        </w:rPr>
        <w:t>16.  Audit and assurance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849"/>
        <w:gridCol w:w="1123"/>
        <w:gridCol w:w="2996"/>
        <w:gridCol w:w="1139"/>
      </w:tblGrid>
      <w:tr>
        <w:trPr>
          <w:tblHeader w:val="true"/>
        </w:trPr>
        <w:tc>
          <w:tcPr>
            <w:tcW w:type="dxa" w:w="907"/>
            <w:shd w:val="clear" w:color="auto" w:fill="DCE9F7"/>
          </w:tcPr>
          <w:p>
            <w:pPr>
              <w:spacing w:after="20"/>
            </w:pPr>
            <w:r>
              <w:rPr>
                <w:rFonts w:ascii="Segoe UI" w:hAnsi="Segoe UI" w:cs="Segoe UI" w:eastAsia="Segoe UI"/>
                <w:b/>
                <w:color w:val="0F4761"/>
                <w:sz w:val="16"/>
              </w:rPr>
              <w:t>Ref</w:t>
            </w:r>
          </w:p>
        </w:tc>
        <w:tc>
          <w:tcPr>
            <w:tcW w:type="dxa" w:w="2849"/>
            <w:shd w:val="clear" w:color="auto" w:fill="DCE9F7"/>
          </w:tcPr>
          <w:p>
            <w:pPr>
              <w:spacing w:after="20"/>
            </w:pPr>
            <w:r>
              <w:rPr>
                <w:rFonts w:ascii="Segoe UI" w:hAnsi="Segoe UI" w:cs="Segoe UI" w:eastAsia="Segoe UI"/>
                <w:b/>
                <w:color w:val="0F4761"/>
                <w:sz w:val="16"/>
              </w:rPr>
              <w:t>Question</w:t>
            </w:r>
          </w:p>
        </w:tc>
        <w:tc>
          <w:tcPr>
            <w:tcW w:type="dxa" w:w="1123"/>
            <w:shd w:val="clear" w:color="auto" w:fill="DCE9F7"/>
          </w:tcPr>
          <w:p>
            <w:pPr>
              <w:spacing w:after="20"/>
            </w:pPr>
            <w:r>
              <w:rPr>
                <w:rFonts w:ascii="Segoe UI" w:hAnsi="Segoe UI" w:cs="Segoe UI" w:eastAsia="Segoe UI"/>
                <w:b/>
                <w:color w:val="0F4761"/>
                <w:sz w:val="16"/>
              </w:rPr>
              <w:t>Response</w:t>
            </w:r>
          </w:p>
        </w:tc>
        <w:tc>
          <w:tcPr>
            <w:tcW w:type="dxa" w:w="2996"/>
            <w:shd w:val="clear" w:color="auto" w:fill="DCE9F7"/>
          </w:tcPr>
          <w:p>
            <w:pPr>
              <w:spacing w:after="20"/>
            </w:pPr>
            <w:r>
              <w:rPr>
                <w:rFonts w:ascii="Segoe UI" w:hAnsi="Segoe UI" w:cs="Segoe UI" w:eastAsia="Segoe UI"/>
                <w:b/>
                <w:color w:val="0F4761"/>
                <w:sz w:val="16"/>
              </w:rPr>
              <w:t>Answer</w:t>
            </w:r>
          </w:p>
        </w:tc>
        <w:tc>
          <w:tcPr>
            <w:tcW w:type="dxa" w:w="1139"/>
            <w:shd w:val="clear" w:color="auto" w:fill="DCE9F7"/>
          </w:tcPr>
          <w:p>
            <w:pPr>
              <w:spacing w:after="20"/>
            </w:pPr>
            <w:r>
              <w:rPr>
                <w:rFonts w:ascii="Segoe UI" w:hAnsi="Segoe UI" w:cs="Segoe UI" w:eastAsia="Segoe UI"/>
                <w:b/>
                <w:color w:val="0F4761"/>
                <w:sz w:val="16"/>
              </w:rPr>
              <w:t>Evidence</w:t>
            </w:r>
          </w:p>
        </w:tc>
      </w:tr>
      <w:tr>
        <w:tc>
          <w:tcPr>
            <w:tcW w:type="dxa" w:w="907"/>
          </w:tcPr>
          <w:p>
            <w:pPr>
              <w:spacing w:after="20"/>
            </w:pPr>
            <w:r>
              <w:rPr>
                <w:rFonts w:ascii="Segoe UI" w:hAnsi="Segoe UI" w:cs="Segoe UI" w:eastAsia="Segoe UI"/>
                <w:color w:val="101820"/>
                <w:sz w:val="16"/>
              </w:rPr>
              <w:t>AUD-01</w:t>
            </w:r>
          </w:p>
        </w:tc>
        <w:tc>
          <w:tcPr>
            <w:tcW w:type="dxa" w:w="2849"/>
          </w:tcPr>
          <w:p>
            <w:pPr>
              <w:spacing w:after="20"/>
            </w:pPr>
            <w:r>
              <w:rPr>
                <w:rFonts w:ascii="Segoe UI" w:hAnsi="Segoe UI" w:cs="Segoe UI" w:eastAsia="Segoe UI"/>
                <w:color w:val="101820"/>
                <w:sz w:val="16"/>
              </w:rPr>
              <w:t>Does the broker have a right to audit</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Once a year on 30 days' notice, by the broker or an approved independent auditor under confidentiality; extra audits after a breach or when the NPC requires</w:t>
            </w:r>
          </w:p>
        </w:tc>
        <w:tc>
          <w:tcPr>
            <w:tcW w:type="dxa" w:w="1139"/>
          </w:tcPr>
          <w:p>
            <w:pPr>
              <w:spacing w:after="20"/>
            </w:pPr>
            <w:r>
              <w:rPr>
                <w:rFonts w:ascii="Segoe UI" w:hAnsi="Segoe UI" w:cs="Segoe UI" w:eastAsia="Segoe UI"/>
                <w:color w:val="101820"/>
                <w:sz w:val="16"/>
              </w:rPr>
              <w:t>DPA, Audits</w:t>
            </w:r>
          </w:p>
        </w:tc>
      </w:tr>
      <w:tr>
        <w:tc>
          <w:tcPr>
            <w:tcW w:type="dxa" w:w="907"/>
          </w:tcPr>
          <w:p>
            <w:pPr>
              <w:spacing w:after="20"/>
            </w:pPr>
            <w:r>
              <w:rPr>
                <w:rFonts w:ascii="Segoe UI" w:hAnsi="Segoe UI" w:cs="Segoe UI" w:eastAsia="Segoe UI"/>
                <w:color w:val="101820"/>
                <w:sz w:val="16"/>
              </w:rPr>
              <w:t>AUD-02</w:t>
            </w:r>
          </w:p>
        </w:tc>
        <w:tc>
          <w:tcPr>
            <w:tcW w:type="dxa" w:w="2849"/>
          </w:tcPr>
          <w:p>
            <w:pPr>
              <w:spacing w:after="20"/>
            </w:pPr>
            <w:r>
              <w:rPr>
                <w:rFonts w:ascii="Segoe UI" w:hAnsi="Segoe UI" w:cs="Segoe UI" w:eastAsia="Segoe UI"/>
                <w:color w:val="101820"/>
                <w:sz w:val="16"/>
              </w:rPr>
              <w:t>What evidence is provided without an on-site audit</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Policies, the penetration test summary, sub-processor certifications, monthly service reports, restore test records</w:t>
            </w:r>
          </w:p>
        </w:tc>
        <w:tc>
          <w:tcPr>
            <w:tcW w:type="dxa" w:w="1139"/>
          </w:tcPr>
          <w:p>
            <w:pPr>
              <w:spacing w:after="20"/>
            </w:pPr>
            <w:r>
              <w:rPr>
                <w:rFonts w:ascii="Segoe UI" w:hAnsi="Segoe UI" w:cs="Segoe UI" w:eastAsia="Segoe UI"/>
                <w:color w:val="101820"/>
                <w:sz w:val="16"/>
              </w:rPr>
              <w:t>DPA, Audits; PSS</w:t>
            </w:r>
          </w:p>
        </w:tc>
      </w:tr>
      <w:tr>
        <w:tc>
          <w:tcPr>
            <w:tcW w:type="dxa" w:w="907"/>
          </w:tcPr>
          <w:p>
            <w:pPr>
              <w:spacing w:after="20"/>
            </w:pPr>
            <w:r>
              <w:rPr>
                <w:rFonts w:ascii="Segoe UI" w:hAnsi="Segoe UI" w:cs="Segoe UI" w:eastAsia="Segoe UI"/>
                <w:color w:val="101820"/>
                <w:sz w:val="16"/>
              </w:rPr>
              <w:t>AUD-03</w:t>
            </w:r>
          </w:p>
        </w:tc>
        <w:tc>
          <w:tcPr>
            <w:tcW w:type="dxa" w:w="2849"/>
          </w:tcPr>
          <w:p>
            <w:pPr>
              <w:spacing w:after="20"/>
            </w:pPr>
            <w:r>
              <w:rPr>
                <w:rFonts w:ascii="Segoe UI" w:hAnsi="Segoe UI" w:cs="Segoe UI" w:eastAsia="Segoe UI"/>
                <w:color w:val="101820"/>
                <w:sz w:val="16"/>
              </w:rPr>
              <w:t>Can regulators audit the provider</w:t>
            </w:r>
          </w:p>
        </w:tc>
        <w:tc>
          <w:tcPr>
            <w:tcW w:type="dxa" w:w="1123"/>
          </w:tcPr>
          <w:p>
            <w:pPr>
              <w:spacing w:after="20"/>
            </w:pPr>
            <w:r>
              <w:rPr>
                <w:rFonts w:ascii="Segoe UI" w:hAnsi="Segoe UI" w:cs="Segoe UI" w:eastAsia="Segoe UI"/>
                <w:color w:val="101820"/>
                <w:sz w:val="16"/>
              </w:rPr>
              <w:t>Partial</w:t>
            </w:r>
          </w:p>
        </w:tc>
        <w:tc>
          <w:tcPr>
            <w:tcW w:type="dxa" w:w="2996"/>
          </w:tcPr>
          <w:p>
            <w:pPr>
              <w:spacing w:after="20"/>
            </w:pPr>
            <w:r>
              <w:rPr>
                <w:rFonts w:ascii="Segoe UI" w:hAnsi="Segoe UI" w:cs="Segoe UI" w:eastAsia="Segoe UI"/>
                <w:color w:val="101820"/>
                <w:sz w:val="16"/>
              </w:rPr>
              <w:t>NPC: under the DPA audit clause. IC: disclosure to the IC is allowed; a direct examination right for the IC: [to confirm in the MSA]</w:t>
            </w:r>
          </w:p>
        </w:tc>
        <w:tc>
          <w:tcPr>
            <w:tcW w:type="dxa" w:w="1139"/>
          </w:tcPr>
          <w:p>
            <w:pPr>
              <w:spacing w:after="20"/>
            </w:pPr>
            <w:r>
              <w:rPr>
                <w:rFonts w:ascii="Segoe UI" w:hAnsi="Segoe UI" w:cs="Segoe UI" w:eastAsia="Segoe UI"/>
                <w:color w:val="101820"/>
                <w:sz w:val="16"/>
              </w:rPr>
              <w:t>MSA; DPA</w:t>
            </w:r>
          </w:p>
        </w:tc>
      </w:tr>
      <w:tr>
        <w:tc>
          <w:tcPr>
            <w:tcW w:type="dxa" w:w="907"/>
          </w:tcPr>
          <w:p>
            <w:pPr>
              <w:spacing w:after="20"/>
            </w:pPr>
            <w:r>
              <w:rPr>
                <w:rFonts w:ascii="Segoe UI" w:hAnsi="Segoe UI" w:cs="Segoe UI" w:eastAsia="Segoe UI"/>
                <w:color w:val="101820"/>
                <w:sz w:val="16"/>
              </w:rPr>
              <w:t>AUD-04</w:t>
            </w:r>
          </w:p>
        </w:tc>
        <w:tc>
          <w:tcPr>
            <w:tcW w:type="dxa" w:w="2849"/>
          </w:tcPr>
          <w:p>
            <w:pPr>
              <w:spacing w:after="20"/>
            </w:pPr>
            <w:r>
              <w:rPr>
                <w:rFonts w:ascii="Segoe UI" w:hAnsi="Segoe UI" w:cs="Segoe UI" w:eastAsia="Segoe UI"/>
                <w:color w:val="101820"/>
                <w:sz w:val="16"/>
              </w:rPr>
              <w:t>Are the product's controls documented for the broker's auditors</w:t>
            </w:r>
          </w:p>
        </w:tc>
        <w:tc>
          <w:tcPr>
            <w:tcW w:type="dxa" w:w="1123"/>
          </w:tcPr>
          <w:p>
            <w:pPr>
              <w:spacing w:after="20"/>
            </w:pPr>
            <w:r>
              <w:rPr>
                <w:rFonts w:ascii="Segoe UI" w:hAnsi="Segoe UI" w:cs="Segoe UI" w:eastAsia="Segoe UI"/>
                <w:color w:val="101820"/>
                <w:sz w:val="16"/>
              </w:rPr>
              <w:t>Yes</w:t>
            </w:r>
          </w:p>
        </w:tc>
        <w:tc>
          <w:tcPr>
            <w:tcW w:type="dxa" w:w="2996"/>
          </w:tcPr>
          <w:p>
            <w:pPr>
              <w:spacing w:after="20"/>
            </w:pPr>
            <w:r>
              <w:rPr>
                <w:rFonts w:ascii="Segoe UI" w:hAnsi="Segoe UI" w:cs="Segoe UI" w:eastAsia="Segoe UI"/>
                <w:color w:val="101820"/>
                <w:sz w:val="16"/>
              </w:rPr>
              <w:t>AIS compliance checklist; PRCM; TSR with 497 test cases and traceability to automated tests</w:t>
            </w:r>
          </w:p>
        </w:tc>
        <w:tc>
          <w:tcPr>
            <w:tcW w:type="dxa" w:w="1139"/>
          </w:tcPr>
          <w:p>
            <w:pPr>
              <w:spacing w:after="20"/>
            </w:pPr>
            <w:r>
              <w:rPr>
                <w:rFonts w:ascii="Segoe UI" w:hAnsi="Segoe UI" w:cs="Segoe UI" w:eastAsia="Segoe UI"/>
                <w:color w:val="101820"/>
                <w:sz w:val="16"/>
              </w:rPr>
              <w:t>AIS; PRCM; TSR</w:t>
            </w:r>
          </w:p>
        </w:tc>
      </w:tr>
    </w:tbl>
    <w:p>
      <w:pPr>
        <w:pStyle w:val="Heading1"/>
        <w:pageBreakBefore/>
      </w:pPr>
      <w:r>
        <w:rPr>
          <w:rFonts w:ascii="Segoe UI" w:hAnsi="Segoe UI" w:cs="Segoe UI" w:eastAsia="Segoe UI"/>
          <w:b/>
          <w:color w:val="0F4761"/>
          <w:sz w:val="32"/>
        </w:rPr>
        <w:t>17.  Open items before release to a broker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62"/>
        <w:gridCol w:w="4045"/>
      </w:tblGrid>
      <w:tr>
        <w:trPr>
          <w:tblHeader w:val="true"/>
        </w:trPr>
        <w:tc>
          <w:tcPr>
            <w:tcW w:type="dxa" w:w="907"/>
            <w:shd w:val="clear" w:color="auto" w:fill="DCE9F7"/>
          </w:tcPr>
          <w:p>
            <w:pPr>
              <w:spacing w:after="20"/>
            </w:pPr>
            <w:r>
              <w:rPr>
                <w:rFonts w:ascii="Segoe UI" w:hAnsi="Segoe UI" w:cs="Segoe UI" w:eastAsia="Segoe UI"/>
                <w:b/>
                <w:color w:val="0F4761"/>
                <w:sz w:val="18"/>
              </w:rPr>
              <w:t>#</w:t>
            </w:r>
          </w:p>
        </w:tc>
        <w:tc>
          <w:tcPr>
            <w:tcW w:type="dxa" w:w="4062"/>
            <w:shd w:val="clear" w:color="auto" w:fill="DCE9F7"/>
          </w:tcPr>
          <w:p>
            <w:pPr>
              <w:spacing w:after="20"/>
            </w:pPr>
            <w:r>
              <w:rPr>
                <w:rFonts w:ascii="Segoe UI" w:hAnsi="Segoe UI" w:cs="Segoe UI" w:eastAsia="Segoe UI"/>
                <w:b/>
                <w:color w:val="0F4761"/>
                <w:sz w:val="18"/>
              </w:rPr>
              <w:t>Item</w:t>
            </w:r>
          </w:p>
        </w:tc>
        <w:tc>
          <w:tcPr>
            <w:tcW w:type="dxa" w:w="4045"/>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1</w:t>
            </w:r>
          </w:p>
        </w:tc>
        <w:tc>
          <w:tcPr>
            <w:tcW w:type="dxa" w:w="4062"/>
          </w:tcPr>
          <w:p>
            <w:pPr>
              <w:spacing w:after="20"/>
            </w:pPr>
            <w:r>
              <w:rPr>
                <w:rFonts w:ascii="Segoe UI" w:hAnsi="Segoe UI" w:cs="Segoe UI" w:eastAsia="Segoe UI"/>
                <w:color w:val="101820"/>
                <w:sz w:val="18"/>
              </w:rPr>
              <w:t>Company registration details, financial statements, insurance cover (GOV-01, GOV-13, GOV-14)</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2</w:t>
            </w:r>
          </w:p>
        </w:tc>
        <w:tc>
          <w:tcPr>
            <w:tcW w:type="dxa" w:w="4062"/>
          </w:tcPr>
          <w:p>
            <w:pPr>
              <w:spacing w:after="20"/>
            </w:pPr>
            <w:r>
              <w:rPr>
                <w:rFonts w:ascii="Segoe UI" w:hAnsi="Segoe UI" w:cs="Segoe UI" w:eastAsia="Segoe UI"/>
                <w:color w:val="101820"/>
                <w:sz w:val="18"/>
              </w:rPr>
              <w:t>Information security policy, security officer, DPO and NPC registration (GOV-03 to GOV-05)</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3</w:t>
            </w:r>
          </w:p>
        </w:tc>
        <w:tc>
          <w:tcPr>
            <w:tcW w:type="dxa" w:w="4062"/>
          </w:tcPr>
          <w:p>
            <w:pPr>
              <w:spacing w:after="20"/>
            </w:pPr>
            <w:r>
              <w:rPr>
                <w:rFonts w:ascii="Segoe UI" w:hAnsi="Segoe UI" w:cs="Segoe UI" w:eastAsia="Segoe UI"/>
                <w:color w:val="101820"/>
                <w:sz w:val="18"/>
              </w:rPr>
              <w:t>ISO/IEC 27001 and SOC 2 plan with dates (GOV-06, GOV-07)</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4</w:t>
            </w:r>
          </w:p>
        </w:tc>
        <w:tc>
          <w:tcPr>
            <w:tcW w:type="dxa" w:w="4062"/>
          </w:tcPr>
          <w:p>
            <w:pPr>
              <w:spacing w:after="20"/>
            </w:pPr>
            <w:r>
              <w:rPr>
                <w:rFonts w:ascii="Segoe UI" w:hAnsi="Segoe UI" w:cs="Segoe UI" w:eastAsia="Segoe UI"/>
                <w:color w:val="101820"/>
                <w:sz w:val="18"/>
              </w:rPr>
              <w:t>Staff screening and training (GOV-10, GOV-12, SDL-09)</w:t>
            </w:r>
          </w:p>
        </w:tc>
        <w:tc>
          <w:tcPr>
            <w:tcW w:type="dxa" w:w="4045"/>
          </w:tcPr>
          <w:p>
            <w:pPr>
              <w:spacing w:after="20"/>
            </w:pPr>
            <w:r>
              <w:rPr>
                <w:rFonts w:ascii="Segoe UI" w:hAnsi="Segoe UI" w:cs="Segoe UI" w:eastAsia="Segoe UI"/>
                <w:color w:val="101820"/>
                <w:sz w:val="18"/>
              </w:rPr>
              <w:t>iorta TechNXT HR</w:t>
            </w:r>
          </w:p>
        </w:tc>
      </w:tr>
      <w:tr>
        <w:tc>
          <w:tcPr>
            <w:tcW w:type="dxa" w:w="907"/>
          </w:tcPr>
          <w:p>
            <w:pPr>
              <w:spacing w:after="20"/>
            </w:pPr>
            <w:r>
              <w:rPr>
                <w:rFonts w:ascii="Segoe UI" w:hAnsi="Segoe UI" w:cs="Segoe UI" w:eastAsia="Segoe UI"/>
                <w:color w:val="101820"/>
                <w:sz w:val="18"/>
              </w:rPr>
              <w:t>5</w:t>
            </w:r>
          </w:p>
        </w:tc>
        <w:tc>
          <w:tcPr>
            <w:tcW w:type="dxa" w:w="4062"/>
          </w:tcPr>
          <w:p>
            <w:pPr>
              <w:spacing w:after="20"/>
            </w:pPr>
            <w:r>
              <w:rPr>
                <w:rFonts w:ascii="Segoe UI" w:hAnsi="Segoe UI" w:cs="Segoe UI" w:eastAsia="Segoe UI"/>
                <w:color w:val="101820"/>
                <w:sz w:val="18"/>
              </w:rPr>
              <w:t>Production access list and approval, cloud audit logging, log shipping (ACC-16, ACC-17, LOG-06)</w:t>
            </w:r>
          </w:p>
        </w:tc>
        <w:tc>
          <w:tcPr>
            <w:tcW w:type="dxa" w:w="4045"/>
          </w:tcPr>
          <w:p>
            <w:pPr>
              <w:spacing w:after="20"/>
            </w:pPr>
            <w:r>
              <w:rPr>
                <w:rFonts w:ascii="Segoe UI" w:hAnsi="Segoe UI" w:cs="Segoe UI" w:eastAsia="Segoe UI"/>
                <w:color w:val="101820"/>
                <w:sz w:val="18"/>
              </w:rPr>
              <w:t>iorta TechNXT DevOps</w:t>
            </w:r>
          </w:p>
        </w:tc>
      </w:tr>
      <w:tr>
        <w:tc>
          <w:tcPr>
            <w:tcW w:type="dxa" w:w="907"/>
          </w:tcPr>
          <w:p>
            <w:pPr>
              <w:spacing w:after="20"/>
            </w:pPr>
            <w:r>
              <w:rPr>
                <w:rFonts w:ascii="Segoe UI" w:hAnsi="Segoe UI" w:cs="Segoe UI" w:eastAsia="Segoe UI"/>
                <w:color w:val="101820"/>
                <w:sz w:val="18"/>
              </w:rPr>
              <w:t>6</w:t>
            </w:r>
          </w:p>
        </w:tc>
        <w:tc>
          <w:tcPr>
            <w:tcW w:type="dxa" w:w="4062"/>
          </w:tcPr>
          <w:p>
            <w:pPr>
              <w:spacing w:after="20"/>
            </w:pPr>
            <w:r>
              <w:rPr>
                <w:rFonts w:ascii="Segoe UI" w:hAnsi="Segoe UI" w:cs="Segoe UI" w:eastAsia="Segoe UI"/>
                <w:color w:val="101820"/>
                <w:sz w:val="18"/>
              </w:rPr>
              <w:t>Key ownership per hosting option, TLS minimum, antivirus on uploads (CRY-01, CRY-05, APP-06)</w:t>
            </w:r>
          </w:p>
        </w:tc>
        <w:tc>
          <w:tcPr>
            <w:tcW w:type="dxa" w:w="4045"/>
          </w:tcPr>
          <w:p>
            <w:pPr>
              <w:spacing w:after="20"/>
            </w:pPr>
            <w:r>
              <w:rPr>
                <w:rFonts w:ascii="Segoe UI" w:hAnsi="Segoe UI" w:cs="Segoe UI" w:eastAsia="Segoe UI"/>
                <w:color w:val="101820"/>
                <w:sz w:val="18"/>
              </w:rPr>
              <w:t>iorta TechNXT DevOps</w:t>
            </w:r>
          </w:p>
        </w:tc>
      </w:tr>
      <w:tr>
        <w:tc>
          <w:tcPr>
            <w:tcW w:type="dxa" w:w="907"/>
          </w:tcPr>
          <w:p>
            <w:pPr>
              <w:spacing w:after="20"/>
            </w:pPr>
            <w:r>
              <w:rPr>
                <w:rFonts w:ascii="Segoe UI" w:hAnsi="Segoe UI" w:cs="Segoe UI" w:eastAsia="Segoe UI"/>
                <w:color w:val="101820"/>
                <w:sz w:val="18"/>
              </w:rPr>
              <w:t>7</w:t>
            </w:r>
          </w:p>
        </w:tc>
        <w:tc>
          <w:tcPr>
            <w:tcW w:type="dxa" w:w="4062"/>
          </w:tcPr>
          <w:p>
            <w:pPr>
              <w:spacing w:after="20"/>
            </w:pPr>
            <w:r>
              <w:rPr>
                <w:rFonts w:ascii="Segoe UI" w:hAnsi="Segoe UI" w:cs="Segoe UI" w:eastAsia="Segoe UI"/>
                <w:color w:val="101820"/>
                <w:sz w:val="18"/>
              </w:rPr>
              <w:t>Philippine hosting partner and support team location (SUB-03, SUB-05)</w:t>
            </w:r>
          </w:p>
        </w:tc>
        <w:tc>
          <w:tcPr>
            <w:tcW w:type="dxa" w:w="4045"/>
          </w:tcPr>
          <w:p>
            <w:pPr>
              <w:spacing w:after="20"/>
            </w:pPr>
            <w:r>
              <w:rPr>
                <w:rFonts w:ascii="Segoe UI" w:hAnsi="Segoe UI" w:cs="Segoe UI" w:eastAsia="Segoe UI"/>
                <w:color w:val="101820"/>
                <w:sz w:val="18"/>
              </w:rPr>
              <w:t>iorta TechNXT management</w:t>
            </w:r>
          </w:p>
        </w:tc>
      </w:tr>
      <w:tr>
        <w:tc>
          <w:tcPr>
            <w:tcW w:type="dxa" w:w="907"/>
          </w:tcPr>
          <w:p>
            <w:pPr>
              <w:spacing w:after="20"/>
            </w:pPr>
            <w:r>
              <w:rPr>
                <w:rFonts w:ascii="Segoe UI" w:hAnsi="Segoe UI" w:cs="Segoe UI" w:eastAsia="Segoe UI"/>
                <w:color w:val="101820"/>
                <w:sz w:val="18"/>
              </w:rPr>
              <w:t>8</w:t>
            </w:r>
          </w:p>
        </w:tc>
        <w:tc>
          <w:tcPr>
            <w:tcW w:type="dxa" w:w="4062"/>
          </w:tcPr>
          <w:p>
            <w:pPr>
              <w:spacing w:after="20"/>
            </w:pPr>
            <w:r>
              <w:rPr>
                <w:rFonts w:ascii="Segoe UI" w:hAnsi="Segoe UI" w:cs="Segoe UI" w:eastAsia="Segoe UI"/>
                <w:color w:val="101820"/>
                <w:sz w:val="18"/>
              </w:rPr>
              <w:t>IC circular numbers and IC examination right (REG-01, REG-03, AUD-03)</w:t>
            </w:r>
          </w:p>
        </w:tc>
        <w:tc>
          <w:tcPr>
            <w:tcW w:type="dxa" w:w="4045"/>
          </w:tcPr>
          <w:p>
            <w:pPr>
              <w:spacing w:after="20"/>
            </w:pPr>
            <w:r>
              <w:rPr>
                <w:rFonts w:ascii="Segoe UI" w:hAnsi="Segoe UI" w:cs="Segoe UI" w:eastAsia="Segoe UI"/>
                <w:color w:val="101820"/>
                <w:sz w:val="18"/>
              </w:rPr>
              <w:t>Broker compliance officer with iorta TechNXT legal</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18.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Answers marked [to confirm] need a signed-off answer from iorta TechNXT management before the questionnaire is released to a broker</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