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Business Continuity and Disaster Recovery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Business Continuity and Disaster Recovery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BCP</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Business continuity plan</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RTO</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time objective</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RPO</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point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PITR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Point-in-time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WAL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Write-ahead log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AZ</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Availability zone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DNS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Domain Name System</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CDN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Content delivery network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 (UTC+8)</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L1, L2, L3</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Support levels 1, 2 and 3</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P1</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Severity 1 (critical)</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plan sets out how BrokerVerse OOTB and the broking work that depends on it continue, or are restored, after a disruption: the failure of a server, a database or a whole hosting region, a corrupted database, a ransomware attack, the loss of a key person, or the end of the relationship with iorta TechNXT. It gives the recovery objectives per hosting option, the backup scheme, the restore procedures, the drill plan and the evidence kept, the roles and the communication.</w:t>
      </w:r>
    </w:p>
    <w:p>
      <w:pPr>
        <w:spacing w:after="120" w:line="276" w:lineRule="auto"/>
      </w:pPr>
      <w:r>
        <w:rPr>
          <w:rFonts w:ascii="Segoe UI" w:hAnsi="Segoe UI" w:cs="Segoe UI" w:eastAsia="Segoe UI"/>
          <w:color w:val="101820"/>
          <w:sz w:val="21"/>
        </w:rPr>
        <w:t>It is written for the broker's management, IT head, Accounting Manager and DPO, and for the iorta TechNXT support and DevOps teams.</w:t>
      </w:r>
    </w:p>
    <w:p>
      <w:pPr>
        <w:pStyle w:val="Heading2"/>
      </w:pPr>
      <w:r>
        <w:rPr>
          <w:rFonts w:ascii="Segoe UI" w:hAnsi="Segoe UI" w:cs="Segoe UI" w:eastAsia="Segoe UI"/>
          <w:b/>
          <w:color w:val="0F4761"/>
          <w:sz w:val="26"/>
        </w:rPr>
        <w:t>3.2  Sources and labels</w:t>
      </w:r>
    </w:p>
    <w:p>
      <w:pPr>
        <w:spacing w:after="120" w:line="276" w:lineRule="auto"/>
      </w:pPr>
      <w:r>
        <w:rPr>
          <w:rFonts w:ascii="Segoe UI" w:hAnsi="Segoe UI" w:cs="Segoe UI" w:eastAsia="Segoe UI"/>
          <w:color w:val="101820"/>
          <w:sz w:val="21"/>
        </w:rPr>
        <w:t>The recovery objectives and the backup scheme come from the Architecture, Infrastructure, Security and Data Privacy document (chapter on high availability, backup and recovery), the Solution Architecture documents 07 (high availability), 08 (RTO and RPO) and 09 (backup and recovery), the Hosting and Infrastructure Services Agreement and the Production Support Approach and Standards.</w:t>
      </w:r>
    </w:p>
    <w:p>
      <w:pPr>
        <w:spacing w:after="60"/>
        <w:numPr>
          <w:ilvl w:val="0"/>
          <w:numId w:val="3"/>
        </w:numPr>
      </w:pPr>
      <w:r>
        <w:rPr>
          <w:rFonts w:ascii="Segoe UI" w:hAnsi="Segoe UI" w:cs="Segoe UI" w:eastAsia="Segoe UI"/>
          <w:b/>
          <w:color w:val="101820"/>
          <w:sz w:val="21"/>
        </w:rPr>
        <w:t>Recommended</w:t>
      </w:r>
      <w:r>
        <w:rPr>
          <w:rFonts w:ascii="Segoe UI" w:hAnsi="Segoe UI" w:cs="Segoe UI" w:eastAsia="Segoe UI"/>
          <w:color w:val="101820"/>
          <w:sz w:val="21"/>
        </w:rPr>
        <w:t xml:space="preserve"> marks a procedure or a value that iorta TechNXT advises and that is not built into the code or the deployment package.</w:t>
      </w:r>
    </w:p>
    <w:p>
      <w:pPr>
        <w:spacing w:after="60"/>
        <w:numPr>
          <w:ilvl w:val="0"/>
          <w:numId w:val="3"/>
        </w:numPr>
      </w:pPr>
      <w:r>
        <w:rPr>
          <w:rFonts w:ascii="Segoe UI" w:hAnsi="Segoe UI" w:cs="Segoe UI" w:eastAsia="Segoe UI"/>
          <w:b/>
          <w:color w:val="101820"/>
          <w:sz w:val="21"/>
        </w:rPr>
        <w:t>[to confirm]</w:t>
      </w:r>
      <w:r>
        <w:rPr>
          <w:rFonts w:ascii="Segoe UI" w:hAnsi="Segoe UI" w:cs="Segoe UI" w:eastAsia="Segoe UI"/>
          <w:color w:val="101820"/>
          <w:sz w:val="21"/>
        </w:rPr>
        <w:t xml:space="preserve"> marks a fact that must be completed for each broker (names, telephone numbers, partner details) or decided by iorta TechNXT management.</w:t>
      </w:r>
    </w:p>
    <w:p>
      <w:pPr>
        <w:spacing w:after="120" w:line="276" w:lineRule="auto"/>
      </w:pPr>
      <w:r>
        <w:rPr>
          <w:rFonts w:ascii="Segoe UI" w:hAnsi="Segoe UI" w:cs="Segoe UI" w:eastAsia="Segoe UI"/>
          <w:color w:val="101820"/>
          <w:sz w:val="21"/>
        </w:rPr>
        <w:t>Nothing in the code sets an RTO or RPO. The objectives in this plan become binding only when the broker accepts them in the Order Form and the environment is provisioned to meet them.</w:t>
      </w:r>
    </w:p>
    <w:p>
      <w:pPr>
        <w:pStyle w:val="Heading2"/>
      </w:pPr>
      <w:r>
        <w:rPr>
          <w:rFonts w:ascii="Segoe UI" w:hAnsi="Segoe UI" w:cs="Segoe UI" w:eastAsia="Segoe UI"/>
          <w:b/>
          <w:color w:val="0F4761"/>
          <w:sz w:val="26"/>
        </w:rPr>
        <w:t>3.3  Scope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In scope</w:t>
            </w:r>
          </w:p>
        </w:tc>
        <w:tc>
          <w:tcPr>
            <w:tcW w:type="dxa" w:w="4507"/>
            <w:shd w:val="clear" w:color="auto" w:fill="DCE9F7"/>
          </w:tcPr>
          <w:p>
            <w:pPr>
              <w:spacing w:after="20"/>
            </w:pPr>
            <w:r>
              <w:rPr>
                <w:rFonts w:ascii="Segoe UI" w:hAnsi="Segoe UI" w:cs="Segoe UI" w:eastAsia="Segoe UI"/>
                <w:b/>
                <w:color w:val="0F4761"/>
                <w:sz w:val="18"/>
              </w:rPr>
              <w:t>Out of scope</w:t>
            </w:r>
          </w:p>
        </w:tc>
      </w:tr>
      <w:tr>
        <w:tc>
          <w:tcPr>
            <w:tcW w:type="dxa" w:w="4507"/>
          </w:tcPr>
          <w:p>
            <w:pPr>
              <w:spacing w:after="20"/>
            </w:pPr>
            <w:r>
              <w:rPr>
                <w:rFonts w:ascii="Segoe UI" w:hAnsi="Segoe UI" w:cs="Segoe UI" w:eastAsia="Segoe UI"/>
                <w:color w:val="101820"/>
                <w:sz w:val="18"/>
              </w:rPr>
              <w:t>The BrokerVerse production environment: web front end, API instances, PostgreSQL database, file store, secrets, scheduled jobs and outgoing e-mail</w:t>
            </w:r>
          </w:p>
        </w:tc>
        <w:tc>
          <w:tcPr>
            <w:tcW w:type="dxa" w:w="4507"/>
          </w:tcPr>
          <w:p>
            <w:pPr>
              <w:spacing w:after="20"/>
            </w:pPr>
            <w:r>
              <w:rPr>
                <w:rFonts w:ascii="Segoe UI" w:hAnsi="Segoe UI" w:cs="Segoe UI" w:eastAsia="Segoe UI"/>
                <w:color w:val="101820"/>
                <w:sz w:val="18"/>
              </w:rPr>
              <w:t>The broker's own office network, devices, telephony and premises</w:t>
            </w:r>
          </w:p>
        </w:tc>
      </w:tr>
      <w:tr>
        <w:tc>
          <w:tcPr>
            <w:tcW w:type="dxa" w:w="4507"/>
          </w:tcPr>
          <w:p>
            <w:pPr>
              <w:spacing w:after="20"/>
            </w:pPr>
            <w:r>
              <w:rPr>
                <w:rFonts w:ascii="Segoe UI" w:hAnsi="Segoe UI" w:cs="Segoe UI" w:eastAsia="Segoe UI"/>
                <w:color w:val="101820"/>
                <w:sz w:val="18"/>
              </w:rPr>
              <w:t>The DR environment or cross-region backups, where the Order Form includes them</w:t>
            </w:r>
          </w:p>
        </w:tc>
        <w:tc>
          <w:tcPr>
            <w:tcW w:type="dxa" w:w="4507"/>
          </w:tcPr>
          <w:p>
            <w:pPr>
              <w:spacing w:after="20"/>
            </w:pPr>
            <w:r>
              <w:rPr>
                <w:rFonts w:ascii="Segoe UI" w:hAnsi="Segoe UI" w:cs="Segoe UI" w:eastAsia="Segoe UI"/>
                <w:color w:val="101820"/>
                <w:sz w:val="18"/>
              </w:rPr>
              <w:t>The insurers', banks' and payment gateways' own systems</w:t>
            </w:r>
          </w:p>
        </w:tc>
      </w:tr>
      <w:tr>
        <w:tc>
          <w:tcPr>
            <w:tcW w:type="dxa" w:w="4507"/>
          </w:tcPr>
          <w:p>
            <w:pPr>
              <w:spacing w:after="20"/>
            </w:pPr>
            <w:r>
              <w:rPr>
                <w:rFonts w:ascii="Segoe UI" w:hAnsi="Segoe UI" w:cs="Segoe UI" w:eastAsia="Segoe UI"/>
                <w:color w:val="101820"/>
                <w:sz w:val="18"/>
              </w:rPr>
              <w:t>The iorta TechNXT support and engineering service for BrokerVerse</w:t>
            </w:r>
          </w:p>
        </w:tc>
        <w:tc>
          <w:tcPr>
            <w:tcW w:type="dxa" w:w="4507"/>
          </w:tcPr>
          <w:p>
            <w:pPr>
              <w:spacing w:after="20"/>
            </w:pPr>
            <w:r>
              <w:rPr>
                <w:rFonts w:ascii="Segoe UI" w:hAnsi="Segoe UI" w:cs="Segoe UI" w:eastAsia="Segoe UI"/>
                <w:color w:val="101820"/>
                <w:sz w:val="18"/>
              </w:rPr>
              <w:t>The broker's corporate business continuity plan, which this plan feeds into</w:t>
            </w:r>
          </w:p>
        </w:tc>
      </w:tr>
      <w:tr>
        <w:tc>
          <w:tcPr>
            <w:tcW w:type="dxa" w:w="4507"/>
          </w:tcPr>
          <w:p>
            <w:pPr>
              <w:spacing w:after="20"/>
            </w:pPr>
            <w:r>
              <w:rPr>
                <w:rFonts w:ascii="Segoe UI" w:hAnsi="Segoe UI" w:cs="Segoe UI" w:eastAsia="Segoe UI"/>
                <w:color w:val="101820"/>
                <w:sz w:val="18"/>
              </w:rPr>
              <w:t>Manual workarounds for the broker's critical business processes while the system is down</w:t>
            </w:r>
          </w:p>
        </w:tc>
        <w:tc>
          <w:tcPr>
            <w:tcW w:type="dxa" w:w="4507"/>
          </w:tcPr>
          <w:p>
            <w:pPr>
              <w:spacing w:after="20"/>
            </w:pPr>
            <w:r>
              <w:rPr>
                <w:rFonts w:ascii="Segoe UI" w:hAnsi="Segoe UI" w:cs="Segoe UI" w:eastAsia="Segoe UI"/>
                <w:color w:val="101820"/>
                <w:sz w:val="18"/>
              </w:rPr>
              <w:t>Recovery of data deleted by users beyond what the backups hold</w:t>
            </w:r>
          </w:p>
        </w:tc>
      </w:tr>
    </w:tbl>
    <w:p>
      <w:pPr>
        <w:pStyle w:val="Heading1"/>
        <w:pageBreakBefore/>
      </w:pPr>
      <w:r>
        <w:rPr>
          <w:rFonts w:ascii="Segoe UI" w:hAnsi="Segoe UI" w:cs="Segoe UI" w:eastAsia="Segoe UI"/>
          <w:b/>
          <w:color w:val="0F4761"/>
          <w:sz w:val="32"/>
        </w:rPr>
        <w:t>4.  What must be recovered</w:t>
      </w:r>
    </w:p>
    <w:p>
      <w:pPr>
        <w:pStyle w:val="Heading2"/>
      </w:pPr>
      <w:r>
        <w:rPr>
          <w:rFonts w:ascii="Segoe UI" w:hAnsi="Segoe UI" w:cs="Segoe UI" w:eastAsia="Segoe UI"/>
          <w:b/>
          <w:color w:val="0F4761"/>
          <w:sz w:val="26"/>
        </w:rPr>
        <w:t>4.1  Critical business processes</w:t>
      </w:r>
    </w:p>
    <w:p>
      <w:pPr>
        <w:spacing w:after="120" w:line="276" w:lineRule="auto"/>
      </w:pPr>
      <w:r>
        <w:rPr>
          <w:rFonts w:ascii="Segoe UI" w:hAnsi="Segoe UI" w:cs="Segoe UI" w:eastAsia="Segoe UI"/>
          <w:color w:val="101820"/>
          <w:sz w:val="21"/>
        </w:rPr>
        <w:t>The broker ranks its processes at the start of the engagement. The ranking below is the default proposal.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747"/>
        <w:gridCol w:w="2657"/>
        <w:gridCol w:w="2704"/>
      </w:tblGrid>
      <w:tr>
        <w:trPr>
          <w:tblHeader w:val="true"/>
        </w:trPr>
        <w:tc>
          <w:tcPr>
            <w:tcW w:type="dxa" w:w="907"/>
            <w:shd w:val="clear" w:color="auto" w:fill="DCE9F7"/>
          </w:tcPr>
          <w:p>
            <w:pPr>
              <w:spacing w:after="20"/>
            </w:pPr>
            <w:r>
              <w:rPr>
                <w:rFonts w:ascii="Segoe UI" w:hAnsi="Segoe UI" w:cs="Segoe UI" w:eastAsia="Segoe UI"/>
                <w:b/>
                <w:color w:val="0F4761"/>
                <w:sz w:val="18"/>
              </w:rPr>
              <w:t>Rank</w:t>
            </w:r>
          </w:p>
        </w:tc>
        <w:tc>
          <w:tcPr>
            <w:tcW w:type="dxa" w:w="2747"/>
            <w:shd w:val="clear" w:color="auto" w:fill="DCE9F7"/>
          </w:tcPr>
          <w:p>
            <w:pPr>
              <w:spacing w:after="20"/>
            </w:pPr>
            <w:r>
              <w:rPr>
                <w:rFonts w:ascii="Segoe UI" w:hAnsi="Segoe UI" w:cs="Segoe UI" w:eastAsia="Segoe UI"/>
                <w:b/>
                <w:color w:val="0F4761"/>
                <w:sz w:val="18"/>
              </w:rPr>
              <w:t>Process</w:t>
            </w:r>
          </w:p>
        </w:tc>
        <w:tc>
          <w:tcPr>
            <w:tcW w:type="dxa" w:w="2657"/>
            <w:shd w:val="clear" w:color="auto" w:fill="DCE9F7"/>
          </w:tcPr>
          <w:p>
            <w:pPr>
              <w:spacing w:after="20"/>
            </w:pPr>
            <w:r>
              <w:rPr>
                <w:rFonts w:ascii="Segoe UI" w:hAnsi="Segoe UI" w:cs="Segoe UI" w:eastAsia="Segoe UI"/>
                <w:b/>
                <w:color w:val="0F4761"/>
                <w:sz w:val="18"/>
              </w:rPr>
              <w:t>Maximum tolerable outage (proposal)</w:t>
            </w:r>
          </w:p>
        </w:tc>
        <w:tc>
          <w:tcPr>
            <w:tcW w:type="dxa" w:w="2704"/>
            <w:shd w:val="clear" w:color="auto" w:fill="DCE9F7"/>
          </w:tcPr>
          <w:p>
            <w:pPr>
              <w:spacing w:after="20"/>
            </w:pPr>
            <w:r>
              <w:rPr>
                <w:rFonts w:ascii="Segoe UI" w:hAnsi="Segoe UI" w:cs="Segoe UI" w:eastAsia="Segoe UI"/>
                <w:b/>
                <w:color w:val="0F4761"/>
                <w:sz w:val="18"/>
              </w:rPr>
              <w:t>Why</w:t>
            </w:r>
          </w:p>
        </w:tc>
      </w:tr>
      <w:tr>
        <w:tc>
          <w:tcPr>
            <w:tcW w:type="dxa" w:w="907"/>
          </w:tcPr>
          <w:p>
            <w:pPr>
              <w:spacing w:after="20"/>
            </w:pPr>
            <w:r>
              <w:rPr>
                <w:rFonts w:ascii="Segoe UI" w:hAnsi="Segoe UI" w:cs="Segoe UI" w:eastAsia="Segoe UI"/>
                <w:color w:val="101820"/>
                <w:sz w:val="18"/>
              </w:rPr>
              <w:t>1</w:t>
            </w:r>
          </w:p>
        </w:tc>
        <w:tc>
          <w:tcPr>
            <w:tcW w:type="dxa" w:w="2747"/>
          </w:tcPr>
          <w:p>
            <w:pPr>
              <w:spacing w:after="20"/>
            </w:pPr>
            <w:r>
              <w:rPr>
                <w:rFonts w:ascii="Segoe UI" w:hAnsi="Segoe UI" w:cs="Segoe UI" w:eastAsia="Segoe UI"/>
                <w:color w:val="101820"/>
                <w:sz w:val="18"/>
              </w:rPr>
              <w:t>Official receipts and payment capture</w:t>
            </w:r>
          </w:p>
        </w:tc>
        <w:tc>
          <w:tcPr>
            <w:tcW w:type="dxa" w:w="2657"/>
          </w:tcPr>
          <w:p>
            <w:pPr>
              <w:spacing w:after="20"/>
            </w:pPr>
            <w:r>
              <w:rPr>
                <w:rFonts w:ascii="Segoe UI" w:hAnsi="Segoe UI" w:cs="Segoe UI" w:eastAsia="Segoe UI"/>
                <w:color w:val="101820"/>
                <w:sz w:val="18"/>
              </w:rPr>
              <w:t>1 business day</w:t>
            </w:r>
          </w:p>
        </w:tc>
        <w:tc>
          <w:tcPr>
            <w:tcW w:type="dxa" w:w="2704"/>
          </w:tcPr>
          <w:p>
            <w:pPr>
              <w:spacing w:after="20"/>
            </w:pPr>
            <w:r>
              <w:rPr>
                <w:rFonts w:ascii="Segoe UI" w:hAnsi="Segoe UI" w:cs="Segoe UI" w:eastAsia="Segoe UI"/>
                <w:color w:val="101820"/>
                <w:sz w:val="18"/>
              </w:rPr>
              <w:t>Clients pay daily; receipts must follow the BIR rules on the day of payment</w:t>
            </w:r>
          </w:p>
        </w:tc>
      </w:tr>
      <w:tr>
        <w:tc>
          <w:tcPr>
            <w:tcW w:type="dxa" w:w="907"/>
          </w:tcPr>
          <w:p>
            <w:pPr>
              <w:spacing w:after="20"/>
            </w:pPr>
            <w:r>
              <w:rPr>
                <w:rFonts w:ascii="Segoe UI" w:hAnsi="Segoe UI" w:cs="Segoe UI" w:eastAsia="Segoe UI"/>
                <w:color w:val="101820"/>
                <w:sz w:val="18"/>
              </w:rPr>
              <w:t>2</w:t>
            </w:r>
          </w:p>
        </w:tc>
        <w:tc>
          <w:tcPr>
            <w:tcW w:type="dxa" w:w="2747"/>
          </w:tcPr>
          <w:p>
            <w:pPr>
              <w:spacing w:after="20"/>
            </w:pPr>
            <w:r>
              <w:rPr>
                <w:rFonts w:ascii="Segoe UI" w:hAnsi="Segoe UI" w:cs="Segoe UI" w:eastAsia="Segoe UI"/>
                <w:color w:val="101820"/>
                <w:sz w:val="18"/>
              </w:rPr>
              <w:t>Policy issuance, including motor and CTPL</w:t>
            </w:r>
          </w:p>
        </w:tc>
        <w:tc>
          <w:tcPr>
            <w:tcW w:type="dxa" w:w="2657"/>
          </w:tcPr>
          <w:p>
            <w:pPr>
              <w:spacing w:after="20"/>
            </w:pPr>
            <w:r>
              <w:rPr>
                <w:rFonts w:ascii="Segoe UI" w:hAnsi="Segoe UI" w:cs="Segoe UI" w:eastAsia="Segoe UI"/>
                <w:color w:val="101820"/>
                <w:sz w:val="18"/>
              </w:rPr>
              <w:t>1 business day</w:t>
            </w:r>
          </w:p>
        </w:tc>
        <w:tc>
          <w:tcPr>
            <w:tcW w:type="dxa" w:w="2704"/>
          </w:tcPr>
          <w:p>
            <w:pPr>
              <w:spacing w:after="20"/>
            </w:pPr>
            <w:r>
              <w:rPr>
                <w:rFonts w:ascii="Segoe UI" w:hAnsi="Segoe UI" w:cs="Segoe UI" w:eastAsia="Segoe UI"/>
                <w:color w:val="101820"/>
                <w:sz w:val="18"/>
              </w:rPr>
              <w:t>Clients need cover and the certificate of cover to register vehicles</w:t>
            </w:r>
          </w:p>
        </w:tc>
      </w:tr>
      <w:tr>
        <w:tc>
          <w:tcPr>
            <w:tcW w:type="dxa" w:w="907"/>
          </w:tcPr>
          <w:p>
            <w:pPr>
              <w:spacing w:after="20"/>
            </w:pPr>
            <w:r>
              <w:rPr>
                <w:rFonts w:ascii="Segoe UI" w:hAnsi="Segoe UI" w:cs="Segoe UI" w:eastAsia="Segoe UI"/>
                <w:color w:val="101820"/>
                <w:sz w:val="18"/>
              </w:rPr>
              <w:t>3</w:t>
            </w:r>
          </w:p>
        </w:tc>
        <w:tc>
          <w:tcPr>
            <w:tcW w:type="dxa" w:w="2747"/>
          </w:tcPr>
          <w:p>
            <w:pPr>
              <w:spacing w:after="20"/>
            </w:pPr>
            <w:r>
              <w:rPr>
                <w:rFonts w:ascii="Segoe UI" w:hAnsi="Segoe UI" w:cs="Segoe UI" w:eastAsia="Segoe UI"/>
                <w:color w:val="101820"/>
                <w:sz w:val="18"/>
              </w:rPr>
              <w:t>Claims notification and status</w:t>
            </w:r>
          </w:p>
        </w:tc>
        <w:tc>
          <w:tcPr>
            <w:tcW w:type="dxa" w:w="2657"/>
          </w:tcPr>
          <w:p>
            <w:pPr>
              <w:spacing w:after="20"/>
            </w:pPr>
            <w:r>
              <w:rPr>
                <w:rFonts w:ascii="Segoe UI" w:hAnsi="Segoe UI" w:cs="Segoe UI" w:eastAsia="Segoe UI"/>
                <w:color w:val="101820"/>
                <w:sz w:val="18"/>
              </w:rPr>
              <w:t>1 business day</w:t>
            </w:r>
          </w:p>
        </w:tc>
        <w:tc>
          <w:tcPr>
            <w:tcW w:type="dxa" w:w="2704"/>
          </w:tcPr>
          <w:p>
            <w:pPr>
              <w:spacing w:after="20"/>
            </w:pPr>
            <w:r>
              <w:rPr>
                <w:rFonts w:ascii="Segoe UI" w:hAnsi="Segoe UI" w:cs="Segoe UI" w:eastAsia="Segoe UI"/>
                <w:color w:val="101820"/>
                <w:sz w:val="18"/>
              </w:rPr>
              <w:t>Loss advice to insurers is time-bound</w:t>
            </w:r>
          </w:p>
        </w:tc>
      </w:tr>
      <w:tr>
        <w:tc>
          <w:tcPr>
            <w:tcW w:type="dxa" w:w="907"/>
          </w:tcPr>
          <w:p>
            <w:pPr>
              <w:spacing w:after="20"/>
            </w:pPr>
            <w:r>
              <w:rPr>
                <w:rFonts w:ascii="Segoe UI" w:hAnsi="Segoe UI" w:cs="Segoe UI" w:eastAsia="Segoe UI"/>
                <w:color w:val="101820"/>
                <w:sz w:val="18"/>
              </w:rPr>
              <w:t>4</w:t>
            </w:r>
          </w:p>
        </w:tc>
        <w:tc>
          <w:tcPr>
            <w:tcW w:type="dxa" w:w="2747"/>
          </w:tcPr>
          <w:p>
            <w:pPr>
              <w:spacing w:after="20"/>
            </w:pPr>
            <w:r>
              <w:rPr>
                <w:rFonts w:ascii="Segoe UI" w:hAnsi="Segoe UI" w:cs="Segoe UI" w:eastAsia="Segoe UI"/>
                <w:color w:val="101820"/>
                <w:sz w:val="18"/>
              </w:rPr>
              <w:t>Remittance to insurers</w:t>
            </w:r>
          </w:p>
        </w:tc>
        <w:tc>
          <w:tcPr>
            <w:tcW w:type="dxa" w:w="2657"/>
          </w:tcPr>
          <w:p>
            <w:pPr>
              <w:spacing w:after="20"/>
            </w:pPr>
            <w:r>
              <w:rPr>
                <w:rFonts w:ascii="Segoe UI" w:hAnsi="Segoe UI" w:cs="Segoe UI" w:eastAsia="Segoe UI"/>
                <w:color w:val="101820"/>
                <w:sz w:val="18"/>
              </w:rPr>
              <w:t>3 business days</w:t>
            </w:r>
          </w:p>
        </w:tc>
        <w:tc>
          <w:tcPr>
            <w:tcW w:type="dxa" w:w="2704"/>
          </w:tcPr>
          <w:p>
            <w:pPr>
              <w:spacing w:after="20"/>
            </w:pPr>
            <w:r>
              <w:rPr>
                <w:rFonts w:ascii="Segoe UI" w:hAnsi="Segoe UI" w:cs="Segoe UI" w:eastAsia="Segoe UI"/>
                <w:color w:val="101820"/>
                <w:sz w:val="18"/>
              </w:rPr>
              <w:t>Remittance is due on the insurer's terms; a short delay is usually acceptable if insurers are told</w:t>
            </w:r>
          </w:p>
        </w:tc>
      </w:tr>
      <w:tr>
        <w:tc>
          <w:tcPr>
            <w:tcW w:type="dxa" w:w="907"/>
          </w:tcPr>
          <w:p>
            <w:pPr>
              <w:spacing w:after="20"/>
            </w:pPr>
            <w:r>
              <w:rPr>
                <w:rFonts w:ascii="Segoe UI" w:hAnsi="Segoe UI" w:cs="Segoe UI" w:eastAsia="Segoe UI"/>
                <w:color w:val="101820"/>
                <w:sz w:val="18"/>
              </w:rPr>
              <w:t>5</w:t>
            </w:r>
          </w:p>
        </w:tc>
        <w:tc>
          <w:tcPr>
            <w:tcW w:type="dxa" w:w="2747"/>
          </w:tcPr>
          <w:p>
            <w:pPr>
              <w:spacing w:after="20"/>
            </w:pPr>
            <w:r>
              <w:rPr>
                <w:rFonts w:ascii="Segoe UI" w:hAnsi="Segoe UI" w:cs="Segoe UI" w:eastAsia="Segoe UI"/>
                <w:color w:val="101820"/>
                <w:sz w:val="18"/>
              </w:rPr>
              <w:t>Endorsements, renewals and quotations</w:t>
            </w:r>
          </w:p>
        </w:tc>
        <w:tc>
          <w:tcPr>
            <w:tcW w:type="dxa" w:w="2657"/>
          </w:tcPr>
          <w:p>
            <w:pPr>
              <w:spacing w:after="20"/>
            </w:pPr>
            <w:r>
              <w:rPr>
                <w:rFonts w:ascii="Segoe UI" w:hAnsi="Segoe UI" w:cs="Segoe UI" w:eastAsia="Segoe UI"/>
                <w:color w:val="101820"/>
                <w:sz w:val="18"/>
              </w:rPr>
              <w:t>3 business days</w:t>
            </w:r>
          </w:p>
        </w:tc>
        <w:tc>
          <w:tcPr>
            <w:tcW w:type="dxa" w:w="2704"/>
          </w:tcPr>
          <w:p>
            <w:pPr>
              <w:spacing w:after="20"/>
            </w:pPr>
            <w:r>
              <w:rPr>
                <w:rFonts w:ascii="Segoe UI" w:hAnsi="Segoe UI" w:cs="Segoe UI" w:eastAsia="Segoe UI"/>
                <w:color w:val="101820"/>
                <w:sz w:val="18"/>
              </w:rPr>
              <w:t>Renewal notices run 60, 30 and 15 days before expiry, so a short outage does not cause a lapse</w:t>
            </w:r>
          </w:p>
        </w:tc>
      </w:tr>
      <w:tr>
        <w:tc>
          <w:tcPr>
            <w:tcW w:type="dxa" w:w="907"/>
          </w:tcPr>
          <w:p>
            <w:pPr>
              <w:spacing w:after="20"/>
            </w:pPr>
            <w:r>
              <w:rPr>
                <w:rFonts w:ascii="Segoe UI" w:hAnsi="Segoe UI" w:cs="Segoe UI" w:eastAsia="Segoe UI"/>
                <w:color w:val="101820"/>
                <w:sz w:val="18"/>
              </w:rPr>
              <w:t>6</w:t>
            </w:r>
          </w:p>
        </w:tc>
        <w:tc>
          <w:tcPr>
            <w:tcW w:type="dxa" w:w="2747"/>
          </w:tcPr>
          <w:p>
            <w:pPr>
              <w:spacing w:after="20"/>
            </w:pPr>
            <w:r>
              <w:rPr>
                <w:rFonts w:ascii="Segoe UI" w:hAnsi="Segoe UI" w:cs="Segoe UI" w:eastAsia="Segoe UI"/>
                <w:color w:val="101820"/>
                <w:sz w:val="18"/>
              </w:rPr>
              <w:t>Month-end close, bank and insurer reconciliation, BIR working papers</w:t>
            </w:r>
          </w:p>
        </w:tc>
        <w:tc>
          <w:tcPr>
            <w:tcW w:type="dxa" w:w="2657"/>
          </w:tcPr>
          <w:p>
            <w:pPr>
              <w:spacing w:after="20"/>
            </w:pPr>
            <w:r>
              <w:rPr>
                <w:rFonts w:ascii="Segoe UI" w:hAnsi="Segoe UI" w:cs="Segoe UI" w:eastAsia="Segoe UI"/>
                <w:color w:val="101820"/>
                <w:sz w:val="18"/>
              </w:rPr>
              <w:t>5 business days, except around filing deadlines</w:t>
            </w:r>
          </w:p>
        </w:tc>
        <w:tc>
          <w:tcPr>
            <w:tcW w:type="dxa" w:w="2704"/>
          </w:tcPr>
          <w:p>
            <w:pPr>
              <w:spacing w:after="20"/>
            </w:pPr>
            <w:r>
              <w:rPr>
                <w:rFonts w:ascii="Segoe UI" w:hAnsi="Segoe UI" w:cs="Segoe UI" w:eastAsia="Segoe UI"/>
                <w:color w:val="101820"/>
                <w:sz w:val="18"/>
              </w:rPr>
              <w:t>Close and filing dates are known in advance</w:t>
            </w:r>
          </w:p>
        </w:tc>
      </w:tr>
      <w:tr>
        <w:tc>
          <w:tcPr>
            <w:tcW w:type="dxa" w:w="907"/>
          </w:tcPr>
          <w:p>
            <w:pPr>
              <w:spacing w:after="20"/>
            </w:pPr>
            <w:r>
              <w:rPr>
                <w:rFonts w:ascii="Segoe UI" w:hAnsi="Segoe UI" w:cs="Segoe UI" w:eastAsia="Segoe UI"/>
                <w:color w:val="101820"/>
                <w:sz w:val="18"/>
              </w:rPr>
              <w:t>7</w:t>
            </w:r>
          </w:p>
        </w:tc>
        <w:tc>
          <w:tcPr>
            <w:tcW w:type="dxa" w:w="2747"/>
          </w:tcPr>
          <w:p>
            <w:pPr>
              <w:spacing w:after="20"/>
            </w:pPr>
            <w:r>
              <w:rPr>
                <w:rFonts w:ascii="Segoe UI" w:hAnsi="Segoe UI" w:cs="Segoe UI" w:eastAsia="Segoe UI"/>
                <w:color w:val="101820"/>
                <w:sz w:val="18"/>
              </w:rPr>
              <w:t>Reports, dashboards, incentives, reinsurance</w:t>
            </w:r>
          </w:p>
        </w:tc>
        <w:tc>
          <w:tcPr>
            <w:tcW w:type="dxa" w:w="2657"/>
          </w:tcPr>
          <w:p>
            <w:pPr>
              <w:spacing w:after="20"/>
            </w:pPr>
            <w:r>
              <w:rPr>
                <w:rFonts w:ascii="Segoe UI" w:hAnsi="Segoe UI" w:cs="Segoe UI" w:eastAsia="Segoe UI"/>
                <w:color w:val="101820"/>
                <w:sz w:val="18"/>
              </w:rPr>
              <w:t>5 business days</w:t>
            </w:r>
          </w:p>
        </w:tc>
        <w:tc>
          <w:tcPr>
            <w:tcW w:type="dxa" w:w="2704"/>
          </w:tcPr>
          <w:p>
            <w:pPr>
              <w:spacing w:after="20"/>
            </w:pPr>
            <w:r>
              <w:rPr>
                <w:rFonts w:ascii="Segoe UI" w:hAnsi="Segoe UI" w:cs="Segoe UI" w:eastAsia="Segoe UI"/>
                <w:color w:val="101820"/>
                <w:sz w:val="18"/>
              </w:rPr>
              <w:t>Not needed for the day's transactions</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Avoid releases and DR drills in the last three business days of the month and in the week before a BIR filing deadline.</w:t>
      </w:r>
    </w:p>
    <w:p>
      <w:pPr>
        <w:pStyle w:val="Heading2"/>
      </w:pPr>
      <w:r>
        <w:rPr>
          <w:rFonts w:ascii="Segoe UI" w:hAnsi="Segoe UI" w:cs="Segoe UI" w:eastAsia="Segoe UI"/>
          <w:b/>
          <w:color w:val="0F4761"/>
          <w:sz w:val="26"/>
        </w:rPr>
        <w:t>4.2  Service tiers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745"/>
        <w:gridCol w:w="2688"/>
        <w:gridCol w:w="2675"/>
      </w:tblGrid>
      <w:tr>
        <w:trPr>
          <w:tblHeader w:val="true"/>
        </w:trPr>
        <w:tc>
          <w:tcPr>
            <w:tcW w:type="dxa" w:w="907"/>
            <w:shd w:val="clear" w:color="auto" w:fill="DCE9F7"/>
          </w:tcPr>
          <w:p>
            <w:pPr>
              <w:spacing w:after="20"/>
            </w:pPr>
            <w:r>
              <w:rPr>
                <w:rFonts w:ascii="Segoe UI" w:hAnsi="Segoe UI" w:cs="Segoe UI" w:eastAsia="Segoe UI"/>
                <w:b/>
                <w:color w:val="0F4761"/>
                <w:sz w:val="18"/>
              </w:rPr>
              <w:t>Tier</w:t>
            </w:r>
          </w:p>
        </w:tc>
        <w:tc>
          <w:tcPr>
            <w:tcW w:type="dxa" w:w="2745"/>
            <w:shd w:val="clear" w:color="auto" w:fill="DCE9F7"/>
          </w:tcPr>
          <w:p>
            <w:pPr>
              <w:spacing w:after="20"/>
            </w:pPr>
            <w:r>
              <w:rPr>
                <w:rFonts w:ascii="Segoe UI" w:hAnsi="Segoe UI" w:cs="Segoe UI" w:eastAsia="Segoe UI"/>
                <w:b/>
                <w:color w:val="0F4761"/>
                <w:sz w:val="18"/>
              </w:rPr>
              <w:t>Content</w:t>
            </w:r>
          </w:p>
        </w:tc>
        <w:tc>
          <w:tcPr>
            <w:tcW w:type="dxa" w:w="2688"/>
            <w:shd w:val="clear" w:color="auto" w:fill="DCE9F7"/>
          </w:tcPr>
          <w:p>
            <w:pPr>
              <w:spacing w:after="20"/>
            </w:pPr>
            <w:r>
              <w:rPr>
                <w:rFonts w:ascii="Segoe UI" w:hAnsi="Segoe UI" w:cs="Segoe UI" w:eastAsia="Segoe UI"/>
                <w:b/>
                <w:color w:val="0F4761"/>
                <w:sz w:val="18"/>
              </w:rPr>
              <w:t>Where it lives</w:t>
            </w:r>
          </w:p>
        </w:tc>
        <w:tc>
          <w:tcPr>
            <w:tcW w:type="dxa" w:w="2675"/>
            <w:shd w:val="clear" w:color="auto" w:fill="DCE9F7"/>
          </w:tcPr>
          <w:p>
            <w:pPr>
              <w:spacing w:after="20"/>
            </w:pPr>
            <w:r>
              <w:rPr>
                <w:rFonts w:ascii="Segoe UI" w:hAnsi="Segoe UI" w:cs="Segoe UI" w:eastAsia="Segoe UI"/>
                <w:b/>
                <w:color w:val="0F4761"/>
                <w:sz w:val="18"/>
              </w:rPr>
              <w:t>Recovered from</w:t>
            </w:r>
          </w:p>
        </w:tc>
      </w:tr>
      <w:tr>
        <w:tc>
          <w:tcPr>
            <w:tcW w:type="dxa" w:w="907"/>
          </w:tcPr>
          <w:p>
            <w:pPr>
              <w:spacing w:after="20"/>
            </w:pPr>
            <w:r>
              <w:rPr>
                <w:rFonts w:ascii="Segoe UI" w:hAnsi="Segoe UI" w:cs="Segoe UI" w:eastAsia="Segoe UI"/>
                <w:color w:val="101820"/>
                <w:sz w:val="18"/>
              </w:rPr>
              <w:t>1</w:t>
            </w:r>
          </w:p>
        </w:tc>
        <w:tc>
          <w:tcPr>
            <w:tcW w:type="dxa" w:w="2745"/>
          </w:tcPr>
          <w:p>
            <w:pPr>
              <w:spacing w:after="20"/>
            </w:pPr>
            <w:r>
              <w:rPr>
                <w:rFonts w:ascii="Segoe UI" w:hAnsi="Segoe UI" w:cs="Segoe UI" w:eastAsia="Segoe UI"/>
                <w:color w:val="101820"/>
                <w:sz w:val="18"/>
              </w:rPr>
              <w:t>Core transactions: clients, policies, bills, receipts, journals, remittances, claims, the audit trail</w:t>
            </w:r>
          </w:p>
        </w:tc>
        <w:tc>
          <w:tcPr>
            <w:tcW w:type="dxa" w:w="2688"/>
          </w:tcPr>
          <w:p>
            <w:pPr>
              <w:spacing w:after="20"/>
            </w:pPr>
            <w:r>
              <w:rPr>
                <w:rFonts w:ascii="Segoe UI" w:hAnsi="Segoe UI" w:cs="Segoe UI" w:eastAsia="Segoe UI"/>
                <w:color w:val="101820"/>
                <w:sz w:val="18"/>
              </w:rPr>
              <w:t>PostgreSQL</w:t>
            </w:r>
          </w:p>
        </w:tc>
        <w:tc>
          <w:tcPr>
            <w:tcW w:type="dxa" w:w="2675"/>
          </w:tcPr>
          <w:p>
            <w:pPr>
              <w:spacing w:after="20"/>
            </w:pPr>
            <w:r>
              <w:rPr>
                <w:rFonts w:ascii="Segoe UI" w:hAnsi="Segoe UI" w:cs="Segoe UI" w:eastAsia="Segoe UI"/>
                <w:color w:val="101820"/>
                <w:sz w:val="18"/>
              </w:rPr>
              <w:t>Standby, PITR, snapshots, logical dumps</w:t>
            </w:r>
          </w:p>
        </w:tc>
      </w:tr>
      <w:tr>
        <w:tc>
          <w:tcPr>
            <w:tcW w:type="dxa" w:w="907"/>
          </w:tcPr>
          <w:p>
            <w:pPr>
              <w:spacing w:after="20"/>
            </w:pPr>
            <w:r>
              <w:rPr>
                <w:rFonts w:ascii="Segoe UI" w:hAnsi="Segoe UI" w:cs="Segoe UI" w:eastAsia="Segoe UI"/>
                <w:color w:val="101820"/>
                <w:sz w:val="18"/>
              </w:rPr>
              <w:t>2</w:t>
            </w:r>
          </w:p>
        </w:tc>
        <w:tc>
          <w:tcPr>
            <w:tcW w:type="dxa" w:w="2745"/>
          </w:tcPr>
          <w:p>
            <w:pPr>
              <w:spacing w:after="20"/>
            </w:pPr>
            <w:r>
              <w:rPr>
                <w:rFonts w:ascii="Segoe UI" w:hAnsi="Segoe UI" w:cs="Segoe UI" w:eastAsia="Segoe UI"/>
                <w:color w:val="101820"/>
                <w:sz w:val="18"/>
              </w:rPr>
              <w:t>Documents: KYC images, claim photos, uploaded statements, generated PDFs</w:t>
            </w:r>
          </w:p>
        </w:tc>
        <w:tc>
          <w:tcPr>
            <w:tcW w:type="dxa" w:w="2688"/>
          </w:tcPr>
          <w:p>
            <w:pPr>
              <w:spacing w:after="20"/>
            </w:pPr>
            <w:r>
              <w:rPr>
                <w:rFonts w:ascii="Segoe UI" w:hAnsi="Segoe UI" w:cs="Segoe UI" w:eastAsia="Segoe UI"/>
                <w:color w:val="101820"/>
                <w:sz w:val="18"/>
              </w:rPr>
              <w:t xml:space="preserve">File store at </w:t>
            </w:r>
            <w:r>
              <w:rPr>
                <w:rFonts w:ascii="Consolas" w:hAnsi="Consolas" w:cs="Consolas" w:eastAsia="Consolas"/>
                <w:color w:val="101820"/>
                <w:sz w:val="16"/>
              </w:rPr>
              <w:t>UPLOAD_DIR</w:t>
            </w:r>
          </w:p>
        </w:tc>
        <w:tc>
          <w:tcPr>
            <w:tcW w:type="dxa" w:w="2675"/>
          </w:tcPr>
          <w:p>
            <w:pPr>
              <w:spacing w:after="20"/>
            </w:pPr>
            <w:r>
              <w:rPr>
                <w:rFonts w:ascii="Segoe UI" w:hAnsi="Segoe UI" w:cs="Segoe UI" w:eastAsia="Segoe UI"/>
                <w:color w:val="101820"/>
                <w:sz w:val="18"/>
              </w:rPr>
              <w:t>File store backups</w:t>
            </w:r>
          </w:p>
        </w:tc>
      </w:tr>
      <w:tr>
        <w:tc>
          <w:tcPr>
            <w:tcW w:type="dxa" w:w="907"/>
          </w:tcPr>
          <w:p>
            <w:pPr>
              <w:spacing w:after="20"/>
            </w:pPr>
            <w:r>
              <w:rPr>
                <w:rFonts w:ascii="Segoe UI" w:hAnsi="Segoe UI" w:cs="Segoe UI" w:eastAsia="Segoe UI"/>
                <w:color w:val="101820"/>
                <w:sz w:val="18"/>
              </w:rPr>
              <w:t>3</w:t>
            </w:r>
          </w:p>
        </w:tc>
        <w:tc>
          <w:tcPr>
            <w:tcW w:type="dxa" w:w="2745"/>
          </w:tcPr>
          <w:p>
            <w:pPr>
              <w:spacing w:after="20"/>
            </w:pPr>
            <w:r>
              <w:rPr>
                <w:rFonts w:ascii="Segoe UI" w:hAnsi="Segoe UI" w:cs="Segoe UI" w:eastAsia="Segoe UI"/>
                <w:color w:val="101820"/>
                <w:sz w:val="18"/>
              </w:rPr>
              <w:t>Derived data: notifications, e-mail outbox, generated reports</w:t>
            </w:r>
          </w:p>
        </w:tc>
        <w:tc>
          <w:tcPr>
            <w:tcW w:type="dxa" w:w="2688"/>
          </w:tcPr>
          <w:p>
            <w:pPr>
              <w:spacing w:after="20"/>
            </w:pPr>
            <w:r>
              <w:rPr>
                <w:rFonts w:ascii="Segoe UI" w:hAnsi="Segoe UI" w:cs="Segoe UI" w:eastAsia="Segoe UI"/>
                <w:color w:val="101820"/>
                <w:sz w:val="18"/>
              </w:rPr>
              <w:t>PostgreSQL and file store</w:t>
            </w:r>
          </w:p>
        </w:tc>
        <w:tc>
          <w:tcPr>
            <w:tcW w:type="dxa" w:w="2675"/>
          </w:tcPr>
          <w:p>
            <w:pPr>
              <w:spacing w:after="20"/>
            </w:pPr>
            <w:r>
              <w:rPr>
                <w:rFonts w:ascii="Segoe UI" w:hAnsi="Segoe UI" w:cs="Segoe UI" w:eastAsia="Segoe UI"/>
                <w:color w:val="101820"/>
                <w:sz w:val="18"/>
              </w:rPr>
              <w:t>Recreated by the jobs; not restored on their own</w:t>
            </w:r>
          </w:p>
        </w:tc>
      </w:tr>
      <w:tr>
        <w:tc>
          <w:tcPr>
            <w:tcW w:type="dxa" w:w="907"/>
          </w:tcPr>
          <w:p>
            <w:pPr>
              <w:spacing w:after="20"/>
            </w:pPr>
            <w:r>
              <w:rPr>
                <w:rFonts w:ascii="Segoe UI" w:hAnsi="Segoe UI" w:cs="Segoe UI" w:eastAsia="Segoe UI"/>
                <w:color w:val="101820"/>
                <w:sz w:val="18"/>
              </w:rPr>
              <w:t>4</w:t>
            </w:r>
          </w:p>
        </w:tc>
        <w:tc>
          <w:tcPr>
            <w:tcW w:type="dxa" w:w="2745"/>
          </w:tcPr>
          <w:p>
            <w:pPr>
              <w:spacing w:after="20"/>
            </w:pPr>
            <w:r>
              <w:rPr>
                <w:rFonts w:ascii="Segoe UI" w:hAnsi="Segoe UI" w:cs="Segoe UI" w:eastAsia="Segoe UI"/>
                <w:color w:val="101820"/>
                <w:sz w:val="18"/>
              </w:rPr>
              <w:t>Code and configuration as code: front-end build, API image, deployment scripts</w:t>
            </w:r>
          </w:p>
        </w:tc>
        <w:tc>
          <w:tcPr>
            <w:tcW w:type="dxa" w:w="2688"/>
          </w:tcPr>
          <w:p>
            <w:pPr>
              <w:spacing w:after="20"/>
            </w:pPr>
            <w:r>
              <w:rPr>
                <w:rFonts w:ascii="Segoe UI" w:hAnsi="Segoe UI" w:cs="Segoe UI" w:eastAsia="Segoe UI"/>
                <w:color w:val="101820"/>
                <w:sz w:val="18"/>
              </w:rPr>
              <w:t>Git repository, image registry, front-end bucket</w:t>
            </w:r>
          </w:p>
        </w:tc>
        <w:tc>
          <w:tcPr>
            <w:tcW w:type="dxa" w:w="2675"/>
          </w:tcPr>
          <w:p>
            <w:pPr>
              <w:spacing w:after="20"/>
            </w:pPr>
            <w:r>
              <w:rPr>
                <w:rFonts w:ascii="Segoe UI" w:hAnsi="Segoe UI" w:cs="Segoe UI" w:eastAsia="Segoe UI"/>
                <w:color w:val="101820"/>
                <w:sz w:val="18"/>
              </w:rPr>
              <w:t>Rebuilt from the release tag</w:t>
            </w:r>
          </w:p>
        </w:tc>
      </w:tr>
      <w:tr>
        <w:tc>
          <w:tcPr>
            <w:tcW w:type="dxa" w:w="907"/>
          </w:tcPr>
          <w:p>
            <w:pPr>
              <w:spacing w:after="20"/>
            </w:pPr>
            <w:r>
              <w:rPr>
                <w:rFonts w:ascii="Segoe UI" w:hAnsi="Segoe UI" w:cs="Segoe UI" w:eastAsia="Segoe UI"/>
                <w:color w:val="101820"/>
                <w:sz w:val="18"/>
              </w:rPr>
              <w:t>Keys</w:t>
            </w:r>
          </w:p>
        </w:tc>
        <w:tc>
          <w:tcPr>
            <w:tcW w:type="dxa" w:w="2745"/>
          </w:tcPr>
          <w:p>
            <w:pPr>
              <w:spacing w:after="20"/>
            </w:pPr>
            <w:r>
              <w:rPr>
                <w:rFonts w:ascii="Consolas" w:hAnsi="Consolas" w:cs="Consolas" w:eastAsia="Consolas"/>
                <w:color w:val="101820"/>
                <w:sz w:val="16"/>
              </w:rPr>
              <w:t>JWT_SECRET</w:t>
            </w:r>
            <w:r>
              <w:rPr>
                <w:rFonts w:ascii="Segoe UI" w:hAnsi="Segoe UI" w:cs="Segoe UI" w:eastAsia="Segoe UI"/>
                <w:color w:val="101820"/>
                <w:sz w:val="18"/>
              </w:rPr>
              <w:t xml:space="preserve">, </w:t>
            </w:r>
            <w:r>
              <w:rPr>
                <w:rFonts w:ascii="Consolas" w:hAnsi="Consolas" w:cs="Consolas" w:eastAsia="Consolas"/>
                <w:color w:val="101820"/>
                <w:sz w:val="16"/>
              </w:rPr>
              <w:t>DATA_ENCRYPTION_KEY</w:t>
            </w:r>
            <w:r>
              <w:rPr>
                <w:rFonts w:ascii="Segoe UI" w:hAnsi="Segoe UI" w:cs="Segoe UI" w:eastAsia="Segoe UI"/>
                <w:color w:val="101820"/>
                <w:sz w:val="18"/>
              </w:rPr>
              <w:t>, database and SMTP credentials, payment gateway keys</w:t>
            </w:r>
          </w:p>
        </w:tc>
        <w:tc>
          <w:tcPr>
            <w:tcW w:type="dxa" w:w="2688"/>
          </w:tcPr>
          <w:p>
            <w:pPr>
              <w:spacing w:after="20"/>
            </w:pPr>
            <w:r>
              <w:rPr>
                <w:rFonts w:ascii="Segoe UI" w:hAnsi="Segoe UI" w:cs="Segoe UI" w:eastAsia="Segoe UI"/>
                <w:color w:val="101820"/>
                <w:sz w:val="18"/>
              </w:rPr>
              <w:t>Secret store</w:t>
            </w:r>
          </w:p>
        </w:tc>
        <w:tc>
          <w:tcPr>
            <w:tcW w:type="dxa" w:w="2675"/>
          </w:tcPr>
          <w:p>
            <w:pPr>
              <w:spacing w:after="20"/>
            </w:pPr>
            <w:r>
              <w:rPr>
                <w:rFonts w:ascii="Segoe UI" w:hAnsi="Segoe UI" w:cs="Segoe UI" w:eastAsia="Segoe UI"/>
                <w:color w:val="101820"/>
                <w:sz w:val="18"/>
              </w:rPr>
              <w:t>Versioned secret store and the sealed escrow copy</w:t>
            </w:r>
          </w:p>
        </w:tc>
      </w:tr>
    </w:tbl>
    <w:p>
      <w:pPr>
        <w:spacing w:after="80"/>
      </w:pPr>
    </w:p>
    <w:p>
      <w:pPr>
        <w:spacing w:after="120" w:line="276" w:lineRule="auto"/>
      </w:pPr>
      <w:r>
        <w:rPr>
          <w:rFonts w:ascii="Segoe UI" w:hAnsi="Segoe UI" w:cs="Segoe UI" w:eastAsia="Segoe UI"/>
          <w:color w:val="101820"/>
          <w:sz w:val="21"/>
        </w:rPr>
        <w:t>Settings, number series, posting rules and master data live in the database (Tier 1), so a database restore brings the configuration back with the data.</w:t>
      </w:r>
    </w:p>
    <w:p>
      <w:pPr>
        <w:pStyle w:val="Heading1"/>
        <w:pageBreakBefore/>
      </w:pPr>
      <w:r>
        <w:rPr>
          <w:rFonts w:ascii="Segoe UI" w:hAnsi="Segoe UI" w:cs="Segoe UI" w:eastAsia="Segoe UI"/>
          <w:b/>
          <w:color w:val="0F4761"/>
          <w:sz w:val="32"/>
        </w:rPr>
        <w:t>5.  Recovery objectives</w:t>
      </w:r>
    </w:p>
    <w:p>
      <w:pPr>
        <w:pStyle w:val="Heading2"/>
      </w:pPr>
      <w:r>
        <w:rPr>
          <w:rFonts w:ascii="Segoe UI" w:hAnsi="Segoe UI" w:cs="Segoe UI" w:eastAsia="Segoe UI"/>
          <w:b/>
          <w:color w:val="0F4761"/>
          <w:sz w:val="26"/>
        </w:rPr>
        <w:t>5.1  Objectives by scenario</w:t>
      </w:r>
    </w:p>
    <w:p>
      <w:pPr>
        <w:spacing w:after="120" w:line="276" w:lineRule="auto"/>
      </w:pPr>
      <w:r>
        <w:rPr>
          <w:rFonts w:ascii="Segoe UI" w:hAnsi="Segoe UI" w:cs="Segoe UI" w:eastAsia="Segoe UI"/>
          <w:color w:val="101820"/>
          <w:sz w:val="21"/>
        </w:rPr>
        <w:t>These are the objectives proposed in architecture document 08 and written into the Hosting and Infrastructure Services Agreement. They assume the recommended production topology: at least two API instances in two availability zones, a managed PostgreSQL database with a standby, and a shared file store.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79"/>
        <w:gridCol w:w="1656"/>
        <w:gridCol w:w="3679"/>
      </w:tblGrid>
      <w:tr>
        <w:trPr>
          <w:tblHeader w:val="true"/>
        </w:trPr>
        <w:tc>
          <w:tcPr>
            <w:tcW w:type="dxa" w:w="3679"/>
            <w:shd w:val="clear" w:color="auto" w:fill="DCE9F7"/>
          </w:tcPr>
          <w:p>
            <w:pPr>
              <w:spacing w:after="20"/>
            </w:pPr>
            <w:r>
              <w:rPr>
                <w:rFonts w:ascii="Segoe UI" w:hAnsi="Segoe UI" w:cs="Segoe UI" w:eastAsia="Segoe UI"/>
                <w:b/>
                <w:color w:val="0F4761"/>
                <w:sz w:val="18"/>
              </w:rPr>
              <w:t>Scenario</w:t>
            </w:r>
          </w:p>
        </w:tc>
        <w:tc>
          <w:tcPr>
            <w:tcW w:type="dxa" w:w="1656"/>
            <w:shd w:val="clear" w:color="auto" w:fill="DCE9F7"/>
          </w:tcPr>
          <w:p>
            <w:pPr>
              <w:spacing w:after="20"/>
            </w:pPr>
            <w:r>
              <w:rPr>
                <w:rFonts w:ascii="Segoe UI" w:hAnsi="Segoe UI" w:cs="Segoe UI" w:eastAsia="Segoe UI"/>
                <w:b/>
                <w:color w:val="0F4761"/>
                <w:sz w:val="18"/>
              </w:rPr>
              <w:t>RPO</w:t>
            </w:r>
          </w:p>
        </w:tc>
        <w:tc>
          <w:tcPr>
            <w:tcW w:type="dxa" w:w="3679"/>
            <w:shd w:val="clear" w:color="auto" w:fill="DCE9F7"/>
          </w:tcPr>
          <w:p>
            <w:pPr>
              <w:spacing w:after="20"/>
            </w:pPr>
            <w:r>
              <w:rPr>
                <w:rFonts w:ascii="Segoe UI" w:hAnsi="Segoe UI" w:cs="Segoe UI" w:eastAsia="Segoe UI"/>
                <w:b/>
                <w:color w:val="0F4761"/>
                <w:sz w:val="18"/>
              </w:rPr>
              <w:t>RTO</w:t>
            </w:r>
          </w:p>
        </w:tc>
      </w:tr>
      <w:tr>
        <w:tc>
          <w:tcPr>
            <w:tcW w:type="dxa" w:w="3679"/>
          </w:tcPr>
          <w:p>
            <w:pPr>
              <w:spacing w:after="20"/>
            </w:pPr>
            <w:r>
              <w:rPr>
                <w:rFonts w:ascii="Segoe UI" w:hAnsi="Segoe UI" w:cs="Segoe UI" w:eastAsia="Segoe UI"/>
                <w:color w:val="101820"/>
                <w:sz w:val="18"/>
              </w:rPr>
              <w:t>API instance failure</w:t>
            </w:r>
          </w:p>
        </w:tc>
        <w:tc>
          <w:tcPr>
            <w:tcW w:type="dxa" w:w="1656"/>
          </w:tcPr>
          <w:p>
            <w:pPr>
              <w:spacing w:after="20"/>
            </w:pPr>
            <w:r>
              <w:rPr>
                <w:rFonts w:ascii="Segoe UI" w:hAnsi="Segoe UI" w:cs="Segoe UI" w:eastAsia="Segoe UI"/>
                <w:color w:val="101820"/>
                <w:sz w:val="18"/>
              </w:rPr>
              <w:t>0</w:t>
            </w:r>
          </w:p>
        </w:tc>
        <w:tc>
          <w:tcPr>
            <w:tcW w:type="dxa" w:w="3679"/>
          </w:tcPr>
          <w:p>
            <w:pPr>
              <w:spacing w:after="20"/>
            </w:pPr>
            <w:r>
              <w:rPr>
                <w:rFonts w:ascii="Segoe UI" w:hAnsi="Segoe UI" w:cs="Segoe UI" w:eastAsia="Segoe UI"/>
                <w:color w:val="101820"/>
                <w:sz w:val="18"/>
              </w:rPr>
              <w:t>Under 5 minutes</w:t>
            </w:r>
          </w:p>
        </w:tc>
      </w:tr>
      <w:tr>
        <w:tc>
          <w:tcPr>
            <w:tcW w:type="dxa" w:w="3679"/>
          </w:tcPr>
          <w:p>
            <w:pPr>
              <w:spacing w:after="20"/>
            </w:pPr>
            <w:r>
              <w:rPr>
                <w:rFonts w:ascii="Segoe UI" w:hAnsi="Segoe UI" w:cs="Segoe UI" w:eastAsia="Segoe UI"/>
                <w:color w:val="101820"/>
                <w:sz w:val="18"/>
              </w:rPr>
              <w:t>Availability zone failure</w:t>
            </w:r>
          </w:p>
        </w:tc>
        <w:tc>
          <w:tcPr>
            <w:tcW w:type="dxa" w:w="1656"/>
          </w:tcPr>
          <w:p>
            <w:pPr>
              <w:spacing w:after="20"/>
            </w:pPr>
            <w:r>
              <w:rPr>
                <w:rFonts w:ascii="Segoe UI" w:hAnsi="Segoe UI" w:cs="Segoe UI" w:eastAsia="Segoe UI"/>
                <w:color w:val="101820"/>
                <w:sz w:val="18"/>
              </w:rPr>
              <w:t>0</w:t>
            </w:r>
          </w:p>
        </w:tc>
        <w:tc>
          <w:tcPr>
            <w:tcW w:type="dxa" w:w="3679"/>
          </w:tcPr>
          <w:p>
            <w:pPr>
              <w:spacing w:after="20"/>
            </w:pPr>
            <w:r>
              <w:rPr>
                <w:rFonts w:ascii="Segoe UI" w:hAnsi="Segoe UI" w:cs="Segoe UI" w:eastAsia="Segoe UI"/>
                <w:color w:val="101820"/>
                <w:sz w:val="18"/>
              </w:rPr>
              <w:t>Under 15 minutes</w:t>
            </w:r>
          </w:p>
        </w:tc>
      </w:tr>
      <w:tr>
        <w:tc>
          <w:tcPr>
            <w:tcW w:type="dxa" w:w="3679"/>
          </w:tcPr>
          <w:p>
            <w:pPr>
              <w:spacing w:after="20"/>
            </w:pPr>
            <w:r>
              <w:rPr>
                <w:rFonts w:ascii="Segoe UI" w:hAnsi="Segoe UI" w:cs="Segoe UI" w:eastAsia="Segoe UI"/>
                <w:color w:val="101820"/>
                <w:sz w:val="18"/>
              </w:rPr>
              <w:t>Database instance failure (with standby)</w:t>
            </w:r>
          </w:p>
        </w:tc>
        <w:tc>
          <w:tcPr>
            <w:tcW w:type="dxa" w:w="1656"/>
          </w:tcPr>
          <w:p>
            <w:pPr>
              <w:spacing w:after="20"/>
            </w:pPr>
            <w:r>
              <w:rPr>
                <w:rFonts w:ascii="Segoe UI" w:hAnsi="Segoe UI" w:cs="Segoe UI" w:eastAsia="Segoe UI"/>
                <w:color w:val="101820"/>
                <w:sz w:val="18"/>
              </w:rPr>
              <w:t>0</w:t>
            </w:r>
          </w:p>
        </w:tc>
        <w:tc>
          <w:tcPr>
            <w:tcW w:type="dxa" w:w="3679"/>
          </w:tcPr>
          <w:p>
            <w:pPr>
              <w:spacing w:after="20"/>
            </w:pPr>
            <w:r>
              <w:rPr>
                <w:rFonts w:ascii="Segoe UI" w:hAnsi="Segoe UI" w:cs="Segoe UI" w:eastAsia="Segoe UI"/>
                <w:color w:val="101820"/>
                <w:sz w:val="18"/>
              </w:rPr>
              <w:t>Under 15 minutes</w:t>
            </w:r>
          </w:p>
        </w:tc>
      </w:tr>
      <w:tr>
        <w:tc>
          <w:tcPr>
            <w:tcW w:type="dxa" w:w="3679"/>
          </w:tcPr>
          <w:p>
            <w:pPr>
              <w:spacing w:after="20"/>
            </w:pPr>
            <w:r>
              <w:rPr>
                <w:rFonts w:ascii="Segoe UI" w:hAnsi="Segoe UI" w:cs="Segoe UI" w:eastAsia="Segoe UI"/>
                <w:color w:val="101820"/>
                <w:sz w:val="18"/>
              </w:rPr>
              <w:t>Logical corruption or wrong mass change</w:t>
            </w:r>
          </w:p>
        </w:tc>
        <w:tc>
          <w:tcPr>
            <w:tcW w:type="dxa" w:w="1656"/>
          </w:tcPr>
          <w:p>
            <w:pPr>
              <w:spacing w:after="20"/>
            </w:pPr>
            <w:r>
              <w:rPr>
                <w:rFonts w:ascii="Segoe UI" w:hAnsi="Segoe UI" w:cs="Segoe UI" w:eastAsia="Segoe UI"/>
                <w:color w:val="101820"/>
                <w:sz w:val="18"/>
              </w:rPr>
              <w:t>15 minutes or less</w:t>
            </w:r>
          </w:p>
        </w:tc>
        <w:tc>
          <w:tcPr>
            <w:tcW w:type="dxa" w:w="3679"/>
          </w:tcPr>
          <w:p>
            <w:pPr>
              <w:spacing w:after="20"/>
            </w:pPr>
            <w:r>
              <w:rPr>
                <w:rFonts w:ascii="Segoe UI" w:hAnsi="Segoe UI" w:cs="Segoe UI" w:eastAsia="Segoe UI"/>
                <w:color w:val="101820"/>
                <w:sz w:val="18"/>
              </w:rPr>
              <w:t>4 hours or less</w:t>
            </w:r>
          </w:p>
        </w:tc>
      </w:tr>
      <w:tr>
        <w:tc>
          <w:tcPr>
            <w:tcW w:type="dxa" w:w="3679"/>
          </w:tcPr>
          <w:p>
            <w:pPr>
              <w:spacing w:after="20"/>
            </w:pPr>
            <w:r>
              <w:rPr>
                <w:rFonts w:ascii="Segoe UI" w:hAnsi="Segoe UI" w:cs="Segoe UI" w:eastAsia="Segoe UI"/>
                <w:color w:val="101820"/>
                <w:sz w:val="18"/>
              </w:rPr>
              <w:t>Loss of uploaded files</w:t>
            </w:r>
          </w:p>
        </w:tc>
        <w:tc>
          <w:tcPr>
            <w:tcW w:type="dxa" w:w="1656"/>
          </w:tcPr>
          <w:p>
            <w:pPr>
              <w:spacing w:after="20"/>
            </w:pPr>
            <w:r>
              <w:rPr>
                <w:rFonts w:ascii="Segoe UI" w:hAnsi="Segoe UI" w:cs="Segoe UI" w:eastAsia="Segoe UI"/>
                <w:color w:val="101820"/>
                <w:sz w:val="18"/>
              </w:rPr>
              <w:t>24 hours or less</w:t>
            </w:r>
          </w:p>
        </w:tc>
        <w:tc>
          <w:tcPr>
            <w:tcW w:type="dxa" w:w="3679"/>
          </w:tcPr>
          <w:p>
            <w:pPr>
              <w:spacing w:after="20"/>
            </w:pPr>
            <w:r>
              <w:rPr>
                <w:rFonts w:ascii="Segoe UI" w:hAnsi="Segoe UI" w:cs="Segoe UI" w:eastAsia="Segoe UI"/>
                <w:color w:val="101820"/>
                <w:sz w:val="18"/>
              </w:rPr>
              <w:t>4 hours or less</w:t>
            </w:r>
          </w:p>
        </w:tc>
      </w:tr>
      <w:tr>
        <w:tc>
          <w:tcPr>
            <w:tcW w:type="dxa" w:w="3679"/>
          </w:tcPr>
          <w:p>
            <w:pPr>
              <w:spacing w:after="20"/>
            </w:pPr>
            <w:r>
              <w:rPr>
                <w:rFonts w:ascii="Segoe UI" w:hAnsi="Segoe UI" w:cs="Segoe UI" w:eastAsia="Segoe UI"/>
                <w:color w:val="101820"/>
                <w:sz w:val="18"/>
              </w:rPr>
              <w:t>Regional or site outage</w:t>
            </w:r>
          </w:p>
        </w:tc>
        <w:tc>
          <w:tcPr>
            <w:tcW w:type="dxa" w:w="1656"/>
          </w:tcPr>
          <w:p>
            <w:pPr>
              <w:spacing w:after="20"/>
            </w:pPr>
            <w:r>
              <w:rPr>
                <w:rFonts w:ascii="Segoe UI" w:hAnsi="Segoe UI" w:cs="Segoe UI" w:eastAsia="Segoe UI"/>
                <w:color w:val="101820"/>
                <w:sz w:val="18"/>
              </w:rPr>
              <w:t>24 hours or less</w:t>
            </w:r>
          </w:p>
        </w:tc>
        <w:tc>
          <w:tcPr>
            <w:tcW w:type="dxa" w:w="3679"/>
          </w:tcPr>
          <w:p>
            <w:pPr>
              <w:spacing w:after="20"/>
            </w:pPr>
            <w:r>
              <w:rPr>
                <w:rFonts w:ascii="Segoe UI" w:hAnsi="Segoe UI" w:cs="Segoe UI" w:eastAsia="Segoe UI"/>
                <w:color w:val="101820"/>
                <w:sz w:val="18"/>
              </w:rPr>
              <w:t>24 hours or less (warm standby: 8 hours)</w:t>
            </w:r>
          </w:p>
        </w:tc>
      </w:tr>
      <w:tr>
        <w:tc>
          <w:tcPr>
            <w:tcW w:type="dxa" w:w="3679"/>
          </w:tcPr>
          <w:p>
            <w:pPr>
              <w:spacing w:after="20"/>
            </w:pPr>
            <w:r>
              <w:rPr>
                <w:rFonts w:ascii="Segoe UI" w:hAnsi="Segoe UI" w:cs="Segoe UI" w:eastAsia="Segoe UI"/>
                <w:color w:val="101820"/>
                <w:sz w:val="18"/>
              </w:rPr>
              <w:t>Front end deleted</w:t>
            </w:r>
          </w:p>
        </w:tc>
        <w:tc>
          <w:tcPr>
            <w:tcW w:type="dxa" w:w="1656"/>
          </w:tcPr>
          <w:p>
            <w:pPr>
              <w:spacing w:after="20"/>
            </w:pPr>
            <w:r>
              <w:rPr>
                <w:rFonts w:ascii="Segoe UI" w:hAnsi="Segoe UI" w:cs="Segoe UI" w:eastAsia="Segoe UI"/>
                <w:color w:val="101820"/>
                <w:sz w:val="18"/>
              </w:rPr>
              <w:t>0</w:t>
            </w:r>
          </w:p>
        </w:tc>
        <w:tc>
          <w:tcPr>
            <w:tcW w:type="dxa" w:w="3679"/>
          </w:tcPr>
          <w:p>
            <w:pPr>
              <w:spacing w:after="20"/>
            </w:pPr>
            <w:r>
              <w:rPr>
                <w:rFonts w:ascii="Segoe UI" w:hAnsi="Segoe UI" w:cs="Segoe UI" w:eastAsia="Segoe UI"/>
                <w:color w:val="101820"/>
                <w:sz w:val="18"/>
              </w:rPr>
              <w:t>Under 1 hour</w:t>
            </w:r>
          </w:p>
        </w:tc>
      </w:tr>
      <w:tr>
        <w:tc>
          <w:tcPr>
            <w:tcW w:type="dxa" w:w="3679"/>
          </w:tcPr>
          <w:p>
            <w:pPr>
              <w:spacing w:after="20"/>
            </w:pPr>
            <w:r>
              <w:rPr>
                <w:rFonts w:ascii="Segoe UI" w:hAnsi="Segoe UI" w:cs="Segoe UI" w:eastAsia="Segoe UI"/>
                <w:color w:val="101820"/>
                <w:sz w:val="18"/>
              </w:rPr>
              <w:t>Loss of secrets</w:t>
            </w:r>
          </w:p>
        </w:tc>
        <w:tc>
          <w:tcPr>
            <w:tcW w:type="dxa" w:w="1656"/>
          </w:tcPr>
          <w:p>
            <w:pPr>
              <w:spacing w:after="20"/>
            </w:pPr>
            <w:r>
              <w:rPr>
                <w:rFonts w:ascii="Segoe UI" w:hAnsi="Segoe UI" w:cs="Segoe UI" w:eastAsia="Segoe UI"/>
                <w:color w:val="101820"/>
                <w:sz w:val="18"/>
              </w:rPr>
              <w:t>Not applicable</w:t>
            </w:r>
          </w:p>
        </w:tc>
        <w:tc>
          <w:tcPr>
            <w:tcW w:type="dxa" w:w="3679"/>
          </w:tcPr>
          <w:p>
            <w:pPr>
              <w:spacing w:after="20"/>
            </w:pPr>
            <w:r>
              <w:rPr>
                <w:rFonts w:ascii="Segoe UI" w:hAnsi="Segoe UI" w:cs="Segoe UI" w:eastAsia="Segoe UI"/>
                <w:color w:val="101820"/>
                <w:sz w:val="18"/>
              </w:rPr>
              <w:t>Under 1 hour</w:t>
            </w:r>
          </w:p>
        </w:tc>
      </w:tr>
    </w:tbl>
    <w:p>
      <w:pPr>
        <w:spacing w:after="80"/>
      </w:pPr>
    </w:p>
    <w:p>
      <w:pPr>
        <w:pStyle w:val="Heading2"/>
      </w:pPr>
      <w:r>
        <w:rPr>
          <w:rFonts w:ascii="Segoe UI" w:hAnsi="Segoe UI" w:cs="Segoe UI" w:eastAsia="Segoe UI"/>
          <w:b/>
          <w:color w:val="0F4761"/>
          <w:sz w:val="26"/>
        </w:rPr>
        <w:t>5.2  Objectives by hosting option</w:t>
      </w:r>
    </w:p>
    <w:p>
      <w:pPr>
        <w:spacing w:after="120" w:line="276" w:lineRule="auto"/>
      </w:pPr>
      <w:r>
        <w:rPr>
          <w:rFonts w:ascii="Segoe UI" w:hAnsi="Segoe UI" w:cs="Segoe UI" w:eastAsia="Segoe UI"/>
          <w:color w:val="101820"/>
          <w:sz w:val="21"/>
        </w:rPr>
        <w:t>The same objectives apply on every option only if the option is built to the recommended topology. The table shows what each option delivers as offered.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90"/>
        <w:gridCol w:w="1906"/>
        <w:gridCol w:w="1906"/>
        <w:gridCol w:w="1906"/>
        <w:gridCol w:w="1906"/>
      </w:tblGrid>
      <w:tr>
        <w:trPr>
          <w:tblHeader w:val="true"/>
        </w:trPr>
        <w:tc>
          <w:tcPr>
            <w:tcW w:type="dxa" w:w="1390"/>
            <w:shd w:val="clear" w:color="auto" w:fill="DCE9F7"/>
          </w:tcPr>
          <w:p>
            <w:pPr>
              <w:spacing w:after="20"/>
            </w:pPr>
            <w:r>
              <w:rPr>
                <w:rFonts w:ascii="Segoe UI" w:hAnsi="Segoe UI" w:cs="Segoe UI" w:eastAsia="Segoe UI"/>
                <w:b/>
                <w:color w:val="0F4761"/>
                <w:sz w:val="16"/>
              </w:rPr>
              <w:t>Scenario</w:t>
            </w:r>
          </w:p>
        </w:tc>
        <w:tc>
          <w:tcPr>
            <w:tcW w:type="dxa" w:w="1906"/>
            <w:shd w:val="clear" w:color="auto" w:fill="DCE9F7"/>
          </w:tcPr>
          <w:p>
            <w:pPr>
              <w:spacing w:after="20"/>
            </w:pPr>
            <w:r>
              <w:rPr>
                <w:rFonts w:ascii="Segoe UI" w:hAnsi="Segoe UI" w:cs="Segoe UI" w:eastAsia="Segoe UI"/>
                <w:b/>
                <w:color w:val="0F4761"/>
                <w:sz w:val="16"/>
              </w:rPr>
              <w:t>A: AWS Singapore</w:t>
            </w:r>
          </w:p>
        </w:tc>
        <w:tc>
          <w:tcPr>
            <w:tcW w:type="dxa" w:w="1906"/>
            <w:shd w:val="clear" w:color="auto" w:fill="DCE9F7"/>
          </w:tcPr>
          <w:p>
            <w:pPr>
              <w:spacing w:after="20"/>
            </w:pPr>
            <w:r>
              <w:rPr>
                <w:rFonts w:ascii="Segoe UI" w:hAnsi="Segoe UI" w:cs="Segoe UI" w:eastAsia="Segoe UI"/>
                <w:b/>
                <w:color w:val="0F4761"/>
                <w:sz w:val="16"/>
              </w:rPr>
              <w:t>B: Azure Singapore</w:t>
            </w:r>
          </w:p>
        </w:tc>
        <w:tc>
          <w:tcPr>
            <w:tcW w:type="dxa" w:w="1906"/>
            <w:shd w:val="clear" w:color="auto" w:fill="DCE9F7"/>
          </w:tcPr>
          <w:p>
            <w:pPr>
              <w:spacing w:after="20"/>
            </w:pPr>
            <w:r>
              <w:rPr>
                <w:rFonts w:ascii="Segoe UI" w:hAnsi="Segoe UI" w:cs="Segoe UI" w:eastAsia="Segoe UI"/>
                <w:b/>
                <w:color w:val="0F4761"/>
                <w:sz w:val="16"/>
              </w:rPr>
              <w:t>C: Philippine partner</w:t>
            </w:r>
          </w:p>
        </w:tc>
        <w:tc>
          <w:tcPr>
            <w:tcW w:type="dxa" w:w="1906"/>
            <w:shd w:val="clear" w:color="auto" w:fill="DCE9F7"/>
          </w:tcPr>
          <w:p>
            <w:pPr>
              <w:spacing w:after="20"/>
            </w:pPr>
            <w:r>
              <w:rPr>
                <w:rFonts w:ascii="Segoe UI" w:hAnsi="Segoe UI" w:cs="Segoe UI" w:eastAsia="Segoe UI"/>
                <w:b/>
                <w:color w:val="0F4761"/>
                <w:sz w:val="16"/>
              </w:rPr>
              <w:t>Broker-hosted</w:t>
            </w:r>
          </w:p>
        </w:tc>
      </w:tr>
      <w:tr>
        <w:tc>
          <w:tcPr>
            <w:tcW w:type="dxa" w:w="1390"/>
          </w:tcPr>
          <w:p>
            <w:pPr>
              <w:spacing w:after="20"/>
            </w:pPr>
            <w:r>
              <w:rPr>
                <w:rFonts w:ascii="Segoe UI" w:hAnsi="Segoe UI" w:cs="Segoe UI" w:eastAsia="Segoe UI"/>
                <w:color w:val="101820"/>
                <w:sz w:val="16"/>
              </w:rPr>
              <w:t>API instance or AZ failure</w:t>
            </w:r>
          </w:p>
        </w:tc>
        <w:tc>
          <w:tcPr>
            <w:tcW w:type="dxa" w:w="1906"/>
          </w:tcPr>
          <w:p>
            <w:pPr>
              <w:spacing w:after="20"/>
            </w:pPr>
            <w:r>
              <w:rPr>
                <w:rFonts w:ascii="Segoe UI" w:hAnsi="Segoe UI" w:cs="Segoe UI" w:eastAsia="Segoe UI"/>
                <w:color w:val="101820"/>
                <w:sz w:val="16"/>
              </w:rPr>
              <w:t>RPO 0, RTO under 15 minutes (two ECS tasks in two AZs)</w:t>
            </w:r>
          </w:p>
        </w:tc>
        <w:tc>
          <w:tcPr>
            <w:tcW w:type="dxa" w:w="1906"/>
          </w:tcPr>
          <w:p>
            <w:pPr>
              <w:spacing w:after="20"/>
            </w:pPr>
            <w:r>
              <w:rPr>
                <w:rFonts w:ascii="Segoe UI" w:hAnsi="Segoe UI" w:cs="Segoe UI" w:eastAsia="Segoe UI"/>
                <w:color w:val="101820"/>
                <w:sz w:val="16"/>
              </w:rPr>
              <w:t>RPO 0, RTO under 15 minutes (two replicas across zones)</w:t>
            </w:r>
          </w:p>
        </w:tc>
        <w:tc>
          <w:tcPr>
            <w:tcW w:type="dxa" w:w="1906"/>
          </w:tcPr>
          <w:p>
            <w:pPr>
              <w:spacing w:after="20"/>
            </w:pPr>
            <w:r>
              <w:rPr>
                <w:rFonts w:ascii="Segoe UI" w:hAnsi="Segoe UI" w:cs="Segoe UI" w:eastAsia="Segoe UI"/>
                <w:color w:val="101820"/>
                <w:sz w:val="16"/>
              </w:rPr>
              <w:t>RPO 0, RTO under 15 minutes (two API VMs behind the proxy pair)</w:t>
            </w:r>
          </w:p>
        </w:tc>
        <w:tc>
          <w:tcPr>
            <w:tcW w:type="dxa" w:w="1906"/>
          </w:tcPr>
          <w:p>
            <w:pPr>
              <w:spacing w:after="20"/>
            </w:pPr>
            <w:r>
              <w:rPr>
                <w:rFonts w:ascii="Segoe UI" w:hAnsi="Segoe UI" w:cs="Segoe UI" w:eastAsia="Segoe UI"/>
                <w:color w:val="101820"/>
                <w:sz w:val="16"/>
              </w:rPr>
              <w:t>As the broker builds it</w:t>
            </w:r>
          </w:p>
        </w:tc>
      </w:tr>
      <w:tr>
        <w:tc>
          <w:tcPr>
            <w:tcW w:type="dxa" w:w="1390"/>
          </w:tcPr>
          <w:p>
            <w:pPr>
              <w:spacing w:after="20"/>
            </w:pPr>
            <w:r>
              <w:rPr>
                <w:rFonts w:ascii="Segoe UI" w:hAnsi="Segoe UI" w:cs="Segoe UI" w:eastAsia="Segoe UI"/>
                <w:color w:val="101820"/>
                <w:sz w:val="16"/>
              </w:rPr>
              <w:t>Database failure</w:t>
            </w:r>
          </w:p>
        </w:tc>
        <w:tc>
          <w:tcPr>
            <w:tcW w:type="dxa" w:w="1906"/>
          </w:tcPr>
          <w:p>
            <w:pPr>
              <w:spacing w:after="20"/>
            </w:pPr>
            <w:r>
              <w:rPr>
                <w:rFonts w:ascii="Segoe UI" w:hAnsi="Segoe UI" w:cs="Segoe UI" w:eastAsia="Segoe UI"/>
                <w:color w:val="101820"/>
                <w:sz w:val="16"/>
              </w:rPr>
              <w:t>RPO 0, RTO under 15 minutes (RDS Multi-AZ)</w:t>
            </w:r>
          </w:p>
        </w:tc>
        <w:tc>
          <w:tcPr>
            <w:tcW w:type="dxa" w:w="1906"/>
          </w:tcPr>
          <w:p>
            <w:pPr>
              <w:spacing w:after="20"/>
            </w:pPr>
            <w:r>
              <w:rPr>
                <w:rFonts w:ascii="Segoe UI" w:hAnsi="Segoe UI" w:cs="Segoe UI" w:eastAsia="Segoe UI"/>
                <w:color w:val="101820"/>
                <w:sz w:val="16"/>
              </w:rPr>
              <w:t>RPO 0, RTO under 15 minutes (zone-redundant Flexible Server)</w:t>
            </w:r>
          </w:p>
        </w:tc>
        <w:tc>
          <w:tcPr>
            <w:tcW w:type="dxa" w:w="1906"/>
          </w:tcPr>
          <w:p>
            <w:pPr>
              <w:spacing w:after="20"/>
            </w:pPr>
            <w:r>
              <w:rPr>
                <w:rFonts w:ascii="Segoe UI" w:hAnsi="Segoe UI" w:cs="Segoe UI" w:eastAsia="Segoe UI"/>
                <w:color w:val="101820"/>
                <w:sz w:val="16"/>
              </w:rPr>
              <w:t>RPO 0 with synchronous replica; RTO under 15 minutes with Patroni, about 1 hour with a manual runbook [to confirm with the partner]</w:t>
            </w:r>
          </w:p>
        </w:tc>
        <w:tc>
          <w:tcPr>
            <w:tcW w:type="dxa" w:w="1906"/>
          </w:tcPr>
          <w:p>
            <w:pPr>
              <w:spacing w:after="20"/>
            </w:pPr>
            <w:r>
              <w:rPr>
                <w:rFonts w:ascii="Segoe UI" w:hAnsi="Segoe UI" w:cs="Segoe UI" w:eastAsia="Segoe UI"/>
                <w:color w:val="101820"/>
                <w:sz w:val="16"/>
              </w:rPr>
              <w:t>As the broker builds it</w:t>
            </w:r>
          </w:p>
        </w:tc>
      </w:tr>
      <w:tr>
        <w:tc>
          <w:tcPr>
            <w:tcW w:type="dxa" w:w="1390"/>
          </w:tcPr>
          <w:p>
            <w:pPr>
              <w:spacing w:after="20"/>
            </w:pPr>
            <w:r>
              <w:rPr>
                <w:rFonts w:ascii="Segoe UI" w:hAnsi="Segoe UI" w:cs="Segoe UI" w:eastAsia="Segoe UI"/>
                <w:color w:val="101820"/>
                <w:sz w:val="16"/>
              </w:rPr>
              <w:t>Logical corruption</w:t>
            </w:r>
          </w:p>
        </w:tc>
        <w:tc>
          <w:tcPr>
            <w:tcW w:type="dxa" w:w="1906"/>
          </w:tcPr>
          <w:p>
            <w:pPr>
              <w:spacing w:after="20"/>
            </w:pPr>
            <w:r>
              <w:rPr>
                <w:rFonts w:ascii="Segoe UI" w:hAnsi="Segoe UI" w:cs="Segoe UI" w:eastAsia="Segoe UI"/>
                <w:color w:val="101820"/>
                <w:sz w:val="16"/>
              </w:rPr>
              <w:t>RPO 15 minutes (5 achievable), RTO 4 hours, by PITR</w:t>
            </w:r>
          </w:p>
        </w:tc>
        <w:tc>
          <w:tcPr>
            <w:tcW w:type="dxa" w:w="1906"/>
          </w:tcPr>
          <w:p>
            <w:pPr>
              <w:spacing w:after="20"/>
            </w:pPr>
            <w:r>
              <w:rPr>
                <w:rFonts w:ascii="Segoe UI" w:hAnsi="Segoe UI" w:cs="Segoe UI" w:eastAsia="Segoe UI"/>
                <w:color w:val="101820"/>
                <w:sz w:val="16"/>
              </w:rPr>
              <w:t>Same, by Flexible Server PITR</w:t>
            </w:r>
          </w:p>
        </w:tc>
        <w:tc>
          <w:tcPr>
            <w:tcW w:type="dxa" w:w="1906"/>
          </w:tcPr>
          <w:p>
            <w:pPr>
              <w:spacing w:after="20"/>
            </w:pPr>
            <w:r>
              <w:rPr>
                <w:rFonts w:ascii="Segoe UI" w:hAnsi="Segoe UI" w:cs="Segoe UI" w:eastAsia="Segoe UI"/>
                <w:color w:val="101820"/>
                <w:sz w:val="16"/>
              </w:rPr>
              <w:t>RPO 15 minutes with WAL archiving (pgBackRest or WAL-G); RTO 4 hours</w:t>
            </w:r>
          </w:p>
        </w:tc>
        <w:tc>
          <w:tcPr>
            <w:tcW w:type="dxa" w:w="1906"/>
          </w:tcPr>
          <w:p>
            <w:pPr>
              <w:spacing w:after="20"/>
            </w:pPr>
            <w:r>
              <w:rPr>
                <w:rFonts w:ascii="Segoe UI" w:hAnsi="Segoe UI" w:cs="Segoe UI" w:eastAsia="Segoe UI"/>
                <w:color w:val="101820"/>
                <w:sz w:val="16"/>
              </w:rPr>
              <w:t>Depends on the broker's WAL archiving; daily dump alone gives RPO 24 hours</w:t>
            </w:r>
          </w:p>
        </w:tc>
      </w:tr>
      <w:tr>
        <w:tc>
          <w:tcPr>
            <w:tcW w:type="dxa" w:w="1390"/>
          </w:tcPr>
          <w:p>
            <w:pPr>
              <w:spacing w:after="20"/>
            </w:pPr>
            <w:r>
              <w:rPr>
                <w:rFonts w:ascii="Segoe UI" w:hAnsi="Segoe UI" w:cs="Segoe UI" w:eastAsia="Segoe UI"/>
                <w:color w:val="101820"/>
                <w:sz w:val="16"/>
              </w:rPr>
              <w:t>Region or site outage, pilot light</w:t>
            </w:r>
          </w:p>
        </w:tc>
        <w:tc>
          <w:tcPr>
            <w:tcW w:type="dxa" w:w="1906"/>
          </w:tcPr>
          <w:p>
            <w:pPr>
              <w:spacing w:after="20"/>
            </w:pPr>
            <w:r>
              <w:rPr>
                <w:rFonts w:ascii="Segoe UI" w:hAnsi="Segoe UI" w:cs="Segoe UI" w:eastAsia="Segoe UI"/>
                <w:color w:val="101820"/>
                <w:sz w:val="16"/>
              </w:rPr>
              <w:t>RPO 24 hours, RTO 24 hours from cross-region copies</w:t>
            </w:r>
          </w:p>
        </w:tc>
        <w:tc>
          <w:tcPr>
            <w:tcW w:type="dxa" w:w="1906"/>
          </w:tcPr>
          <w:p>
            <w:pPr>
              <w:spacing w:after="20"/>
            </w:pPr>
            <w:r>
              <w:rPr>
                <w:rFonts w:ascii="Segoe UI" w:hAnsi="Segoe UI" w:cs="Segoe UI" w:eastAsia="Segoe UI"/>
                <w:color w:val="101820"/>
                <w:sz w:val="16"/>
              </w:rPr>
              <w:t>Same, from geo-redundant backup storage</w:t>
            </w:r>
          </w:p>
        </w:tc>
        <w:tc>
          <w:tcPr>
            <w:tcW w:type="dxa" w:w="1906"/>
          </w:tcPr>
          <w:p>
            <w:pPr>
              <w:spacing w:after="20"/>
            </w:pPr>
            <w:r>
              <w:rPr>
                <w:rFonts w:ascii="Segoe UI" w:hAnsi="Segoe UI" w:cs="Segoe UI" w:eastAsia="Segoe UI"/>
                <w:color w:val="101820"/>
                <w:sz w:val="16"/>
              </w:rPr>
              <w:t>Same, from the off-site copy in a second Philippine site</w:t>
            </w:r>
          </w:p>
        </w:tc>
        <w:tc>
          <w:tcPr>
            <w:tcW w:type="dxa" w:w="1906"/>
          </w:tcPr>
          <w:p>
            <w:pPr>
              <w:spacing w:after="20"/>
            </w:pPr>
            <w:r>
              <w:rPr>
                <w:rFonts w:ascii="Segoe UI" w:hAnsi="Segoe UI" w:cs="Segoe UI" w:eastAsia="Segoe UI"/>
                <w:color w:val="101820"/>
                <w:sz w:val="16"/>
              </w:rPr>
              <w:t>Broker's own DR site</w:t>
            </w:r>
          </w:p>
        </w:tc>
      </w:tr>
      <w:tr>
        <w:tc>
          <w:tcPr>
            <w:tcW w:type="dxa" w:w="1390"/>
          </w:tcPr>
          <w:p>
            <w:pPr>
              <w:spacing w:after="20"/>
            </w:pPr>
            <w:r>
              <w:rPr>
                <w:rFonts w:ascii="Segoe UI" w:hAnsi="Segoe UI" w:cs="Segoe UI" w:eastAsia="Segoe UI"/>
                <w:color w:val="101820"/>
                <w:sz w:val="16"/>
              </w:rPr>
              <w:t>Region or site outage, warm standby</w:t>
            </w:r>
          </w:p>
        </w:tc>
        <w:tc>
          <w:tcPr>
            <w:tcW w:type="dxa" w:w="1906"/>
          </w:tcPr>
          <w:p>
            <w:pPr>
              <w:spacing w:after="20"/>
            </w:pPr>
            <w:r>
              <w:rPr>
                <w:rFonts w:ascii="Segoe UI" w:hAnsi="Segoe UI" w:cs="Segoe UI" w:eastAsia="Segoe UI"/>
                <w:color w:val="101820"/>
                <w:sz w:val="16"/>
              </w:rPr>
              <w:t>RPO 24 hours or better, RTO 8 hours</w:t>
            </w:r>
          </w:p>
        </w:tc>
        <w:tc>
          <w:tcPr>
            <w:tcW w:type="dxa" w:w="1906"/>
          </w:tcPr>
          <w:p>
            <w:pPr>
              <w:spacing w:after="20"/>
            </w:pPr>
            <w:r>
              <w:rPr>
                <w:rFonts w:ascii="Segoe UI" w:hAnsi="Segoe UI" w:cs="Segoe UI" w:eastAsia="Segoe UI"/>
                <w:color w:val="101820"/>
                <w:sz w:val="16"/>
              </w:rPr>
              <w:t>Same</w:t>
            </w:r>
          </w:p>
        </w:tc>
        <w:tc>
          <w:tcPr>
            <w:tcW w:type="dxa" w:w="1906"/>
          </w:tcPr>
          <w:p>
            <w:pPr>
              <w:spacing w:after="20"/>
            </w:pPr>
            <w:r>
              <w:rPr>
                <w:rFonts w:ascii="Segoe UI" w:hAnsi="Segoe UI" w:cs="Segoe UI" w:eastAsia="Segoe UI"/>
                <w:color w:val="101820"/>
                <w:sz w:val="16"/>
              </w:rPr>
              <w:t>Same</w:t>
            </w:r>
          </w:p>
        </w:tc>
        <w:tc>
          <w:tcPr>
            <w:tcW w:type="dxa" w:w="1906"/>
          </w:tcPr>
          <w:p>
            <w:pPr>
              <w:spacing w:after="20"/>
            </w:pPr>
            <w:r>
              <w:rPr>
                <w:rFonts w:ascii="Segoe UI" w:hAnsi="Segoe UI" w:cs="Segoe UI" w:eastAsia="Segoe UI"/>
                <w:color w:val="101820"/>
                <w:sz w:val="16"/>
              </w:rPr>
              <w:t>Broker's own DR site</w:t>
            </w:r>
          </w:p>
        </w:tc>
      </w:tr>
    </w:tbl>
    <w:p>
      <w:pPr>
        <w:spacing w:after="80"/>
      </w:pPr>
    </w:p>
    <w:p>
      <w:pPr>
        <w:spacing w:after="60"/>
        <w:numPr>
          <w:ilvl w:val="0"/>
          <w:numId w:val="3"/>
        </w:numPr>
      </w:pPr>
      <w:r>
        <w:rPr>
          <w:rFonts w:ascii="Segoe UI" w:hAnsi="Segoe UI" w:cs="Segoe UI" w:eastAsia="Segoe UI"/>
          <w:b/>
          <w:color w:val="101820"/>
          <w:sz w:val="21"/>
        </w:rPr>
        <w:t>When iorta TechNXT hosts</w:t>
      </w:r>
      <w:r>
        <w:rPr>
          <w:rFonts w:ascii="Segoe UI" w:hAnsi="Segoe UI" w:cs="Segoe UI" w:eastAsia="Segoe UI"/>
          <w:color w:val="101820"/>
          <w:sz w:val="21"/>
        </w:rPr>
        <w:t>, the price includes production, one UAT environment, daily backups, monitoring and patching. A DR environment or cross-region backups are included for the Enterprise size and are an Order Form option for the other sizes. Without them, the regional objectives do not apply and a region or site loss means rebuilding production from the last backup held in the same region, if it survives.</w:t>
      </w:r>
    </w:p>
    <w:p>
      <w:pPr>
        <w:spacing w:after="60"/>
        <w:numPr>
          <w:ilvl w:val="0"/>
          <w:numId w:val="3"/>
        </w:numPr>
      </w:pPr>
      <w:r>
        <w:rPr>
          <w:rFonts w:ascii="Segoe UI" w:hAnsi="Segoe UI" w:cs="Segoe UI" w:eastAsia="Segoe UI"/>
          <w:b/>
          <w:color w:val="101820"/>
          <w:sz w:val="21"/>
        </w:rPr>
        <w:t>The demo deployment</w:t>
      </w:r>
      <w:r>
        <w:rPr>
          <w:rFonts w:ascii="Segoe UI" w:hAnsi="Segoe UI" w:cs="Segoe UI" w:eastAsia="Segoe UI"/>
          <w:color w:val="101820"/>
          <w:sz w:val="21"/>
        </w:rPr>
        <w:t xml:space="preserve"> on one EC2 host with PM2 has no redundancy and does not meet these objectives. It is for demonstration and UAT only.</w:t>
      </w:r>
    </w:p>
    <w:p>
      <w:pPr>
        <w:spacing w:after="60"/>
        <w:numPr>
          <w:ilvl w:val="0"/>
          <w:numId w:val="3"/>
        </w:numPr>
      </w:pPr>
      <w:r>
        <w:rPr>
          <w:rFonts w:ascii="Segoe UI" w:hAnsi="Segoe UI" w:cs="Segoe UI" w:eastAsia="Segoe UI"/>
          <w:b/>
          <w:color w:val="101820"/>
          <w:sz w:val="21"/>
        </w:rPr>
        <w:t>When the broker hosts</w:t>
      </w:r>
      <w:r>
        <w:rPr>
          <w:rFonts w:ascii="Segoe UI" w:hAnsi="Segoe UI" w:cs="Segoe UI" w:eastAsia="Segoe UI"/>
          <w:color w:val="101820"/>
          <w:sz w:val="21"/>
        </w:rPr>
        <w:t>, the broker owns the objectives. iorta TechNXT supplies this plan, the deployment guide and support at day rates.</w:t>
      </w:r>
    </w:p>
    <w:p>
      <w:pPr>
        <w:pStyle w:val="Heading2"/>
      </w:pPr>
      <w:r>
        <w:rPr>
          <w:rFonts w:ascii="Segoe UI" w:hAnsi="Segoe UI" w:cs="Segoe UI" w:eastAsia="Segoe UI"/>
          <w:b/>
          <w:color w:val="0F4761"/>
          <w:sz w:val="26"/>
        </w:rPr>
        <w:t>5.3  Availability target</w:t>
      </w:r>
    </w:p>
    <w:p>
      <w:pPr>
        <w:spacing w:after="120" w:line="276" w:lineRule="auto"/>
      </w:pPr>
      <w:r>
        <w:rPr>
          <w:rFonts w:ascii="Segoe UI" w:hAnsi="Segoe UI" w:cs="Segoe UI" w:eastAsia="Segoe UI"/>
          <w:color w:val="101820"/>
          <w:sz w:val="21"/>
        </w:rPr>
        <w:t>Hosted production has an availability target of 99.5% a month, measured in service hours (08:00 to 18:00 PHT, Monday to Friday, except Philippine regular holidays) by an external health check every 5 minutes, excluding planned maintenance. A DR invocation counts as unavailability unless the outage is excluded under the Hosting Agreement.</w:t>
      </w:r>
    </w:p>
    <w:p>
      <w:pPr>
        <w:pStyle w:val="Heading1"/>
        <w:pageBreakBefore/>
      </w:pPr>
      <w:r>
        <w:rPr>
          <w:rFonts w:ascii="Segoe UI" w:hAnsi="Segoe UI" w:cs="Segoe UI" w:eastAsia="Segoe UI"/>
          <w:b/>
          <w:color w:val="0F4761"/>
          <w:sz w:val="32"/>
        </w:rPr>
        <w:t>6.  Backup scheme</w:t>
      </w:r>
    </w:p>
    <w:p>
      <w:pPr>
        <w:pStyle w:val="Heading2"/>
      </w:pPr>
      <w:r>
        <w:rPr>
          <w:rFonts w:ascii="Segoe UI" w:hAnsi="Segoe UI" w:cs="Segoe UI" w:eastAsia="Segoe UI"/>
          <w:b/>
          <w:color w:val="0F4761"/>
          <w:sz w:val="26"/>
        </w:rPr>
        <w:t>6.1  Backups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65"/>
        <w:gridCol w:w="2218"/>
        <w:gridCol w:w="2265"/>
        <w:gridCol w:w="2265"/>
      </w:tblGrid>
      <w:tr>
        <w:trPr>
          <w:tblHeader w:val="true"/>
        </w:trPr>
        <w:tc>
          <w:tcPr>
            <w:tcW w:type="dxa" w:w="2265"/>
            <w:shd w:val="clear" w:color="auto" w:fill="DCE9F7"/>
          </w:tcPr>
          <w:p>
            <w:pPr>
              <w:spacing w:after="20"/>
            </w:pPr>
            <w:r>
              <w:rPr>
                <w:rFonts w:ascii="Segoe UI" w:hAnsi="Segoe UI" w:cs="Segoe UI" w:eastAsia="Segoe UI"/>
                <w:b/>
                <w:color w:val="0F4761"/>
                <w:sz w:val="18"/>
              </w:rPr>
              <w:t>Backup</w:t>
            </w:r>
          </w:p>
        </w:tc>
        <w:tc>
          <w:tcPr>
            <w:tcW w:type="dxa" w:w="2218"/>
            <w:shd w:val="clear" w:color="auto" w:fill="DCE9F7"/>
          </w:tcPr>
          <w:p>
            <w:pPr>
              <w:spacing w:after="20"/>
            </w:pPr>
            <w:r>
              <w:rPr>
                <w:rFonts w:ascii="Segoe UI" w:hAnsi="Segoe UI" w:cs="Segoe UI" w:eastAsia="Segoe UI"/>
                <w:b/>
                <w:color w:val="0F4761"/>
                <w:sz w:val="18"/>
              </w:rPr>
              <w:t>Frequency</w:t>
            </w:r>
          </w:p>
        </w:tc>
        <w:tc>
          <w:tcPr>
            <w:tcW w:type="dxa" w:w="2265"/>
            <w:shd w:val="clear" w:color="auto" w:fill="DCE9F7"/>
          </w:tcPr>
          <w:p>
            <w:pPr>
              <w:spacing w:after="20"/>
            </w:pPr>
            <w:r>
              <w:rPr>
                <w:rFonts w:ascii="Segoe UI" w:hAnsi="Segoe UI" w:cs="Segoe UI" w:eastAsia="Segoe UI"/>
                <w:b/>
                <w:color w:val="0F4761"/>
                <w:sz w:val="18"/>
              </w:rPr>
              <w:t>Retention</w:t>
            </w:r>
          </w:p>
        </w:tc>
        <w:tc>
          <w:tcPr>
            <w:tcW w:type="dxa" w:w="2265"/>
            <w:shd w:val="clear" w:color="auto" w:fill="DCE9F7"/>
          </w:tcPr>
          <w:p>
            <w:pPr>
              <w:spacing w:after="20"/>
            </w:pPr>
            <w:r>
              <w:rPr>
                <w:rFonts w:ascii="Segoe UI" w:hAnsi="Segoe UI" w:cs="Segoe UI" w:eastAsia="Segoe UI"/>
                <w:b/>
                <w:color w:val="0F4761"/>
                <w:sz w:val="18"/>
              </w:rPr>
              <w:t>Location</w:t>
            </w:r>
          </w:p>
        </w:tc>
      </w:tr>
      <w:tr>
        <w:tc>
          <w:tcPr>
            <w:tcW w:type="dxa" w:w="2265"/>
          </w:tcPr>
          <w:p>
            <w:pPr>
              <w:spacing w:after="20"/>
            </w:pPr>
            <w:r>
              <w:rPr>
                <w:rFonts w:ascii="Segoe UI" w:hAnsi="Segoe UI" w:cs="Segoe UI" w:eastAsia="Segoe UI"/>
                <w:color w:val="101820"/>
                <w:sz w:val="18"/>
              </w:rPr>
              <w:t>Automated database backups with PITR</w:t>
            </w:r>
          </w:p>
        </w:tc>
        <w:tc>
          <w:tcPr>
            <w:tcW w:type="dxa" w:w="2218"/>
          </w:tcPr>
          <w:p>
            <w:pPr>
              <w:spacing w:after="20"/>
            </w:pPr>
            <w:r>
              <w:rPr>
                <w:rFonts w:ascii="Segoe UI" w:hAnsi="Segoe UI" w:cs="Segoe UI" w:eastAsia="Segoe UI"/>
                <w:color w:val="101820"/>
                <w:sz w:val="18"/>
              </w:rPr>
              <w:t>Continuous; backup window 02:00 to 03:00 PHT</w:t>
            </w:r>
          </w:p>
        </w:tc>
        <w:tc>
          <w:tcPr>
            <w:tcW w:type="dxa" w:w="2265"/>
          </w:tcPr>
          <w:p>
            <w:pPr>
              <w:spacing w:after="20"/>
            </w:pPr>
            <w:r>
              <w:rPr>
                <w:rFonts w:ascii="Segoe UI" w:hAnsi="Segoe UI" w:cs="Segoe UI" w:eastAsia="Segoe UI"/>
                <w:color w:val="101820"/>
                <w:sz w:val="18"/>
              </w:rPr>
              <w:t>35 days</w:t>
            </w:r>
          </w:p>
        </w:tc>
        <w:tc>
          <w:tcPr>
            <w:tcW w:type="dxa" w:w="2265"/>
          </w:tcPr>
          <w:p>
            <w:pPr>
              <w:spacing w:after="20"/>
            </w:pPr>
            <w:r>
              <w:rPr>
                <w:rFonts w:ascii="Segoe UI" w:hAnsi="Segoe UI" w:cs="Segoe UI" w:eastAsia="Segoe UI"/>
                <w:color w:val="101820"/>
                <w:sz w:val="18"/>
              </w:rPr>
              <w:t>Same region, encrypted</w:t>
            </w:r>
          </w:p>
        </w:tc>
      </w:tr>
      <w:tr>
        <w:tc>
          <w:tcPr>
            <w:tcW w:type="dxa" w:w="2265"/>
          </w:tcPr>
          <w:p>
            <w:pPr>
              <w:spacing w:after="20"/>
            </w:pPr>
            <w:r>
              <w:rPr>
                <w:rFonts w:ascii="Segoe UI" w:hAnsi="Segoe UI" w:cs="Segoe UI" w:eastAsia="Segoe UI"/>
                <w:color w:val="101820"/>
                <w:sz w:val="18"/>
              </w:rPr>
              <w:t>Database snapshots</w:t>
            </w:r>
          </w:p>
        </w:tc>
        <w:tc>
          <w:tcPr>
            <w:tcW w:type="dxa" w:w="2218"/>
          </w:tcPr>
          <w:p>
            <w:pPr>
              <w:spacing w:after="20"/>
            </w:pPr>
            <w:r>
              <w:rPr>
                <w:rFonts w:ascii="Segoe UI" w:hAnsi="Segoe UI" w:cs="Segoe UI" w:eastAsia="Segoe UI"/>
                <w:color w:val="101820"/>
                <w:sz w:val="18"/>
              </w:rPr>
              <w:t>Daily</w:t>
            </w:r>
          </w:p>
        </w:tc>
        <w:tc>
          <w:tcPr>
            <w:tcW w:type="dxa" w:w="2265"/>
          </w:tcPr>
          <w:p>
            <w:pPr>
              <w:spacing w:after="20"/>
            </w:pPr>
            <w:r>
              <w:rPr>
                <w:rFonts w:ascii="Segoe UI" w:hAnsi="Segoe UI" w:cs="Segoe UI" w:eastAsia="Segoe UI"/>
                <w:color w:val="101820"/>
                <w:sz w:val="18"/>
              </w:rPr>
              <w:t>35 days</w:t>
            </w:r>
          </w:p>
        </w:tc>
        <w:tc>
          <w:tcPr>
            <w:tcW w:type="dxa" w:w="2265"/>
          </w:tcPr>
          <w:p>
            <w:pPr>
              <w:spacing w:after="20"/>
            </w:pPr>
            <w:r>
              <w:rPr>
                <w:rFonts w:ascii="Segoe UI" w:hAnsi="Segoe UI" w:cs="Segoe UI" w:eastAsia="Segoe UI"/>
                <w:color w:val="101820"/>
                <w:sz w:val="18"/>
              </w:rPr>
              <w:t>Same region</w:t>
            </w:r>
          </w:p>
        </w:tc>
      </w:tr>
      <w:tr>
        <w:tc>
          <w:tcPr>
            <w:tcW w:type="dxa" w:w="2265"/>
          </w:tcPr>
          <w:p>
            <w:pPr>
              <w:spacing w:after="20"/>
            </w:pPr>
            <w:r>
              <w:rPr>
                <w:rFonts w:ascii="Segoe UI" w:hAnsi="Segoe UI" w:cs="Segoe UI" w:eastAsia="Segoe UI"/>
                <w:color w:val="101820"/>
                <w:sz w:val="18"/>
              </w:rPr>
              <w:t>Monthly snapshot copy</w:t>
            </w:r>
          </w:p>
        </w:tc>
        <w:tc>
          <w:tcPr>
            <w:tcW w:type="dxa" w:w="2218"/>
          </w:tcPr>
          <w:p>
            <w:pPr>
              <w:spacing w:after="20"/>
            </w:pPr>
            <w:r>
              <w:rPr>
                <w:rFonts w:ascii="Segoe UI" w:hAnsi="Segoe UI" w:cs="Segoe UI" w:eastAsia="Segoe UI"/>
                <w:color w:val="101820"/>
                <w:sz w:val="18"/>
              </w:rPr>
              <w:t>Monthly</w:t>
            </w:r>
          </w:p>
        </w:tc>
        <w:tc>
          <w:tcPr>
            <w:tcW w:type="dxa" w:w="2265"/>
          </w:tcPr>
          <w:p>
            <w:pPr>
              <w:spacing w:after="20"/>
            </w:pPr>
            <w:r>
              <w:rPr>
                <w:rFonts w:ascii="Segoe UI" w:hAnsi="Segoe UI" w:cs="Segoe UI" w:eastAsia="Segoe UI"/>
                <w:color w:val="101820"/>
                <w:sz w:val="18"/>
              </w:rPr>
              <w:t>12 months; yearly copy of year-end records 10 years if the broker instructs</w:t>
            </w:r>
          </w:p>
        </w:tc>
        <w:tc>
          <w:tcPr>
            <w:tcW w:type="dxa" w:w="2265"/>
          </w:tcPr>
          <w:p>
            <w:pPr>
              <w:spacing w:after="20"/>
            </w:pPr>
            <w:r>
              <w:rPr>
                <w:rFonts w:ascii="Segoe UI" w:hAnsi="Segoe UI" w:cs="Segoe UI" w:eastAsia="Segoe UI"/>
                <w:color w:val="101820"/>
                <w:sz w:val="18"/>
              </w:rPr>
              <w:t>Second region or second Philippine site</w:t>
            </w:r>
          </w:p>
        </w:tc>
      </w:tr>
      <w:tr>
        <w:tc>
          <w:tcPr>
            <w:tcW w:type="dxa" w:w="2265"/>
          </w:tcPr>
          <w:p>
            <w:pPr>
              <w:spacing w:after="20"/>
            </w:pPr>
            <w:r>
              <w:rPr>
                <w:rFonts w:ascii="Segoe UI" w:hAnsi="Segoe UI" w:cs="Segoe UI" w:eastAsia="Segoe UI"/>
                <w:color w:val="101820"/>
                <w:sz w:val="18"/>
              </w:rPr>
              <w:t>Snapshot before each release with database changes, before go-live imports and before each year-end close</w:t>
            </w:r>
          </w:p>
        </w:tc>
        <w:tc>
          <w:tcPr>
            <w:tcW w:type="dxa" w:w="2218"/>
          </w:tcPr>
          <w:p>
            <w:pPr>
              <w:spacing w:after="20"/>
            </w:pPr>
            <w:r>
              <w:rPr>
                <w:rFonts w:ascii="Segoe UI" w:hAnsi="Segoe UI" w:cs="Segoe UI" w:eastAsia="Segoe UI"/>
                <w:color w:val="101820"/>
                <w:sz w:val="18"/>
              </w:rPr>
              <w:t>On event</w:t>
            </w:r>
          </w:p>
        </w:tc>
        <w:tc>
          <w:tcPr>
            <w:tcW w:type="dxa" w:w="2265"/>
          </w:tcPr>
          <w:p>
            <w:pPr>
              <w:spacing w:after="20"/>
            </w:pPr>
            <w:r>
              <w:rPr>
                <w:rFonts w:ascii="Segoe UI" w:hAnsi="Segoe UI" w:cs="Segoe UI" w:eastAsia="Segoe UI"/>
                <w:color w:val="101820"/>
                <w:sz w:val="18"/>
              </w:rPr>
              <w:t>At least 30 days</w:t>
            </w:r>
          </w:p>
        </w:tc>
        <w:tc>
          <w:tcPr>
            <w:tcW w:type="dxa" w:w="2265"/>
          </w:tcPr>
          <w:p>
            <w:pPr>
              <w:spacing w:after="20"/>
            </w:pPr>
            <w:r>
              <w:rPr>
                <w:rFonts w:ascii="Segoe UI" w:hAnsi="Segoe UI" w:cs="Segoe UI" w:eastAsia="Segoe UI"/>
                <w:color w:val="101820"/>
                <w:sz w:val="18"/>
              </w:rPr>
              <w:t>Same region</w:t>
            </w:r>
          </w:p>
        </w:tc>
      </w:tr>
      <w:tr>
        <w:tc>
          <w:tcPr>
            <w:tcW w:type="dxa" w:w="2265"/>
          </w:tcPr>
          <w:p>
            <w:pPr>
              <w:spacing w:after="20"/>
            </w:pPr>
            <w:r>
              <w:rPr>
                <w:rFonts w:ascii="Segoe UI" w:hAnsi="Segoe UI" w:cs="Segoe UI" w:eastAsia="Segoe UI"/>
                <w:color w:val="101820"/>
                <w:sz w:val="18"/>
              </w:rPr>
              <w:t>Logical dump (</w:t>
            </w:r>
            <w:r>
              <w:rPr>
                <w:rFonts w:ascii="Consolas" w:hAnsi="Consolas" w:cs="Consolas" w:eastAsia="Consolas"/>
                <w:color w:val="101820"/>
                <w:sz w:val="16"/>
              </w:rPr>
              <w:t>pg_dump -Fc</w:t>
            </w:r>
            <w:r>
              <w:rPr>
                <w:rFonts w:ascii="Segoe UI" w:hAnsi="Segoe UI" w:cs="Segoe UI" w:eastAsia="Segoe UI"/>
                <w:color w:val="101820"/>
                <w:sz w:val="18"/>
              </w:rPr>
              <w:t>)</w:t>
            </w:r>
          </w:p>
        </w:tc>
        <w:tc>
          <w:tcPr>
            <w:tcW w:type="dxa" w:w="2218"/>
          </w:tcPr>
          <w:p>
            <w:pPr>
              <w:spacing w:after="20"/>
            </w:pPr>
            <w:r>
              <w:rPr>
                <w:rFonts w:ascii="Segoe UI" w:hAnsi="Segoe UI" w:cs="Segoe UI" w:eastAsia="Segoe UI"/>
                <w:color w:val="101820"/>
                <w:sz w:val="18"/>
              </w:rPr>
              <w:t>Monthly</w:t>
            </w:r>
          </w:p>
        </w:tc>
        <w:tc>
          <w:tcPr>
            <w:tcW w:type="dxa" w:w="2265"/>
          </w:tcPr>
          <w:p>
            <w:pPr>
              <w:spacing w:after="20"/>
            </w:pPr>
            <w:r>
              <w:rPr>
                <w:rFonts w:ascii="Segoe UI" w:hAnsi="Segoe UI" w:cs="Segoe UI" w:eastAsia="Segoe UI"/>
                <w:color w:val="101820"/>
                <w:sz w:val="18"/>
              </w:rPr>
              <w:t>12 months</w:t>
            </w:r>
          </w:p>
        </w:tc>
        <w:tc>
          <w:tcPr>
            <w:tcW w:type="dxa" w:w="2265"/>
          </w:tcPr>
          <w:p>
            <w:pPr>
              <w:spacing w:after="20"/>
            </w:pPr>
            <w:r>
              <w:rPr>
                <w:rFonts w:ascii="Segoe UI" w:hAnsi="Segoe UI" w:cs="Segoe UI" w:eastAsia="Segoe UI"/>
                <w:color w:val="101820"/>
                <w:sz w:val="18"/>
              </w:rPr>
              <w:t>Write-once storage</w:t>
            </w:r>
          </w:p>
        </w:tc>
      </w:tr>
      <w:tr>
        <w:tc>
          <w:tcPr>
            <w:tcW w:type="dxa" w:w="2265"/>
          </w:tcPr>
          <w:p>
            <w:pPr>
              <w:spacing w:after="20"/>
            </w:pPr>
            <w:r>
              <w:rPr>
                <w:rFonts w:ascii="Segoe UI" w:hAnsi="Segoe UI" w:cs="Segoe UI" w:eastAsia="Segoe UI"/>
                <w:color w:val="101820"/>
                <w:sz w:val="18"/>
              </w:rPr>
              <w:t>File store</w:t>
            </w:r>
          </w:p>
        </w:tc>
        <w:tc>
          <w:tcPr>
            <w:tcW w:type="dxa" w:w="2218"/>
          </w:tcPr>
          <w:p>
            <w:pPr>
              <w:spacing w:after="20"/>
            </w:pPr>
            <w:r>
              <w:rPr>
                <w:rFonts w:ascii="Segoe UI" w:hAnsi="Segoe UI" w:cs="Segoe UI" w:eastAsia="Segoe UI"/>
                <w:color w:val="101820"/>
                <w:sz w:val="18"/>
              </w:rPr>
              <w:t>Daily; weekly copy to the second region or site</w:t>
            </w:r>
          </w:p>
        </w:tc>
        <w:tc>
          <w:tcPr>
            <w:tcW w:type="dxa" w:w="2265"/>
          </w:tcPr>
          <w:p>
            <w:pPr>
              <w:spacing w:after="20"/>
            </w:pPr>
            <w:r>
              <w:rPr>
                <w:rFonts w:ascii="Segoe UI" w:hAnsi="Segoe UI" w:cs="Segoe UI" w:eastAsia="Segoe UI"/>
                <w:color w:val="101820"/>
                <w:sz w:val="18"/>
              </w:rPr>
              <w:t>Daily 35 days; monthly 12 months</w:t>
            </w:r>
          </w:p>
        </w:tc>
        <w:tc>
          <w:tcPr>
            <w:tcW w:type="dxa" w:w="2265"/>
          </w:tcPr>
          <w:p>
            <w:pPr>
              <w:spacing w:after="20"/>
            </w:pPr>
            <w:r>
              <w:rPr>
                <w:rFonts w:ascii="Segoe UI" w:hAnsi="Segoe UI" w:cs="Segoe UI" w:eastAsia="Segoe UI"/>
                <w:color w:val="101820"/>
                <w:sz w:val="18"/>
              </w:rPr>
              <w:t>Same region and second region or site</w:t>
            </w:r>
          </w:p>
        </w:tc>
      </w:tr>
      <w:tr>
        <w:tc>
          <w:tcPr>
            <w:tcW w:type="dxa" w:w="2265"/>
          </w:tcPr>
          <w:p>
            <w:pPr>
              <w:spacing w:after="20"/>
            </w:pPr>
            <w:r>
              <w:rPr>
                <w:rFonts w:ascii="Segoe UI" w:hAnsi="Segoe UI" w:cs="Segoe UI" w:eastAsia="Segoe UI"/>
                <w:color w:val="101820"/>
                <w:sz w:val="18"/>
              </w:rPr>
              <w:t>Front-end bucket versions</w:t>
            </w:r>
          </w:p>
        </w:tc>
        <w:tc>
          <w:tcPr>
            <w:tcW w:type="dxa" w:w="2218"/>
          </w:tcPr>
          <w:p>
            <w:pPr>
              <w:spacing w:after="20"/>
            </w:pPr>
            <w:r>
              <w:rPr>
                <w:rFonts w:ascii="Segoe UI" w:hAnsi="Segoe UI" w:cs="Segoe UI" w:eastAsia="Segoe UI"/>
                <w:color w:val="101820"/>
                <w:sz w:val="18"/>
              </w:rPr>
              <w:t>Each publish</w:t>
            </w:r>
          </w:p>
        </w:tc>
        <w:tc>
          <w:tcPr>
            <w:tcW w:type="dxa" w:w="2265"/>
          </w:tcPr>
          <w:p>
            <w:pPr>
              <w:spacing w:after="20"/>
            </w:pPr>
            <w:r>
              <w:rPr>
                <w:rFonts w:ascii="Segoe UI" w:hAnsi="Segoe UI" w:cs="Segoe UI" w:eastAsia="Segoe UI"/>
                <w:color w:val="101820"/>
                <w:sz w:val="18"/>
              </w:rPr>
              <w:t>90 days</w:t>
            </w:r>
          </w:p>
        </w:tc>
        <w:tc>
          <w:tcPr>
            <w:tcW w:type="dxa" w:w="2265"/>
          </w:tcPr>
          <w:p>
            <w:pPr>
              <w:spacing w:after="20"/>
            </w:pPr>
            <w:r>
              <w:rPr>
                <w:rFonts w:ascii="Segoe UI" w:hAnsi="Segoe UI" w:cs="Segoe UI" w:eastAsia="Segoe UI"/>
                <w:color w:val="101820"/>
                <w:sz w:val="18"/>
              </w:rPr>
              <w:t>Same region</w:t>
            </w:r>
          </w:p>
        </w:tc>
      </w:tr>
      <w:tr>
        <w:tc>
          <w:tcPr>
            <w:tcW w:type="dxa" w:w="2265"/>
          </w:tcPr>
          <w:p>
            <w:pPr>
              <w:spacing w:after="20"/>
            </w:pPr>
            <w:r>
              <w:rPr>
                <w:rFonts w:ascii="Segoe UI" w:hAnsi="Segoe UI" w:cs="Segoe UI" w:eastAsia="Segoe UI"/>
                <w:color w:val="101820"/>
                <w:sz w:val="18"/>
              </w:rPr>
              <w:t>API container images</w:t>
            </w:r>
          </w:p>
        </w:tc>
        <w:tc>
          <w:tcPr>
            <w:tcW w:type="dxa" w:w="2218"/>
          </w:tcPr>
          <w:p>
            <w:pPr>
              <w:spacing w:after="20"/>
            </w:pPr>
            <w:r>
              <w:rPr>
                <w:rFonts w:ascii="Segoe UI" w:hAnsi="Segoe UI" w:cs="Segoe UI" w:eastAsia="Segoe UI"/>
                <w:color w:val="101820"/>
                <w:sz w:val="18"/>
              </w:rPr>
              <w:t>Each release</w:t>
            </w:r>
          </w:p>
        </w:tc>
        <w:tc>
          <w:tcPr>
            <w:tcW w:type="dxa" w:w="2265"/>
          </w:tcPr>
          <w:p>
            <w:pPr>
              <w:spacing w:after="20"/>
            </w:pPr>
            <w:r>
              <w:rPr>
                <w:rFonts w:ascii="Segoe UI" w:hAnsi="Segoe UI" w:cs="Segoe UI" w:eastAsia="Segoe UI"/>
                <w:color w:val="101820"/>
                <w:sz w:val="18"/>
              </w:rPr>
              <w:t>Last 10 releases</w:t>
            </w:r>
          </w:p>
        </w:tc>
        <w:tc>
          <w:tcPr>
            <w:tcW w:type="dxa" w:w="2265"/>
          </w:tcPr>
          <w:p>
            <w:pPr>
              <w:spacing w:after="20"/>
            </w:pPr>
            <w:r>
              <w:rPr>
                <w:rFonts w:ascii="Segoe UI" w:hAnsi="Segoe UI" w:cs="Segoe UI" w:eastAsia="Segoe UI"/>
                <w:color w:val="101820"/>
                <w:sz w:val="18"/>
              </w:rPr>
              <w:t>Registry, replicated to the recovery region</w:t>
            </w:r>
          </w:p>
        </w:tc>
      </w:tr>
      <w:tr>
        <w:tc>
          <w:tcPr>
            <w:tcW w:type="dxa" w:w="2265"/>
          </w:tcPr>
          <w:p>
            <w:pPr>
              <w:spacing w:after="20"/>
            </w:pPr>
            <w:r>
              <w:rPr>
                <w:rFonts w:ascii="Segoe UI" w:hAnsi="Segoe UI" w:cs="Segoe UI" w:eastAsia="Segoe UI"/>
                <w:color w:val="101820"/>
                <w:sz w:val="18"/>
              </w:rPr>
              <w:t>Secrets</w:t>
            </w:r>
          </w:p>
        </w:tc>
        <w:tc>
          <w:tcPr>
            <w:tcW w:type="dxa" w:w="2218"/>
          </w:tcPr>
          <w:p>
            <w:pPr>
              <w:spacing w:after="20"/>
            </w:pPr>
            <w:r>
              <w:rPr>
                <w:rFonts w:ascii="Segoe UI" w:hAnsi="Segoe UI" w:cs="Segoe UI" w:eastAsia="Segoe UI"/>
                <w:color w:val="101820"/>
                <w:sz w:val="18"/>
              </w:rPr>
              <w:t>On change</w:t>
            </w:r>
          </w:p>
        </w:tc>
        <w:tc>
          <w:tcPr>
            <w:tcW w:type="dxa" w:w="2265"/>
          </w:tcPr>
          <w:p>
            <w:pPr>
              <w:spacing w:after="20"/>
            </w:pPr>
            <w:r>
              <w:rPr>
                <w:rFonts w:ascii="Segoe UI" w:hAnsi="Segoe UI" w:cs="Segoe UI" w:eastAsia="Segoe UI"/>
                <w:color w:val="101820"/>
                <w:sz w:val="18"/>
              </w:rPr>
              <w:t>All versions</w:t>
            </w:r>
          </w:p>
        </w:tc>
        <w:tc>
          <w:tcPr>
            <w:tcW w:type="dxa" w:w="2265"/>
          </w:tcPr>
          <w:p>
            <w:pPr>
              <w:spacing w:after="20"/>
            </w:pPr>
            <w:r>
              <w:rPr>
                <w:rFonts w:ascii="Segoe UI" w:hAnsi="Segoe UI" w:cs="Segoe UI" w:eastAsia="Segoe UI"/>
                <w:color w:val="101820"/>
                <w:sz w:val="18"/>
              </w:rPr>
              <w:t>Secret store with a sealed escrow copy under dual control</w:t>
            </w:r>
          </w:p>
        </w:tc>
      </w:tr>
    </w:tbl>
    <w:p>
      <w:pPr>
        <w:spacing w:after="80"/>
      </w:pPr>
    </w:p>
    <w:p>
      <w:pPr>
        <w:shd w:val="clear" w:color="auto" w:fill="EAF2FB"/>
        <w:spacing w:after="160"/>
        <w:ind w:left="170"/>
      </w:pPr>
      <w:r>
        <w:rPr>
          <w:rFonts w:ascii="Segoe UI" w:hAnsi="Segoe UI" w:cs="Segoe UI" w:eastAsia="Segoe UI"/>
          <w:b/>
          <w:color w:val="101820"/>
          <w:sz w:val="20"/>
        </w:rPr>
        <w:t>Note:</w:t>
      </w:r>
      <w:r>
        <w:rPr>
          <w:rFonts w:ascii="Segoe UI" w:hAnsi="Segoe UI" w:cs="Segoe UI" w:eastAsia="Segoe UI"/>
          <w:color w:val="101820"/>
          <w:sz w:val="20"/>
        </w:rPr>
        <w:t xml:space="preserve"> The application contains no backup automation. Backups are configured in the hosting platform (AWS Backup and RDS, Azure Backup and Flexible Server, pgBackRest or WAL-G and the backup server under option C). The </w:t>
      </w:r>
      <w:r>
        <w:rPr>
          <w:rFonts w:ascii="Consolas" w:hAnsi="Consolas" w:cs="Consolas" w:eastAsia="Consolas"/>
          <w:color w:val="101820"/>
          <w:sz w:val="18"/>
        </w:rPr>
        <w:t>deploy/README.md</w:t>
      </w:r>
      <w:r>
        <w:rPr>
          <w:rFonts w:ascii="Segoe UI" w:hAnsi="Segoe UI" w:cs="Segoe UI" w:eastAsia="Segoe UI"/>
          <w:color w:val="101820"/>
          <w:sz w:val="20"/>
        </w:rPr>
        <w:t xml:space="preserve"> checklist requires daily snapshots kept at least 30 days, a backup of the upload volume and of </w:t>
      </w:r>
      <w:r>
        <w:rPr>
          <w:rFonts w:ascii="Consolas" w:hAnsi="Consolas" w:cs="Consolas" w:eastAsia="Consolas"/>
          <w:color w:val="101820"/>
          <w:sz w:val="18"/>
        </w:rPr>
        <w:t>DATA_ENCRYPTION_KEY</w:t>
      </w:r>
      <w:r>
        <w:rPr>
          <w:rFonts w:ascii="Segoe UI" w:hAnsi="Segoe UI" w:cs="Segoe UI" w:eastAsia="Segoe UI"/>
          <w:color w:val="101820"/>
          <w:sz w:val="20"/>
        </w:rPr>
        <w:t>, and one restore test before go-live.</w:t>
      </w:r>
    </w:p>
    <w:p>
      <w:pPr>
        <w:pStyle w:val="Heading2"/>
      </w:pPr>
      <w:r>
        <w:rPr>
          <w:rFonts w:ascii="Segoe UI" w:hAnsi="Segoe UI" w:cs="Segoe UI" w:eastAsia="Segoe UI"/>
          <w:b/>
          <w:color w:val="0F4761"/>
          <w:sz w:val="26"/>
        </w:rPr>
        <w:t>6.2  Why the encryption key matters</w:t>
      </w:r>
    </w:p>
    <w:p>
      <w:pPr>
        <w:spacing w:after="120" w:line="276" w:lineRule="auto"/>
      </w:pPr>
      <w:r>
        <w:rPr>
          <w:rFonts w:ascii="Consolas" w:hAnsi="Consolas" w:cs="Consolas" w:eastAsia="Consolas"/>
          <w:color w:val="101820"/>
          <w:sz w:val="19"/>
        </w:rPr>
        <w:t>DATA_ENCRYPTION_KEY</w:t>
      </w:r>
      <w:r>
        <w:rPr>
          <w:rFonts w:ascii="Segoe UI" w:hAnsi="Segoe UI" w:cs="Segoe UI" w:eastAsia="Segoe UI"/>
          <w:color w:val="101820"/>
          <w:sz w:val="21"/>
        </w:rPr>
        <w:t xml:space="preserve"> encrypts the two-step verification secrets. A database restored without the same key works, but every user with two-step verification must have it reset by an administrator and enrol again. No business data is lost. The key is therefore backed up with the database: versioned in the secret store, with a sealed escrow copy held under dual control by the broker and iorta TechNXT.</w:t>
      </w:r>
    </w:p>
    <w:p>
      <w:pPr>
        <w:spacing w:after="120" w:line="276" w:lineRule="auto"/>
      </w:pPr>
      <w:r>
        <w:rPr>
          <w:rFonts w:ascii="Consolas" w:hAnsi="Consolas" w:cs="Consolas" w:eastAsia="Consolas"/>
          <w:color w:val="101820"/>
          <w:sz w:val="19"/>
        </w:rPr>
        <w:t>JWT_SECRET</w:t>
      </w:r>
      <w:r>
        <w:rPr>
          <w:rFonts w:ascii="Segoe UI" w:hAnsi="Segoe UI" w:cs="Segoe UI" w:eastAsia="Segoe UI"/>
          <w:color w:val="101820"/>
          <w:sz w:val="21"/>
        </w:rPr>
        <w:t xml:space="preserve"> signs sessions and file links. Restoring with a new value only signs every user out.</w:t>
      </w:r>
    </w:p>
    <w:p>
      <w:pPr>
        <w:pStyle w:val="Heading1"/>
        <w:pageBreakBefore/>
      </w:pPr>
      <w:r>
        <w:rPr>
          <w:rFonts w:ascii="Segoe UI" w:hAnsi="Segoe UI" w:cs="Segoe UI" w:eastAsia="Segoe UI"/>
          <w:b/>
          <w:color w:val="0F4761"/>
          <w:sz w:val="32"/>
        </w:rPr>
        <w:t>7.  Restore procedures</w:t>
      </w:r>
    </w:p>
    <w:p>
      <w:pPr>
        <w:spacing w:after="120" w:line="276" w:lineRule="auto"/>
      </w:pPr>
      <w:r>
        <w:rPr>
          <w:rFonts w:ascii="Segoe UI" w:hAnsi="Segoe UI" w:cs="Segoe UI" w:eastAsia="Segoe UI"/>
          <w:color w:val="101820"/>
          <w:sz w:val="21"/>
        </w:rPr>
        <w:t>Detailed command-level steps are in architecture document 09. The procedures below are the order of work and the checks; L3 engineering carries them out, L2 coordinates and the broker confirms.</w:t>
      </w:r>
    </w:p>
    <w:p>
      <w:pPr>
        <w:pStyle w:val="Heading2"/>
      </w:pPr>
      <w:r>
        <w:rPr>
          <w:rFonts w:ascii="Segoe UI" w:hAnsi="Segoe UI" w:cs="Segoe UI" w:eastAsia="Segoe UI"/>
          <w:b/>
          <w:color w:val="0F4761"/>
          <w:sz w:val="26"/>
        </w:rPr>
        <w:t>7.1  Common steps for every restore</w:t>
      </w:r>
    </w:p>
    <w:p>
      <w:pPr>
        <w:spacing w:after="60"/>
        <w:numPr>
          <w:ilvl w:val="0"/>
          <w:numId w:val="4"/>
        </w:numPr>
      </w:pPr>
      <w:r>
        <w:rPr>
          <w:rFonts w:ascii="Segoe UI" w:hAnsi="Segoe UI" w:cs="Segoe UI" w:eastAsia="Segoe UI"/>
          <w:color w:val="101820"/>
          <w:sz w:val="21"/>
        </w:rPr>
        <w:t>Declare the incident as P1 and open the bridge (chapter on communication).</w:t>
      </w:r>
    </w:p>
    <w:p>
      <w:pPr>
        <w:spacing w:after="60"/>
        <w:numPr>
          <w:ilvl w:val="0"/>
          <w:numId w:val="4"/>
        </w:numPr>
      </w:pPr>
      <w:r>
        <w:rPr>
          <w:rFonts w:ascii="Segoe UI" w:hAnsi="Segoe UI" w:cs="Segoe UI" w:eastAsia="Segoe UI"/>
          <w:color w:val="101820"/>
          <w:sz w:val="21"/>
        </w:rPr>
        <w:t xml:space="preserve">Stop writes: set the API to zero instances or block traffic at the load balancer, and set </w:t>
      </w:r>
      <w:r>
        <w:rPr>
          <w:rFonts w:ascii="Consolas" w:hAnsi="Consolas" w:cs="Consolas" w:eastAsia="Consolas"/>
          <w:color w:val="101820"/>
          <w:sz w:val="19"/>
        </w:rPr>
        <w:t>SCHEDULER_ENABLED=false</w:t>
      </w:r>
      <w:r>
        <w:rPr>
          <w:rFonts w:ascii="Segoe UI" w:hAnsi="Segoe UI" w:cs="Segoe UI" w:eastAsia="Segoe UI"/>
          <w:color w:val="101820"/>
          <w:sz w:val="21"/>
        </w:rPr>
        <w:t xml:space="preserve"> on any instance that stays up, so jobs do not run against a half-restored database.</w:t>
      </w:r>
    </w:p>
    <w:p>
      <w:pPr>
        <w:spacing w:after="60"/>
        <w:numPr>
          <w:ilvl w:val="0"/>
          <w:numId w:val="4"/>
        </w:numPr>
      </w:pPr>
      <w:r>
        <w:rPr>
          <w:rFonts w:ascii="Segoe UI" w:hAnsi="Segoe UI" w:cs="Segoe UI" w:eastAsia="Segoe UI"/>
          <w:color w:val="101820"/>
          <w:sz w:val="21"/>
        </w:rPr>
        <w:t>Take a snapshot of the current state, even if damaged, for evidence and for the root-cause analysis.</w:t>
      </w:r>
    </w:p>
    <w:p>
      <w:pPr>
        <w:spacing w:after="60"/>
        <w:numPr>
          <w:ilvl w:val="0"/>
          <w:numId w:val="4"/>
        </w:numPr>
      </w:pPr>
      <w:r>
        <w:rPr>
          <w:rFonts w:ascii="Segoe UI" w:hAnsi="Segoe UI" w:cs="Segoe UI" w:eastAsia="Segoe UI"/>
          <w:color w:val="101820"/>
          <w:sz w:val="21"/>
        </w:rPr>
        <w:t>Agree the recovery point with the broker's Accounting Manager: the last time before the damage, in PHT.</w:t>
      </w:r>
    </w:p>
    <w:p>
      <w:pPr>
        <w:spacing w:after="60"/>
        <w:numPr>
          <w:ilvl w:val="0"/>
          <w:numId w:val="4"/>
        </w:numPr>
      </w:pPr>
      <w:r>
        <w:rPr>
          <w:rFonts w:ascii="Segoe UI" w:hAnsi="Segoe UI" w:cs="Segoe UI" w:eastAsia="Segoe UI"/>
          <w:color w:val="101820"/>
          <w:sz w:val="21"/>
        </w:rPr>
        <w:t>Restore (sections below).</w:t>
      </w:r>
    </w:p>
    <w:p>
      <w:pPr>
        <w:spacing w:after="60"/>
        <w:numPr>
          <w:ilvl w:val="0"/>
          <w:numId w:val="4"/>
        </w:numPr>
      </w:pPr>
      <w:r>
        <w:rPr>
          <w:rFonts w:ascii="Segoe UI" w:hAnsi="Segoe UI" w:cs="Segoe UI" w:eastAsia="Segoe UI"/>
          <w:color w:val="101820"/>
          <w:sz w:val="21"/>
        </w:rPr>
        <w:t xml:space="preserve">Start one API instance. On start it checks the configuration, applies any pending migration under the advisory lock and runs the idempotent seed; </w:t>
      </w:r>
      <w:r>
        <w:rPr>
          <w:rFonts w:ascii="Consolas" w:hAnsi="Consolas" w:cs="Consolas" w:eastAsia="Consolas"/>
          <w:color w:val="101820"/>
          <w:sz w:val="19"/>
        </w:rPr>
        <w:t>/api/health</w:t>
      </w:r>
      <w:r>
        <w:rPr>
          <w:rFonts w:ascii="Segoe UI" w:hAnsi="Segoe UI" w:cs="Segoe UI" w:eastAsia="Segoe UI"/>
          <w:color w:val="101820"/>
          <w:sz w:val="21"/>
        </w:rPr>
        <w:t xml:space="preserve"> answers 200 when ready.</w:t>
      </w:r>
    </w:p>
    <w:p>
      <w:pPr>
        <w:spacing w:after="60"/>
        <w:numPr>
          <w:ilvl w:val="0"/>
          <w:numId w:val="4"/>
        </w:numPr>
      </w:pPr>
      <w:r>
        <w:rPr>
          <w:rFonts w:ascii="Segoe UI" w:hAnsi="Segoe UI" w:cs="Segoe UI" w:eastAsia="Segoe UI"/>
          <w:color w:val="101820"/>
          <w:sz w:val="21"/>
        </w:rPr>
        <w:t xml:space="preserve">Check </w:t>
      </w:r>
      <w:r>
        <w:rPr>
          <w:rFonts w:ascii="Consolas" w:hAnsi="Consolas" w:cs="Consolas" w:eastAsia="Consolas"/>
          <w:color w:val="101820"/>
          <w:sz w:val="19"/>
        </w:rPr>
        <w:t>GET /api/version</w:t>
      </w:r>
      <w:r>
        <w:rPr>
          <w:rFonts w:ascii="Segoe UI" w:hAnsi="Segoe UI" w:cs="Segoe UI" w:eastAsia="Segoe UI"/>
          <w:color w:val="101820"/>
          <w:sz w:val="21"/>
        </w:rPr>
        <w:t>: expected commit, no pending migration.</w:t>
      </w:r>
    </w:p>
    <w:p>
      <w:pPr>
        <w:spacing w:after="60"/>
        <w:numPr>
          <w:ilvl w:val="0"/>
          <w:numId w:val="4"/>
        </w:numPr>
      </w:pPr>
      <w:r>
        <w:rPr>
          <w:rFonts w:ascii="Segoe UI" w:hAnsi="Segoe UI" w:cs="Segoe UI" w:eastAsia="Segoe UI"/>
          <w:color w:val="101820"/>
          <w:sz w:val="21"/>
        </w:rPr>
        <w:t xml:space="preserve">Run the smoke test of </w:t>
      </w:r>
      <w:r>
        <w:rPr>
          <w:rFonts w:ascii="Consolas" w:hAnsi="Consolas" w:cs="Consolas" w:eastAsia="Consolas"/>
          <w:color w:val="101820"/>
          <w:sz w:val="19"/>
        </w:rPr>
        <w:t>deploy/README.md</w:t>
      </w:r>
      <w:r>
        <w:rPr>
          <w:rFonts w:ascii="Segoe UI" w:hAnsi="Segoe UI" w:cs="Segoe UI" w:eastAsia="Segoe UI"/>
          <w:color w:val="101820"/>
          <w:sz w:val="21"/>
        </w:rPr>
        <w:t xml:space="preserve"> section 4 and the business checks below.</w:t>
      </w:r>
    </w:p>
    <w:p>
      <w:pPr>
        <w:spacing w:after="60"/>
        <w:numPr>
          <w:ilvl w:val="0"/>
          <w:numId w:val="4"/>
        </w:numPr>
      </w:pPr>
      <w:r>
        <w:rPr>
          <w:rFonts w:ascii="Segoe UI" w:hAnsi="Segoe UI" w:cs="Segoe UI" w:eastAsia="Segoe UI"/>
          <w:color w:val="101820"/>
          <w:sz w:val="21"/>
        </w:rPr>
        <w:t>Re-enable the scheduler on one instance, scale out, open traffic.</w:t>
      </w:r>
    </w:p>
    <w:p>
      <w:pPr>
        <w:spacing w:after="60"/>
        <w:numPr>
          <w:ilvl w:val="0"/>
          <w:numId w:val="4"/>
        </w:numPr>
      </w:pPr>
      <w:r>
        <w:rPr>
          <w:rFonts w:ascii="Segoe UI" w:hAnsi="Segoe UI" w:cs="Segoe UI" w:eastAsia="Segoe UI"/>
          <w:color w:val="101820"/>
          <w:sz w:val="21"/>
        </w:rPr>
        <w:t>Tell users what was restored to which point and what must be re-entered.</w:t>
      </w:r>
    </w:p>
    <w:p>
      <w:pPr>
        <w:pStyle w:val="Heading2"/>
      </w:pPr>
      <w:r>
        <w:rPr>
          <w:rFonts w:ascii="Segoe UI" w:hAnsi="Segoe UI" w:cs="Segoe UI" w:eastAsia="Segoe UI"/>
          <w:b/>
          <w:color w:val="0F4761"/>
          <w:sz w:val="26"/>
        </w:rPr>
        <w:t>7.2  Business checks after a restore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6094"/>
        <w:gridCol w:w="2920"/>
      </w:tblGrid>
      <w:tr>
        <w:trPr>
          <w:tblHeader w:val="true"/>
        </w:trPr>
        <w:tc>
          <w:tcPr>
            <w:tcW w:type="dxa" w:w="6094"/>
            <w:shd w:val="clear" w:color="auto" w:fill="DCE9F7"/>
          </w:tcPr>
          <w:p>
            <w:pPr>
              <w:spacing w:after="20"/>
            </w:pPr>
            <w:r>
              <w:rPr>
                <w:rFonts w:ascii="Segoe UI" w:hAnsi="Segoe UI" w:cs="Segoe UI" w:eastAsia="Segoe UI"/>
                <w:b/>
                <w:color w:val="0F4761"/>
                <w:sz w:val="18"/>
              </w:rPr>
              <w:t>Check</w:t>
            </w:r>
          </w:p>
        </w:tc>
        <w:tc>
          <w:tcPr>
            <w:tcW w:type="dxa" w:w="2920"/>
            <w:shd w:val="clear" w:color="auto" w:fill="DCE9F7"/>
          </w:tcPr>
          <w:p>
            <w:pPr>
              <w:spacing w:after="20"/>
            </w:pPr>
            <w:r>
              <w:rPr>
                <w:rFonts w:ascii="Segoe UI" w:hAnsi="Segoe UI" w:cs="Segoe UI" w:eastAsia="Segoe UI"/>
                <w:b/>
                <w:color w:val="0F4761"/>
                <w:sz w:val="18"/>
              </w:rPr>
              <w:t>Who</w:t>
            </w:r>
          </w:p>
        </w:tc>
      </w:tr>
      <w:tr>
        <w:tc>
          <w:tcPr>
            <w:tcW w:type="dxa" w:w="6094"/>
          </w:tcPr>
          <w:p>
            <w:pPr>
              <w:spacing w:after="20"/>
            </w:pPr>
            <w:r>
              <w:rPr>
                <w:rFonts w:ascii="Segoe UI" w:hAnsi="Segoe UI" w:cs="Segoe UI" w:eastAsia="Segoe UI"/>
                <w:color w:val="101820"/>
                <w:sz w:val="18"/>
              </w:rPr>
              <w:t>Last official receipt, payment voucher and journal voucher numbers match the broker's paper or bank evidence</w:t>
            </w:r>
          </w:p>
        </w:tc>
        <w:tc>
          <w:tcPr>
            <w:tcW w:type="dxa" w:w="2920"/>
          </w:tcPr>
          <w:p>
            <w:pPr>
              <w:spacing w:after="20"/>
            </w:pPr>
            <w:r>
              <w:rPr>
                <w:rFonts w:ascii="Segoe UI" w:hAnsi="Segoe UI" w:cs="Segoe UI" w:eastAsia="Segoe UI"/>
                <w:color w:val="101820"/>
                <w:sz w:val="18"/>
              </w:rPr>
              <w:t>Accounting</w:t>
            </w:r>
          </w:p>
        </w:tc>
      </w:tr>
      <w:tr>
        <w:tc>
          <w:tcPr>
            <w:tcW w:type="dxa" w:w="6094"/>
          </w:tcPr>
          <w:p>
            <w:pPr>
              <w:spacing w:after="20"/>
            </w:pPr>
            <w:r>
              <w:rPr>
                <w:rFonts w:ascii="Segoe UI" w:hAnsi="Segoe UI" w:cs="Segoe UI" w:eastAsia="Segoe UI"/>
                <w:color w:val="101820"/>
                <w:sz w:val="18"/>
              </w:rPr>
              <w:t>Trial balance is balanced; sub-ledger tie-out of the month-end checklist passes</w:t>
            </w:r>
          </w:p>
        </w:tc>
        <w:tc>
          <w:tcPr>
            <w:tcW w:type="dxa" w:w="2920"/>
          </w:tcPr>
          <w:p>
            <w:pPr>
              <w:spacing w:after="20"/>
            </w:pPr>
            <w:r>
              <w:rPr>
                <w:rFonts w:ascii="Segoe UI" w:hAnsi="Segoe UI" w:cs="Segoe UI" w:eastAsia="Segoe UI"/>
                <w:color w:val="101820"/>
                <w:sz w:val="18"/>
              </w:rPr>
              <w:t>Accounting Manager</w:t>
            </w:r>
          </w:p>
        </w:tc>
      </w:tr>
      <w:tr>
        <w:tc>
          <w:tcPr>
            <w:tcW w:type="dxa" w:w="6094"/>
          </w:tcPr>
          <w:p>
            <w:pPr>
              <w:spacing w:after="20"/>
            </w:pPr>
            <w:r>
              <w:rPr>
                <w:rFonts w:ascii="Segoe UI" w:hAnsi="Segoe UI" w:cs="Segoe UI" w:eastAsia="Segoe UI"/>
                <w:color w:val="101820"/>
                <w:sz w:val="18"/>
              </w:rPr>
              <w:t>Last policies, endorsements and claims entered before the recovery point are present</w:t>
            </w:r>
          </w:p>
        </w:tc>
        <w:tc>
          <w:tcPr>
            <w:tcW w:type="dxa" w:w="2920"/>
          </w:tcPr>
          <w:p>
            <w:pPr>
              <w:spacing w:after="20"/>
            </w:pPr>
            <w:r>
              <w:rPr>
                <w:rFonts w:ascii="Segoe UI" w:hAnsi="Segoe UI" w:cs="Segoe UI" w:eastAsia="Segoe UI"/>
                <w:color w:val="101820"/>
                <w:sz w:val="18"/>
              </w:rPr>
              <w:t>Processing Team, Claims</w:t>
            </w:r>
          </w:p>
        </w:tc>
      </w:tr>
      <w:tr>
        <w:tc>
          <w:tcPr>
            <w:tcW w:type="dxa" w:w="6094"/>
          </w:tcPr>
          <w:p>
            <w:pPr>
              <w:spacing w:after="20"/>
            </w:pPr>
            <w:r>
              <w:rPr>
                <w:rFonts w:ascii="Segoe UI" w:hAnsi="Segoe UI" w:cs="Segoe UI" w:eastAsia="Segoe UI"/>
                <w:color w:val="101820"/>
                <w:sz w:val="18"/>
              </w:rPr>
              <w:t>Document Numbering counters are past the last numbers used; no number is reused</w:t>
            </w:r>
          </w:p>
        </w:tc>
        <w:tc>
          <w:tcPr>
            <w:tcW w:type="dxa" w:w="2920"/>
          </w:tcPr>
          <w:p>
            <w:pPr>
              <w:spacing w:after="20"/>
            </w:pPr>
            <w:r>
              <w:rPr>
                <w:rFonts w:ascii="Segoe UI" w:hAnsi="Segoe UI" w:cs="Segoe UI" w:eastAsia="Segoe UI"/>
                <w:color w:val="101820"/>
                <w:sz w:val="18"/>
              </w:rPr>
              <w:t>System Administrator</w:t>
            </w:r>
          </w:p>
        </w:tc>
      </w:tr>
      <w:tr>
        <w:tc>
          <w:tcPr>
            <w:tcW w:type="dxa" w:w="6094"/>
          </w:tcPr>
          <w:p>
            <w:pPr>
              <w:spacing w:after="20"/>
            </w:pPr>
            <w:r>
              <w:rPr>
                <w:rFonts w:ascii="Segoe UI" w:hAnsi="Segoe UI" w:cs="Segoe UI" w:eastAsia="Segoe UI"/>
                <w:color w:val="101820"/>
                <w:sz w:val="18"/>
              </w:rPr>
              <w:t>A sample of KYC images and claim documents opens</w:t>
            </w:r>
          </w:p>
        </w:tc>
        <w:tc>
          <w:tcPr>
            <w:tcW w:type="dxa" w:w="2920"/>
          </w:tcPr>
          <w:p>
            <w:pPr>
              <w:spacing w:after="20"/>
            </w:pPr>
            <w:r>
              <w:rPr>
                <w:rFonts w:ascii="Segoe UI" w:hAnsi="Segoe UI" w:cs="Segoe UI" w:eastAsia="Segoe UI"/>
                <w:color w:val="101820"/>
                <w:sz w:val="18"/>
              </w:rPr>
              <w:t>Operations</w:t>
            </w:r>
          </w:p>
        </w:tc>
      </w:tr>
      <w:tr>
        <w:tc>
          <w:tcPr>
            <w:tcW w:type="dxa" w:w="6094"/>
          </w:tcPr>
          <w:p>
            <w:pPr>
              <w:spacing w:after="20"/>
            </w:pPr>
            <w:r>
              <w:rPr>
                <w:rFonts w:ascii="Segoe UI" w:hAnsi="Segoe UI" w:cs="Segoe UI" w:eastAsia="Segoe UI"/>
                <w:color w:val="101820"/>
                <w:sz w:val="18"/>
              </w:rPr>
              <w:t>E-mail Outbox has no flood of old messages queued for resend</w:t>
            </w:r>
          </w:p>
        </w:tc>
        <w:tc>
          <w:tcPr>
            <w:tcW w:type="dxa" w:w="2920"/>
          </w:tcPr>
          <w:p>
            <w:pPr>
              <w:spacing w:after="20"/>
            </w:pPr>
            <w:r>
              <w:rPr>
                <w:rFonts w:ascii="Segoe UI" w:hAnsi="Segoe UI" w:cs="Segoe UI" w:eastAsia="Segoe UI"/>
                <w:color w:val="101820"/>
                <w:sz w:val="18"/>
              </w:rPr>
              <w:t>System Administrator</w:t>
            </w:r>
          </w:p>
        </w:tc>
      </w:tr>
      <w:tr>
        <w:tc>
          <w:tcPr>
            <w:tcW w:type="dxa" w:w="6094"/>
          </w:tcPr>
          <w:p>
            <w:pPr>
              <w:spacing w:after="20"/>
            </w:pPr>
            <w:r>
              <w:rPr>
                <w:rFonts w:ascii="Segoe UI" w:hAnsi="Segoe UI" w:cs="Segoe UI" w:eastAsia="Segoe UI"/>
                <w:color w:val="101820"/>
                <w:sz w:val="18"/>
              </w:rPr>
              <w:t>Sign-in works for a user with two-step verification</w:t>
            </w:r>
          </w:p>
        </w:tc>
        <w:tc>
          <w:tcPr>
            <w:tcW w:type="dxa" w:w="2920"/>
          </w:tcPr>
          <w:p>
            <w:pPr>
              <w:spacing w:after="20"/>
            </w:pPr>
            <w:r>
              <w:rPr>
                <w:rFonts w:ascii="Segoe UI" w:hAnsi="Segoe UI" w:cs="Segoe UI" w:eastAsia="Segoe UI"/>
                <w:color w:val="101820"/>
                <w:sz w:val="18"/>
              </w:rPr>
              <w:t>System Administrator</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Transactions entered after the recovery point are re-entered from source documents. Official receipt numbers issued in that window are re-entered with the same numbers where the series allows, or recorded with a cross-reference memo approved by the Accounting Manager, so the BIR sequence stays explainable.</w:t>
      </w:r>
    </w:p>
    <w:p>
      <w:pPr>
        <w:pStyle w:val="Heading2"/>
      </w:pPr>
      <w:r>
        <w:rPr>
          <w:rFonts w:ascii="Segoe UI" w:hAnsi="Segoe UI" w:cs="Segoe UI" w:eastAsia="Segoe UI"/>
          <w:b/>
          <w:color w:val="0F4761"/>
          <w:sz w:val="26"/>
        </w:rPr>
        <w:t>7.3  Database: point-in-time recovery</w:t>
      </w:r>
    </w:p>
    <w:p>
      <w:pPr>
        <w:spacing w:after="120" w:line="276" w:lineRule="auto"/>
      </w:pPr>
      <w:r>
        <w:rPr>
          <w:rFonts w:ascii="Segoe UI" w:hAnsi="Segoe UI" w:cs="Segoe UI" w:eastAsia="Segoe UI"/>
          <w:color w:val="101820"/>
          <w:sz w:val="21"/>
        </w:rPr>
        <w:t>Used for logical corruption, a wrong mass change or a bad release.</w:t>
      </w:r>
    </w:p>
    <w:p>
      <w:pPr>
        <w:spacing w:after="60"/>
        <w:numPr>
          <w:ilvl w:val="0"/>
          <w:numId w:val="5"/>
        </w:numPr>
      </w:pPr>
      <w:r>
        <w:rPr>
          <w:rFonts w:ascii="Segoe UI" w:hAnsi="Segoe UI" w:cs="Segoe UI" w:eastAsia="Segoe UI"/>
          <w:color w:val="101820"/>
          <w:sz w:val="21"/>
        </w:rPr>
        <w:t>Restore the managed database to a new instance at the agreed recovery point (RDS or Flexible Server PITR; pgBackRest or WAL-G restore under option C).</w:t>
      </w:r>
    </w:p>
    <w:p>
      <w:pPr>
        <w:spacing w:after="60"/>
        <w:numPr>
          <w:ilvl w:val="0"/>
          <w:numId w:val="5"/>
        </w:numPr>
      </w:pPr>
      <w:r>
        <w:rPr>
          <w:rFonts w:ascii="Segoe UI" w:hAnsi="Segoe UI" w:cs="Segoe UI" w:eastAsia="Segoe UI"/>
          <w:color w:val="101820"/>
          <w:sz w:val="21"/>
        </w:rPr>
        <w:t xml:space="preserve">Point </w:t>
      </w:r>
      <w:r>
        <w:rPr>
          <w:rFonts w:ascii="Consolas" w:hAnsi="Consolas" w:cs="Consolas" w:eastAsia="Consolas"/>
          <w:color w:val="101820"/>
          <w:sz w:val="19"/>
        </w:rPr>
        <w:t>DATABASE_URL</w:t>
      </w:r>
      <w:r>
        <w:rPr>
          <w:rFonts w:ascii="Segoe UI" w:hAnsi="Segoe UI" w:cs="Segoe UI" w:eastAsia="Segoe UI"/>
          <w:color w:val="101820"/>
          <w:sz w:val="21"/>
        </w:rPr>
        <w:t xml:space="preserve"> of one API instance at the new instance; keep the old instance stopped, not deleted, until the root-cause analysis is done.</w:t>
      </w:r>
    </w:p>
    <w:p>
      <w:pPr>
        <w:spacing w:after="60"/>
        <w:numPr>
          <w:ilvl w:val="0"/>
          <w:numId w:val="5"/>
        </w:numPr>
      </w:pPr>
      <w:r>
        <w:rPr>
          <w:rFonts w:ascii="Segoe UI" w:hAnsi="Segoe UI" w:cs="Segoe UI" w:eastAsia="Segoe UI"/>
          <w:color w:val="101820"/>
          <w:sz w:val="21"/>
        </w:rPr>
        <w:t>Common steps 6 to 10.</w:t>
      </w:r>
    </w:p>
    <w:p>
      <w:pPr>
        <w:pStyle w:val="Heading2"/>
      </w:pPr>
      <w:r>
        <w:rPr>
          <w:rFonts w:ascii="Segoe UI" w:hAnsi="Segoe UI" w:cs="Segoe UI" w:eastAsia="Segoe UI"/>
          <w:b/>
          <w:color w:val="0F4761"/>
          <w:sz w:val="26"/>
        </w:rPr>
        <w:t>7.4  Database: snapshot or logical dump</w:t>
      </w:r>
    </w:p>
    <w:p>
      <w:pPr>
        <w:spacing w:after="120" w:line="276" w:lineRule="auto"/>
      </w:pPr>
      <w:r>
        <w:rPr>
          <w:rFonts w:ascii="Segoe UI" w:hAnsi="Segoe UI" w:cs="Segoe UI" w:eastAsia="Segoe UI"/>
          <w:color w:val="101820"/>
          <w:sz w:val="21"/>
        </w:rPr>
        <w:t>Used when PITR is not available (beyond 35 days, or a broker-hosted installation with daily dumps only).</w:t>
      </w:r>
    </w:p>
    <w:p>
      <w:pPr>
        <w:spacing w:after="60"/>
        <w:numPr>
          <w:ilvl w:val="0"/>
          <w:numId w:val="6"/>
        </w:numPr>
      </w:pPr>
      <w:r>
        <w:rPr>
          <w:rFonts w:ascii="Segoe UI" w:hAnsi="Segoe UI" w:cs="Segoe UI" w:eastAsia="Segoe UI"/>
          <w:color w:val="101820"/>
          <w:sz w:val="21"/>
        </w:rPr>
        <w:t xml:space="preserve">Restore the snapshot to a new instance, or create an empty PostgreSQL 16 database with time zone Asia/Manila and run </w:t>
      </w:r>
      <w:r>
        <w:rPr>
          <w:rFonts w:ascii="Consolas" w:hAnsi="Consolas" w:cs="Consolas" w:eastAsia="Consolas"/>
          <w:color w:val="101820"/>
          <w:sz w:val="19"/>
        </w:rPr>
        <w:t>pg_restore</w:t>
      </w:r>
      <w:r>
        <w:rPr>
          <w:rFonts w:ascii="Segoe UI" w:hAnsi="Segoe UI" w:cs="Segoe UI" w:eastAsia="Segoe UI"/>
          <w:color w:val="101820"/>
          <w:sz w:val="21"/>
        </w:rPr>
        <w:t xml:space="preserve"> of the dump.</w:t>
      </w:r>
    </w:p>
    <w:p>
      <w:pPr>
        <w:spacing w:after="60"/>
        <w:numPr>
          <w:ilvl w:val="0"/>
          <w:numId w:val="6"/>
        </w:numPr>
      </w:pPr>
      <w:r>
        <w:rPr>
          <w:rFonts w:ascii="Segoe UI" w:hAnsi="Segoe UI" w:cs="Segoe UI" w:eastAsia="Segoe UI"/>
          <w:color w:val="101820"/>
          <w:sz w:val="21"/>
        </w:rPr>
        <w:t>Compare row counts of the main tables with the dump's own record.</w:t>
      </w:r>
    </w:p>
    <w:p>
      <w:pPr>
        <w:spacing w:after="60"/>
        <w:numPr>
          <w:ilvl w:val="0"/>
          <w:numId w:val="6"/>
        </w:numPr>
      </w:pPr>
      <w:r>
        <w:rPr>
          <w:rFonts w:ascii="Segoe UI" w:hAnsi="Segoe UI" w:cs="Segoe UI" w:eastAsia="Segoe UI"/>
          <w:color w:val="101820"/>
          <w:sz w:val="21"/>
        </w:rPr>
        <w:t>Common steps 6 to 10.</w:t>
      </w:r>
    </w:p>
    <w:p>
      <w:pPr>
        <w:pStyle w:val="Heading2"/>
      </w:pPr>
      <w:r>
        <w:rPr>
          <w:rFonts w:ascii="Segoe UI" w:hAnsi="Segoe UI" w:cs="Segoe UI" w:eastAsia="Segoe UI"/>
          <w:b/>
          <w:color w:val="0F4761"/>
          <w:sz w:val="26"/>
        </w:rPr>
        <w:t>7.5  File store</w:t>
      </w:r>
    </w:p>
    <w:p>
      <w:pPr>
        <w:spacing w:after="60"/>
        <w:numPr>
          <w:ilvl w:val="0"/>
          <w:numId w:val="7"/>
        </w:numPr>
      </w:pPr>
      <w:r>
        <w:rPr>
          <w:rFonts w:ascii="Segoe UI" w:hAnsi="Segoe UI" w:cs="Segoe UI" w:eastAsia="Segoe UI"/>
          <w:color w:val="101820"/>
          <w:sz w:val="21"/>
        </w:rPr>
        <w:t xml:space="preserve">Restore the file store backup of the agreed day to the same path, or to a new volume mounted at </w:t>
      </w:r>
      <w:r>
        <w:rPr>
          <w:rFonts w:ascii="Consolas" w:hAnsi="Consolas" w:cs="Consolas" w:eastAsia="Consolas"/>
          <w:color w:val="101820"/>
          <w:sz w:val="19"/>
        </w:rPr>
        <w:t>UPLOAD_DIR</w:t>
      </w:r>
      <w:r>
        <w:rPr>
          <w:rFonts w:ascii="Segoe UI" w:hAnsi="Segoe UI" w:cs="Segoe UI" w:eastAsia="Segoe UI"/>
          <w:color w:val="101820"/>
          <w:sz w:val="21"/>
        </w:rPr>
        <w:t xml:space="preserve"> on every API instance.</w:t>
      </w:r>
    </w:p>
    <w:p>
      <w:pPr>
        <w:spacing w:after="60"/>
        <w:numPr>
          <w:ilvl w:val="0"/>
          <w:numId w:val="7"/>
        </w:numPr>
      </w:pPr>
      <w:r>
        <w:rPr>
          <w:rFonts w:ascii="Segoe UI" w:hAnsi="Segoe UI" w:cs="Segoe UI" w:eastAsia="Segoe UI"/>
          <w:color w:val="101820"/>
          <w:sz w:val="21"/>
        </w:rPr>
        <w:t>Files uploaded after that backup are listed from the database (records whose stored file is missing) and re-uploaded by users from their originals.</w:t>
      </w:r>
    </w:p>
    <w:p>
      <w:pPr>
        <w:pStyle w:val="Heading2"/>
      </w:pPr>
      <w:r>
        <w:rPr>
          <w:rFonts w:ascii="Segoe UI" w:hAnsi="Segoe UI" w:cs="Segoe UI" w:eastAsia="Segoe UI"/>
          <w:b/>
          <w:color w:val="0F4761"/>
          <w:sz w:val="26"/>
        </w:rPr>
        <w:t>7.6  Region or site loss</w:t>
      </w:r>
    </w:p>
    <w:p>
      <w:pPr>
        <w:spacing w:after="60"/>
        <w:numPr>
          <w:ilvl w:val="0"/>
          <w:numId w:val="8"/>
        </w:numPr>
      </w:pPr>
      <w:r>
        <w:rPr>
          <w:rFonts w:ascii="Segoe UI" w:hAnsi="Segoe UI" w:cs="Segoe UI" w:eastAsia="Segoe UI"/>
          <w:color w:val="101820"/>
          <w:sz w:val="21"/>
        </w:rPr>
        <w:t>The Incident Manager and the broker's IT head decide to invoke DR (chapter on roles).</w:t>
      </w:r>
    </w:p>
    <w:p>
      <w:pPr>
        <w:spacing w:after="60"/>
        <w:numPr>
          <w:ilvl w:val="0"/>
          <w:numId w:val="8"/>
        </w:numPr>
      </w:pPr>
      <w:r>
        <w:rPr>
          <w:rFonts w:ascii="Segoe UI" w:hAnsi="Segoe UI" w:cs="Segoe UI" w:eastAsia="Segoe UI"/>
          <w:color w:val="101820"/>
          <w:sz w:val="21"/>
        </w:rPr>
        <w:t>In the recovery region or second site: restore the database from the latest cross-region copy, the file store from its latest copy, pull the API image of the running release from the replicated registry and the secrets from the secret store or the escrow copy.</w:t>
      </w:r>
    </w:p>
    <w:p>
      <w:pPr>
        <w:spacing w:after="60"/>
        <w:numPr>
          <w:ilvl w:val="0"/>
          <w:numId w:val="8"/>
        </w:numPr>
      </w:pPr>
      <w:r>
        <w:rPr>
          <w:rFonts w:ascii="Segoe UI" w:hAnsi="Segoe UI" w:cs="Segoe UI" w:eastAsia="Segoe UI"/>
          <w:color w:val="101820"/>
          <w:sz w:val="21"/>
        </w:rPr>
        <w:t>Publish the front-end build of the release (or restore the bucket copy) and point DNS or the CDN origin to the recovery site.</w:t>
      </w:r>
    </w:p>
    <w:p>
      <w:pPr>
        <w:spacing w:after="60"/>
        <w:numPr>
          <w:ilvl w:val="0"/>
          <w:numId w:val="8"/>
        </w:numPr>
      </w:pPr>
      <w:r>
        <w:rPr>
          <w:rFonts w:ascii="Segoe UI" w:hAnsi="Segoe UI" w:cs="Segoe UI" w:eastAsia="Segoe UI"/>
          <w:color w:val="101820"/>
          <w:sz w:val="21"/>
        </w:rPr>
        <w:t xml:space="preserve">Common steps 6 to 10. Update </w:t>
      </w:r>
      <w:r>
        <w:rPr>
          <w:rFonts w:ascii="Consolas" w:hAnsi="Consolas" w:cs="Consolas" w:eastAsia="Consolas"/>
          <w:color w:val="101820"/>
          <w:sz w:val="19"/>
        </w:rPr>
        <w:t>PUBLIC_BASE_URL</w:t>
      </w:r>
      <w:r>
        <w:rPr>
          <w:rFonts w:ascii="Segoe UI" w:hAnsi="Segoe UI" w:cs="Segoe UI" w:eastAsia="Segoe UI"/>
          <w:color w:val="101820"/>
          <w:sz w:val="21"/>
        </w:rPr>
        <w:t xml:space="preserve"> and </w:t>
      </w:r>
      <w:r>
        <w:rPr>
          <w:rFonts w:ascii="Consolas" w:hAnsi="Consolas" w:cs="Consolas" w:eastAsia="Consolas"/>
          <w:color w:val="101820"/>
          <w:sz w:val="19"/>
        </w:rPr>
        <w:t>CORS_ORIGINS</w:t>
      </w:r>
      <w:r>
        <w:rPr>
          <w:rFonts w:ascii="Segoe UI" w:hAnsi="Segoe UI" w:cs="Segoe UI" w:eastAsia="Segoe UI"/>
          <w:color w:val="101820"/>
          <w:sz w:val="21"/>
        </w:rPr>
        <w:t xml:space="preserve"> if the address changes, and re-register payment gateway webhook addresses if they change.</w:t>
      </w:r>
    </w:p>
    <w:p>
      <w:pPr>
        <w:spacing w:after="60"/>
        <w:numPr>
          <w:ilvl w:val="0"/>
          <w:numId w:val="8"/>
        </w:numPr>
      </w:pPr>
      <w:r>
        <w:rPr>
          <w:rFonts w:ascii="Segoe UI" w:hAnsi="Segoe UI" w:cs="Segoe UI" w:eastAsia="Segoe UI"/>
          <w:color w:val="101820"/>
          <w:sz w:val="21"/>
        </w:rPr>
        <w:t>Fail back to the primary region in a planned window once it is stable, using the same procedure in reverse with a fresh backup.</w:t>
      </w:r>
    </w:p>
    <w:p>
      <w:pPr>
        <w:pStyle w:val="Heading2"/>
      </w:pPr>
      <w:r>
        <w:rPr>
          <w:rFonts w:ascii="Segoe UI" w:hAnsi="Segoe UI" w:cs="Segoe UI" w:eastAsia="Segoe UI"/>
          <w:b/>
          <w:color w:val="0F4761"/>
          <w:sz w:val="26"/>
        </w:rPr>
        <w:t>7.7  Front end and secrets</w:t>
      </w:r>
    </w:p>
    <w:p>
      <w:pPr>
        <w:spacing w:after="60"/>
        <w:numPr>
          <w:ilvl w:val="0"/>
          <w:numId w:val="3"/>
        </w:numPr>
      </w:pPr>
      <w:r>
        <w:rPr>
          <w:rFonts w:ascii="Segoe UI" w:hAnsi="Segoe UI" w:cs="Segoe UI" w:eastAsia="Segoe UI"/>
          <w:color w:val="101820"/>
          <w:sz w:val="21"/>
        </w:rPr>
        <w:t>Front end: re-run the deployment workflow on the release commit, or restore the previous bucket object versions, then invalidate the CDN.</w:t>
      </w:r>
    </w:p>
    <w:p>
      <w:pPr>
        <w:spacing w:after="60"/>
        <w:numPr>
          <w:ilvl w:val="0"/>
          <w:numId w:val="3"/>
        </w:numPr>
      </w:pPr>
      <w:r>
        <w:rPr>
          <w:rFonts w:ascii="Segoe UI" w:hAnsi="Segoe UI" w:cs="Segoe UI" w:eastAsia="Segoe UI"/>
          <w:color w:val="101820"/>
          <w:sz w:val="21"/>
        </w:rPr>
        <w:t>Secrets: restore the previous version from the secret store; if the store is lost, open the sealed escrow copy under dual control and record who opened it.</w:t>
      </w:r>
    </w:p>
    <w:p>
      <w:pPr>
        <w:pStyle w:val="Heading2"/>
      </w:pPr>
      <w:r>
        <w:rPr>
          <w:rFonts w:ascii="Segoe UI" w:hAnsi="Segoe UI" w:cs="Segoe UI" w:eastAsia="Segoe UI"/>
          <w:b/>
          <w:color w:val="0F4761"/>
          <w:sz w:val="26"/>
        </w:rPr>
        <w:t>7.8  Release rollback</w:t>
      </w:r>
    </w:p>
    <w:p>
      <w:pPr>
        <w:spacing w:after="120" w:line="276" w:lineRule="auto"/>
      </w:pPr>
      <w:r>
        <w:rPr>
          <w:rFonts w:ascii="Segoe UI" w:hAnsi="Segoe UI" w:cs="Segoe UI" w:eastAsia="Segoe UI"/>
          <w:color w:val="101820"/>
          <w:sz w:val="21"/>
        </w:rPr>
        <w:t>Migrations only add to the schema, so the previous API image runs on the newer schema. Redeploy the previous image tag and front-end build. Restore the pre-release snapshot only if data written by the new release must be undone.</w:t>
      </w:r>
    </w:p>
    <w:p>
      <w:pPr>
        <w:pStyle w:val="Heading1"/>
        <w:pageBreakBefore/>
      </w:pPr>
      <w:r>
        <w:rPr>
          <w:rFonts w:ascii="Segoe UI" w:hAnsi="Segoe UI" w:cs="Segoe UI" w:eastAsia="Segoe UI"/>
          <w:b/>
          <w:color w:val="0F4761"/>
          <w:sz w:val="32"/>
        </w:rPr>
        <w:t>8.  Scenarios</w:t>
      </w:r>
    </w:p>
    <w:p>
      <w:pPr>
        <w:pStyle w:val="Heading2"/>
      </w:pPr>
      <w:r>
        <w:rPr>
          <w:rFonts w:ascii="Segoe UI" w:hAnsi="Segoe UI" w:cs="Segoe UI" w:eastAsia="Segoe UI"/>
          <w:b/>
          <w:color w:val="0F4761"/>
          <w:sz w:val="26"/>
        </w:rPr>
        <w:t>8.1  Region or data centre outage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6458"/>
      </w:tblGrid>
      <w:tr>
        <w:trPr>
          <w:tblHeader w:val="true"/>
        </w:trPr>
        <w:tc>
          <w:tcPr>
            <w:tcW w:type="dxa" w:w="2556"/>
            <w:shd w:val="clear" w:color="auto" w:fill="DCE9F7"/>
          </w:tcPr>
          <w:p>
            <w:pPr>
              <w:spacing w:after="20"/>
            </w:pPr>
            <w:r>
              <w:rPr>
                <w:rFonts w:ascii="Segoe UI" w:hAnsi="Segoe UI" w:cs="Segoe UI" w:eastAsia="Segoe UI"/>
                <w:b/>
                <w:color w:val="0F4761"/>
                <w:sz w:val="18"/>
              </w:rPr>
              <w:t>Item</w:t>
            </w:r>
          </w:p>
        </w:tc>
        <w:tc>
          <w:tcPr>
            <w:tcW w:type="dxa" w:w="6458"/>
            <w:shd w:val="clear" w:color="auto" w:fill="DCE9F7"/>
          </w:tcPr>
          <w:p>
            <w:pPr>
              <w:spacing w:after="20"/>
            </w:pPr>
            <w:r>
              <w:rPr>
                <w:rFonts w:ascii="Segoe UI" w:hAnsi="Segoe UI" w:cs="Segoe UI" w:eastAsia="Segoe UI"/>
                <w:b/>
                <w:color w:val="0F4761"/>
                <w:sz w:val="18"/>
              </w:rPr>
              <w:t>Response</w:t>
            </w:r>
          </w:p>
        </w:tc>
      </w:tr>
      <w:tr>
        <w:tc>
          <w:tcPr>
            <w:tcW w:type="dxa" w:w="2556"/>
          </w:tcPr>
          <w:p>
            <w:pPr>
              <w:spacing w:after="20"/>
            </w:pPr>
            <w:r>
              <w:rPr>
                <w:rFonts w:ascii="Segoe UI" w:hAnsi="Segoe UI" w:cs="Segoe UI" w:eastAsia="Segoe UI"/>
                <w:color w:val="101820"/>
                <w:sz w:val="18"/>
              </w:rPr>
              <w:t>Trigger</w:t>
            </w:r>
          </w:p>
        </w:tc>
        <w:tc>
          <w:tcPr>
            <w:tcW w:type="dxa" w:w="6458"/>
          </w:tcPr>
          <w:p>
            <w:pPr>
              <w:spacing w:after="20"/>
            </w:pPr>
            <w:r>
              <w:rPr>
                <w:rFonts w:ascii="Segoe UI" w:hAnsi="Segoe UI" w:cs="Segoe UI" w:eastAsia="Segoe UI"/>
                <w:color w:val="101820"/>
                <w:sz w:val="18"/>
              </w:rPr>
              <w:t>Provider status page or partner notice; health checks failing from outside; no AZ in the region usable</w:t>
            </w:r>
          </w:p>
        </w:tc>
      </w:tr>
      <w:tr>
        <w:tc>
          <w:tcPr>
            <w:tcW w:type="dxa" w:w="2556"/>
          </w:tcPr>
          <w:p>
            <w:pPr>
              <w:spacing w:after="20"/>
            </w:pPr>
            <w:r>
              <w:rPr>
                <w:rFonts w:ascii="Segoe UI" w:hAnsi="Segoe UI" w:cs="Segoe UI" w:eastAsia="Segoe UI"/>
                <w:color w:val="101820"/>
                <w:sz w:val="18"/>
              </w:rPr>
              <w:t>First hour</w:t>
            </w:r>
          </w:p>
        </w:tc>
        <w:tc>
          <w:tcPr>
            <w:tcW w:type="dxa" w:w="6458"/>
          </w:tcPr>
          <w:p>
            <w:pPr>
              <w:spacing w:after="20"/>
            </w:pPr>
            <w:r>
              <w:rPr>
                <w:rFonts w:ascii="Segoe UI" w:hAnsi="Segoe UI" w:cs="Segoe UI" w:eastAsia="Segoe UI"/>
                <w:color w:val="101820"/>
                <w:sz w:val="18"/>
              </w:rPr>
              <w:t>P1 declared; provider's estimate of restoration obtained; broker told</w:t>
            </w:r>
          </w:p>
        </w:tc>
      </w:tr>
      <w:tr>
        <w:tc>
          <w:tcPr>
            <w:tcW w:type="dxa" w:w="2556"/>
          </w:tcPr>
          <w:p>
            <w:pPr>
              <w:spacing w:after="20"/>
            </w:pPr>
            <w:r>
              <w:rPr>
                <w:rFonts w:ascii="Segoe UI" w:hAnsi="Segoe UI" w:cs="Segoe UI" w:eastAsia="Segoe UI"/>
                <w:color w:val="101820"/>
                <w:sz w:val="18"/>
              </w:rPr>
              <w:t>Decision</w:t>
            </w:r>
          </w:p>
        </w:tc>
        <w:tc>
          <w:tcPr>
            <w:tcW w:type="dxa" w:w="6458"/>
          </w:tcPr>
          <w:p>
            <w:pPr>
              <w:spacing w:after="20"/>
            </w:pPr>
            <w:r>
              <w:rPr>
                <w:rFonts w:ascii="Segoe UI" w:hAnsi="Segoe UI" w:cs="Segoe UI" w:eastAsia="Segoe UI"/>
                <w:color w:val="101820"/>
                <w:sz w:val="18"/>
              </w:rPr>
              <w:t>Invoke DR if the provider gives no restoration within 4 hours or no estimate at all, or earlier if a critical deadline is at risk [threshold to confirm with the broker]</w:t>
            </w:r>
          </w:p>
        </w:tc>
      </w:tr>
      <w:tr>
        <w:tc>
          <w:tcPr>
            <w:tcW w:type="dxa" w:w="2556"/>
          </w:tcPr>
          <w:p>
            <w:pPr>
              <w:spacing w:after="20"/>
            </w:pPr>
            <w:r>
              <w:rPr>
                <w:rFonts w:ascii="Segoe UI" w:hAnsi="Segoe UI" w:cs="Segoe UI" w:eastAsia="Segoe UI"/>
                <w:color w:val="101820"/>
                <w:sz w:val="18"/>
              </w:rPr>
              <w:t>Recovery</w:t>
            </w:r>
          </w:p>
        </w:tc>
        <w:tc>
          <w:tcPr>
            <w:tcW w:type="dxa" w:w="6458"/>
          </w:tcPr>
          <w:p>
            <w:pPr>
              <w:spacing w:after="20"/>
            </w:pPr>
            <w:r>
              <w:rPr>
                <w:rFonts w:ascii="Segoe UI" w:hAnsi="Segoe UI" w:cs="Segoe UI" w:eastAsia="Segoe UI"/>
                <w:color w:val="101820"/>
                <w:sz w:val="18"/>
              </w:rPr>
              <w:t>Region or site loss procedure; objectives 24 hours (pilot light) or 8 hours (warm standby)</w:t>
            </w:r>
          </w:p>
        </w:tc>
      </w:tr>
      <w:tr>
        <w:tc>
          <w:tcPr>
            <w:tcW w:type="dxa" w:w="2556"/>
          </w:tcPr>
          <w:p>
            <w:pPr>
              <w:spacing w:after="20"/>
            </w:pPr>
            <w:r>
              <w:rPr>
                <w:rFonts w:ascii="Segoe UI" w:hAnsi="Segoe UI" w:cs="Segoe UI" w:eastAsia="Segoe UI"/>
                <w:color w:val="101820"/>
                <w:sz w:val="18"/>
              </w:rPr>
              <w:t>Without a DR option</w:t>
            </w:r>
          </w:p>
        </w:tc>
        <w:tc>
          <w:tcPr>
            <w:tcW w:type="dxa" w:w="6458"/>
          </w:tcPr>
          <w:p>
            <w:pPr>
              <w:spacing w:after="20"/>
            </w:pPr>
            <w:r>
              <w:rPr>
                <w:rFonts w:ascii="Segoe UI" w:hAnsi="Segoe UI" w:cs="Segoe UI" w:eastAsia="Segoe UI"/>
                <w:color w:val="101820"/>
                <w:sz w:val="18"/>
              </w:rPr>
              <w:t>Wait for the provider; continuity relies on the manual workarounds below</w:t>
            </w:r>
          </w:p>
        </w:tc>
      </w:tr>
      <w:tr>
        <w:tc>
          <w:tcPr>
            <w:tcW w:type="dxa" w:w="2556"/>
          </w:tcPr>
          <w:p>
            <w:pPr>
              <w:spacing w:after="20"/>
            </w:pPr>
            <w:r>
              <w:rPr>
                <w:rFonts w:ascii="Segoe UI" w:hAnsi="Segoe UI" w:cs="Segoe UI" w:eastAsia="Segoe UI"/>
                <w:color w:val="101820"/>
                <w:sz w:val="18"/>
              </w:rPr>
              <w:t>Data residency</w:t>
            </w:r>
          </w:p>
        </w:tc>
        <w:tc>
          <w:tcPr>
            <w:tcW w:type="dxa" w:w="6458"/>
          </w:tcPr>
          <w:p>
            <w:pPr>
              <w:spacing w:after="20"/>
            </w:pPr>
            <w:r>
              <w:rPr>
                <w:rFonts w:ascii="Segoe UI" w:hAnsi="Segoe UI" w:cs="Segoe UI" w:eastAsia="Segoe UI"/>
                <w:color w:val="101820"/>
                <w:sz w:val="18"/>
              </w:rPr>
              <w:t>A recovery region outside the Philippines is a transfer the broker must have documented in advance. Under option C both sites are in the Philippines</w:t>
            </w:r>
          </w:p>
        </w:tc>
      </w:tr>
    </w:tbl>
    <w:p>
      <w:pPr>
        <w:spacing w:after="80"/>
      </w:pPr>
    </w:p>
    <w:p>
      <w:pPr>
        <w:pStyle w:val="Heading2"/>
      </w:pPr>
      <w:r>
        <w:rPr>
          <w:rFonts w:ascii="Segoe UI" w:hAnsi="Segoe UI" w:cs="Segoe UI" w:eastAsia="Segoe UI"/>
          <w:b/>
          <w:color w:val="0F4761"/>
          <w:sz w:val="26"/>
        </w:rPr>
        <w:t>8.2  Database corruption or wrong mass change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81"/>
        <w:gridCol w:w="7334"/>
      </w:tblGrid>
      <w:tr>
        <w:trPr>
          <w:tblHeader w:val="true"/>
        </w:trPr>
        <w:tc>
          <w:tcPr>
            <w:tcW w:type="dxa" w:w="1681"/>
            <w:shd w:val="clear" w:color="auto" w:fill="DCE9F7"/>
          </w:tcPr>
          <w:p>
            <w:pPr>
              <w:spacing w:after="20"/>
            </w:pPr>
            <w:r>
              <w:rPr>
                <w:rFonts w:ascii="Segoe UI" w:hAnsi="Segoe UI" w:cs="Segoe UI" w:eastAsia="Segoe UI"/>
                <w:b/>
                <w:color w:val="0F4761"/>
                <w:sz w:val="18"/>
              </w:rPr>
              <w:t>Item</w:t>
            </w:r>
          </w:p>
        </w:tc>
        <w:tc>
          <w:tcPr>
            <w:tcW w:type="dxa" w:w="7334"/>
            <w:shd w:val="clear" w:color="auto" w:fill="DCE9F7"/>
          </w:tcPr>
          <w:p>
            <w:pPr>
              <w:spacing w:after="20"/>
            </w:pPr>
            <w:r>
              <w:rPr>
                <w:rFonts w:ascii="Segoe UI" w:hAnsi="Segoe UI" w:cs="Segoe UI" w:eastAsia="Segoe UI"/>
                <w:b/>
                <w:color w:val="0F4761"/>
                <w:sz w:val="18"/>
              </w:rPr>
              <w:t>Response</w:t>
            </w:r>
          </w:p>
        </w:tc>
      </w:tr>
      <w:tr>
        <w:tc>
          <w:tcPr>
            <w:tcW w:type="dxa" w:w="1681"/>
          </w:tcPr>
          <w:p>
            <w:pPr>
              <w:spacing w:after="20"/>
            </w:pPr>
            <w:r>
              <w:rPr>
                <w:rFonts w:ascii="Segoe UI" w:hAnsi="Segoe UI" w:cs="Segoe UI" w:eastAsia="Segoe UI"/>
                <w:color w:val="101820"/>
                <w:sz w:val="18"/>
              </w:rPr>
              <w:t>Trigger</w:t>
            </w:r>
          </w:p>
        </w:tc>
        <w:tc>
          <w:tcPr>
            <w:tcW w:type="dxa" w:w="7334"/>
          </w:tcPr>
          <w:p>
            <w:pPr>
              <w:spacing w:after="20"/>
            </w:pPr>
            <w:r>
              <w:rPr>
                <w:rFonts w:ascii="Segoe UI" w:hAnsi="Segoe UI" w:cs="Segoe UI" w:eastAsia="Segoe UI"/>
                <w:color w:val="101820"/>
                <w:sz w:val="18"/>
              </w:rPr>
              <w:t>Users report wrong balances or missing records; trial balance out of balance; failed migration; a mass update by script went wrong</w:t>
            </w:r>
          </w:p>
        </w:tc>
      </w:tr>
      <w:tr>
        <w:tc>
          <w:tcPr>
            <w:tcW w:type="dxa" w:w="1681"/>
          </w:tcPr>
          <w:p>
            <w:pPr>
              <w:spacing w:after="20"/>
            </w:pPr>
            <w:r>
              <w:rPr>
                <w:rFonts w:ascii="Segoe UI" w:hAnsi="Segoe UI" w:cs="Segoe UI" w:eastAsia="Segoe UI"/>
                <w:color w:val="101820"/>
                <w:sz w:val="18"/>
              </w:rPr>
              <w:t>Containment</w:t>
            </w:r>
          </w:p>
        </w:tc>
        <w:tc>
          <w:tcPr>
            <w:tcW w:type="dxa" w:w="7334"/>
          </w:tcPr>
          <w:p>
            <w:pPr>
              <w:spacing w:after="20"/>
            </w:pPr>
            <w:r>
              <w:rPr>
                <w:rFonts w:ascii="Segoe UI" w:hAnsi="Segoe UI" w:cs="Segoe UI" w:eastAsia="Segoe UI"/>
                <w:color w:val="101820"/>
                <w:sz w:val="18"/>
              </w:rPr>
              <w:t xml:space="preserve">Stop writes at once; find the first wrong transaction with Master &gt; Audit Trail, </w:t>
            </w:r>
            <w:r>
              <w:rPr>
                <w:rFonts w:ascii="Consolas" w:hAnsi="Consolas" w:cs="Consolas" w:eastAsia="Consolas"/>
                <w:color w:val="101820"/>
                <w:sz w:val="16"/>
              </w:rPr>
              <w:t>audit_log</w:t>
            </w:r>
            <w:r>
              <w:rPr>
                <w:rFonts w:ascii="Segoe UI" w:hAnsi="Segoe UI" w:cs="Segoe UI" w:eastAsia="Segoe UI"/>
                <w:color w:val="101820"/>
                <w:sz w:val="18"/>
              </w:rPr>
              <w:t xml:space="preserve"> and request ids</w:t>
            </w:r>
          </w:p>
        </w:tc>
      </w:tr>
      <w:tr>
        <w:tc>
          <w:tcPr>
            <w:tcW w:type="dxa" w:w="1681"/>
          </w:tcPr>
          <w:p>
            <w:pPr>
              <w:spacing w:after="20"/>
            </w:pPr>
            <w:r>
              <w:rPr>
                <w:rFonts w:ascii="Segoe UI" w:hAnsi="Segoe UI" w:cs="Segoe UI" w:eastAsia="Segoe UI"/>
                <w:color w:val="101820"/>
                <w:sz w:val="18"/>
              </w:rPr>
              <w:t>Recovery</w:t>
            </w:r>
          </w:p>
        </w:tc>
        <w:tc>
          <w:tcPr>
            <w:tcW w:type="dxa" w:w="7334"/>
          </w:tcPr>
          <w:p>
            <w:pPr>
              <w:spacing w:after="20"/>
            </w:pPr>
            <w:r>
              <w:rPr>
                <w:rFonts w:ascii="Segoe UI" w:hAnsi="Segoe UI" w:cs="Segoe UI" w:eastAsia="Segoe UI"/>
                <w:color w:val="101820"/>
                <w:sz w:val="18"/>
              </w:rPr>
              <w:t>PITR to just before the first wrong change; RPO 15 minutes, RTO 4 hours</w:t>
            </w:r>
          </w:p>
        </w:tc>
      </w:tr>
      <w:tr>
        <w:tc>
          <w:tcPr>
            <w:tcW w:type="dxa" w:w="1681"/>
          </w:tcPr>
          <w:p>
            <w:pPr>
              <w:spacing w:after="20"/>
            </w:pPr>
            <w:r>
              <w:rPr>
                <w:rFonts w:ascii="Segoe UI" w:hAnsi="Segoe UI" w:cs="Segoe UI" w:eastAsia="Segoe UI"/>
                <w:color w:val="101820"/>
                <w:sz w:val="18"/>
              </w:rPr>
              <w:t>Alternative</w:t>
            </w:r>
          </w:p>
        </w:tc>
        <w:tc>
          <w:tcPr>
            <w:tcW w:type="dxa" w:w="7334"/>
          </w:tcPr>
          <w:p>
            <w:pPr>
              <w:spacing w:after="20"/>
            </w:pPr>
            <w:r>
              <w:rPr>
                <w:rFonts w:ascii="Segoe UI" w:hAnsi="Segoe UI" w:cs="Segoe UI" w:eastAsia="Segoe UI"/>
                <w:color w:val="101820"/>
                <w:sz w:val="18"/>
              </w:rPr>
              <w:t>For a small, well-identified error, a reviewed data correction under change control instead of a restore (Production Support Approach, data corrections)</w:t>
            </w:r>
          </w:p>
        </w:tc>
      </w:tr>
    </w:tbl>
    <w:p>
      <w:pPr>
        <w:spacing w:after="80"/>
      </w:pPr>
    </w:p>
    <w:p>
      <w:pPr>
        <w:pStyle w:val="Heading2"/>
      </w:pPr>
      <w:r>
        <w:rPr>
          <w:rFonts w:ascii="Segoe UI" w:hAnsi="Segoe UI" w:cs="Segoe UI" w:eastAsia="Segoe UI"/>
          <w:b/>
          <w:color w:val="0F4761"/>
          <w:sz w:val="26"/>
        </w:rPr>
        <w:t>8.3  Ransomware or destructive attack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Item</w:t>
            </w:r>
          </w:p>
        </w:tc>
        <w:tc>
          <w:tcPr>
            <w:tcW w:type="dxa" w:w="6761"/>
            <w:shd w:val="clear" w:color="auto" w:fill="DCE9F7"/>
          </w:tcPr>
          <w:p>
            <w:pPr>
              <w:spacing w:after="20"/>
            </w:pPr>
            <w:r>
              <w:rPr>
                <w:rFonts w:ascii="Segoe UI" w:hAnsi="Segoe UI" w:cs="Segoe UI" w:eastAsia="Segoe UI"/>
                <w:b/>
                <w:color w:val="0F4761"/>
                <w:sz w:val="18"/>
              </w:rPr>
              <w:t>Response</w:t>
            </w:r>
          </w:p>
        </w:tc>
      </w:tr>
      <w:tr>
        <w:tc>
          <w:tcPr>
            <w:tcW w:type="dxa" w:w="2254"/>
          </w:tcPr>
          <w:p>
            <w:pPr>
              <w:spacing w:after="20"/>
            </w:pPr>
            <w:r>
              <w:rPr>
                <w:rFonts w:ascii="Segoe UI" w:hAnsi="Segoe UI" w:cs="Segoe UI" w:eastAsia="Segoe UI"/>
                <w:color w:val="101820"/>
                <w:sz w:val="18"/>
              </w:rPr>
              <w:t>Trigger</w:t>
            </w:r>
          </w:p>
        </w:tc>
        <w:tc>
          <w:tcPr>
            <w:tcW w:type="dxa" w:w="6761"/>
          </w:tcPr>
          <w:p>
            <w:pPr>
              <w:spacing w:after="20"/>
            </w:pPr>
            <w:r>
              <w:rPr>
                <w:rFonts w:ascii="Segoe UI" w:hAnsi="Segoe UI" w:cs="Segoe UI" w:eastAsia="Segoe UI"/>
                <w:color w:val="101820"/>
                <w:sz w:val="18"/>
              </w:rPr>
              <w:t>Encrypted or deleted files, unknown administrator activity, ransom note, alarm on mass deletion</w:t>
            </w:r>
          </w:p>
        </w:tc>
      </w:tr>
      <w:tr>
        <w:tc>
          <w:tcPr>
            <w:tcW w:type="dxa" w:w="2254"/>
          </w:tcPr>
          <w:p>
            <w:pPr>
              <w:spacing w:after="20"/>
            </w:pPr>
            <w:r>
              <w:rPr>
                <w:rFonts w:ascii="Segoe UI" w:hAnsi="Segoe UI" w:cs="Segoe UI" w:eastAsia="Segoe UI"/>
                <w:color w:val="101820"/>
                <w:sz w:val="18"/>
              </w:rPr>
              <w:t>Containment</w:t>
            </w:r>
          </w:p>
        </w:tc>
        <w:tc>
          <w:tcPr>
            <w:tcW w:type="dxa" w:w="6761"/>
          </w:tcPr>
          <w:p>
            <w:pPr>
              <w:spacing w:after="20"/>
            </w:pPr>
            <w:r>
              <w:rPr>
                <w:rFonts w:ascii="Segoe UI" w:hAnsi="Segoe UI" w:cs="Segoe UI" w:eastAsia="Segoe UI"/>
                <w:color w:val="101820"/>
                <w:sz w:val="18"/>
              </w:rPr>
              <w:t xml:space="preserve">Isolate the environment; revoke cloud and database credentials; rotate </w:t>
            </w:r>
            <w:r>
              <w:rPr>
                <w:rFonts w:ascii="Consolas" w:hAnsi="Consolas" w:cs="Consolas" w:eastAsia="Consolas"/>
                <w:color w:val="101820"/>
                <w:sz w:val="16"/>
              </w:rPr>
              <w:t>JWT_SECRET</w:t>
            </w:r>
            <w:r>
              <w:rPr>
                <w:rFonts w:ascii="Segoe UI" w:hAnsi="Segoe UI" w:cs="Segoe UI" w:eastAsia="Segoe UI"/>
                <w:color w:val="101820"/>
                <w:sz w:val="18"/>
              </w:rPr>
              <w:t xml:space="preserve"> to sign every user out; disable affected accounts; block addresses at the WAF</w:t>
            </w:r>
          </w:p>
        </w:tc>
      </w:tr>
      <w:tr>
        <w:tc>
          <w:tcPr>
            <w:tcW w:type="dxa" w:w="2254"/>
          </w:tcPr>
          <w:p>
            <w:pPr>
              <w:spacing w:after="20"/>
            </w:pPr>
            <w:r>
              <w:rPr>
                <w:rFonts w:ascii="Segoe UI" w:hAnsi="Segoe UI" w:cs="Segoe UI" w:eastAsia="Segoe UI"/>
                <w:color w:val="101820"/>
                <w:sz w:val="18"/>
              </w:rPr>
              <w:t>Evidence</w:t>
            </w:r>
          </w:p>
        </w:tc>
        <w:tc>
          <w:tcPr>
            <w:tcW w:type="dxa" w:w="6761"/>
          </w:tcPr>
          <w:p>
            <w:pPr>
              <w:spacing w:after="20"/>
            </w:pPr>
            <w:r>
              <w:rPr>
                <w:rFonts w:ascii="Segoe UI" w:hAnsi="Segoe UI" w:cs="Segoe UI" w:eastAsia="Segoe UI"/>
                <w:color w:val="101820"/>
                <w:sz w:val="18"/>
              </w:rPr>
              <w:t xml:space="preserve">Preserve logs, </w:t>
            </w:r>
            <w:r>
              <w:rPr>
                <w:rFonts w:ascii="Consolas" w:hAnsi="Consolas" w:cs="Consolas" w:eastAsia="Consolas"/>
                <w:color w:val="101820"/>
                <w:sz w:val="16"/>
              </w:rPr>
              <w:t>login_history</w:t>
            </w:r>
            <w:r>
              <w:rPr>
                <w:rFonts w:ascii="Segoe UI" w:hAnsi="Segoe UI" w:cs="Segoe UI" w:eastAsia="Segoe UI"/>
                <w:color w:val="101820"/>
                <w:sz w:val="18"/>
              </w:rPr>
              <w:t xml:space="preserve">, </w:t>
            </w:r>
            <w:r>
              <w:rPr>
                <w:rFonts w:ascii="Consolas" w:hAnsi="Consolas" w:cs="Consolas" w:eastAsia="Consolas"/>
                <w:color w:val="101820"/>
                <w:sz w:val="16"/>
              </w:rPr>
              <w:t>audit_log</w:t>
            </w:r>
            <w:r>
              <w:rPr>
                <w:rFonts w:ascii="Segoe UI" w:hAnsi="Segoe UI" w:cs="Segoe UI" w:eastAsia="Segoe UI"/>
                <w:color w:val="101820"/>
                <w:sz w:val="18"/>
              </w:rPr>
              <w:t>, monitoring data and a snapshot before any clean-up</w:t>
            </w:r>
          </w:p>
        </w:tc>
      </w:tr>
      <w:tr>
        <w:tc>
          <w:tcPr>
            <w:tcW w:type="dxa" w:w="2254"/>
          </w:tcPr>
          <w:p>
            <w:pPr>
              <w:spacing w:after="20"/>
            </w:pPr>
            <w:r>
              <w:rPr>
                <w:rFonts w:ascii="Segoe UI" w:hAnsi="Segoe UI" w:cs="Segoe UI" w:eastAsia="Segoe UI"/>
                <w:color w:val="101820"/>
                <w:sz w:val="18"/>
              </w:rPr>
              <w:t>Recovery</w:t>
            </w:r>
          </w:p>
        </w:tc>
        <w:tc>
          <w:tcPr>
            <w:tcW w:type="dxa" w:w="6761"/>
          </w:tcPr>
          <w:p>
            <w:pPr>
              <w:spacing w:after="20"/>
            </w:pPr>
            <w:r>
              <w:rPr>
                <w:rFonts w:ascii="Segoe UI" w:hAnsi="Segoe UI" w:cs="Segoe UI" w:eastAsia="Segoe UI"/>
                <w:color w:val="101820"/>
                <w:sz w:val="18"/>
              </w:rPr>
              <w:t>Rebuild clean infrastructure from code; restore from a point before the compromise, preferring the write-once monthly dump and the cross-region copies, which an attacker with production credentials cannot alter</w:t>
            </w:r>
          </w:p>
        </w:tc>
      </w:tr>
      <w:tr>
        <w:tc>
          <w:tcPr>
            <w:tcW w:type="dxa" w:w="2254"/>
          </w:tcPr>
          <w:p>
            <w:pPr>
              <w:spacing w:after="20"/>
            </w:pPr>
            <w:r>
              <w:rPr>
                <w:rFonts w:ascii="Segoe UI" w:hAnsi="Segoe UI" w:cs="Segoe UI" w:eastAsia="Segoe UI"/>
                <w:color w:val="101820"/>
                <w:sz w:val="18"/>
              </w:rPr>
              <w:t>Before reopening</w:t>
            </w:r>
          </w:p>
        </w:tc>
        <w:tc>
          <w:tcPr>
            <w:tcW w:type="dxa" w:w="6761"/>
          </w:tcPr>
          <w:p>
            <w:pPr>
              <w:spacing w:after="20"/>
            </w:pPr>
            <w:r>
              <w:rPr>
                <w:rFonts w:ascii="Segoe UI" w:hAnsi="Segoe UI" w:cs="Segoe UI" w:eastAsia="Segoe UI"/>
                <w:color w:val="101820"/>
                <w:sz w:val="18"/>
              </w:rPr>
              <w:t>Root cause found and closed; all secrets rotated; administrator passwords and two-step enrolments reset</w:t>
            </w:r>
          </w:p>
        </w:tc>
      </w:tr>
      <w:tr>
        <w:tc>
          <w:tcPr>
            <w:tcW w:type="dxa" w:w="2254"/>
          </w:tcPr>
          <w:p>
            <w:pPr>
              <w:spacing w:after="20"/>
            </w:pPr>
            <w:r>
              <w:rPr>
                <w:rFonts w:ascii="Segoe UI" w:hAnsi="Segoe UI" w:cs="Segoe UI" w:eastAsia="Segoe UI"/>
                <w:color w:val="101820"/>
                <w:sz w:val="18"/>
              </w:rPr>
              <w:t>Privacy</w:t>
            </w:r>
          </w:p>
        </w:tc>
        <w:tc>
          <w:tcPr>
            <w:tcW w:type="dxa" w:w="6761"/>
          </w:tcPr>
          <w:p>
            <w:pPr>
              <w:spacing w:after="20"/>
            </w:pPr>
            <w:r>
              <w:rPr>
                <w:rFonts w:ascii="Segoe UI" w:hAnsi="Segoe UI" w:cs="Segoe UI" w:eastAsia="Segoe UI"/>
                <w:color w:val="101820"/>
                <w:sz w:val="18"/>
              </w:rPr>
              <w:t>Treated as a possible personal data breach: notice to the broker's DPO within [24] hours of discovery; the DPO decides on notification to the NPC within 72 hours</w:t>
            </w:r>
          </w:p>
        </w:tc>
      </w:tr>
      <w:tr>
        <w:tc>
          <w:tcPr>
            <w:tcW w:type="dxa" w:w="2254"/>
          </w:tcPr>
          <w:p>
            <w:pPr>
              <w:spacing w:after="20"/>
            </w:pPr>
            <w:r>
              <w:rPr>
                <w:rFonts w:ascii="Segoe UI" w:hAnsi="Segoe UI" w:cs="Segoe UI" w:eastAsia="Segoe UI"/>
                <w:color w:val="101820"/>
                <w:sz w:val="18"/>
              </w:rPr>
              <w:t>Ransom</w:t>
            </w:r>
          </w:p>
        </w:tc>
        <w:tc>
          <w:tcPr>
            <w:tcW w:type="dxa" w:w="6761"/>
          </w:tcPr>
          <w:p>
            <w:pPr>
              <w:spacing w:after="20"/>
            </w:pPr>
            <w:r>
              <w:rPr>
                <w:rFonts w:ascii="Segoe UI" w:hAnsi="Segoe UI" w:cs="Segoe UI" w:eastAsia="Segoe UI"/>
                <w:color w:val="101820"/>
                <w:sz w:val="18"/>
              </w:rPr>
              <w:t>iorta TechNXT does not negotiate or pay on the broker's behalf; any decision is the broker's, with legal advice</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Keep backup deletion rights in a separate account or role from production administration, and use object lock or write-once storage for the monthly dumps.</w:t>
      </w:r>
    </w:p>
    <w:p>
      <w:pPr>
        <w:pStyle w:val="Heading2"/>
      </w:pPr>
      <w:r>
        <w:rPr>
          <w:rFonts w:ascii="Segoe UI" w:hAnsi="Segoe UI" w:cs="Segoe UI" w:eastAsia="Segoe UI"/>
          <w:b/>
          <w:color w:val="0F4761"/>
          <w:sz w:val="26"/>
        </w:rPr>
        <w:t>8.4  Key person loss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Risk</w:t>
            </w:r>
          </w:p>
        </w:tc>
        <w:tc>
          <w:tcPr>
            <w:tcW w:type="dxa" w:w="4507"/>
            <w:shd w:val="clear" w:color="auto" w:fill="DCE9F7"/>
          </w:tcPr>
          <w:p>
            <w:pPr>
              <w:spacing w:after="20"/>
            </w:pPr>
            <w:r>
              <w:rPr>
                <w:rFonts w:ascii="Segoe UI" w:hAnsi="Segoe UI" w:cs="Segoe UI" w:eastAsia="Segoe UI"/>
                <w:b/>
                <w:color w:val="0F4761"/>
                <w:sz w:val="18"/>
              </w:rPr>
              <w:t>Control</w:t>
            </w:r>
          </w:p>
        </w:tc>
      </w:tr>
      <w:tr>
        <w:tc>
          <w:tcPr>
            <w:tcW w:type="dxa" w:w="4507"/>
          </w:tcPr>
          <w:p>
            <w:pPr>
              <w:spacing w:after="20"/>
            </w:pPr>
            <w:r>
              <w:rPr>
                <w:rFonts w:ascii="Segoe UI" w:hAnsi="Segoe UI" w:cs="Segoe UI" w:eastAsia="Segoe UI"/>
                <w:color w:val="101820"/>
                <w:sz w:val="18"/>
              </w:rPr>
              <w:t>Loss of the iorta TechNXT engineer who knows a module</w:t>
            </w:r>
          </w:p>
        </w:tc>
        <w:tc>
          <w:tcPr>
            <w:tcW w:type="dxa" w:w="4507"/>
          </w:tcPr>
          <w:p>
            <w:pPr>
              <w:spacing w:after="20"/>
            </w:pPr>
            <w:r>
              <w:rPr>
                <w:rFonts w:ascii="Segoe UI" w:hAnsi="Segoe UI" w:cs="Segoe UI" w:eastAsia="Segoe UI"/>
                <w:color w:val="101820"/>
                <w:sz w:val="18"/>
              </w:rPr>
              <w:t>Code standards and the Technical Reference; module pattern shared by every module; knowledge base of known errors; at least two engineers trained on each module [to confirm named backups]</w:t>
            </w:r>
          </w:p>
        </w:tc>
      </w:tr>
      <w:tr>
        <w:tc>
          <w:tcPr>
            <w:tcW w:type="dxa" w:w="4507"/>
          </w:tcPr>
          <w:p>
            <w:pPr>
              <w:spacing w:after="20"/>
            </w:pPr>
            <w:r>
              <w:rPr>
                <w:rFonts w:ascii="Segoe UI" w:hAnsi="Segoe UI" w:cs="Segoe UI" w:eastAsia="Segoe UI"/>
                <w:color w:val="101820"/>
                <w:sz w:val="18"/>
              </w:rPr>
              <w:t>Loss of the iorta TechNXT DevOps engineer</w:t>
            </w:r>
          </w:p>
        </w:tc>
        <w:tc>
          <w:tcPr>
            <w:tcW w:type="dxa" w:w="4507"/>
          </w:tcPr>
          <w:p>
            <w:pPr>
              <w:spacing w:after="20"/>
            </w:pPr>
            <w:r>
              <w:rPr>
                <w:rFonts w:ascii="Segoe UI" w:hAnsi="Segoe UI" w:cs="Segoe UI" w:eastAsia="Segoe UI"/>
                <w:color w:val="101820"/>
                <w:sz w:val="18"/>
              </w:rPr>
              <w:t xml:space="preserve">Deployment as code in the repository and </w:t>
            </w:r>
            <w:r>
              <w:rPr>
                <w:rFonts w:ascii="Consolas" w:hAnsi="Consolas" w:cs="Consolas" w:eastAsia="Consolas"/>
                <w:color w:val="101820"/>
                <w:sz w:val="16"/>
              </w:rPr>
              <w:t>deploy/</w:t>
            </w:r>
            <w:r>
              <w:rPr>
                <w:rFonts w:ascii="Segoe UI" w:hAnsi="Segoe UI" w:cs="Segoe UI" w:eastAsia="Segoe UI"/>
                <w:color w:val="101820"/>
                <w:sz w:val="18"/>
              </w:rPr>
              <w:t>; runbooks in architecture document 09; cloud access through named roles, never a personal account; break-glass access under dual control</w:t>
            </w:r>
          </w:p>
        </w:tc>
      </w:tr>
      <w:tr>
        <w:tc>
          <w:tcPr>
            <w:tcW w:type="dxa" w:w="4507"/>
          </w:tcPr>
          <w:p>
            <w:pPr>
              <w:spacing w:after="20"/>
            </w:pPr>
            <w:r>
              <w:rPr>
                <w:rFonts w:ascii="Segoe UI" w:hAnsi="Segoe UI" w:cs="Segoe UI" w:eastAsia="Segoe UI"/>
                <w:color w:val="101820"/>
                <w:sz w:val="18"/>
              </w:rPr>
              <w:t>Loss of the broker's System Administrator</w:t>
            </w:r>
          </w:p>
        </w:tc>
        <w:tc>
          <w:tcPr>
            <w:tcW w:type="dxa" w:w="4507"/>
          </w:tcPr>
          <w:p>
            <w:pPr>
              <w:spacing w:after="20"/>
            </w:pPr>
            <w:r>
              <w:rPr>
                <w:rFonts w:ascii="Segoe UI" w:hAnsi="Segoe UI" w:cs="Segoe UI" w:eastAsia="Segoe UI"/>
                <w:color w:val="101820"/>
                <w:sz w:val="18"/>
              </w:rPr>
              <w:t>A second System Administrator named at go-live; user manual and role guides; iorta TechNXT L2 covers in the meantime</w:t>
            </w:r>
          </w:p>
        </w:tc>
      </w:tr>
      <w:tr>
        <w:tc>
          <w:tcPr>
            <w:tcW w:type="dxa" w:w="4507"/>
          </w:tcPr>
          <w:p>
            <w:pPr>
              <w:spacing w:after="20"/>
            </w:pPr>
            <w:r>
              <w:rPr>
                <w:rFonts w:ascii="Segoe UI" w:hAnsi="Segoe UI" w:cs="Segoe UI" w:eastAsia="Segoe UI"/>
                <w:color w:val="101820"/>
                <w:sz w:val="18"/>
              </w:rPr>
              <w:t>Loss of the broker's Accounting Manager</w:t>
            </w:r>
          </w:p>
        </w:tc>
        <w:tc>
          <w:tcPr>
            <w:tcW w:type="dxa" w:w="4507"/>
          </w:tcPr>
          <w:p>
            <w:pPr>
              <w:spacing w:after="20"/>
            </w:pPr>
            <w:r>
              <w:rPr>
                <w:rFonts w:ascii="Segoe UI" w:hAnsi="Segoe UI" w:cs="Segoe UI" w:eastAsia="Segoe UI"/>
                <w:color w:val="101820"/>
                <w:sz w:val="18"/>
              </w:rPr>
              <w:t>A second user with the Accounting Manager role, so maker-checker approvals can continue</w:t>
            </w:r>
          </w:p>
        </w:tc>
      </w:tr>
      <w:tr>
        <w:tc>
          <w:tcPr>
            <w:tcW w:type="dxa" w:w="4507"/>
          </w:tcPr>
          <w:p>
            <w:pPr>
              <w:spacing w:after="20"/>
            </w:pPr>
            <w:r>
              <w:rPr>
                <w:rFonts w:ascii="Segoe UI" w:hAnsi="Segoe UI" w:cs="Segoe UI" w:eastAsia="Segoe UI"/>
                <w:color w:val="101820"/>
                <w:sz w:val="18"/>
              </w:rPr>
              <w:t>Loss of the person holding the escrow copy</w:t>
            </w:r>
          </w:p>
        </w:tc>
        <w:tc>
          <w:tcPr>
            <w:tcW w:type="dxa" w:w="4507"/>
          </w:tcPr>
          <w:p>
            <w:pPr>
              <w:spacing w:after="20"/>
            </w:pPr>
            <w:r>
              <w:rPr>
                <w:rFonts w:ascii="Segoe UI" w:hAnsi="Segoe UI" w:cs="Segoe UI" w:eastAsia="Segoe UI"/>
                <w:color w:val="101820"/>
                <w:sz w:val="18"/>
              </w:rPr>
              <w:t>Two named holders on each side, recorded in the secret escrow register</w:t>
            </w:r>
          </w:p>
        </w:tc>
      </w:tr>
    </w:tbl>
    <w:p>
      <w:pPr>
        <w:spacing w:after="80"/>
      </w:pPr>
    </w:p>
    <w:p>
      <w:pPr>
        <w:pStyle w:val="Heading2"/>
      </w:pPr>
      <w:r>
        <w:rPr>
          <w:rFonts w:ascii="Segoe UI" w:hAnsi="Segoe UI" w:cs="Segoe UI" w:eastAsia="Segoe UI"/>
          <w:b/>
          <w:color w:val="0F4761"/>
          <w:sz w:val="26"/>
        </w:rPr>
        <w:t>8.5  Vendor exit or failure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06"/>
        <w:gridCol w:w="5409"/>
      </w:tblGrid>
      <w:tr>
        <w:trPr>
          <w:tblHeader w:val="true"/>
        </w:trPr>
        <w:tc>
          <w:tcPr>
            <w:tcW w:type="dxa" w:w="3606"/>
            <w:shd w:val="clear" w:color="auto" w:fill="DCE9F7"/>
          </w:tcPr>
          <w:p>
            <w:pPr>
              <w:spacing w:after="20"/>
            </w:pPr>
            <w:r>
              <w:rPr>
                <w:rFonts w:ascii="Segoe UI" w:hAnsi="Segoe UI" w:cs="Segoe UI" w:eastAsia="Segoe UI"/>
                <w:b/>
                <w:color w:val="0F4761"/>
                <w:sz w:val="18"/>
              </w:rPr>
              <w:t>Item</w:t>
            </w:r>
          </w:p>
        </w:tc>
        <w:tc>
          <w:tcPr>
            <w:tcW w:type="dxa" w:w="5409"/>
            <w:shd w:val="clear" w:color="auto" w:fill="DCE9F7"/>
          </w:tcPr>
          <w:p>
            <w:pPr>
              <w:spacing w:after="20"/>
            </w:pPr>
            <w:r>
              <w:rPr>
                <w:rFonts w:ascii="Segoe UI" w:hAnsi="Segoe UI" w:cs="Segoe UI" w:eastAsia="Segoe UI"/>
                <w:b/>
                <w:color w:val="0F4761"/>
                <w:sz w:val="18"/>
              </w:rPr>
              <w:t>Response</w:t>
            </w:r>
          </w:p>
        </w:tc>
      </w:tr>
      <w:tr>
        <w:tc>
          <w:tcPr>
            <w:tcW w:type="dxa" w:w="3606"/>
          </w:tcPr>
          <w:p>
            <w:pPr>
              <w:spacing w:after="20"/>
            </w:pPr>
            <w:r>
              <w:rPr>
                <w:rFonts w:ascii="Segoe UI" w:hAnsi="Segoe UI" w:cs="Segoe UI" w:eastAsia="Segoe UI"/>
                <w:color w:val="101820"/>
                <w:sz w:val="18"/>
              </w:rPr>
              <w:t>Planned exit (end of contract)</w:t>
            </w:r>
          </w:p>
        </w:tc>
        <w:tc>
          <w:tcPr>
            <w:tcW w:type="dxa" w:w="5409"/>
          </w:tcPr>
          <w:p>
            <w:pPr>
              <w:spacing w:after="20"/>
            </w:pPr>
            <w:r>
              <w:rPr>
                <w:rFonts w:ascii="Segoe UI" w:hAnsi="Segoe UI" w:cs="Segoe UI" w:eastAsia="Segoe UI"/>
                <w:color w:val="101820"/>
                <w:sz w:val="18"/>
              </w:rPr>
              <w:t>Exit and Transition Plan: data returned in an agreed format, transition assistance, deletion within 30 days after the broker confirms the export, certificate of deletion</w:t>
            </w:r>
          </w:p>
        </w:tc>
      </w:tr>
      <w:tr>
        <w:tc>
          <w:tcPr>
            <w:tcW w:type="dxa" w:w="3606"/>
          </w:tcPr>
          <w:p>
            <w:pPr>
              <w:spacing w:after="20"/>
            </w:pPr>
            <w:r>
              <w:rPr>
                <w:rFonts w:ascii="Segoe UI" w:hAnsi="Segoe UI" w:cs="Segoe UI" w:eastAsia="Segoe UI"/>
                <w:color w:val="101820"/>
                <w:sz w:val="18"/>
              </w:rPr>
              <w:t>iorta TechNXT unable to continue</w:t>
            </w:r>
          </w:p>
        </w:tc>
        <w:tc>
          <w:tcPr>
            <w:tcW w:type="dxa" w:w="5409"/>
          </w:tcPr>
          <w:p>
            <w:pPr>
              <w:spacing w:after="20"/>
            </w:pPr>
            <w:r>
              <w:rPr>
                <w:rFonts w:ascii="Segoe UI" w:hAnsi="Segoe UI" w:cs="Segoe UI" w:eastAsia="Segoe UI"/>
                <w:color w:val="101820"/>
                <w:sz w:val="18"/>
              </w:rPr>
              <w:t>Broker-hosted installation: the broker already holds the database, files and keys. Hosted installation: the broker asks for an immediate export under the Exit and Transition Plan; with a perpetual licence and the optional source code escrow, the release events of the Escrow Agreement apply</w:t>
            </w:r>
          </w:p>
        </w:tc>
      </w:tr>
      <w:tr>
        <w:tc>
          <w:tcPr>
            <w:tcW w:type="dxa" w:w="3606"/>
          </w:tcPr>
          <w:p>
            <w:pPr>
              <w:spacing w:after="20"/>
            </w:pPr>
            <w:r>
              <w:rPr>
                <w:rFonts w:ascii="Segoe UI" w:hAnsi="Segoe UI" w:cs="Segoe UI" w:eastAsia="Segoe UI"/>
                <w:color w:val="101820"/>
                <w:sz w:val="18"/>
              </w:rPr>
              <w:t>Technology</w:t>
            </w:r>
          </w:p>
        </w:tc>
        <w:tc>
          <w:tcPr>
            <w:tcW w:type="dxa" w:w="5409"/>
          </w:tcPr>
          <w:p>
            <w:pPr>
              <w:spacing w:after="20"/>
            </w:pPr>
            <w:r>
              <w:rPr>
                <w:rFonts w:ascii="Segoe UI" w:hAnsi="Segoe UI" w:cs="Segoe UI" w:eastAsia="Segoe UI"/>
                <w:color w:val="101820"/>
                <w:sz w:val="18"/>
              </w:rPr>
              <w:t>React, Node.js 22 and PostgreSQL 16, with no proprietary middleware; any competent team in the Philippines can operate it with the Technical Reference and deployment guide</w:t>
            </w:r>
          </w:p>
        </w:tc>
      </w:tr>
      <w:tr>
        <w:tc>
          <w:tcPr>
            <w:tcW w:type="dxa" w:w="3606"/>
          </w:tcPr>
          <w:p>
            <w:pPr>
              <w:spacing w:after="20"/>
            </w:pPr>
            <w:r>
              <w:rPr>
                <w:rFonts w:ascii="Segoe UI" w:hAnsi="Segoe UI" w:cs="Segoe UI" w:eastAsia="Segoe UI"/>
                <w:color w:val="101820"/>
                <w:sz w:val="18"/>
              </w:rPr>
              <w:t>Hosting provider exit</w:t>
            </w:r>
          </w:p>
        </w:tc>
        <w:tc>
          <w:tcPr>
            <w:tcW w:type="dxa" w:w="5409"/>
          </w:tcPr>
          <w:p>
            <w:pPr>
              <w:spacing w:after="20"/>
            </w:pPr>
            <w:r>
              <w:rPr>
                <w:rFonts w:ascii="Segoe UI" w:hAnsi="Segoe UI" w:cs="Segoe UI" w:eastAsia="Segoe UI"/>
                <w:color w:val="101820"/>
                <w:sz w:val="18"/>
              </w:rPr>
              <w:t>The application runs on any option without code change; moving between AWS, Azure and a local partner is a planned migration from backups</w:t>
            </w:r>
          </w:p>
        </w:tc>
      </w:tr>
    </w:tbl>
    <w:p>
      <w:pPr>
        <w:spacing w:after="80"/>
      </w:pPr>
    </w:p>
    <w:p>
      <w:pPr>
        <w:pStyle w:val="Heading2"/>
      </w:pPr>
      <w:r>
        <w:rPr>
          <w:rFonts w:ascii="Segoe UI" w:hAnsi="Segoe UI" w:cs="Segoe UI" w:eastAsia="Segoe UI"/>
          <w:b/>
          <w:color w:val="0F4761"/>
          <w:sz w:val="26"/>
        </w:rPr>
        <w:t>8.6  Third-party outages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61"/>
        <w:gridCol w:w="3826"/>
        <w:gridCol w:w="3827"/>
      </w:tblGrid>
      <w:tr>
        <w:trPr>
          <w:tblHeader w:val="true"/>
        </w:trPr>
        <w:tc>
          <w:tcPr>
            <w:tcW w:type="dxa" w:w="1361"/>
            <w:shd w:val="clear" w:color="auto" w:fill="DCE9F7"/>
          </w:tcPr>
          <w:p>
            <w:pPr>
              <w:spacing w:after="20"/>
            </w:pPr>
            <w:r>
              <w:rPr>
                <w:rFonts w:ascii="Segoe UI" w:hAnsi="Segoe UI" w:cs="Segoe UI" w:eastAsia="Segoe UI"/>
                <w:b/>
                <w:color w:val="0F4761"/>
                <w:sz w:val="18"/>
              </w:rPr>
              <w:t>Dependency</w:t>
            </w:r>
          </w:p>
        </w:tc>
        <w:tc>
          <w:tcPr>
            <w:tcW w:type="dxa" w:w="3826"/>
            <w:shd w:val="clear" w:color="auto" w:fill="DCE9F7"/>
          </w:tcPr>
          <w:p>
            <w:pPr>
              <w:spacing w:after="20"/>
            </w:pPr>
            <w:r>
              <w:rPr>
                <w:rFonts w:ascii="Segoe UI" w:hAnsi="Segoe UI" w:cs="Segoe UI" w:eastAsia="Segoe UI"/>
                <w:b/>
                <w:color w:val="0F4761"/>
                <w:sz w:val="18"/>
              </w:rPr>
              <w:t>Effect</w:t>
            </w:r>
          </w:p>
        </w:tc>
        <w:tc>
          <w:tcPr>
            <w:tcW w:type="dxa" w:w="3827"/>
            <w:shd w:val="clear" w:color="auto" w:fill="DCE9F7"/>
          </w:tcPr>
          <w:p>
            <w:pPr>
              <w:spacing w:after="20"/>
            </w:pPr>
            <w:r>
              <w:rPr>
                <w:rFonts w:ascii="Segoe UI" w:hAnsi="Segoe UI" w:cs="Segoe UI" w:eastAsia="Segoe UI"/>
                <w:b/>
                <w:color w:val="0F4761"/>
                <w:sz w:val="18"/>
              </w:rPr>
              <w:t>Workaround</w:t>
            </w:r>
          </w:p>
        </w:tc>
      </w:tr>
      <w:tr>
        <w:tc>
          <w:tcPr>
            <w:tcW w:type="dxa" w:w="1361"/>
          </w:tcPr>
          <w:p>
            <w:pPr>
              <w:spacing w:after="20"/>
            </w:pPr>
            <w:r>
              <w:rPr>
                <w:rFonts w:ascii="Segoe UI" w:hAnsi="Segoe UI" w:cs="Segoe UI" w:eastAsia="Segoe UI"/>
                <w:color w:val="101820"/>
                <w:sz w:val="18"/>
              </w:rPr>
              <w:t>SMTP mailbox</w:t>
            </w:r>
          </w:p>
        </w:tc>
        <w:tc>
          <w:tcPr>
            <w:tcW w:type="dxa" w:w="3826"/>
          </w:tcPr>
          <w:p>
            <w:pPr>
              <w:spacing w:after="20"/>
            </w:pPr>
            <w:r>
              <w:rPr>
                <w:rFonts w:ascii="Segoe UI" w:hAnsi="Segoe UI" w:cs="Segoe UI" w:eastAsia="Segoe UI"/>
                <w:color w:val="101820"/>
                <w:sz w:val="18"/>
              </w:rPr>
              <w:t>E-mails wait in the E-mail Outbox; transactions continue</w:t>
            </w:r>
          </w:p>
        </w:tc>
        <w:tc>
          <w:tcPr>
            <w:tcW w:type="dxa" w:w="3827"/>
          </w:tcPr>
          <w:p>
            <w:pPr>
              <w:spacing w:after="20"/>
            </w:pPr>
            <w:r>
              <w:rPr>
                <w:rFonts w:ascii="Segoe UI" w:hAnsi="Segoe UI" w:cs="Segoe UI" w:eastAsia="Segoe UI"/>
                <w:color w:val="101820"/>
                <w:sz w:val="18"/>
              </w:rPr>
              <w:t>Resend from the outbox when the mailbox is back; send urgent documents from a normal mailbox</w:t>
            </w:r>
          </w:p>
        </w:tc>
      </w:tr>
      <w:tr>
        <w:tc>
          <w:tcPr>
            <w:tcW w:type="dxa" w:w="1361"/>
          </w:tcPr>
          <w:p>
            <w:pPr>
              <w:spacing w:after="20"/>
            </w:pPr>
            <w:r>
              <w:rPr>
                <w:rFonts w:ascii="Segoe UI" w:hAnsi="Segoe UI" w:cs="Segoe UI" w:eastAsia="Segoe UI"/>
                <w:color w:val="101820"/>
                <w:sz w:val="18"/>
              </w:rPr>
              <w:t>Payment gateway</w:t>
            </w:r>
          </w:p>
        </w:tc>
        <w:tc>
          <w:tcPr>
            <w:tcW w:type="dxa" w:w="3826"/>
          </w:tcPr>
          <w:p>
            <w:pPr>
              <w:spacing w:after="20"/>
            </w:pPr>
            <w:r>
              <w:rPr>
                <w:rFonts w:ascii="Segoe UI" w:hAnsi="Segoe UI" w:cs="Segoe UI" w:eastAsia="Segoe UI"/>
                <w:color w:val="101820"/>
                <w:sz w:val="18"/>
              </w:rPr>
              <w:t>Payment links fail; no automatic receipts</w:t>
            </w:r>
          </w:p>
        </w:tc>
        <w:tc>
          <w:tcPr>
            <w:tcW w:type="dxa" w:w="3827"/>
          </w:tcPr>
          <w:p>
            <w:pPr>
              <w:spacing w:after="20"/>
            </w:pPr>
            <w:r>
              <w:rPr>
                <w:rFonts w:ascii="Segoe UI" w:hAnsi="Segoe UI" w:cs="Segoe UI" w:eastAsia="Segoe UI"/>
                <w:color w:val="101820"/>
                <w:sz w:val="18"/>
              </w:rPr>
              <w:t>Clients pay by bank transfer or cheque; Accounting records the receipt</w:t>
            </w:r>
          </w:p>
        </w:tc>
      </w:tr>
      <w:tr>
        <w:tc>
          <w:tcPr>
            <w:tcW w:type="dxa" w:w="1361"/>
          </w:tcPr>
          <w:p>
            <w:pPr>
              <w:spacing w:after="20"/>
            </w:pPr>
            <w:r>
              <w:rPr>
                <w:rFonts w:ascii="Segoe UI" w:hAnsi="Segoe UI" w:cs="Segoe UI" w:eastAsia="Segoe UI"/>
                <w:color w:val="101820"/>
                <w:sz w:val="18"/>
              </w:rPr>
              <w:t>Bank portal</w:t>
            </w:r>
          </w:p>
        </w:tc>
        <w:tc>
          <w:tcPr>
            <w:tcW w:type="dxa" w:w="3826"/>
          </w:tcPr>
          <w:p>
            <w:pPr>
              <w:spacing w:after="20"/>
            </w:pPr>
            <w:r>
              <w:rPr>
                <w:rFonts w:ascii="Segoe UI" w:hAnsi="Segoe UI" w:cs="Segoe UI" w:eastAsia="Segoe UI"/>
                <w:color w:val="101820"/>
                <w:sz w:val="18"/>
              </w:rPr>
              <w:t>Transfers to insurers cannot be executed</w:t>
            </w:r>
          </w:p>
        </w:tc>
        <w:tc>
          <w:tcPr>
            <w:tcW w:type="dxa" w:w="3827"/>
          </w:tcPr>
          <w:p>
            <w:pPr>
              <w:spacing w:after="20"/>
            </w:pPr>
            <w:r>
              <w:rPr>
                <w:rFonts w:ascii="Segoe UI" w:hAnsi="Segoe UI" w:cs="Segoe UI" w:eastAsia="Segoe UI"/>
                <w:color w:val="101820"/>
                <w:sz w:val="18"/>
              </w:rPr>
              <w:t>Approved remittances wait; cheques where the insurer accepts them</w:t>
            </w:r>
          </w:p>
        </w:tc>
      </w:tr>
      <w:tr>
        <w:tc>
          <w:tcPr>
            <w:tcW w:type="dxa" w:w="1361"/>
          </w:tcPr>
          <w:p>
            <w:pPr>
              <w:spacing w:after="20"/>
            </w:pPr>
            <w:r>
              <w:rPr>
                <w:rFonts w:ascii="Segoe UI" w:hAnsi="Segoe UI" w:cs="Segoe UI" w:eastAsia="Segoe UI"/>
                <w:color w:val="101820"/>
                <w:sz w:val="18"/>
              </w:rPr>
              <w:t>Insurer systems</w:t>
            </w:r>
          </w:p>
        </w:tc>
        <w:tc>
          <w:tcPr>
            <w:tcW w:type="dxa" w:w="3826"/>
          </w:tcPr>
          <w:p>
            <w:pPr>
              <w:spacing w:after="20"/>
            </w:pPr>
            <w:r>
              <w:rPr>
                <w:rFonts w:ascii="Segoe UI" w:hAnsi="Segoe UI" w:cs="Segoe UI" w:eastAsia="Segoe UI"/>
                <w:color w:val="101820"/>
                <w:sz w:val="18"/>
              </w:rPr>
              <w:t>No effect on BrokerVerse (exchange is by file and e-mail)</w:t>
            </w:r>
          </w:p>
        </w:tc>
        <w:tc>
          <w:tcPr>
            <w:tcW w:type="dxa" w:w="3827"/>
          </w:tcPr>
          <w:p>
            <w:pPr>
              <w:spacing w:after="20"/>
            </w:pPr>
            <w:r>
              <w:rPr>
                <w:rFonts w:ascii="Segoe UI" w:hAnsi="Segoe UI" w:cs="Segoe UI" w:eastAsia="Segoe UI"/>
                <w:color w:val="101820"/>
                <w:sz w:val="18"/>
              </w:rPr>
              <w:t>Not applicable</w:t>
            </w:r>
          </w:p>
        </w:tc>
      </w:tr>
    </w:tbl>
    <w:p>
      <w:pPr>
        <w:pStyle w:val="Heading1"/>
        <w:pageBreakBefore/>
      </w:pPr>
      <w:r>
        <w:rPr>
          <w:rFonts w:ascii="Segoe UI" w:hAnsi="Segoe UI" w:cs="Segoe UI" w:eastAsia="Segoe UI"/>
          <w:b/>
          <w:color w:val="0F4761"/>
          <w:sz w:val="32"/>
        </w:rPr>
        <w:t>9.  Manual workarounds while the system is down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18"/>
        <w:gridCol w:w="3698"/>
        <w:gridCol w:w="3698"/>
      </w:tblGrid>
      <w:tr>
        <w:trPr>
          <w:tblHeader w:val="true"/>
        </w:trPr>
        <w:tc>
          <w:tcPr>
            <w:tcW w:type="dxa" w:w="1618"/>
            <w:shd w:val="clear" w:color="auto" w:fill="DCE9F7"/>
          </w:tcPr>
          <w:p>
            <w:pPr>
              <w:spacing w:after="20"/>
            </w:pPr>
            <w:r>
              <w:rPr>
                <w:rFonts w:ascii="Segoe UI" w:hAnsi="Segoe UI" w:cs="Segoe UI" w:eastAsia="Segoe UI"/>
                <w:b/>
                <w:color w:val="0F4761"/>
                <w:sz w:val="18"/>
              </w:rPr>
              <w:t>Process</w:t>
            </w:r>
          </w:p>
        </w:tc>
        <w:tc>
          <w:tcPr>
            <w:tcW w:type="dxa" w:w="3698"/>
            <w:shd w:val="clear" w:color="auto" w:fill="DCE9F7"/>
          </w:tcPr>
          <w:p>
            <w:pPr>
              <w:spacing w:after="20"/>
            </w:pPr>
            <w:r>
              <w:rPr>
                <w:rFonts w:ascii="Segoe UI" w:hAnsi="Segoe UI" w:cs="Segoe UI" w:eastAsia="Segoe UI"/>
                <w:b/>
                <w:color w:val="0F4761"/>
                <w:sz w:val="18"/>
              </w:rPr>
              <w:t>Workaround</w:t>
            </w:r>
          </w:p>
        </w:tc>
        <w:tc>
          <w:tcPr>
            <w:tcW w:type="dxa" w:w="3698"/>
            <w:shd w:val="clear" w:color="auto" w:fill="DCE9F7"/>
          </w:tcPr>
          <w:p>
            <w:pPr>
              <w:spacing w:after="20"/>
            </w:pPr>
            <w:r>
              <w:rPr>
                <w:rFonts w:ascii="Segoe UI" w:hAnsi="Segoe UI" w:cs="Segoe UI" w:eastAsia="Segoe UI"/>
                <w:b/>
                <w:color w:val="0F4761"/>
                <w:sz w:val="18"/>
              </w:rPr>
              <w:t>Catch-up after recovery</w:t>
            </w:r>
          </w:p>
        </w:tc>
      </w:tr>
      <w:tr>
        <w:tc>
          <w:tcPr>
            <w:tcW w:type="dxa" w:w="1618"/>
          </w:tcPr>
          <w:p>
            <w:pPr>
              <w:spacing w:after="20"/>
            </w:pPr>
            <w:r>
              <w:rPr>
                <w:rFonts w:ascii="Segoe UI" w:hAnsi="Segoe UI" w:cs="Segoe UI" w:eastAsia="Segoe UI"/>
                <w:color w:val="101820"/>
                <w:sz w:val="18"/>
              </w:rPr>
              <w:t>Collecting premium</w:t>
            </w:r>
          </w:p>
        </w:tc>
        <w:tc>
          <w:tcPr>
            <w:tcW w:type="dxa" w:w="3698"/>
          </w:tcPr>
          <w:p>
            <w:pPr>
              <w:spacing w:after="20"/>
            </w:pPr>
            <w:r>
              <w:rPr>
                <w:rFonts w:ascii="Segoe UI" w:hAnsi="Segoe UI" w:cs="Segoe UI" w:eastAsia="Segoe UI"/>
                <w:color w:val="101820"/>
                <w:sz w:val="18"/>
              </w:rPr>
              <w:t>Issue pre-numbered manual official receipts from the BIR-registered manual series kept for this purpose [to confirm the broker holds one]</w:t>
            </w:r>
          </w:p>
        </w:tc>
        <w:tc>
          <w:tcPr>
            <w:tcW w:type="dxa" w:w="3698"/>
          </w:tcPr>
          <w:p>
            <w:pPr>
              <w:spacing w:after="20"/>
            </w:pPr>
            <w:r>
              <w:rPr>
                <w:rFonts w:ascii="Segoe UI" w:hAnsi="Segoe UI" w:cs="Segoe UI" w:eastAsia="Segoe UI"/>
                <w:color w:val="101820"/>
                <w:sz w:val="18"/>
              </w:rPr>
              <w:t>Record each receipt in BrokerVerse with the manual receipt reference</w:t>
            </w:r>
          </w:p>
        </w:tc>
      </w:tr>
      <w:tr>
        <w:tc>
          <w:tcPr>
            <w:tcW w:type="dxa" w:w="1618"/>
          </w:tcPr>
          <w:p>
            <w:pPr>
              <w:spacing w:after="20"/>
            </w:pPr>
            <w:r>
              <w:rPr>
                <w:rFonts w:ascii="Segoe UI" w:hAnsi="Segoe UI" w:cs="Segoe UI" w:eastAsia="Segoe UI"/>
                <w:color w:val="101820"/>
                <w:sz w:val="18"/>
              </w:rPr>
              <w:t>Motor policy and CTPL</w:t>
            </w:r>
          </w:p>
        </w:tc>
        <w:tc>
          <w:tcPr>
            <w:tcW w:type="dxa" w:w="3698"/>
          </w:tcPr>
          <w:p>
            <w:pPr>
              <w:spacing w:after="20"/>
            </w:pPr>
            <w:r>
              <w:rPr>
                <w:rFonts w:ascii="Segoe UI" w:hAnsi="Segoe UI" w:cs="Segoe UI" w:eastAsia="Segoe UI"/>
                <w:color w:val="101820"/>
                <w:sz w:val="18"/>
              </w:rPr>
              <w:t>Request the policy or certificate directly from the insurer's own portal or underwriter</w:t>
            </w:r>
          </w:p>
        </w:tc>
        <w:tc>
          <w:tcPr>
            <w:tcW w:type="dxa" w:w="3698"/>
          </w:tcPr>
          <w:p>
            <w:pPr>
              <w:spacing w:after="20"/>
            </w:pPr>
            <w:r>
              <w:rPr>
                <w:rFonts w:ascii="Segoe UI" w:hAnsi="Segoe UI" w:cs="Segoe UI" w:eastAsia="Segoe UI"/>
                <w:color w:val="101820"/>
                <w:sz w:val="18"/>
              </w:rPr>
              <w:t>Record the issued policy (Record Issued Policy journey) with the insurer's number</w:t>
            </w:r>
          </w:p>
        </w:tc>
      </w:tr>
      <w:tr>
        <w:tc>
          <w:tcPr>
            <w:tcW w:type="dxa" w:w="1618"/>
          </w:tcPr>
          <w:p>
            <w:pPr>
              <w:spacing w:after="20"/>
            </w:pPr>
            <w:r>
              <w:rPr>
                <w:rFonts w:ascii="Segoe UI" w:hAnsi="Segoe UI" w:cs="Segoe UI" w:eastAsia="Segoe UI"/>
                <w:color w:val="101820"/>
                <w:sz w:val="18"/>
              </w:rPr>
              <w:t>Claims notification</w:t>
            </w:r>
          </w:p>
        </w:tc>
        <w:tc>
          <w:tcPr>
            <w:tcW w:type="dxa" w:w="3698"/>
          </w:tcPr>
          <w:p>
            <w:pPr>
              <w:spacing w:after="20"/>
            </w:pPr>
            <w:r>
              <w:rPr>
                <w:rFonts w:ascii="Segoe UI" w:hAnsi="Segoe UI" w:cs="Segoe UI" w:eastAsia="Segoe UI"/>
                <w:color w:val="101820"/>
                <w:sz w:val="18"/>
              </w:rPr>
              <w:t>E-mail the preliminary loss advice to the insurer from a normal mailbox</w:t>
            </w:r>
          </w:p>
        </w:tc>
        <w:tc>
          <w:tcPr>
            <w:tcW w:type="dxa" w:w="3698"/>
          </w:tcPr>
          <w:p>
            <w:pPr>
              <w:spacing w:after="20"/>
            </w:pPr>
            <w:r>
              <w:rPr>
                <w:rFonts w:ascii="Segoe UI" w:hAnsi="Segoe UI" w:cs="Segoe UI" w:eastAsia="Segoe UI"/>
                <w:color w:val="101820"/>
                <w:sz w:val="18"/>
              </w:rPr>
              <w:t>Register the claim with the actual notification date</w:t>
            </w:r>
          </w:p>
        </w:tc>
      </w:tr>
      <w:tr>
        <w:tc>
          <w:tcPr>
            <w:tcW w:type="dxa" w:w="1618"/>
          </w:tcPr>
          <w:p>
            <w:pPr>
              <w:spacing w:after="20"/>
            </w:pPr>
            <w:r>
              <w:rPr>
                <w:rFonts w:ascii="Segoe UI" w:hAnsi="Segoe UI" w:cs="Segoe UI" w:eastAsia="Segoe UI"/>
                <w:color w:val="101820"/>
                <w:sz w:val="18"/>
              </w:rPr>
              <w:t>Remittance</w:t>
            </w:r>
          </w:p>
        </w:tc>
        <w:tc>
          <w:tcPr>
            <w:tcW w:type="dxa" w:w="3698"/>
          </w:tcPr>
          <w:p>
            <w:pPr>
              <w:spacing w:after="20"/>
            </w:pPr>
            <w:r>
              <w:rPr>
                <w:rFonts w:ascii="Segoe UI" w:hAnsi="Segoe UI" w:cs="Segoe UI" w:eastAsia="Segoe UI"/>
                <w:color w:val="101820"/>
                <w:sz w:val="18"/>
              </w:rPr>
              <w:t>Defer by the insurer's terms; tell insurers of the delay</w:t>
            </w:r>
          </w:p>
        </w:tc>
        <w:tc>
          <w:tcPr>
            <w:tcW w:type="dxa" w:w="3698"/>
          </w:tcPr>
          <w:p>
            <w:pPr>
              <w:spacing w:after="20"/>
            </w:pPr>
            <w:r>
              <w:rPr>
                <w:rFonts w:ascii="Segoe UI" w:hAnsi="Segoe UI" w:cs="Segoe UI" w:eastAsia="Segoe UI"/>
                <w:color w:val="101820"/>
                <w:sz w:val="18"/>
              </w:rPr>
              <w:t>Run the remittance as normal</w:t>
            </w:r>
          </w:p>
        </w:tc>
      </w:tr>
      <w:tr>
        <w:tc>
          <w:tcPr>
            <w:tcW w:type="dxa" w:w="1618"/>
          </w:tcPr>
          <w:p>
            <w:pPr>
              <w:spacing w:after="20"/>
            </w:pPr>
            <w:r>
              <w:rPr>
                <w:rFonts w:ascii="Segoe UI" w:hAnsi="Segoe UI" w:cs="Segoe UI" w:eastAsia="Segoe UI"/>
                <w:color w:val="101820"/>
                <w:sz w:val="18"/>
              </w:rPr>
              <w:t>Client enquiries</w:t>
            </w:r>
          </w:p>
        </w:tc>
        <w:tc>
          <w:tcPr>
            <w:tcW w:type="dxa" w:w="3698"/>
          </w:tcPr>
          <w:p>
            <w:pPr>
              <w:spacing w:after="20"/>
            </w:pPr>
            <w:r>
              <w:rPr>
                <w:rFonts w:ascii="Segoe UI" w:hAnsi="Segoe UI" w:cs="Segoe UI" w:eastAsia="Segoe UI"/>
                <w:color w:val="101820"/>
                <w:sz w:val="18"/>
              </w:rPr>
              <w:t>Use the last daily exported reports (production register, SOA, renewal list)</w:t>
            </w:r>
          </w:p>
        </w:tc>
        <w:tc>
          <w:tcPr>
            <w:tcW w:type="dxa" w:w="3698"/>
          </w:tcPr>
          <w:p>
            <w:pPr>
              <w:spacing w:after="20"/>
            </w:pPr>
            <w:r>
              <w:rPr>
                <w:rFonts w:ascii="Segoe UI" w:hAnsi="Segoe UI" w:cs="Segoe UI" w:eastAsia="Segoe UI"/>
                <w:color w:val="101820"/>
                <w:sz w:val="18"/>
              </w:rPr>
              <w:t>Not applicable</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The Daily reports job (05:00 PHT) generates the scheduled daily reports (production register, collections, claims position). Keep the last day's copies, with a premium receivable SOA and the renewal list, outside the system (for example on the broker's file server) so staff can answer clients during an outage.</w:t>
      </w:r>
    </w:p>
    <w:p>
      <w:pPr>
        <w:pStyle w:val="Heading1"/>
        <w:pageBreakBefore/>
      </w:pPr>
      <w:r>
        <w:rPr>
          <w:rFonts w:ascii="Segoe UI" w:hAnsi="Segoe UI" w:cs="Segoe UI" w:eastAsia="Segoe UI"/>
          <w:b/>
          <w:color w:val="0F4761"/>
          <w:sz w:val="32"/>
        </w:rPr>
        <w:t>10.  Roles and responsibilities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95"/>
        <w:gridCol w:w="3473"/>
        <w:gridCol w:w="3547"/>
      </w:tblGrid>
      <w:tr>
        <w:trPr>
          <w:tblHeader w:val="true"/>
        </w:trPr>
        <w:tc>
          <w:tcPr>
            <w:tcW w:type="dxa" w:w="1995"/>
            <w:shd w:val="clear" w:color="auto" w:fill="DCE9F7"/>
          </w:tcPr>
          <w:p>
            <w:pPr>
              <w:spacing w:after="20"/>
            </w:pPr>
            <w:r>
              <w:rPr>
                <w:rFonts w:ascii="Segoe UI" w:hAnsi="Segoe UI" w:cs="Segoe UI" w:eastAsia="Segoe UI"/>
                <w:b/>
                <w:color w:val="0F4761"/>
                <w:sz w:val="18"/>
              </w:rPr>
              <w:t>Role</w:t>
            </w:r>
          </w:p>
        </w:tc>
        <w:tc>
          <w:tcPr>
            <w:tcW w:type="dxa" w:w="3473"/>
            <w:shd w:val="clear" w:color="auto" w:fill="DCE9F7"/>
          </w:tcPr>
          <w:p>
            <w:pPr>
              <w:spacing w:after="20"/>
            </w:pPr>
            <w:r>
              <w:rPr>
                <w:rFonts w:ascii="Segoe UI" w:hAnsi="Segoe UI" w:cs="Segoe UI" w:eastAsia="Segoe UI"/>
                <w:b/>
                <w:color w:val="0F4761"/>
                <w:sz w:val="18"/>
              </w:rPr>
              <w:t>Who</w:t>
            </w:r>
          </w:p>
        </w:tc>
        <w:tc>
          <w:tcPr>
            <w:tcW w:type="dxa" w:w="3547"/>
            <w:shd w:val="clear" w:color="auto" w:fill="DCE9F7"/>
          </w:tcPr>
          <w:p>
            <w:pPr>
              <w:spacing w:after="20"/>
            </w:pPr>
            <w:r>
              <w:rPr>
                <w:rFonts w:ascii="Segoe UI" w:hAnsi="Segoe UI" w:cs="Segoe UI" w:eastAsia="Segoe UI"/>
                <w:b/>
                <w:color w:val="0F4761"/>
                <w:sz w:val="18"/>
              </w:rPr>
              <w:t>Responsibilities in a disruption</w:t>
            </w:r>
          </w:p>
        </w:tc>
      </w:tr>
      <w:tr>
        <w:tc>
          <w:tcPr>
            <w:tcW w:type="dxa" w:w="1995"/>
          </w:tcPr>
          <w:p>
            <w:pPr>
              <w:spacing w:after="20"/>
            </w:pPr>
            <w:r>
              <w:rPr>
                <w:rFonts w:ascii="Segoe UI" w:hAnsi="Segoe UI" w:cs="Segoe UI" w:eastAsia="Segoe UI"/>
                <w:color w:val="101820"/>
                <w:sz w:val="18"/>
              </w:rPr>
              <w:t>Incident Manager</w:t>
            </w:r>
          </w:p>
        </w:tc>
        <w:tc>
          <w:tcPr>
            <w:tcW w:type="dxa" w:w="3473"/>
          </w:tcPr>
          <w:p>
            <w:pPr>
              <w:spacing w:after="20"/>
            </w:pPr>
            <w:r>
              <w:rPr>
                <w:rFonts w:ascii="Segoe UI" w:hAnsi="Segoe UI" w:cs="Segoe UI" w:eastAsia="Segoe UI"/>
                <w:color w:val="101820"/>
                <w:sz w:val="18"/>
              </w:rPr>
              <w:t>iorta TechNXT support manager [name to confirm]</w:t>
            </w:r>
          </w:p>
        </w:tc>
        <w:tc>
          <w:tcPr>
            <w:tcW w:type="dxa" w:w="3547"/>
          </w:tcPr>
          <w:p>
            <w:pPr>
              <w:spacing w:after="20"/>
            </w:pPr>
            <w:r>
              <w:rPr>
                <w:rFonts w:ascii="Segoe UI" w:hAnsi="Segoe UI" w:cs="Segoe UI" w:eastAsia="Segoe UI"/>
                <w:color w:val="101820"/>
                <w:sz w:val="18"/>
              </w:rPr>
              <w:t>Declares P1, runs the bridge, keeps the timeline, decides with the broker's IT head on DR invocation</w:t>
            </w:r>
          </w:p>
        </w:tc>
      </w:tr>
      <w:tr>
        <w:tc>
          <w:tcPr>
            <w:tcW w:type="dxa" w:w="1995"/>
          </w:tcPr>
          <w:p>
            <w:pPr>
              <w:spacing w:after="20"/>
            </w:pPr>
            <w:r>
              <w:rPr>
                <w:rFonts w:ascii="Segoe UI" w:hAnsi="Segoe UI" w:cs="Segoe UI" w:eastAsia="Segoe UI"/>
                <w:color w:val="101820"/>
                <w:sz w:val="18"/>
              </w:rPr>
              <w:t>Recovery lead</w:t>
            </w:r>
          </w:p>
        </w:tc>
        <w:tc>
          <w:tcPr>
            <w:tcW w:type="dxa" w:w="3473"/>
          </w:tcPr>
          <w:p>
            <w:pPr>
              <w:spacing w:after="20"/>
            </w:pPr>
            <w:r>
              <w:rPr>
                <w:rFonts w:ascii="Segoe UI" w:hAnsi="Segoe UI" w:cs="Segoe UI" w:eastAsia="Segoe UI"/>
                <w:color w:val="101820"/>
                <w:sz w:val="18"/>
              </w:rPr>
              <w:t>iorta TechNXT DevOps lead [name to confirm]</w:t>
            </w:r>
          </w:p>
        </w:tc>
        <w:tc>
          <w:tcPr>
            <w:tcW w:type="dxa" w:w="3547"/>
          </w:tcPr>
          <w:p>
            <w:pPr>
              <w:spacing w:after="20"/>
            </w:pPr>
            <w:r>
              <w:rPr>
                <w:rFonts w:ascii="Segoe UI" w:hAnsi="Segoe UI" w:cs="Segoe UI" w:eastAsia="Segoe UI"/>
                <w:color w:val="101820"/>
                <w:sz w:val="18"/>
              </w:rPr>
              <w:t>Carries out restores and DR, records times and recovery points</w:t>
            </w:r>
          </w:p>
        </w:tc>
      </w:tr>
      <w:tr>
        <w:tc>
          <w:tcPr>
            <w:tcW w:type="dxa" w:w="1995"/>
          </w:tcPr>
          <w:p>
            <w:pPr>
              <w:spacing w:after="20"/>
            </w:pPr>
            <w:r>
              <w:rPr>
                <w:rFonts w:ascii="Segoe UI" w:hAnsi="Segoe UI" w:cs="Segoe UI" w:eastAsia="Segoe UI"/>
                <w:color w:val="101820"/>
                <w:sz w:val="18"/>
              </w:rPr>
              <w:t>Application lead</w:t>
            </w:r>
          </w:p>
        </w:tc>
        <w:tc>
          <w:tcPr>
            <w:tcW w:type="dxa" w:w="3473"/>
          </w:tcPr>
          <w:p>
            <w:pPr>
              <w:spacing w:after="20"/>
            </w:pPr>
            <w:r>
              <w:rPr>
                <w:rFonts w:ascii="Segoe UI" w:hAnsi="Segoe UI" w:cs="Segoe UI" w:eastAsia="Segoe UI"/>
                <w:color w:val="101820"/>
                <w:sz w:val="18"/>
              </w:rPr>
              <w:t>iorta TechNXT L3 engineer [name to confirm]</w:t>
            </w:r>
          </w:p>
        </w:tc>
        <w:tc>
          <w:tcPr>
            <w:tcW w:type="dxa" w:w="3547"/>
          </w:tcPr>
          <w:p>
            <w:pPr>
              <w:spacing w:after="20"/>
            </w:pPr>
            <w:r>
              <w:rPr>
                <w:rFonts w:ascii="Segoe UI" w:hAnsi="Segoe UI" w:cs="Segoe UI" w:eastAsia="Segoe UI"/>
                <w:color w:val="101820"/>
                <w:sz w:val="18"/>
              </w:rPr>
              <w:t>Checks migrations, data integrity, jobs and the application after restore</w:t>
            </w:r>
          </w:p>
        </w:tc>
      </w:tr>
      <w:tr>
        <w:tc>
          <w:tcPr>
            <w:tcW w:type="dxa" w:w="1995"/>
          </w:tcPr>
          <w:p>
            <w:pPr>
              <w:spacing w:after="20"/>
            </w:pPr>
            <w:r>
              <w:rPr>
                <w:rFonts w:ascii="Segoe UI" w:hAnsi="Segoe UI" w:cs="Segoe UI" w:eastAsia="Segoe UI"/>
                <w:color w:val="101820"/>
                <w:sz w:val="18"/>
              </w:rPr>
              <w:t>Broker IT head</w:t>
            </w:r>
          </w:p>
        </w:tc>
        <w:tc>
          <w:tcPr>
            <w:tcW w:type="dxa" w:w="3473"/>
          </w:tcPr>
          <w:p>
            <w:pPr>
              <w:spacing w:after="20"/>
            </w:pPr>
            <w:r>
              <w:rPr>
                <w:rFonts w:ascii="Segoe UI" w:hAnsi="Segoe UI" w:cs="Segoe UI" w:eastAsia="Segoe UI"/>
                <w:color w:val="101820"/>
                <w:sz w:val="18"/>
              </w:rPr>
              <w:t>[to confirm]</w:t>
            </w:r>
          </w:p>
        </w:tc>
        <w:tc>
          <w:tcPr>
            <w:tcW w:type="dxa" w:w="3547"/>
          </w:tcPr>
          <w:p>
            <w:pPr>
              <w:spacing w:after="20"/>
            </w:pPr>
            <w:r>
              <w:rPr>
                <w:rFonts w:ascii="Segoe UI" w:hAnsi="Segoe UI" w:cs="Segoe UI" w:eastAsia="Segoe UI"/>
                <w:color w:val="101820"/>
                <w:sz w:val="18"/>
              </w:rPr>
              <w:t>Approves DR invocation, recovery point and reopening; coordinates the broker's network and devices</w:t>
            </w:r>
          </w:p>
        </w:tc>
      </w:tr>
      <w:tr>
        <w:tc>
          <w:tcPr>
            <w:tcW w:type="dxa" w:w="1995"/>
          </w:tcPr>
          <w:p>
            <w:pPr>
              <w:spacing w:after="20"/>
            </w:pPr>
            <w:r>
              <w:rPr>
                <w:rFonts w:ascii="Segoe UI" w:hAnsi="Segoe UI" w:cs="Segoe UI" w:eastAsia="Segoe UI"/>
                <w:color w:val="101820"/>
                <w:sz w:val="18"/>
              </w:rPr>
              <w:t>Broker Accounting Manager</w:t>
            </w:r>
          </w:p>
        </w:tc>
        <w:tc>
          <w:tcPr>
            <w:tcW w:type="dxa" w:w="3473"/>
          </w:tcPr>
          <w:p>
            <w:pPr>
              <w:spacing w:after="20"/>
            </w:pPr>
            <w:r>
              <w:rPr>
                <w:rFonts w:ascii="Segoe UI" w:hAnsi="Segoe UI" w:cs="Segoe UI" w:eastAsia="Segoe UI"/>
                <w:color w:val="101820"/>
                <w:sz w:val="18"/>
              </w:rPr>
              <w:t>[to confirm]</w:t>
            </w:r>
          </w:p>
        </w:tc>
        <w:tc>
          <w:tcPr>
            <w:tcW w:type="dxa" w:w="3547"/>
          </w:tcPr>
          <w:p>
            <w:pPr>
              <w:spacing w:after="20"/>
            </w:pPr>
            <w:r>
              <w:rPr>
                <w:rFonts w:ascii="Segoe UI" w:hAnsi="Segoe UI" w:cs="Segoe UI" w:eastAsia="Segoe UI"/>
                <w:color w:val="101820"/>
                <w:sz w:val="18"/>
              </w:rPr>
              <w:t>Agrees the recovery point; runs the financial checks; approves re-entry and receipt series treatment</w:t>
            </w:r>
          </w:p>
        </w:tc>
      </w:tr>
      <w:tr>
        <w:tc>
          <w:tcPr>
            <w:tcW w:type="dxa" w:w="1995"/>
          </w:tcPr>
          <w:p>
            <w:pPr>
              <w:spacing w:after="20"/>
            </w:pPr>
            <w:r>
              <w:rPr>
                <w:rFonts w:ascii="Segoe UI" w:hAnsi="Segoe UI" w:cs="Segoe UI" w:eastAsia="Segoe UI"/>
                <w:color w:val="101820"/>
                <w:sz w:val="18"/>
              </w:rPr>
              <w:t>Broker System Administrator</w:t>
            </w:r>
          </w:p>
        </w:tc>
        <w:tc>
          <w:tcPr>
            <w:tcW w:type="dxa" w:w="3473"/>
          </w:tcPr>
          <w:p>
            <w:pPr>
              <w:spacing w:after="20"/>
            </w:pPr>
            <w:r>
              <w:rPr>
                <w:rFonts w:ascii="Segoe UI" w:hAnsi="Segoe UI" w:cs="Segoe UI" w:eastAsia="Segoe UI"/>
                <w:color w:val="101820"/>
                <w:sz w:val="18"/>
              </w:rPr>
              <w:t>[to confirm]</w:t>
            </w:r>
          </w:p>
        </w:tc>
        <w:tc>
          <w:tcPr>
            <w:tcW w:type="dxa" w:w="3547"/>
          </w:tcPr>
          <w:p>
            <w:pPr>
              <w:spacing w:after="20"/>
            </w:pPr>
            <w:r>
              <w:rPr>
                <w:rFonts w:ascii="Segoe UI" w:hAnsi="Segoe UI" w:cs="Segoe UI" w:eastAsia="Segoe UI"/>
                <w:color w:val="101820"/>
                <w:sz w:val="18"/>
              </w:rPr>
              <w:t>User communication, two-step resets, numbering checks, outbox</w:t>
            </w:r>
          </w:p>
        </w:tc>
      </w:tr>
      <w:tr>
        <w:tc>
          <w:tcPr>
            <w:tcW w:type="dxa" w:w="1995"/>
          </w:tcPr>
          <w:p>
            <w:pPr>
              <w:spacing w:after="20"/>
            </w:pPr>
            <w:r>
              <w:rPr>
                <w:rFonts w:ascii="Segoe UI" w:hAnsi="Segoe UI" w:cs="Segoe UI" w:eastAsia="Segoe UI"/>
                <w:color w:val="101820"/>
                <w:sz w:val="18"/>
              </w:rPr>
              <w:t>Broker DPO</w:t>
            </w:r>
          </w:p>
        </w:tc>
        <w:tc>
          <w:tcPr>
            <w:tcW w:type="dxa" w:w="3473"/>
          </w:tcPr>
          <w:p>
            <w:pPr>
              <w:spacing w:after="20"/>
            </w:pPr>
            <w:r>
              <w:rPr>
                <w:rFonts w:ascii="Segoe UI" w:hAnsi="Segoe UI" w:cs="Segoe UI" w:eastAsia="Segoe UI"/>
                <w:color w:val="101820"/>
                <w:sz w:val="18"/>
              </w:rPr>
              <w:t>[to confirm]</w:t>
            </w:r>
          </w:p>
        </w:tc>
        <w:tc>
          <w:tcPr>
            <w:tcW w:type="dxa" w:w="3547"/>
          </w:tcPr>
          <w:p>
            <w:pPr>
              <w:spacing w:after="20"/>
            </w:pPr>
            <w:r>
              <w:rPr>
                <w:rFonts w:ascii="Segoe UI" w:hAnsi="Segoe UI" w:cs="Segoe UI" w:eastAsia="Segoe UI"/>
                <w:color w:val="101820"/>
                <w:sz w:val="18"/>
              </w:rPr>
              <w:t>Decides on NPC and data subject notification when personal data may be affected</w:t>
            </w:r>
          </w:p>
        </w:tc>
      </w:tr>
      <w:tr>
        <w:tc>
          <w:tcPr>
            <w:tcW w:type="dxa" w:w="1995"/>
          </w:tcPr>
          <w:p>
            <w:pPr>
              <w:spacing w:after="20"/>
            </w:pPr>
            <w:r>
              <w:rPr>
                <w:rFonts w:ascii="Segoe UI" w:hAnsi="Segoe UI" w:cs="Segoe UI" w:eastAsia="Segoe UI"/>
                <w:color w:val="101820"/>
                <w:sz w:val="18"/>
              </w:rPr>
              <w:t>Broker sponsor</w:t>
            </w:r>
          </w:p>
        </w:tc>
        <w:tc>
          <w:tcPr>
            <w:tcW w:type="dxa" w:w="3473"/>
          </w:tcPr>
          <w:p>
            <w:pPr>
              <w:spacing w:after="20"/>
            </w:pPr>
            <w:r>
              <w:rPr>
                <w:rFonts w:ascii="Segoe UI" w:hAnsi="Segoe UI" w:cs="Segoe UI" w:eastAsia="Segoe UI"/>
                <w:color w:val="101820"/>
                <w:sz w:val="18"/>
              </w:rPr>
              <w:t>[to confirm]</w:t>
            </w:r>
          </w:p>
        </w:tc>
        <w:tc>
          <w:tcPr>
            <w:tcW w:type="dxa" w:w="3547"/>
          </w:tcPr>
          <w:p>
            <w:pPr>
              <w:spacing w:after="20"/>
            </w:pPr>
            <w:r>
              <w:rPr>
                <w:rFonts w:ascii="Segoe UI" w:hAnsi="Segoe UI" w:cs="Segoe UI" w:eastAsia="Segoe UI"/>
                <w:color w:val="101820"/>
                <w:sz w:val="18"/>
              </w:rPr>
              <w:t>Decides on communication to insurers, clients and regulators</w:t>
            </w:r>
          </w:p>
        </w:tc>
      </w:tr>
    </w:tbl>
    <w:p>
      <w:pPr>
        <w:pStyle w:val="Heading1"/>
        <w:pageBreakBefore/>
      </w:pPr>
      <w:r>
        <w:rPr>
          <w:rFonts w:ascii="Segoe UI" w:hAnsi="Segoe UI" w:cs="Segoe UI" w:eastAsia="Segoe UI"/>
          <w:b/>
          <w:color w:val="0F4761"/>
          <w:sz w:val="32"/>
        </w:rPr>
        <w:t>11.  Communication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1639"/>
        <w:gridCol w:w="2458"/>
        <w:gridCol w:w="2458"/>
      </w:tblGrid>
      <w:tr>
        <w:trPr>
          <w:tblHeader w:val="true"/>
        </w:trPr>
        <w:tc>
          <w:tcPr>
            <w:tcW w:type="dxa" w:w="2458"/>
            <w:shd w:val="clear" w:color="auto" w:fill="DCE9F7"/>
          </w:tcPr>
          <w:p>
            <w:pPr>
              <w:spacing w:after="20"/>
            </w:pPr>
            <w:r>
              <w:rPr>
                <w:rFonts w:ascii="Segoe UI" w:hAnsi="Segoe UI" w:cs="Segoe UI" w:eastAsia="Segoe UI"/>
                <w:b/>
                <w:color w:val="0F4761"/>
                <w:sz w:val="18"/>
              </w:rPr>
              <w:t>When</w:t>
            </w:r>
          </w:p>
        </w:tc>
        <w:tc>
          <w:tcPr>
            <w:tcW w:type="dxa" w:w="1639"/>
            <w:shd w:val="clear" w:color="auto" w:fill="DCE9F7"/>
          </w:tcPr>
          <w:p>
            <w:pPr>
              <w:spacing w:after="20"/>
            </w:pPr>
            <w:r>
              <w:rPr>
                <w:rFonts w:ascii="Segoe UI" w:hAnsi="Segoe UI" w:cs="Segoe UI" w:eastAsia="Segoe UI"/>
                <w:b/>
                <w:color w:val="0F4761"/>
                <w:sz w:val="18"/>
              </w:rPr>
              <w:t>Who informs</w:t>
            </w:r>
          </w:p>
        </w:tc>
        <w:tc>
          <w:tcPr>
            <w:tcW w:type="dxa" w:w="2458"/>
            <w:shd w:val="clear" w:color="auto" w:fill="DCE9F7"/>
          </w:tcPr>
          <w:p>
            <w:pPr>
              <w:spacing w:after="20"/>
            </w:pPr>
            <w:r>
              <w:rPr>
                <w:rFonts w:ascii="Segoe UI" w:hAnsi="Segoe UI" w:cs="Segoe UI" w:eastAsia="Segoe UI"/>
                <w:b/>
                <w:color w:val="0F4761"/>
                <w:sz w:val="18"/>
              </w:rPr>
              <w:t>Whom</w:t>
            </w:r>
          </w:p>
        </w:tc>
        <w:tc>
          <w:tcPr>
            <w:tcW w:type="dxa" w:w="2458"/>
            <w:shd w:val="clear" w:color="auto" w:fill="DCE9F7"/>
          </w:tcPr>
          <w:p>
            <w:pPr>
              <w:spacing w:after="20"/>
            </w:pPr>
            <w:r>
              <w:rPr>
                <w:rFonts w:ascii="Segoe UI" w:hAnsi="Segoe UI" w:cs="Segoe UI" w:eastAsia="Segoe UI"/>
                <w:b/>
                <w:color w:val="0F4761"/>
                <w:sz w:val="18"/>
              </w:rPr>
              <w:t>How</w:t>
            </w:r>
          </w:p>
        </w:tc>
      </w:tr>
      <w:tr>
        <w:tc>
          <w:tcPr>
            <w:tcW w:type="dxa" w:w="2458"/>
          </w:tcPr>
          <w:p>
            <w:pPr>
              <w:spacing w:after="20"/>
            </w:pPr>
            <w:r>
              <w:rPr>
                <w:rFonts w:ascii="Segoe UI" w:hAnsi="Segoe UI" w:cs="Segoe UI" w:eastAsia="Segoe UI"/>
                <w:color w:val="101820"/>
                <w:sz w:val="18"/>
              </w:rPr>
              <w:t>Within 30 minutes of a P1</w:t>
            </w:r>
          </w:p>
        </w:tc>
        <w:tc>
          <w:tcPr>
            <w:tcW w:type="dxa" w:w="1639"/>
          </w:tcPr>
          <w:p>
            <w:pPr>
              <w:spacing w:after="20"/>
            </w:pPr>
            <w:r>
              <w:rPr>
                <w:rFonts w:ascii="Segoe UI" w:hAnsi="Segoe UI" w:cs="Segoe UI" w:eastAsia="Segoe UI"/>
                <w:color w:val="101820"/>
                <w:sz w:val="18"/>
              </w:rPr>
              <w:t>iorta TechNXT Incident Manager</w:t>
            </w:r>
          </w:p>
        </w:tc>
        <w:tc>
          <w:tcPr>
            <w:tcW w:type="dxa" w:w="2458"/>
          </w:tcPr>
          <w:p>
            <w:pPr>
              <w:spacing w:after="20"/>
            </w:pPr>
            <w:r>
              <w:rPr>
                <w:rFonts w:ascii="Segoe UI" w:hAnsi="Segoe UI" w:cs="Segoe UI" w:eastAsia="Segoe UI"/>
                <w:color w:val="101820"/>
                <w:sz w:val="18"/>
              </w:rPr>
              <w:t>Broker System Administrator and IT head</w:t>
            </w:r>
          </w:p>
        </w:tc>
        <w:tc>
          <w:tcPr>
            <w:tcW w:type="dxa" w:w="2458"/>
          </w:tcPr>
          <w:p>
            <w:pPr>
              <w:spacing w:after="20"/>
            </w:pPr>
            <w:r>
              <w:rPr>
                <w:rFonts w:ascii="Segoe UI" w:hAnsi="Segoe UI" w:cs="Segoe UI" w:eastAsia="Segoe UI"/>
                <w:color w:val="101820"/>
                <w:sz w:val="18"/>
              </w:rPr>
              <w:t>Telephone, then e-mail</w:t>
            </w:r>
          </w:p>
        </w:tc>
      </w:tr>
      <w:tr>
        <w:tc>
          <w:tcPr>
            <w:tcW w:type="dxa" w:w="2458"/>
          </w:tcPr>
          <w:p>
            <w:pPr>
              <w:spacing w:after="20"/>
            </w:pPr>
            <w:r>
              <w:rPr>
                <w:rFonts w:ascii="Segoe UI" w:hAnsi="Segoe UI" w:cs="Segoe UI" w:eastAsia="Segoe UI"/>
                <w:color w:val="101820"/>
                <w:sz w:val="18"/>
              </w:rPr>
              <w:t>Every hour during a P1</w:t>
            </w:r>
          </w:p>
        </w:tc>
        <w:tc>
          <w:tcPr>
            <w:tcW w:type="dxa" w:w="1639"/>
          </w:tcPr>
          <w:p>
            <w:pPr>
              <w:spacing w:after="20"/>
            </w:pPr>
            <w:r>
              <w:rPr>
                <w:rFonts w:ascii="Segoe UI" w:hAnsi="Segoe UI" w:cs="Segoe UI" w:eastAsia="Segoe UI"/>
                <w:color w:val="101820"/>
                <w:sz w:val="18"/>
              </w:rPr>
              <w:t>Incident Manager</w:t>
            </w:r>
          </w:p>
        </w:tc>
        <w:tc>
          <w:tcPr>
            <w:tcW w:type="dxa" w:w="2458"/>
          </w:tcPr>
          <w:p>
            <w:pPr>
              <w:spacing w:after="20"/>
            </w:pPr>
            <w:r>
              <w:rPr>
                <w:rFonts w:ascii="Segoe UI" w:hAnsi="Segoe UI" w:cs="Segoe UI" w:eastAsia="Segoe UI"/>
                <w:color w:val="101820"/>
                <w:sz w:val="18"/>
              </w:rPr>
              <w:t>Broker IT head and sponsor</w:t>
            </w:r>
          </w:p>
        </w:tc>
        <w:tc>
          <w:tcPr>
            <w:tcW w:type="dxa" w:w="2458"/>
          </w:tcPr>
          <w:p>
            <w:pPr>
              <w:spacing w:after="20"/>
            </w:pPr>
            <w:r>
              <w:rPr>
                <w:rFonts w:ascii="Segoe UI" w:hAnsi="Segoe UI" w:cs="Segoe UI" w:eastAsia="Segoe UI"/>
                <w:color w:val="101820"/>
                <w:sz w:val="18"/>
              </w:rPr>
              <w:t>E-mail status update</w:t>
            </w:r>
          </w:p>
        </w:tc>
      </w:tr>
      <w:tr>
        <w:tc>
          <w:tcPr>
            <w:tcW w:type="dxa" w:w="2458"/>
          </w:tcPr>
          <w:p>
            <w:pPr>
              <w:spacing w:after="20"/>
            </w:pPr>
            <w:r>
              <w:rPr>
                <w:rFonts w:ascii="Segoe UI" w:hAnsi="Segoe UI" w:cs="Segoe UI" w:eastAsia="Segoe UI"/>
                <w:color w:val="101820"/>
                <w:sz w:val="18"/>
              </w:rPr>
              <w:t>Outage over 1 hour</w:t>
            </w:r>
          </w:p>
        </w:tc>
        <w:tc>
          <w:tcPr>
            <w:tcW w:type="dxa" w:w="1639"/>
          </w:tcPr>
          <w:p>
            <w:pPr>
              <w:spacing w:after="20"/>
            </w:pPr>
            <w:r>
              <w:rPr>
                <w:rFonts w:ascii="Segoe UI" w:hAnsi="Segoe UI" w:cs="Segoe UI" w:eastAsia="Segoe UI"/>
                <w:color w:val="101820"/>
                <w:sz w:val="18"/>
              </w:rPr>
              <w:t>Broker System Administrator</w:t>
            </w:r>
          </w:p>
        </w:tc>
        <w:tc>
          <w:tcPr>
            <w:tcW w:type="dxa" w:w="2458"/>
          </w:tcPr>
          <w:p>
            <w:pPr>
              <w:spacing w:after="20"/>
            </w:pPr>
            <w:r>
              <w:rPr>
                <w:rFonts w:ascii="Segoe UI" w:hAnsi="Segoe UI" w:cs="Segoe UI" w:eastAsia="Segoe UI"/>
                <w:color w:val="101820"/>
                <w:sz w:val="18"/>
              </w:rPr>
              <w:t>All users</w:t>
            </w:r>
          </w:p>
        </w:tc>
        <w:tc>
          <w:tcPr>
            <w:tcW w:type="dxa" w:w="2458"/>
          </w:tcPr>
          <w:p>
            <w:pPr>
              <w:spacing w:after="20"/>
            </w:pPr>
            <w:r>
              <w:rPr>
                <w:rFonts w:ascii="Segoe UI" w:hAnsi="Segoe UI" w:cs="Segoe UI" w:eastAsia="Segoe UI"/>
                <w:color w:val="101820"/>
                <w:sz w:val="18"/>
              </w:rPr>
              <w:t>E-mail or chat; banner on the intranet</w:t>
            </w:r>
          </w:p>
        </w:tc>
      </w:tr>
      <w:tr>
        <w:tc>
          <w:tcPr>
            <w:tcW w:type="dxa" w:w="2458"/>
          </w:tcPr>
          <w:p>
            <w:pPr>
              <w:spacing w:after="20"/>
            </w:pPr>
            <w:r>
              <w:rPr>
                <w:rFonts w:ascii="Segoe UI" w:hAnsi="Segoe UI" w:cs="Segoe UI" w:eastAsia="Segoe UI"/>
                <w:color w:val="101820"/>
                <w:sz w:val="18"/>
              </w:rPr>
              <w:t>Outage affecting receipts or issuance over 1 business day</w:t>
            </w:r>
          </w:p>
        </w:tc>
        <w:tc>
          <w:tcPr>
            <w:tcW w:type="dxa" w:w="1639"/>
          </w:tcPr>
          <w:p>
            <w:pPr>
              <w:spacing w:after="20"/>
            </w:pPr>
            <w:r>
              <w:rPr>
                <w:rFonts w:ascii="Segoe UI" w:hAnsi="Segoe UI" w:cs="Segoe UI" w:eastAsia="Segoe UI"/>
                <w:color w:val="101820"/>
                <w:sz w:val="18"/>
              </w:rPr>
              <w:t>Broker sponsor</w:t>
            </w:r>
          </w:p>
        </w:tc>
        <w:tc>
          <w:tcPr>
            <w:tcW w:type="dxa" w:w="2458"/>
          </w:tcPr>
          <w:p>
            <w:pPr>
              <w:spacing w:after="20"/>
            </w:pPr>
            <w:r>
              <w:rPr>
                <w:rFonts w:ascii="Segoe UI" w:hAnsi="Segoe UI" w:cs="Segoe UI" w:eastAsia="Segoe UI"/>
                <w:color w:val="101820"/>
                <w:sz w:val="18"/>
              </w:rPr>
              <w:t>Insurers concerned</w:t>
            </w:r>
          </w:p>
        </w:tc>
        <w:tc>
          <w:tcPr>
            <w:tcW w:type="dxa" w:w="2458"/>
          </w:tcPr>
          <w:p>
            <w:pPr>
              <w:spacing w:after="20"/>
            </w:pPr>
            <w:r>
              <w:rPr>
                <w:rFonts w:ascii="Segoe UI" w:hAnsi="Segoe UI" w:cs="Segoe UI" w:eastAsia="Segoe UI"/>
                <w:color w:val="101820"/>
                <w:sz w:val="18"/>
              </w:rPr>
              <w:t>E-mail from the broker</w:t>
            </w:r>
          </w:p>
        </w:tc>
      </w:tr>
      <w:tr>
        <w:tc>
          <w:tcPr>
            <w:tcW w:type="dxa" w:w="2458"/>
          </w:tcPr>
          <w:p>
            <w:pPr>
              <w:spacing w:after="20"/>
            </w:pPr>
            <w:r>
              <w:rPr>
                <w:rFonts w:ascii="Segoe UI" w:hAnsi="Segoe UI" w:cs="Segoe UI" w:eastAsia="Segoe UI"/>
                <w:color w:val="101820"/>
                <w:sz w:val="18"/>
              </w:rPr>
              <w:t>Possible personal data breach</w:t>
            </w:r>
          </w:p>
        </w:tc>
        <w:tc>
          <w:tcPr>
            <w:tcW w:type="dxa" w:w="1639"/>
          </w:tcPr>
          <w:p>
            <w:pPr>
              <w:spacing w:after="20"/>
            </w:pPr>
            <w:r>
              <w:rPr>
                <w:rFonts w:ascii="Segoe UI" w:hAnsi="Segoe UI" w:cs="Segoe UI" w:eastAsia="Segoe UI"/>
                <w:color w:val="101820"/>
                <w:sz w:val="18"/>
              </w:rPr>
              <w:t>iorta TechNXT</w:t>
            </w:r>
          </w:p>
        </w:tc>
        <w:tc>
          <w:tcPr>
            <w:tcW w:type="dxa" w:w="2458"/>
          </w:tcPr>
          <w:p>
            <w:pPr>
              <w:spacing w:after="20"/>
            </w:pPr>
            <w:r>
              <w:rPr>
                <w:rFonts w:ascii="Segoe UI" w:hAnsi="Segoe UI" w:cs="Segoe UI" w:eastAsia="Segoe UI"/>
                <w:color w:val="101820"/>
                <w:sz w:val="18"/>
              </w:rPr>
              <w:t>Broker DPO</w:t>
            </w:r>
          </w:p>
        </w:tc>
        <w:tc>
          <w:tcPr>
            <w:tcW w:type="dxa" w:w="2458"/>
          </w:tcPr>
          <w:p>
            <w:pPr>
              <w:spacing w:after="20"/>
            </w:pPr>
            <w:r>
              <w:rPr>
                <w:rFonts w:ascii="Segoe UI" w:hAnsi="Segoe UI" w:cs="Segoe UI" w:eastAsia="Segoe UI"/>
                <w:color w:val="101820"/>
                <w:sz w:val="18"/>
              </w:rPr>
              <w:t>Within [24] hours of discovery, written</w:t>
            </w:r>
          </w:p>
        </w:tc>
      </w:tr>
      <w:tr>
        <w:tc>
          <w:tcPr>
            <w:tcW w:type="dxa" w:w="2458"/>
          </w:tcPr>
          <w:p>
            <w:pPr>
              <w:spacing w:after="20"/>
            </w:pPr>
            <w:r>
              <w:rPr>
                <w:rFonts w:ascii="Segoe UI" w:hAnsi="Segoe UI" w:cs="Segoe UI" w:eastAsia="Segoe UI"/>
                <w:color w:val="101820"/>
                <w:sz w:val="18"/>
              </w:rPr>
              <w:t>Regulator notification, where required</w:t>
            </w:r>
          </w:p>
        </w:tc>
        <w:tc>
          <w:tcPr>
            <w:tcW w:type="dxa" w:w="1639"/>
          </w:tcPr>
          <w:p>
            <w:pPr>
              <w:spacing w:after="20"/>
            </w:pPr>
            <w:r>
              <w:rPr>
                <w:rFonts w:ascii="Segoe UI" w:hAnsi="Segoe UI" w:cs="Segoe UI" w:eastAsia="Segoe UI"/>
                <w:color w:val="101820"/>
                <w:sz w:val="18"/>
              </w:rPr>
              <w:t>Broker DPO or compliance officer</w:t>
            </w:r>
          </w:p>
        </w:tc>
        <w:tc>
          <w:tcPr>
            <w:tcW w:type="dxa" w:w="2458"/>
          </w:tcPr>
          <w:p>
            <w:pPr>
              <w:spacing w:after="20"/>
            </w:pPr>
            <w:r>
              <w:rPr>
                <w:rFonts w:ascii="Segoe UI" w:hAnsi="Segoe UI" w:cs="Segoe UI" w:eastAsia="Segoe UI"/>
                <w:color w:val="101820"/>
                <w:sz w:val="18"/>
              </w:rPr>
              <w:t>NPC; IC if the broker's compliance officer decides it is required</w:t>
            </w:r>
          </w:p>
        </w:tc>
        <w:tc>
          <w:tcPr>
            <w:tcW w:type="dxa" w:w="2458"/>
          </w:tcPr>
          <w:p>
            <w:pPr>
              <w:spacing w:after="20"/>
            </w:pPr>
            <w:r>
              <w:rPr>
                <w:rFonts w:ascii="Segoe UI" w:hAnsi="Segoe UI" w:cs="Segoe UI" w:eastAsia="Segoe UI"/>
                <w:color w:val="101820"/>
                <w:sz w:val="18"/>
              </w:rPr>
              <w:t>As the rules require</w:t>
            </w:r>
          </w:p>
        </w:tc>
      </w:tr>
      <w:tr>
        <w:tc>
          <w:tcPr>
            <w:tcW w:type="dxa" w:w="2458"/>
          </w:tcPr>
          <w:p>
            <w:pPr>
              <w:spacing w:after="20"/>
            </w:pPr>
            <w:r>
              <w:rPr>
                <w:rFonts w:ascii="Segoe UI" w:hAnsi="Segoe UI" w:cs="Segoe UI" w:eastAsia="Segoe UI"/>
                <w:color w:val="101820"/>
                <w:sz w:val="18"/>
              </w:rPr>
              <w:t>Recovery complete</w:t>
            </w:r>
          </w:p>
        </w:tc>
        <w:tc>
          <w:tcPr>
            <w:tcW w:type="dxa" w:w="1639"/>
          </w:tcPr>
          <w:p>
            <w:pPr>
              <w:spacing w:after="20"/>
            </w:pPr>
            <w:r>
              <w:rPr>
                <w:rFonts w:ascii="Segoe UI" w:hAnsi="Segoe UI" w:cs="Segoe UI" w:eastAsia="Segoe UI"/>
                <w:color w:val="101820"/>
                <w:sz w:val="18"/>
              </w:rPr>
              <w:t>Incident Manager</w:t>
            </w:r>
          </w:p>
        </w:tc>
        <w:tc>
          <w:tcPr>
            <w:tcW w:type="dxa" w:w="2458"/>
          </w:tcPr>
          <w:p>
            <w:pPr>
              <w:spacing w:after="20"/>
            </w:pPr>
            <w:r>
              <w:rPr>
                <w:rFonts w:ascii="Segoe UI" w:hAnsi="Segoe UI" w:cs="Segoe UI" w:eastAsia="Segoe UI"/>
                <w:color w:val="101820"/>
                <w:sz w:val="18"/>
              </w:rPr>
              <w:t>Broker IT head and System Administrator</w:t>
            </w:r>
          </w:p>
        </w:tc>
        <w:tc>
          <w:tcPr>
            <w:tcW w:type="dxa" w:w="2458"/>
          </w:tcPr>
          <w:p>
            <w:pPr>
              <w:spacing w:after="20"/>
            </w:pPr>
            <w:r>
              <w:rPr>
                <w:rFonts w:ascii="Segoe UI" w:hAnsi="Segoe UI" w:cs="Segoe UI" w:eastAsia="Segoe UI"/>
                <w:color w:val="101820"/>
                <w:sz w:val="18"/>
              </w:rPr>
              <w:t>E-mail with recovery point, data to re-enter and next steps</w:t>
            </w:r>
          </w:p>
        </w:tc>
      </w:tr>
      <w:tr>
        <w:tc>
          <w:tcPr>
            <w:tcW w:type="dxa" w:w="2458"/>
          </w:tcPr>
          <w:p>
            <w:pPr>
              <w:spacing w:after="20"/>
            </w:pPr>
            <w:r>
              <w:rPr>
                <w:rFonts w:ascii="Segoe UI" w:hAnsi="Segoe UI" w:cs="Segoe UI" w:eastAsia="Segoe UI"/>
                <w:color w:val="101820"/>
                <w:sz w:val="18"/>
              </w:rPr>
              <w:t>After the incident</w:t>
            </w:r>
          </w:p>
        </w:tc>
        <w:tc>
          <w:tcPr>
            <w:tcW w:type="dxa" w:w="1639"/>
          </w:tcPr>
          <w:p>
            <w:pPr>
              <w:spacing w:after="20"/>
            </w:pPr>
            <w:r>
              <w:rPr>
                <w:rFonts w:ascii="Segoe UI" w:hAnsi="Segoe UI" w:cs="Segoe UI" w:eastAsia="Segoe UI"/>
                <w:color w:val="101820"/>
                <w:sz w:val="18"/>
              </w:rPr>
              <w:t>iorta TechNXT</w:t>
            </w:r>
          </w:p>
        </w:tc>
        <w:tc>
          <w:tcPr>
            <w:tcW w:type="dxa" w:w="2458"/>
          </w:tcPr>
          <w:p>
            <w:pPr>
              <w:spacing w:after="20"/>
            </w:pPr>
            <w:r>
              <w:rPr>
                <w:rFonts w:ascii="Segoe UI" w:hAnsi="Segoe UI" w:cs="Segoe UI" w:eastAsia="Segoe UI"/>
                <w:color w:val="101820"/>
                <w:sz w:val="18"/>
              </w:rPr>
              <w:t>Broker</w:t>
            </w:r>
          </w:p>
        </w:tc>
        <w:tc>
          <w:tcPr>
            <w:tcW w:type="dxa" w:w="2458"/>
          </w:tcPr>
          <w:p>
            <w:pPr>
              <w:spacing w:after="20"/>
            </w:pPr>
            <w:r>
              <w:rPr>
                <w:rFonts w:ascii="Segoe UI" w:hAnsi="Segoe UI" w:cs="Segoe UI" w:eastAsia="Segoe UI"/>
                <w:color w:val="101820"/>
                <w:sz w:val="18"/>
              </w:rPr>
              <w:t>RCA draft within 5 business days</w:t>
            </w:r>
          </w:p>
        </w:tc>
      </w:tr>
    </w:tbl>
    <w:p>
      <w:pPr>
        <w:spacing w:after="80"/>
      </w:pPr>
    </w:p>
    <w:p>
      <w:pPr>
        <w:spacing w:after="120" w:line="276" w:lineRule="auto"/>
      </w:pPr>
      <w:r>
        <w:rPr>
          <w:rFonts w:ascii="Segoe UI" w:hAnsi="Segoe UI" w:cs="Segoe UI" w:eastAsia="Segoe UI"/>
          <w:color w:val="101820"/>
          <w:sz w:val="21"/>
        </w:rPr>
        <w:t>Contact list (to be completed for each broker and reviewed every six months):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629"/>
        <w:gridCol w:w="1462"/>
        <w:gridCol w:w="1462"/>
        <w:gridCol w:w="1462"/>
      </w:tblGrid>
      <w:tr>
        <w:trPr>
          <w:tblHeader w:val="true"/>
        </w:trPr>
        <w:tc>
          <w:tcPr>
            <w:tcW w:type="dxa" w:w="4629"/>
            <w:shd w:val="clear" w:color="auto" w:fill="DCE9F7"/>
          </w:tcPr>
          <w:p>
            <w:pPr>
              <w:spacing w:after="20"/>
            </w:pPr>
            <w:r>
              <w:rPr>
                <w:rFonts w:ascii="Segoe UI" w:hAnsi="Segoe UI" w:cs="Segoe UI" w:eastAsia="Segoe UI"/>
                <w:b/>
                <w:color w:val="0F4761"/>
                <w:sz w:val="18"/>
              </w:rPr>
              <w:t>Role</w:t>
            </w:r>
          </w:p>
        </w:tc>
        <w:tc>
          <w:tcPr>
            <w:tcW w:type="dxa" w:w="1462"/>
            <w:shd w:val="clear" w:color="auto" w:fill="DCE9F7"/>
          </w:tcPr>
          <w:p>
            <w:pPr>
              <w:spacing w:after="20"/>
            </w:pPr>
            <w:r>
              <w:rPr>
                <w:rFonts w:ascii="Segoe UI" w:hAnsi="Segoe UI" w:cs="Segoe UI" w:eastAsia="Segoe UI"/>
                <w:b/>
                <w:color w:val="0F4761"/>
                <w:sz w:val="18"/>
              </w:rPr>
              <w:t>Name</w:t>
            </w:r>
          </w:p>
        </w:tc>
        <w:tc>
          <w:tcPr>
            <w:tcW w:type="dxa" w:w="1462"/>
            <w:shd w:val="clear" w:color="auto" w:fill="DCE9F7"/>
          </w:tcPr>
          <w:p>
            <w:pPr>
              <w:spacing w:after="20"/>
            </w:pPr>
            <w:r>
              <w:rPr>
                <w:rFonts w:ascii="Segoe UI" w:hAnsi="Segoe UI" w:cs="Segoe UI" w:eastAsia="Segoe UI"/>
                <w:b/>
                <w:color w:val="0F4761"/>
                <w:sz w:val="18"/>
              </w:rPr>
              <w:t>Mobile</w:t>
            </w:r>
          </w:p>
        </w:tc>
        <w:tc>
          <w:tcPr>
            <w:tcW w:type="dxa" w:w="1462"/>
            <w:shd w:val="clear" w:color="auto" w:fill="DCE9F7"/>
          </w:tcPr>
          <w:p>
            <w:pPr>
              <w:spacing w:after="20"/>
            </w:pPr>
            <w:r>
              <w:rPr>
                <w:rFonts w:ascii="Segoe UI" w:hAnsi="Segoe UI" w:cs="Segoe UI" w:eastAsia="Segoe UI"/>
                <w:b/>
                <w:color w:val="0F4761"/>
                <w:sz w:val="18"/>
              </w:rPr>
              <w:t>E-mail</w:t>
            </w:r>
          </w:p>
        </w:tc>
      </w:tr>
      <w:tr>
        <w:tc>
          <w:tcPr>
            <w:tcW w:type="dxa" w:w="4629"/>
          </w:tcPr>
          <w:p>
            <w:pPr>
              <w:spacing w:after="20"/>
            </w:pPr>
            <w:r>
              <w:rPr>
                <w:rFonts w:ascii="Segoe UI" w:hAnsi="Segoe UI" w:cs="Segoe UI" w:eastAsia="Segoe UI"/>
                <w:color w:val="101820"/>
                <w:sz w:val="18"/>
              </w:rPr>
              <w:t>iorta TechNXT service desk (P1 line)</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iorta TechNXT Incident Manager</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iorta TechNXT DevOps lead</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Broker IT head</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Broker System Administrator and deputy</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Broker Accounting Manager</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Broker DPO</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r>
        <w:tc>
          <w:tcPr>
            <w:tcW w:type="dxa" w:w="4629"/>
          </w:tcPr>
          <w:p>
            <w:pPr>
              <w:spacing w:after="20"/>
            </w:pPr>
            <w:r>
              <w:rPr>
                <w:rFonts w:ascii="Segoe UI" w:hAnsi="Segoe UI" w:cs="Segoe UI" w:eastAsia="Segoe UI"/>
                <w:color w:val="101820"/>
                <w:sz w:val="18"/>
              </w:rPr>
              <w:t>Hosting provider or partner support</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c>
          <w:tcPr>
            <w:tcW w:type="dxa" w:w="1462"/>
          </w:tcPr>
          <w:p>
            <w:pPr>
              <w:spacing w:after="20"/>
            </w:pPr>
            <w:r>
              <w:rPr>
                <w:rFonts w:ascii="Segoe UI" w:hAnsi="Segoe UI" w:cs="Segoe UI" w:eastAsia="Segoe UI"/>
                <w:color w:val="101820"/>
                <w:sz w:val="18"/>
              </w:rPr>
              <w:t>[to confirm]</w:t>
            </w:r>
          </w:p>
        </w:tc>
      </w:tr>
    </w:tbl>
    <w:p>
      <w:pPr>
        <w:pStyle w:val="Heading1"/>
        <w:pageBreakBefore/>
      </w:pPr>
      <w:r>
        <w:rPr>
          <w:rFonts w:ascii="Segoe UI" w:hAnsi="Segoe UI" w:cs="Segoe UI" w:eastAsia="Segoe UI"/>
          <w:b/>
          <w:color w:val="0F4761"/>
          <w:sz w:val="32"/>
        </w:rPr>
        <w:t>12.  DR drills and evidence</w:t>
      </w:r>
    </w:p>
    <w:p>
      <w:pPr>
        <w:pStyle w:val="Heading2"/>
      </w:pPr>
      <w:r>
        <w:rPr>
          <w:rFonts w:ascii="Segoe UI" w:hAnsi="Segoe UI" w:cs="Segoe UI" w:eastAsia="Segoe UI"/>
          <w:b/>
          <w:color w:val="0F4761"/>
          <w:sz w:val="26"/>
        </w:rPr>
        <w:t>12.1  Drill calendar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Test</w:t>
            </w:r>
          </w:p>
        </w:tc>
        <w:tc>
          <w:tcPr>
            <w:tcW w:type="dxa" w:w="3005"/>
            <w:shd w:val="clear" w:color="auto" w:fill="DCE9F7"/>
          </w:tcPr>
          <w:p>
            <w:pPr>
              <w:spacing w:after="20"/>
            </w:pPr>
            <w:r>
              <w:rPr>
                <w:rFonts w:ascii="Segoe UI" w:hAnsi="Segoe UI" w:cs="Segoe UI" w:eastAsia="Segoe UI"/>
                <w:b/>
                <w:color w:val="0F4761"/>
                <w:sz w:val="18"/>
              </w:rPr>
              <w:t>Frequency</w:t>
            </w:r>
          </w:p>
        </w:tc>
        <w:tc>
          <w:tcPr>
            <w:tcW w:type="dxa" w:w="3005"/>
            <w:shd w:val="clear" w:color="auto" w:fill="DCE9F7"/>
          </w:tcPr>
          <w:p>
            <w:pPr>
              <w:spacing w:after="20"/>
            </w:pPr>
            <w:r>
              <w:rPr>
                <w:rFonts w:ascii="Segoe UI" w:hAnsi="Segoe UI" w:cs="Segoe UI" w:eastAsia="Segoe UI"/>
                <w:b/>
                <w:color w:val="0F4761"/>
                <w:sz w:val="18"/>
              </w:rPr>
              <w:t>Success criteria</w:t>
            </w:r>
          </w:p>
        </w:tc>
      </w:tr>
      <w:tr>
        <w:tc>
          <w:tcPr>
            <w:tcW w:type="dxa" w:w="3005"/>
          </w:tcPr>
          <w:p>
            <w:pPr>
              <w:spacing w:after="20"/>
            </w:pPr>
            <w:r>
              <w:rPr>
                <w:rFonts w:ascii="Segoe UI" w:hAnsi="Segoe UI" w:cs="Segoe UI" w:eastAsia="Segoe UI"/>
                <w:color w:val="101820"/>
                <w:sz w:val="18"/>
              </w:rPr>
              <w:t>Backup jobs succeeded; latest restorable time within 15 minutes</w:t>
            </w:r>
          </w:p>
        </w:tc>
        <w:tc>
          <w:tcPr>
            <w:tcW w:type="dxa" w:w="3005"/>
          </w:tcPr>
          <w:p>
            <w:pPr>
              <w:spacing w:after="20"/>
            </w:pPr>
            <w:r>
              <w:rPr>
                <w:rFonts w:ascii="Segoe UI" w:hAnsi="Segoe UI" w:cs="Segoe UI" w:eastAsia="Segoe UI"/>
                <w:color w:val="101820"/>
                <w:sz w:val="18"/>
              </w:rPr>
              <w:t>Daily</w:t>
            </w:r>
          </w:p>
        </w:tc>
        <w:tc>
          <w:tcPr>
            <w:tcW w:type="dxa" w:w="3005"/>
          </w:tcPr>
          <w:p>
            <w:pPr>
              <w:spacing w:after="20"/>
            </w:pPr>
            <w:r>
              <w:rPr>
                <w:rFonts w:ascii="Segoe UI" w:hAnsi="Segoe UI" w:cs="Segoe UI" w:eastAsia="Segoe UI"/>
                <w:color w:val="101820"/>
                <w:sz w:val="18"/>
              </w:rPr>
              <w:t>Recorded in the daily health check</w:t>
            </w:r>
          </w:p>
        </w:tc>
      </w:tr>
      <w:tr>
        <w:tc>
          <w:tcPr>
            <w:tcW w:type="dxa" w:w="3005"/>
          </w:tcPr>
          <w:p>
            <w:pPr>
              <w:spacing w:after="20"/>
            </w:pPr>
            <w:r>
              <w:rPr>
                <w:rFonts w:ascii="Segoe UI" w:hAnsi="Segoe UI" w:cs="Segoe UI" w:eastAsia="Segoe UI"/>
                <w:color w:val="101820"/>
                <w:sz w:val="18"/>
              </w:rPr>
              <w:t>PITR to a new instance, API started against it in isolation, smoke test</w:t>
            </w:r>
          </w:p>
        </w:tc>
        <w:tc>
          <w:tcPr>
            <w:tcW w:type="dxa" w:w="3005"/>
          </w:tcPr>
          <w:p>
            <w:pPr>
              <w:spacing w:after="20"/>
            </w:pPr>
            <w:r>
              <w:rPr>
                <w:rFonts w:ascii="Segoe UI" w:hAnsi="Segoe UI" w:cs="Segoe UI" w:eastAsia="Segoe UI"/>
                <w:color w:val="101820"/>
                <w:sz w:val="18"/>
              </w:rPr>
              <w:t>Quarterly and before go-live</w:t>
            </w:r>
          </w:p>
        </w:tc>
        <w:tc>
          <w:tcPr>
            <w:tcW w:type="dxa" w:w="3005"/>
          </w:tcPr>
          <w:p>
            <w:pPr>
              <w:spacing w:after="20"/>
            </w:pPr>
            <w:r>
              <w:rPr>
                <w:rFonts w:ascii="Segoe UI" w:hAnsi="Segoe UI" w:cs="Segoe UI" w:eastAsia="Segoe UI"/>
                <w:color w:val="101820"/>
                <w:sz w:val="18"/>
              </w:rPr>
              <w:t>Restore completed within 4 hours; smoke test passed</w:t>
            </w:r>
          </w:p>
        </w:tc>
      </w:tr>
      <w:tr>
        <w:tc>
          <w:tcPr>
            <w:tcW w:type="dxa" w:w="3005"/>
          </w:tcPr>
          <w:p>
            <w:pPr>
              <w:spacing w:after="20"/>
            </w:pPr>
            <w:r>
              <w:rPr>
                <w:rFonts w:ascii="Segoe UI" w:hAnsi="Segoe UI" w:cs="Segoe UI" w:eastAsia="Segoe UI"/>
                <w:color w:val="101820"/>
                <w:sz w:val="18"/>
              </w:rPr>
              <w:t>File restore with a sample of documents</w:t>
            </w:r>
          </w:p>
        </w:tc>
        <w:tc>
          <w:tcPr>
            <w:tcW w:type="dxa" w:w="3005"/>
          </w:tcPr>
          <w:p>
            <w:pPr>
              <w:spacing w:after="20"/>
            </w:pPr>
            <w:r>
              <w:rPr>
                <w:rFonts w:ascii="Segoe UI" w:hAnsi="Segoe UI" w:cs="Segoe UI" w:eastAsia="Segoe UI"/>
                <w:color w:val="101820"/>
                <w:sz w:val="18"/>
              </w:rPr>
              <w:t>Quarterly</w:t>
            </w:r>
          </w:p>
        </w:tc>
        <w:tc>
          <w:tcPr>
            <w:tcW w:type="dxa" w:w="3005"/>
          </w:tcPr>
          <w:p>
            <w:pPr>
              <w:spacing w:after="20"/>
            </w:pPr>
            <w:r>
              <w:rPr>
                <w:rFonts w:ascii="Segoe UI" w:hAnsi="Segoe UI" w:cs="Segoe UI" w:eastAsia="Segoe UI"/>
                <w:color w:val="101820"/>
                <w:sz w:val="18"/>
              </w:rPr>
              <w:t>Sample opens</w:t>
            </w:r>
          </w:p>
        </w:tc>
      </w:tr>
      <w:tr>
        <w:tc>
          <w:tcPr>
            <w:tcW w:type="dxa" w:w="3005"/>
          </w:tcPr>
          <w:p>
            <w:pPr>
              <w:spacing w:after="20"/>
            </w:pPr>
            <w:r>
              <w:rPr>
                <w:rFonts w:ascii="Segoe UI" w:hAnsi="Segoe UI" w:cs="Segoe UI" w:eastAsia="Segoe UI"/>
                <w:color w:val="101820"/>
                <w:sz w:val="18"/>
              </w:rPr>
              <w:t>Logical dump restore into a clean PostgreSQL 16, row counts compared</w:t>
            </w:r>
          </w:p>
        </w:tc>
        <w:tc>
          <w:tcPr>
            <w:tcW w:type="dxa" w:w="3005"/>
          </w:tcPr>
          <w:p>
            <w:pPr>
              <w:spacing w:after="20"/>
            </w:pPr>
            <w:r>
              <w:rPr>
                <w:rFonts w:ascii="Segoe UI" w:hAnsi="Segoe UI" w:cs="Segoe UI" w:eastAsia="Segoe UI"/>
                <w:color w:val="101820"/>
                <w:sz w:val="18"/>
              </w:rPr>
              <w:t>Twice a year</w:t>
            </w:r>
          </w:p>
        </w:tc>
        <w:tc>
          <w:tcPr>
            <w:tcW w:type="dxa" w:w="3005"/>
          </w:tcPr>
          <w:p>
            <w:pPr>
              <w:spacing w:after="20"/>
            </w:pPr>
            <w:r>
              <w:rPr>
                <w:rFonts w:ascii="Segoe UI" w:hAnsi="Segoe UI" w:cs="Segoe UI" w:eastAsia="Segoe UI"/>
                <w:color w:val="101820"/>
                <w:sz w:val="18"/>
              </w:rPr>
              <w:t>Counts equal</w:t>
            </w:r>
          </w:p>
        </w:tc>
      </w:tr>
      <w:tr>
        <w:tc>
          <w:tcPr>
            <w:tcW w:type="dxa" w:w="3005"/>
          </w:tcPr>
          <w:p>
            <w:pPr>
              <w:spacing w:after="20"/>
            </w:pPr>
            <w:r>
              <w:rPr>
                <w:rFonts w:ascii="Segoe UI" w:hAnsi="Segoe UI" w:cs="Segoe UI" w:eastAsia="Segoe UI"/>
                <w:color w:val="101820"/>
                <w:sz w:val="18"/>
              </w:rPr>
              <w:t>Secret escrow check under dual control</w:t>
            </w:r>
          </w:p>
        </w:tc>
        <w:tc>
          <w:tcPr>
            <w:tcW w:type="dxa" w:w="3005"/>
          </w:tcPr>
          <w:p>
            <w:pPr>
              <w:spacing w:after="20"/>
            </w:pPr>
            <w:r>
              <w:rPr>
                <w:rFonts w:ascii="Segoe UI" w:hAnsi="Segoe UI" w:cs="Segoe UI" w:eastAsia="Segoe UI"/>
                <w:color w:val="101820"/>
                <w:sz w:val="18"/>
              </w:rPr>
              <w:t>Yearly</w:t>
            </w:r>
          </w:p>
        </w:tc>
        <w:tc>
          <w:tcPr>
            <w:tcW w:type="dxa" w:w="3005"/>
          </w:tcPr>
          <w:p>
            <w:pPr>
              <w:spacing w:after="20"/>
            </w:pPr>
            <w:r>
              <w:rPr>
                <w:rFonts w:ascii="Segoe UI" w:hAnsi="Segoe UI" w:cs="Segoe UI" w:eastAsia="Segoe UI"/>
                <w:color w:val="101820"/>
                <w:sz w:val="18"/>
              </w:rPr>
              <w:t>Escrow key matches the live key (compared by hash, not by reading it out)</w:t>
            </w:r>
          </w:p>
        </w:tc>
      </w:tr>
      <w:tr>
        <w:tc>
          <w:tcPr>
            <w:tcW w:type="dxa" w:w="3005"/>
          </w:tcPr>
          <w:p>
            <w:pPr>
              <w:spacing w:after="20"/>
            </w:pPr>
            <w:r>
              <w:rPr>
                <w:rFonts w:ascii="Segoe UI" w:hAnsi="Segoe UI" w:cs="Segoe UI" w:eastAsia="Segoe UI"/>
                <w:color w:val="101820"/>
                <w:sz w:val="18"/>
              </w:rPr>
              <w:t>Tabletop exercise of a region loss and of ransomware with the broker</w:t>
            </w:r>
          </w:p>
        </w:tc>
        <w:tc>
          <w:tcPr>
            <w:tcW w:type="dxa" w:w="3005"/>
          </w:tcPr>
          <w:p>
            <w:pPr>
              <w:spacing w:after="20"/>
            </w:pPr>
            <w:r>
              <w:rPr>
                <w:rFonts w:ascii="Segoe UI" w:hAnsi="Segoe UI" w:cs="Segoe UI" w:eastAsia="Segoe UI"/>
                <w:color w:val="101820"/>
                <w:sz w:val="18"/>
              </w:rPr>
              <w:t>Yearly</w:t>
            </w:r>
          </w:p>
        </w:tc>
        <w:tc>
          <w:tcPr>
            <w:tcW w:type="dxa" w:w="3005"/>
          </w:tcPr>
          <w:p>
            <w:pPr>
              <w:spacing w:after="20"/>
            </w:pPr>
            <w:r>
              <w:rPr>
                <w:rFonts w:ascii="Segoe UI" w:hAnsi="Segoe UI" w:cs="Segoe UI" w:eastAsia="Segoe UI"/>
                <w:color w:val="101820"/>
                <w:sz w:val="18"/>
              </w:rPr>
              <w:t>Roles, contacts and decision points confirmed; actions logged</w:t>
            </w:r>
          </w:p>
        </w:tc>
      </w:tr>
      <w:tr>
        <w:tc>
          <w:tcPr>
            <w:tcW w:type="dxa" w:w="3005"/>
          </w:tcPr>
          <w:p>
            <w:pPr>
              <w:spacing w:after="20"/>
            </w:pPr>
            <w:r>
              <w:rPr>
                <w:rFonts w:ascii="Segoe UI" w:hAnsi="Segoe UI" w:cs="Segoe UI" w:eastAsia="Segoe UI"/>
                <w:color w:val="101820"/>
                <w:sz w:val="18"/>
              </w:rPr>
              <w:t>Full recovery in the recovery region or site</w:t>
            </w:r>
          </w:p>
        </w:tc>
        <w:tc>
          <w:tcPr>
            <w:tcW w:type="dxa" w:w="3005"/>
          </w:tcPr>
          <w:p>
            <w:pPr>
              <w:spacing w:after="20"/>
            </w:pPr>
            <w:r>
              <w:rPr>
                <w:rFonts w:ascii="Segoe UI" w:hAnsi="Segoe UI" w:cs="Segoe UI" w:eastAsia="Segoe UI"/>
                <w:color w:val="101820"/>
                <w:sz w:val="18"/>
              </w:rPr>
              <w:t>Every two years (where a DR option is in the Order Form)</w:t>
            </w:r>
          </w:p>
        </w:tc>
        <w:tc>
          <w:tcPr>
            <w:tcW w:type="dxa" w:w="3005"/>
          </w:tcPr>
          <w:p>
            <w:pPr>
              <w:spacing w:after="20"/>
            </w:pPr>
            <w:r>
              <w:rPr>
                <w:rFonts w:ascii="Segoe UI" w:hAnsi="Segoe UI" w:cs="Segoe UI" w:eastAsia="Segoe UI"/>
                <w:color w:val="101820"/>
                <w:sz w:val="18"/>
              </w:rPr>
              <w:t>Achieved RTO and RPO recorded against the objectives</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Hold the first tabletop before go-live, in the cutover rehearsal week, so the contact list and the decision thresholds are agreed before they are needed.</w:t>
      </w:r>
    </w:p>
    <w:p>
      <w:pPr>
        <w:pStyle w:val="Heading2"/>
      </w:pPr>
      <w:r>
        <w:rPr>
          <w:rFonts w:ascii="Segoe UI" w:hAnsi="Segoe UI" w:cs="Segoe UI" w:eastAsia="Segoe UI"/>
          <w:b/>
          <w:color w:val="0F4761"/>
          <w:sz w:val="26"/>
        </w:rPr>
        <w:t>12.2  Evidence kept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56"/>
        <w:gridCol w:w="3168"/>
        <w:gridCol w:w="2967"/>
        <w:gridCol w:w="1423"/>
      </w:tblGrid>
      <w:tr>
        <w:trPr>
          <w:tblHeader w:val="true"/>
        </w:trPr>
        <w:tc>
          <w:tcPr>
            <w:tcW w:type="dxa" w:w="1456"/>
            <w:shd w:val="clear" w:color="auto" w:fill="DCE9F7"/>
          </w:tcPr>
          <w:p>
            <w:pPr>
              <w:spacing w:after="20"/>
            </w:pPr>
            <w:r>
              <w:rPr>
                <w:rFonts w:ascii="Segoe UI" w:hAnsi="Segoe UI" w:cs="Segoe UI" w:eastAsia="Segoe UI"/>
                <w:b/>
                <w:color w:val="0F4761"/>
                <w:sz w:val="18"/>
              </w:rPr>
              <w:t>Evidence</w:t>
            </w:r>
          </w:p>
        </w:tc>
        <w:tc>
          <w:tcPr>
            <w:tcW w:type="dxa" w:w="3168"/>
            <w:shd w:val="clear" w:color="auto" w:fill="DCE9F7"/>
          </w:tcPr>
          <w:p>
            <w:pPr>
              <w:spacing w:after="20"/>
            </w:pPr>
            <w:r>
              <w:rPr>
                <w:rFonts w:ascii="Segoe UI" w:hAnsi="Segoe UI" w:cs="Segoe UI" w:eastAsia="Segoe UI"/>
                <w:b/>
                <w:color w:val="0F4761"/>
                <w:sz w:val="18"/>
              </w:rPr>
              <w:t>Content</w:t>
            </w:r>
          </w:p>
        </w:tc>
        <w:tc>
          <w:tcPr>
            <w:tcW w:type="dxa" w:w="2967"/>
            <w:shd w:val="clear" w:color="auto" w:fill="DCE9F7"/>
          </w:tcPr>
          <w:p>
            <w:pPr>
              <w:spacing w:after="20"/>
            </w:pPr>
            <w:r>
              <w:rPr>
                <w:rFonts w:ascii="Segoe UI" w:hAnsi="Segoe UI" w:cs="Segoe UI" w:eastAsia="Segoe UI"/>
                <w:b/>
                <w:color w:val="0F4761"/>
                <w:sz w:val="18"/>
              </w:rPr>
              <w:t>Kept by</w:t>
            </w:r>
          </w:p>
        </w:tc>
        <w:tc>
          <w:tcPr>
            <w:tcW w:type="dxa" w:w="1423"/>
            <w:shd w:val="clear" w:color="auto" w:fill="DCE9F7"/>
          </w:tcPr>
          <w:p>
            <w:pPr>
              <w:spacing w:after="20"/>
            </w:pPr>
            <w:r>
              <w:rPr>
                <w:rFonts w:ascii="Segoe UI" w:hAnsi="Segoe UI" w:cs="Segoe UI" w:eastAsia="Segoe UI"/>
                <w:b/>
                <w:color w:val="0F4761"/>
                <w:sz w:val="18"/>
              </w:rPr>
              <w:t>Retention</w:t>
            </w:r>
          </w:p>
        </w:tc>
      </w:tr>
      <w:tr>
        <w:tc>
          <w:tcPr>
            <w:tcW w:type="dxa" w:w="1456"/>
          </w:tcPr>
          <w:p>
            <w:pPr>
              <w:spacing w:after="20"/>
            </w:pPr>
            <w:r>
              <w:rPr>
                <w:rFonts w:ascii="Segoe UI" w:hAnsi="Segoe UI" w:cs="Segoe UI" w:eastAsia="Segoe UI"/>
                <w:color w:val="101820"/>
                <w:sz w:val="18"/>
              </w:rPr>
              <w:t>Restore test record</w:t>
            </w:r>
          </w:p>
        </w:tc>
        <w:tc>
          <w:tcPr>
            <w:tcW w:type="dxa" w:w="3168"/>
          </w:tcPr>
          <w:p>
            <w:pPr>
              <w:spacing w:after="20"/>
            </w:pPr>
            <w:r>
              <w:rPr>
                <w:rFonts w:ascii="Segoe UI" w:hAnsi="Segoe UI" w:cs="Segoe UI" w:eastAsia="Segoe UI"/>
                <w:color w:val="101820"/>
                <w:sz w:val="18"/>
              </w:rPr>
              <w:t>Date, operator, backup used, recovery point, start and end times, achieved RTO and RPO, checks run, issues</w:t>
            </w:r>
          </w:p>
        </w:tc>
        <w:tc>
          <w:tcPr>
            <w:tcW w:type="dxa" w:w="2967"/>
          </w:tcPr>
          <w:p>
            <w:pPr>
              <w:spacing w:after="20"/>
            </w:pPr>
            <w:r>
              <w:rPr>
                <w:rFonts w:ascii="Segoe UI" w:hAnsi="Segoe UI" w:cs="Segoe UI" w:eastAsia="Segoe UI"/>
                <w:color w:val="101820"/>
                <w:sz w:val="18"/>
              </w:rPr>
              <w:t>iorta TechNXT DevOps; copy to the broker</w:t>
            </w:r>
          </w:p>
        </w:tc>
        <w:tc>
          <w:tcPr>
            <w:tcW w:type="dxa" w:w="1423"/>
          </w:tcPr>
          <w:p>
            <w:pPr>
              <w:spacing w:after="20"/>
            </w:pPr>
            <w:r>
              <w:rPr>
                <w:rFonts w:ascii="Segoe UI" w:hAnsi="Segoe UI" w:cs="Segoe UI" w:eastAsia="Segoe UI"/>
                <w:color w:val="101820"/>
                <w:sz w:val="18"/>
              </w:rPr>
              <w:t>3 years (recommended)</w:t>
            </w:r>
          </w:p>
        </w:tc>
      </w:tr>
      <w:tr>
        <w:tc>
          <w:tcPr>
            <w:tcW w:type="dxa" w:w="1456"/>
          </w:tcPr>
          <w:p>
            <w:pPr>
              <w:spacing w:after="20"/>
            </w:pPr>
            <w:r>
              <w:rPr>
                <w:rFonts w:ascii="Segoe UI" w:hAnsi="Segoe UI" w:cs="Segoe UI" w:eastAsia="Segoe UI"/>
                <w:color w:val="101820"/>
                <w:sz w:val="18"/>
              </w:rPr>
              <w:t>Tabletop minutes</w:t>
            </w:r>
          </w:p>
        </w:tc>
        <w:tc>
          <w:tcPr>
            <w:tcW w:type="dxa" w:w="3168"/>
          </w:tcPr>
          <w:p>
            <w:pPr>
              <w:spacing w:after="20"/>
            </w:pPr>
            <w:r>
              <w:rPr>
                <w:rFonts w:ascii="Segoe UI" w:hAnsi="Segoe UI" w:cs="Segoe UI" w:eastAsia="Segoe UI"/>
                <w:color w:val="101820"/>
                <w:sz w:val="18"/>
              </w:rPr>
              <w:t>Scenario, participants, decisions, gaps, actions with owners and dates</w:t>
            </w:r>
          </w:p>
        </w:tc>
        <w:tc>
          <w:tcPr>
            <w:tcW w:type="dxa" w:w="2967"/>
          </w:tcPr>
          <w:p>
            <w:pPr>
              <w:spacing w:after="20"/>
            </w:pPr>
            <w:r>
              <w:rPr>
                <w:rFonts w:ascii="Segoe UI" w:hAnsi="Segoe UI" w:cs="Segoe UI" w:eastAsia="Segoe UI"/>
                <w:color w:val="101820"/>
                <w:sz w:val="18"/>
              </w:rPr>
              <w:t>iorta TechNXT support manager</w:t>
            </w:r>
          </w:p>
        </w:tc>
        <w:tc>
          <w:tcPr>
            <w:tcW w:type="dxa" w:w="1423"/>
          </w:tcPr>
          <w:p>
            <w:pPr>
              <w:spacing w:after="20"/>
            </w:pPr>
            <w:r>
              <w:rPr>
                <w:rFonts w:ascii="Segoe UI" w:hAnsi="Segoe UI" w:cs="Segoe UI" w:eastAsia="Segoe UI"/>
                <w:color w:val="101820"/>
                <w:sz w:val="18"/>
              </w:rPr>
              <w:t>3 years</w:t>
            </w:r>
          </w:p>
        </w:tc>
      </w:tr>
      <w:tr>
        <w:tc>
          <w:tcPr>
            <w:tcW w:type="dxa" w:w="1456"/>
          </w:tcPr>
          <w:p>
            <w:pPr>
              <w:spacing w:after="20"/>
            </w:pPr>
            <w:r>
              <w:rPr>
                <w:rFonts w:ascii="Segoe UI" w:hAnsi="Segoe UI" w:cs="Segoe UI" w:eastAsia="Segoe UI"/>
                <w:color w:val="101820"/>
                <w:sz w:val="18"/>
              </w:rPr>
              <w:t>DR exercise report</w:t>
            </w:r>
          </w:p>
        </w:tc>
        <w:tc>
          <w:tcPr>
            <w:tcW w:type="dxa" w:w="3168"/>
          </w:tcPr>
          <w:p>
            <w:pPr>
              <w:spacing w:after="20"/>
            </w:pPr>
            <w:r>
              <w:rPr>
                <w:rFonts w:ascii="Segoe UI" w:hAnsi="Segoe UI" w:cs="Segoe UI" w:eastAsia="Segoe UI"/>
                <w:color w:val="101820"/>
                <w:sz w:val="18"/>
              </w:rPr>
              <w:t>Timeline, achieved objectives, deviations, lessons, plan updates</w:t>
            </w:r>
          </w:p>
        </w:tc>
        <w:tc>
          <w:tcPr>
            <w:tcW w:type="dxa" w:w="2967"/>
          </w:tcPr>
          <w:p>
            <w:pPr>
              <w:spacing w:after="20"/>
            </w:pPr>
            <w:r>
              <w:rPr>
                <w:rFonts w:ascii="Segoe UI" w:hAnsi="Segoe UI" w:cs="Segoe UI" w:eastAsia="Segoe UI"/>
                <w:color w:val="101820"/>
                <w:sz w:val="18"/>
              </w:rPr>
              <w:t>iorta TechNXT; signed by the broker's IT head</w:t>
            </w:r>
          </w:p>
        </w:tc>
        <w:tc>
          <w:tcPr>
            <w:tcW w:type="dxa" w:w="1423"/>
          </w:tcPr>
          <w:p>
            <w:pPr>
              <w:spacing w:after="20"/>
            </w:pPr>
            <w:r>
              <w:rPr>
                <w:rFonts w:ascii="Segoe UI" w:hAnsi="Segoe UI" w:cs="Segoe UI" w:eastAsia="Segoe UI"/>
                <w:color w:val="101820"/>
                <w:sz w:val="18"/>
              </w:rPr>
              <w:t>3 years</w:t>
            </w:r>
          </w:p>
        </w:tc>
      </w:tr>
      <w:tr>
        <w:tc>
          <w:tcPr>
            <w:tcW w:type="dxa" w:w="1456"/>
          </w:tcPr>
          <w:p>
            <w:pPr>
              <w:spacing w:after="20"/>
            </w:pPr>
            <w:r>
              <w:rPr>
                <w:rFonts w:ascii="Segoe UI" w:hAnsi="Segoe UI" w:cs="Segoe UI" w:eastAsia="Segoe UI"/>
                <w:color w:val="101820"/>
                <w:sz w:val="18"/>
              </w:rPr>
              <w:t>Escrow register</w:t>
            </w:r>
          </w:p>
        </w:tc>
        <w:tc>
          <w:tcPr>
            <w:tcW w:type="dxa" w:w="3168"/>
          </w:tcPr>
          <w:p>
            <w:pPr>
              <w:spacing w:after="20"/>
            </w:pPr>
            <w:r>
              <w:rPr>
                <w:rFonts w:ascii="Segoe UI" w:hAnsi="Segoe UI" w:cs="Segoe UI" w:eastAsia="Segoe UI"/>
                <w:color w:val="101820"/>
                <w:sz w:val="18"/>
              </w:rPr>
              <w:t>Holders, envelope or vault reference, dates opened and resealed</w:t>
            </w:r>
          </w:p>
        </w:tc>
        <w:tc>
          <w:tcPr>
            <w:tcW w:type="dxa" w:w="2967"/>
          </w:tcPr>
          <w:p>
            <w:pPr>
              <w:spacing w:after="20"/>
            </w:pPr>
            <w:r>
              <w:rPr>
                <w:rFonts w:ascii="Segoe UI" w:hAnsi="Segoe UI" w:cs="Segoe UI" w:eastAsia="Segoe UI"/>
                <w:color w:val="101820"/>
                <w:sz w:val="18"/>
              </w:rPr>
              <w:t>Broker and iorta TechNXT jointly</w:t>
            </w:r>
          </w:p>
        </w:tc>
        <w:tc>
          <w:tcPr>
            <w:tcW w:type="dxa" w:w="1423"/>
          </w:tcPr>
          <w:p>
            <w:pPr>
              <w:spacing w:after="20"/>
            </w:pPr>
            <w:r>
              <w:rPr>
                <w:rFonts w:ascii="Segoe UI" w:hAnsi="Segoe UI" w:cs="Segoe UI" w:eastAsia="Segoe UI"/>
                <w:color w:val="101820"/>
                <w:sz w:val="18"/>
              </w:rPr>
              <w:t>Life of the contract</w:t>
            </w:r>
          </w:p>
        </w:tc>
      </w:tr>
      <w:tr>
        <w:tc>
          <w:tcPr>
            <w:tcW w:type="dxa" w:w="1456"/>
          </w:tcPr>
          <w:p>
            <w:pPr>
              <w:spacing w:after="20"/>
            </w:pPr>
            <w:r>
              <w:rPr>
                <w:rFonts w:ascii="Segoe UI" w:hAnsi="Segoe UI" w:cs="Segoe UI" w:eastAsia="Segoe UI"/>
                <w:color w:val="101820"/>
                <w:sz w:val="18"/>
              </w:rPr>
              <w:t>Monthly service report</w:t>
            </w:r>
          </w:p>
        </w:tc>
        <w:tc>
          <w:tcPr>
            <w:tcW w:type="dxa" w:w="3168"/>
          </w:tcPr>
          <w:p>
            <w:pPr>
              <w:spacing w:after="20"/>
            </w:pPr>
            <w:r>
              <w:rPr>
                <w:rFonts w:ascii="Segoe UI" w:hAnsi="Segoe UI" w:cs="Segoe UI" w:eastAsia="Segoe UI"/>
                <w:color w:val="101820"/>
                <w:sz w:val="18"/>
              </w:rPr>
              <w:t>Backup status and test results of the month</w:t>
            </w:r>
          </w:p>
        </w:tc>
        <w:tc>
          <w:tcPr>
            <w:tcW w:type="dxa" w:w="2967"/>
          </w:tcPr>
          <w:p>
            <w:pPr>
              <w:spacing w:after="20"/>
            </w:pPr>
            <w:r>
              <w:rPr>
                <w:rFonts w:ascii="Segoe UI" w:hAnsi="Segoe UI" w:cs="Segoe UI" w:eastAsia="Segoe UI"/>
                <w:color w:val="101820"/>
                <w:sz w:val="18"/>
              </w:rPr>
              <w:t>Both</w:t>
            </w:r>
          </w:p>
        </w:tc>
        <w:tc>
          <w:tcPr>
            <w:tcW w:type="dxa" w:w="1423"/>
          </w:tcPr>
          <w:p>
            <w:pPr>
              <w:spacing w:after="20"/>
            </w:pPr>
            <w:r>
              <w:rPr>
                <w:rFonts w:ascii="Segoe UI" w:hAnsi="Segoe UI" w:cs="Segoe UI" w:eastAsia="Segoe UI"/>
                <w:color w:val="101820"/>
                <w:sz w:val="18"/>
              </w:rPr>
              <w:t>Life of the contract</w:t>
            </w:r>
          </w:p>
        </w:tc>
      </w:tr>
    </w:tbl>
    <w:p>
      <w:pPr>
        <w:spacing w:after="80"/>
      </w:pPr>
    </w:p>
    <w:p>
      <w:pPr>
        <w:spacing w:after="120" w:line="276" w:lineRule="auto"/>
      </w:pPr>
      <w:r>
        <w:rPr>
          <w:rFonts w:ascii="Segoe UI" w:hAnsi="Segoe UI" w:cs="Segoe UI" w:eastAsia="Segoe UI"/>
          <w:color w:val="101820"/>
          <w:sz w:val="21"/>
        </w:rPr>
        <w:t>A failed test is raised as a P2 incident and fixed before the next scheduled test. Results are available to the broker's auditors and, on request, to regulators.</w:t>
      </w:r>
    </w:p>
    <w:p>
      <w:pPr>
        <w:pStyle w:val="Heading1"/>
        <w:pageBreakBefore/>
      </w:pPr>
      <w:r>
        <w:rPr>
          <w:rFonts w:ascii="Segoe UI" w:hAnsi="Segoe UI" w:cs="Segoe UI" w:eastAsia="Segoe UI"/>
          <w:b/>
          <w:color w:val="0F4761"/>
          <w:sz w:val="32"/>
        </w:rPr>
        <w:t>13.  Maintaining this plan</w:t>
      </w:r>
    </w:p>
    <w:p>
      <w:pPr>
        <w:spacing w:after="60"/>
        <w:numPr>
          <w:ilvl w:val="0"/>
          <w:numId w:val="3"/>
        </w:numPr>
      </w:pPr>
      <w:r>
        <w:rPr>
          <w:rFonts w:ascii="Segoe UI" w:hAnsi="Segoe UI" w:cs="Segoe UI" w:eastAsia="Segoe UI"/>
          <w:color w:val="101820"/>
          <w:sz w:val="21"/>
        </w:rPr>
        <w:t>Reviewed yearly, after each DR exercise, after any P1 that needed a restore, and when the hosting option, topology or contacts change.</w:t>
      </w:r>
    </w:p>
    <w:p>
      <w:pPr>
        <w:spacing w:after="60"/>
        <w:numPr>
          <w:ilvl w:val="0"/>
          <w:numId w:val="3"/>
        </w:numPr>
      </w:pPr>
      <w:r>
        <w:rPr>
          <w:rFonts w:ascii="Segoe UI" w:hAnsi="Segoe UI" w:cs="Segoe UI" w:eastAsia="Segoe UI"/>
          <w:color w:val="101820"/>
          <w:sz w:val="21"/>
        </w:rPr>
        <w:t>Changes are approved by the broker's IT head and the iorta TechNXT support manager and recorded in the document control table.</w:t>
      </w:r>
    </w:p>
    <w:p>
      <w:pPr>
        <w:spacing w:after="60"/>
        <w:numPr>
          <w:ilvl w:val="0"/>
          <w:numId w:val="3"/>
        </w:numPr>
      </w:pPr>
      <w:r>
        <w:rPr>
          <w:rFonts w:ascii="Segoe UI" w:hAnsi="Segoe UI" w:cs="Segoe UI" w:eastAsia="Segoe UI"/>
          <w:color w:val="101820"/>
          <w:sz w:val="21"/>
        </w:rPr>
        <w:t>The contact list is checked every six months and at each change of key personnel.</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14.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Recovery objectives become binding only when accepted in the Order Form; DR environment, partner details and contact lists to be completed per broker</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