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452882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 w:rsidRPr="00851AA2"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BrokerVerse OOTB Release 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4C02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5.85pt;width:122.25pt;height:26.6pt;z-index:25165824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80j+AEAAM0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" filled="f" stroked="f">
                <v:textbox>
                  <w:txbxContent>
                    <w:p w14:paraId="54FA1EBF" w14:textId="6A6CA9D8" w:rsidR="00913938" w:rsidRPr="00851AA2" w:rsidRDefault="002D24EB" w:rsidP="00913938">
                      <w:pP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 w:rsidRPr="00851AA2"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BrokerVerse OOTB Release 1.0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50000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Release Notes and Product Roadmap</w:t>
                            </w:r>
                            <w:r w:rsidRPr="00E75E19"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 xml:space="preserve"/>
                            </w:r>
                          </w:p>
                          <w:p w14:paraId="4B8244AC" w14:textId="7CD00658" w:rsidR="002F15FD" w:rsidRPr="001D3CAE" w:rsidRDefault="002F15FD" w:rsidP="003C3BF4">
                            <w:pPr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2BF4" id="_x0000_s1027" type="#_x0000_t202" style="position:absolute;margin-left:0;margin-top:101.7pt;width:356.6pt;height:37.5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" filled="f" stroked="f">
                <v:textbox>
                  <w:txbxContent>
                    <w:p w14:paraId="539063F1" w14:textId="4B04DDEF" w:rsidR="003F0D95" w:rsidRPr="00E75E19" w:rsidRDefault="003F0D95" w:rsidP="003F0D95">
                      <w:pP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Release Notes and Product Roadmap</w:t>
                      </w:r>
                      <w:r w:rsidRPr="00E75E19"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 xml:space="preserve"/>
                      </w:r>
                    </w:p>
                    <w:p w14:paraId="4B8244AC" w14:textId="7CD00658" w:rsidR="002F15FD" w:rsidRPr="001D3CAE" w:rsidRDefault="002F15FD" w:rsidP="003C3BF4">
                      <w:pPr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4992625</wp:posOffset>
                </wp:positionH>
                <wp:positionV relativeFrom="paragraph">
                  <wp:posOffset>4124960</wp:posOffset>
                </wp:positionV>
                <wp:extent cx="24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Date - 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5123" id="_x0000_s1028" type="#_x0000_t202" style="position:absolute;margin-left:453.75pt;margin-top:324.8pt;width:128.25pt;height:2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" filled="f" stroked="f">
                <v:textbox>
                  <w:txbxContent>
                    <w:p w14:paraId="3064779C" w14:textId="169D6E01" w:rsidR="003C3BF4" w:rsidRPr="002F15FD" w:rsidRDefault="0064254C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Date - 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3095180</wp:posOffset>
                </wp:positionH>
                <wp:positionV relativeFrom="paragraph">
                  <wp:posOffset>4124960</wp:posOffset>
                </wp:positionV>
                <wp:extent cx="16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Version -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.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23128" id="_x0000_s1029" type="#_x0000_t202" style="position:absolute;margin-left:263.4pt;margin-top:324.8pt;width:86.6pt;height:21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" filled="f" stroked="f">
                <v:textbox>
                  <w:txbxContent>
                    <w:p w14:paraId="1A3BCAB9" w14:textId="1233059B" w:rsidR="003C3BF4" w:rsidRPr="002F15FD" w:rsidRDefault="003C3BF4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Version -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.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Prepared by </w:t>
                            </w:r>
                            <w:r w:rsidR="007B02D5" w:rsidRPr="002F15FD">
                              <w:rPr>
                                <w:color w:val="1D74BA"/>
                              </w:rPr>
                              <w:t>–</w:t>
                            </w:r>
                            <w:r w:rsidRPr="002F15FD">
                              <w:rPr>
                                <w:color w:val="1D74BA"/>
                              </w:rPr>
                              <w:t xml:space="preserve">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3415C" id="_x0000_s1030" type="#_x0000_t202" style="position:absolute;margin-left:15.3pt;margin-top:324.8pt;width:144.35pt;height:2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" filled="f" stroked="f">
                <v:textbox>
                  <w:txbxContent>
                    <w:p w14:paraId="5ABF8422" w14:textId="69B19D89" w:rsidR="00EC0DBF" w:rsidRPr="002F15FD" w:rsidRDefault="00EC0DBF" w:rsidP="00EC0DBF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Prepared by </w:t>
                      </w:r>
                      <w:r w:rsidR="007B02D5" w:rsidRPr="002F15FD">
                        <w:rPr>
                          <w:color w:val="1D74BA"/>
                        </w:rPr>
                        <w:t>–</w:t>
                      </w:r>
                      <w:r w:rsidRPr="002F15FD">
                        <w:rPr>
                          <w:color w:val="1D74BA"/>
                        </w:rPr>
                        <w:t xml:space="preserve">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 w14:paraId="7D024777" w14:textId="77777777" w:rsidR="002B183A" w:rsidRPr="009876A6" w:rsidRDefault="002B183A" w:rsidP="002B183A">
      <w:pPr>
        <w:rPr>
          <w:rFonts w:ascii="Segoe UI" w:hAnsi="Segoe UI" w:cs="Segoe UI"/>
          <w:color w:val="101820"/>
        </w:rPr>
      </w:pP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refresh the contents.</w:t>
      </w:r>
      <w: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r w:rsidRPr="00DD3BAA">
        <w:rPr>
          <w:rStyle w:val="Hyperlink"/>
          <w:rFonts w:eastAsia="Calibri" w:cs="Segoe UI"/>
          <w:b/>
          <w:bCs/>
          <w:color w:val="101820"/>
          <w:szCs w:val="20"/>
        </w:rPr>
        <w:lastRenderedPageBreak/>
        <w:fldChar w:fldCharType="end"/>
      </w:r>
      <w:bookmarkStart w:id="0" w:name="_Toc11824118"/>
      <w:bookmarkStart w:id="1" w:name="_Toc48319687"/>
      <w:r w:rsidRPr="00212D69">
        <w:rPr>
          <w:rStyle w:val="BookTitle"/>
          <w:b w:val="0"/>
        </w:rPr>
        <w:t xml:space="preserve"> </w:t>
      </w:r>
      <w:bookmarkStart w:id="2" w:name="_Toc233203387"/>
      <w:r w:rsidRPr="00465CAB">
        <w:rPr>
          <w:rStyle w:val="BookTitle"/>
          <w:bCs w:val="0"/>
          <w:i w:val="0"/>
          <w:iCs w:val="0"/>
          <w:spacing w:val="0"/>
        </w:rPr>
        <w:t>1.  Document Control</w:t>
      </w:r>
      <w:bookmarkEnd w:id="0"/>
      <w:bookmarkEnd w:id="1"/>
      <w:bookmarkEnd w:id="2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784"/>
        <w:gridCol w:w="1607"/>
        <w:gridCol w:w="1690"/>
        <w:gridCol w:w="1694"/>
        <w:gridCol w:w="1689"/>
      </w:tblGrid>
      <w:tr w:rsidR="002B183A" w14:paraId="4E198CD6" w14:textId="77777777" w:rsidTr="002923F3">
        <w:trPr>
          <w:trHeight w:val="440"/>
        </w:trPr>
        <w:tc>
          <w:tcPr>
            <w:tcW w:w="823" w:type="pct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414" w:type="pct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Version</w:t>
            </w:r>
          </w:p>
        </w:tc>
        <w:tc>
          <w:tcPr>
            <w:tcW w:w="906" w:type="pct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Author &amp; Business Unit Info</w:t>
            </w:r>
          </w:p>
        </w:tc>
        <w:tc>
          <w:tcPr>
            <w:tcW w:w="952" w:type="pct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Reviewed By &amp; Business Unit Info</w:t>
            </w:r>
          </w:p>
        </w:tc>
        <w:tc>
          <w:tcPr>
            <w:tcW w:w="954" w:type="pct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 &amp; Business Unit Info</w:t>
            </w:r>
          </w:p>
        </w:tc>
        <w:tc>
          <w:tcPr>
            <w:tcW w:w="951" w:type="pct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trHeight w:val="449"/>
        </w:trPr>
        <w:tc>
          <w:tcPr>
            <w:tcW w:w="823" w:type="pct"/>
            <w:vAlign w:val="center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  <w:r>
              <w:rPr>
                <w:rFonts w:ascii="Segoe UI" w:hAnsi="Segoe UI" w:cs="Segoe UI" w:eastAsia="Segoe UI"/>
                <w:color w:val="101820"/>
                <w:sz w:val="16"/>
              </w:rPr>
              <w:t>03 October 2026</w:t>
            </w:r>
          </w:p>
        </w:tc>
        <w:tc>
          <w:tcPr>
            <w:tcW w:w="414" w:type="pct"/>
            <w:vAlign w:val="center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1.0</w:t>
            </w:r>
          </w:p>
        </w:tc>
        <w:tc>
          <w:tcPr>
            <w:tcW w:w="906" w:type="pct"/>
            <w:vAlign w:val="center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952" w:type="pct"/>
            <w:vAlign w:val="center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4" w:type="pct"/>
            <w:vAlign w:val="center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1" w:type="pct"/>
            <w:vAlign w:val="center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Initial issue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7BB40391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43F9D759" w14:textId="77777777" w:rsidR="002B183A" w:rsidRPr="00AB16B9" w:rsidRDefault="002B183A" w:rsidP="002B183A">
      <w:pPr>
        <w:spacing w:before="60"/>
        <w:rPr>
          <w:rFonts w:ascii="Segoe UI" w:eastAsia="Arial" w:hAnsi="Segoe UI" w:cs="Segoe UI"/>
          <w:b/>
          <w:color w:val="D74E0F"/>
          <w:sz w:val="28"/>
        </w:rPr>
      </w:pPr>
    </w:p>
    <w:p w14:paraId="62C74CF8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12E0A58E" w14:textId="77777777" w:rsidR="002B183A" w:rsidRPr="00465CAB" w:rsidRDefault="002B183A" w:rsidP="002B183A">
      <w:pPr>
        <w:pStyle w:val="Heading1"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" w:name="_Toc233203388"/>
      <w:r>
        <w:rPr>
          <w:rStyle w:val="BookTitle"/>
          <w:bCs w:val="0"/>
          <w:i w:val="0"/>
          <w:iCs w:val="0"/>
          <w:spacing w:val="0"/>
        </w:rPr>
        <w:t>2.  Acronyms</w:t>
      </w:r>
      <w:bookmarkEnd w:id="3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34"/>
        <w:gridCol w:w="3742"/>
      </w:tblGrid>
      <w:tr w:rsidR="002B183A" w14:paraId="388F227F" w14:textId="77777777" w:rsidTr="002923F3">
        <w:trPr>
          <w:trHeight w:val="440"/>
        </w:trPr>
        <w:tc>
          <w:tcPr>
            <w:tcW w:w="2019" w:type="pct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Acronym / Symbol</w:t>
            </w:r>
          </w:p>
        </w:tc>
        <w:tc>
          <w:tcPr>
            <w:tcW w:w="2981" w:type="pct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OOTB</w:t>
            </w:r>
          </w:p>
        </w:tc>
        <w:tc>
          <w:tcPr>
            <w:tcW w:w="2981" w:type="pct"/>
            <w:vAlign w:val="center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Out of the box</w:t>
            </w:r>
          </w:p>
        </w:tc>
      </w:tr>
      <w:tr w:rsidR="002B183A" w:rsidRPr="00BB346A" w14:paraId="1D8D9412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028F5493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IC</w:t>
            </w:r>
          </w:p>
        </w:tc>
        <w:tc>
          <w:tcPr>
            <w:tcW w:w="2981" w:type="pct"/>
            <w:vAlign w:val="center"/>
          </w:tcPr>
          <w:p w14:paraId="4FAC3C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Insurance Commission</w:t>
            </w:r>
          </w:p>
        </w:tc>
      </w:tr>
      <w:tr w:rsidR="002B183A" w:rsidRPr="00BB346A" w14:paraId="2DB2DE8A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5B763B7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BIR</w:t>
            </w:r>
          </w:p>
        </w:tc>
        <w:tc>
          <w:tcPr>
            <w:tcW w:w="2981" w:type="pct"/>
            <w:vAlign w:val="center"/>
          </w:tcPr>
          <w:p w14:paraId="61D46EF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Bureau of Internal Revenue</w:t>
            </w:r>
          </w:p>
        </w:tc>
      </w:tr>
      <w:tr w:rsidR="002B183A" w:rsidRPr="00BB346A" w14:paraId="4866AFE9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2102CE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NPC</w:t>
            </w:r>
          </w:p>
        </w:tc>
        <w:tc>
          <w:tcPr>
            <w:tcW w:w="2981" w:type="pct"/>
            <w:vAlign w:val="center"/>
          </w:tcPr>
          <w:p w14:paraId="01983CF2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National Privacy Commission</w:t>
            </w:r>
          </w:p>
        </w:tc>
      </w:tr>
      <w:tr w:rsidR="002B183A" w:rsidRPr="00BB346A" w14:paraId="6C77840B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267746A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DPA</w:t>
            </w:r>
          </w:p>
        </w:tc>
        <w:tc>
          <w:tcPr>
            <w:tcW w:w="2981" w:type="pct"/>
            <w:vAlign w:val="center"/>
          </w:tcPr>
          <w:p w14:paraId="48DD4A48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Privacy Act of 2012 (RA 10173)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EOPT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Ease of Paying Taxes Act (RA 11976)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CTPL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Compulsory Third Party Liability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LTO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Land Transportation Office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DST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Documentary stamp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LGT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Local government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FST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Fire service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LGU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Local government unit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Value-added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EWT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Expanded withholding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CWT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Creditable withholding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ATC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Alphanumeric tax code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SAWT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Summary Alphalist of Withholding Taxes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QAP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Quarterly Alphalist of Payees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SLSP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Summary List of Sales and Purchases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KYC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Know your customer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RFQ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Request for quotation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OR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Official receipt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PV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Payment voucher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JV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Journal voucher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GL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General ledger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SoD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Segregation of duties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TOTP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Time-based one-time password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API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Application programming interface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AMC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Annual Maintenance Contract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CR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Change request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acceptance test</w:t>
            </w:r>
          </w:p>
        </w:tc>
      </w:tr>
    </w:tbl>
    <w:p w14:paraId="3FDC6D70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65F3A42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E4A9DE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5F98ECB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8BE89C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0B8EBA5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134C39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03FC5CF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9943CC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6ECD9C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76B07E6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>
      <w:pPr>
        <w:pStyle w:val="Heading1"/>
        <w:pageBreakBefore w:val="0"/>
      </w:pPr>
      <w:r>
        <w:rPr>
          <w:rFonts w:ascii="Segoe UI" w:hAnsi="Segoe UI" w:cs="Segoe UI" w:eastAsia="Segoe UI"/>
          <w:b/>
          <w:color w:val="0F4761"/>
          <w:sz w:val="32"/>
        </w:rPr>
        <w:t>3.  About this release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3.1  Release 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803"/>
        <w:gridCol w:w="7211"/>
      </w:tblGrid>
      <w:tr>
        <w:trPr>
          <w:tblHeader w:val="true"/>
        </w:trPr>
        <w:tc>
          <w:tcPr>
            <w:tcW w:type="dxa" w:w="18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721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Value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iNXT BrokerVerse OOTB, insurance broking platform for Philippine non-life brokers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Release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1.0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Build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Branch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brokerverse-platform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of 03 October 2026; backend package version 1.0.0. The repository carries tag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v1.0.0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(29 September 2026); the tag of the final 1.0 build is [to confirm]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Technology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React 18 web application, Node.js 22 API, PostgreSQL 16 database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Release test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03 to 04 October 2026; see the Test Summary Report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Audience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Broker management, key users, System Administrator, auditors, and the iorta TechNXT support team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3.2  Release in figures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Count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Delivered roles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7 (System Administrator, Sales &amp; Marketing, Processing Team, Operations, Claims, Accounting, Accounting Manager)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Menu screens checked per role in the release test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173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Catalogue reports in Excel, CSV and PDF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39, plus dashboards and printed documents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Registered API routes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868, documented in OpenAPI, Postman and an Excel touchpoint list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Scheduled jobs (Asia/Manila time)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18, of which 7 are delivered switched off (including the remittance schedules and the overdue data subject request reminder)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Document number series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61, counters that only move forward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Upload templates for go-live data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About 40, each verified against its importer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Test cases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497 prepared: 486 passed, 2 failed, 3 blocked, 6 not run after the re-test of 03 October 2026 (first run: 480 passed, 8 failed)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Automated business-rule tests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634, all passed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End-to-end UAT cycle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371 business steps, 0 failed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4.  What is delivered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4.1  Sales and placement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808"/>
        <w:gridCol w:w="4207"/>
      </w:tblGrid>
      <w:tr>
        <w:trPr>
          <w:tblHeader w:val="true"/>
        </w:trPr>
        <w:tc>
          <w:tcPr>
            <w:tcW w:type="dxa" w:w="480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42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Prospects with contact details, address and status, bulk upload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Sales &amp; Marketing &gt; Prospects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Quick Quote of packaged products from insurer rate tables; Compare Insurers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Quick Quote; Compare Insurers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Request for Quotation to several insurers on a broker slip; insurer offers and declines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Request for Quotation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Quotations with premium taxes and commission; customer response recorded on screen or through an approval link; maker-checker on quotations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Quotations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Placement Slips with lead insurer and co-insurers, shares totalling 100%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Placement Slips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Placement journey per line of business (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placement.journey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>), shown as a progress bar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Configuration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4.2  Policy, servicing, claims and renewals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6271"/>
        <w:gridCol w:w="2743"/>
      </w:tblGrid>
      <w:tr>
        <w:trPr>
          <w:tblHeader w:val="true"/>
        </w:trPr>
        <w:tc>
          <w:tcPr>
            <w:tcW w:type="dxa" w:w="627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274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Policy issue for package and non-package business, motor with CTPL and Auto Passenger PA, KYC checks before motor issue, co-insurance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Policy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Endorsements (additional premium, return premium, changes of details, extension) and cancellations, with taxes following the premium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Policy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Claims from notification to settlement and closure, preliminary loss advice, claim letters, settlement maker-checker, SLA ageing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Claims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Renewals: pipeline 90 days before expiry, notices at 60, 30 and 15 days, renewal batch and queue, at-risk policies, retention analytics, lapse management, win-back campaigns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Renewals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Clients with their policies and accounting position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Clients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4.3  Money and accounting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5031"/>
        <w:gridCol w:w="3983"/>
      </w:tblGrid>
      <w:tr>
        <w:trPr>
          <w:tblHeader w:val="true"/>
        </w:trPr>
        <w:tc>
          <w:tcPr>
            <w:tcW w:type="dxa" w:w="503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398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Open items, payment capture by sales and operations, acknowledgement receipts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Open Items; Payments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Billing, official receipts, receipt and invoice e-mails with PDF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Receipts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Collections, reminders, credit control: instalment plans, premium warranty monitor, client credit limits, remittance ageing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Collections; Credit Control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Disbursement and payment vouchers, petty cash from request to replenishment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Disbursement; Petty Cash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Remittance to insurers by share, with tracking, statements, settlement, approval within the Authority Matrix limits, schedules run by the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remittance-schedules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job, exceptions, electronic transfer records, agency bill and direct bill processing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Remittance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Commission: referrer and sub-agent accounts, commission rate matrix, payout after collection with withholding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Incentive programmes, calculations, approvals and statements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Incentive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General ledger from posting rules; Journal Voucher, Correction JV, Reversal JV; open entry matching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Period End: period management, month-end close with checklist and sub-ledger tie-out, year-end close, recurring journals, financial statements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Period End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reconciliation with statement import (BDO, BPI, Metrobank and generic formats) and matching rules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Bank Reconciliation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Insurer statement reconciliation with column mapping per insurer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Insurer Reconciliation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Reinsurance: treaties, cessions, recoveries, bordereaux, reconciliation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Reinsurance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4.4  Configuration, controls and reporting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5213"/>
        <w:gridCol w:w="3801"/>
      </w:tblGrid>
      <w:tr>
        <w:trPr>
          <w:tblHeader w:val="true"/>
        </w:trPr>
        <w:tc>
          <w:tcPr>
            <w:tcW w:type="dxa" w:w="521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380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 Configurator: product templates, coverage builder, rating engine, acceptance rules, document manager, market and risk mapping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 Configurator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Masters for organisation, insurers, lines of business, products, covers, vehicles, locations, designations and hierarchy, finance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Generals; Master &gt; Finance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System Settings, Configuration by business area, Document Numbering, Schedules, E-mail Outbox, Audit Trail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 management: users, roles, User Access Matrix, Role Permissions, Authority Matrix, Delegations, Segregation of Duties, Access Reviews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Generals &gt; User Management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Security: password policy, lockout, TOTP two-step verification by role, session rotation and idle sign-out, permission check on every API route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Configuration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privacy: Consent Register, Data Subject Requests, personal data export, anonymisation with dry run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Data Privacy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Approval notifications in every maker-checker flow: the request to the approvers and the decision to the maker (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notification.approval_requests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>)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Notifications (bell)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Reports: operational and financial reports, co-insurance register, due to insurers by co-insurer; dashboards for executives, claims, processing, sales and commission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Reports; Dashboard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Payment links through PayMongo and Dragonpay (sandbox provider for testing); a confirmed payment posts the official receipt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Finance &gt; Payment Gateways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4.5  Philippine rules built in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743"/>
        <w:gridCol w:w="6271"/>
      </w:tblGrid>
      <w:tr>
        <w:trPr>
          <w:tblHeader w:val="true"/>
        </w:trPr>
        <w:tc>
          <w:tcPr>
            <w:tcW w:type="dxa" w:w="274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Area</w:t>
            </w:r>
          </w:p>
        </w:tc>
        <w:tc>
          <w:tcPr>
            <w:tcW w:type="dxa" w:w="627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Rule as delivered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Premium taxes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DST of PHP 0.50 on each PHP 4.00 of premium, a fraction counting as a whole unit (NIRC section 184), VAT 12% for products under the VAT regime, LGT by the client's city or municipality (0.75% delivered default), FST 2% on fire lines; set in Master &gt; Finance &gt; Premium Taxes &amp; LGU Rates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CTPL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1-year and 3-year CTPL per vehicle class from the motor template MOT-003-2025; inclusive of taxes and fees, never discounted; certificate number and authentication code on the policy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KYC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Government ID type, number and image, chassis, motor and plate or MV file number required before motor issue; accepted IDs include PhilSys ID, UMID, passport and driver's licence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 tax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Output VAT on commission (VAT12-OUT); EWT on referrer commission by payee type (WI515 5% for agents and sub-agents, WC515 10% for external referrers, delivered); insurer EWT on direct-bill commission (WC139 10%) to Creditable Withholding Tax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BIR working papers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BIR Form 2307 issued and received, VAT Summary, SAWT, QAP, SLSP Sales and SLSP Purchases, in the BIR column order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Invoices and receipts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Number series for invoices, official receipts, debit notes and Form 2307; next numbers can continue the old system's numbering; cancelled documents kept with a reason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Local formats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Asia/Manila time zone, PHP base currency, +63 mobile numbers, Philippine provinces and cities with all NCR LGUs, Philippine banks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privacy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Consent per purpose with notice version; data subject requests due in 15 calendar days; anonymisation refused within 10 years of the last policy expiry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4.6  Changes after the release test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These changes were made on the release branch after the release test of 03 and 04 October 2026. The cases they touch are re-run in the next manual cycle.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Change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Effect for users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privacy module (Master &gt; Data Privacy)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Consents, data subject requests, export and anonymisation in the system instead of outside it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E-mail attachments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Official receipt, premium invoice, policy schedule and commission debit note e-mailed with the PDF attached; attachments listed in the E-mail Outbox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Approval notifications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Every maker-checker request and decision notified under the bell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approvals in the Authority Matrix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Transaction types Remittance approval and Remittance settlement; delivered limits Accounting PHP 1,000,000.00, Accounting Manager without limit;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remittance.approval_levels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only as a fallback; cover through User Management &gt; Delegations (the separate remittance delegation tab is removed)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schedules job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The schedules of Accounts &gt; Remittance &gt; Scheduling run daily through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remittance-schedules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on Master &gt; Schedules (delivered switched off)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Duplicate masters retired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Master keeps automated remittance, statement templates, settlement parameters, bulk processing, exceptions, agency bill, adjustments and notifications; the tabs Reconciliation Rule, Electronic Transfer, History, Analytics, Direct Bill and Report Template are removed (their values are in Master &gt; Configuration). The Commission, Employee and Petty Cash masters are removed from the menu: commission rates are in Master &gt; Finance &gt; Commission Rate Matrix, staff details on the user form (branch, designation, reporting to), petty cash fund size and limits on Accounts &gt; Petty Cash &gt; Initiate. Product Configurator &gt; Approval Workflows is removed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One source for currency, exchange rates and premium taxes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One base currency in the Currency master; dated rates only from the Exchange Rate master; premium taxes only from Premium Taxes &amp; LGU Rates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Screen stability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Lists paged by the server (20, 50 or 100 rows), Prospects shown as a table, description paragraphs removed from working screens, steadier loading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5.  Known limitations and open items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5.1  Defects and observations from the release test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134"/>
        <w:gridCol w:w="2848"/>
        <w:gridCol w:w="1123"/>
        <w:gridCol w:w="2769"/>
        <w:gridCol w:w="1141"/>
      </w:tblGrid>
      <w:tr>
        <w:trPr>
          <w:tblHeader w:val="true"/>
        </w:trPr>
        <w:tc>
          <w:tcPr>
            <w:tcW w:type="dxa" w:w="113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ID</w:t>
            </w:r>
          </w:p>
        </w:tc>
        <w:tc>
          <w:tcPr>
            <w:tcW w:type="dxa" w:w="284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Item</w:t>
            </w:r>
          </w:p>
        </w:tc>
        <w:tc>
          <w:tcPr>
            <w:tcW w:type="dxa" w:w="112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Severity</w:t>
            </w:r>
          </w:p>
        </w:tc>
        <w:tc>
          <w:tcPr>
            <w:tcW w:type="dxa" w:w="276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Workaround</w:t>
            </w:r>
          </w:p>
        </w:tc>
        <w:tc>
          <w:tcPr>
            <w:tcW w:type="dxa" w:w="11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Target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BV-DEF-001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react-router carries a moderate security advisory (open redirect)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Medium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Navigation targets come from the application's own routes; web server allows only the application origin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Next minor release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BV-DEF-002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privacy features were not built at the release test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Medium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Closed: delivered (Master &gt; Data Privacy) and re-tested on 03 October 2026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BV-DEF-003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Application-level encryption covers only two-step verification secrets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Medium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Encrypted database storage and backups; restricted database access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Product backlog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BV-DEF-004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Product configurator component lists did not show the template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Closed: Template column added and re-tested on 03 October 2026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BV-OBS-005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Renewal refused for a policy expired beyond grace plus lapsed-renewal days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 as by design: quote as new business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BV-DEF-006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Premium Taxes &amp; LGU Rates: charges calculator product list empty for Accounting roles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Closed: fixed and re-tested on 03 October 2026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BV-OBS-007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Address of the menu group Master &gt; Generals &gt; Organization opened "Page not found"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Closed: menu groups carry no address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BV-OBS-008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Incentive &gt; My Programs: Achievement Overview card cut off at 1440 px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Closed: fixed and re-tested on 03 October 2026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Cases not run or blocked in the release test (SMTP-dependent checks, idle sign-out timing, some screen-only negative checks) are listed in the Test Summary Report and are planned for the next manual cycle.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5.2  Limits of the OOTB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091"/>
        <w:gridCol w:w="3461"/>
        <w:gridCol w:w="3461"/>
      </w:tblGrid>
      <w:tr>
        <w:trPr>
          <w:tblHeader w:val="true"/>
        </w:trPr>
        <w:tc>
          <w:tcPr>
            <w:tcW w:type="dxa" w:w="209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Topic</w:t>
            </w:r>
          </w:p>
        </w:tc>
        <w:tc>
          <w:tcPr>
            <w:tcW w:type="dxa" w:w="346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Release 1.0 behaviour</w:t>
            </w:r>
          </w:p>
        </w:tc>
        <w:tc>
          <w:tcPr>
            <w:tcW w:type="dxa" w:w="346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Route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Insurer systems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insurer API; slips, statements and debit notes by file and e-mail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 per insurer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IC report formats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Figures from financial statements and production reports; no IC-format report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Percentage tax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working paper for a non-VAT broker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Ledger by insurer; change request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Anti-money laundering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transaction monitoring, sanctions or PEP screening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Outside OOTB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Report schedules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Scheduled e-mail of reports exists in the API; no screen to set it up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System Administrator through the API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payments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Transfers approved and recorded; no bank payment file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 per bank format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Two-step enrolment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Shows the key and a link, not a QR code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Users type the key into the authenticator app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Session tokens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Kept in browser local storage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Move to httpOnly cookie on the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Masters without Upload button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Templates loaded by the System Administrator through the API route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Upload buttons on the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Claim settlement cash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Settlement cash panel is on the claim screens; the System Administrator records funds on Accounting's instruction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menu extension on the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Mobile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Web application for desktop and laptop browsers (current Chrome, Edge or Firefox)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Language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English screens; no Filipino translation file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Load test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Not run; single-server timings only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Run on the production-sized environment before go-live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External penetration test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Not run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 before go-live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5.3  Before go-live at a broker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 xml:space="preserve">Set </w:t>
      </w:r>
      <w:r>
        <w:rPr>
          <w:rFonts w:ascii="Consolas" w:hAnsi="Consolas" w:cs="Consolas" w:eastAsia="Consolas"/>
          <w:color w:val="101820"/>
          <w:sz w:val="19"/>
        </w:rPr>
        <w:t>security.require_2fa_roles</w:t>
      </w:r>
      <w:r>
        <w:rPr>
          <w:rFonts w:ascii="Segoe UI" w:hAnsi="Segoe UI" w:cs="Segoe UI" w:eastAsia="Segoe UI"/>
          <w:color w:val="101820"/>
          <w:sz w:val="21"/>
        </w:rPr>
        <w:t xml:space="preserve"> to at least System Administrator, Accounting and Accounting Manager.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Replace the default authority limits with the board-approved signing authority.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Fill the BIR settings (registered name, address, TIN of the withholding agent).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Confirm premium tax rules, LGU rates, ATC and GL accounts with the broker's tax adviser.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Switch off the Sandbox payment gateway in production; enter live gateway keys in the secret store.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Switch on "Send e-mails" only after the SMTP mailbox is tested.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6.  Upgrade and versioning policy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6.1  Version numbers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Releases are numbered MAJOR.MINOR.PATCH and tagged in the repository (for example </w:t>
      </w:r>
      <w:r>
        <w:rPr>
          <w:rFonts w:ascii="Consolas" w:hAnsi="Consolas" w:cs="Consolas" w:eastAsia="Consolas"/>
          <w:color w:val="101820"/>
          <w:sz w:val="19"/>
        </w:rPr>
        <w:t>v1.0.0</w:t>
      </w:r>
      <w:r>
        <w:rPr>
          <w:rFonts w:ascii="Segoe UI" w:hAnsi="Segoe UI" w:cs="Segoe UI" w:eastAsia="Segoe UI"/>
          <w:color w:val="101820"/>
          <w:sz w:val="21"/>
        </w:rPr>
        <w:t xml:space="preserve">); </w:t>
      </w:r>
      <w:r>
        <w:rPr>
          <w:rFonts w:ascii="Consolas" w:hAnsi="Consolas" w:cs="Consolas" w:eastAsia="Consolas"/>
          <w:color w:val="101820"/>
          <w:sz w:val="19"/>
        </w:rPr>
        <w:t>GET /api/version</w:t>
      </w:r>
      <w:r>
        <w:rPr>
          <w:rFonts w:ascii="Segoe UI" w:hAnsi="Segoe UI" w:cs="Segoe UI" w:eastAsia="Segoe UI"/>
          <w:color w:val="101820"/>
          <w:sz w:val="21"/>
        </w:rPr>
        <w:t xml:space="preserve"> shows the commit that is running.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1003"/>
        <w:gridCol w:w="3541"/>
        <w:gridCol w:w="3563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Type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Example</w:t>
            </w:r>
          </w:p>
        </w:tc>
        <w:tc>
          <w:tcPr>
            <w:tcW w:type="dxa" w:w="35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Content</w:t>
            </w:r>
          </w:p>
        </w:tc>
        <w:tc>
          <w:tcPr>
            <w:tcW w:type="dxa" w:w="356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Frequency (standard)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Patch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1.0.1</w:t>
            </w:r>
          </w:p>
        </w:tc>
        <w:tc>
          <w:tcPr>
            <w:tcW w:type="dxa" w:w="35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Defect fixes and security fixes; no change to how users work</w:t>
            </w:r>
          </w:p>
        </w:tc>
        <w:tc>
          <w:tcPr>
            <w:tcW w:type="dxa" w:w="3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As needed; emergency release for P1 or security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Minor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1.1.0</w:t>
            </w:r>
          </w:p>
        </w:tc>
        <w:tc>
          <w:tcPr>
            <w:tcW w:type="dxa" w:w="35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New functions, new reports, regulatory form updates, upgrades of components; existing data and settings kept</w:t>
            </w:r>
          </w:p>
        </w:tc>
        <w:tc>
          <w:tcPr>
            <w:tcW w:type="dxa" w:w="3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Planned releases, monthly when there are fixes or changes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Major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2.0.0</w:t>
            </w:r>
          </w:p>
        </w:tc>
        <w:tc>
          <w:tcPr>
            <w:tcW w:type="dxa" w:w="35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Changes that need a migration project, retraining or a change of hosting components</w:t>
            </w:r>
          </w:p>
        </w:tc>
        <w:tc>
          <w:tcPr>
            <w:tcW w:type="dxa" w:w="3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Announced at least 6 months ahead [to confirm]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6.2  Rules for every release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Database changes only add to the schema; they are applied automatically when the API starts, under a lock, and recorded. The previous release runs on the newer schema, so a release can be rolled back by redeploying the previous image.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Settings and master data changed by the broker are kept: the seed inserts only what is missing.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Every release has release notes: fixes, changes, migrations and anything the System Administrator must do by hand.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Each release is installed in the test environment first; the broker runs the UAT scripts for the changed areas; iorta TechNXT runs the regression; the CAB approves.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A database snapshot is taken before deployment; deployment happens in the agreed maintenance window, announced at least 5 business days ahead.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6.3  Entitlement and support of versions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Updates of the OOTB version and regulatory form updates released for all customers are included while the subscription or the AMC is in force.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Support covers the current release and the two planned releases before it (assumption in the Production Support Approach). A broker that stays further behind is asked to upgrade before a defect is fixed.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Broker-specific changes made under a change request are carried forward into later releases only where the change request says so [to confirm the standard clause].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7.  Product roadmap</w:t>
      </w:r>
    </w:p>
    <w:p>
      <w:pPr>
        <w:shd w:val="clear" w:color="auto" w:fill="EAF2FB"/>
        <w:spacing w:after="160"/>
        <w:ind w:left="170"/>
      </w:pPr>
      <w:r>
        <w:rPr>
          <w:rFonts w:ascii="Segoe UI" w:hAnsi="Segoe UI" w:cs="Segoe UI" w:eastAsia="Segoe UI"/>
          <w:b/>
          <w:color w:val="101820"/>
          <w:sz w:val="20"/>
        </w:rPr>
        <w:t>Indicative and not contractual.</w:t>
      </w:r>
      <w:r>
        <w:rPr>
          <w:rFonts w:ascii="Segoe UI" w:hAnsi="Segoe UI" w:cs="Segoe UI" w:eastAsia="Segoe UI"/>
          <w:color w:val="101820"/>
          <w:sz w:val="20"/>
        </w:rPr>
        <w:t xml:space="preserve"> The roadmap shows iorta TechNXT's current intentions. Content, order and timing may change. It is not a commitment to deliver any function, it is not part of any licence, subscription or support agreement, and a purchase decision should be based on the functions in the release delivered. Items a broker needs by a date are agreed as change requests.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7.1  Near term: next patch and minor release (indicative: within 3 months)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Why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Upgrade react-router to the fixed major version (BV-DEF-001)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Close the moderate advisory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Re-run of the blocked SMTP cases and the cases not run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Close the release test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QR code for two-step enrolment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Easier enrolment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Upload buttons on the masters that only have an API route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Self-service go-live loads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Automated dependency and image scanning in the pipeline; tests restored in the deployment workflow; branch protection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Secure development lifecycle gaps of the architecture review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7.2  Mid term (indicative: 3 to 9 months)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Why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Session refresh in an httpOnly cookie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Remove tokens from browser local storage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Field-level encryption of personal identifiers (TIN, ID numbers) (BV-DEF-003)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Defence in depth for sensitive personal information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Move of the front-end build from Create React App to Vite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Maintained build tooling; clears build-time advisories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Screen to set up scheduled report e-mails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Today only through the API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Claim settlement cash on the Accounting menu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records claim funds directly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Rate limits shared across API instances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Consistent limits with several instances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Load test results and sizing confirmation on a production-sized environment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Evidence for larger brokers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7.3  Later (indicative: beyond 9 months)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Why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IC report formats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Reduce manual preparation of IC reports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Percentage tax working paper for non-VAT brokers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Complete the BIR working papers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payment files for the main Philippine banks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and payouts without re-keying in bank portals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Insurer API connectors, starting with insurers that publish an API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Fewer files and e-mails with insurers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Mobile-friendly screens for sales and claims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Field use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Filipino screen translation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Users who prefer Filipino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Screening support for anti-money laundering checks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Brokers covered by the AMLA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Brokers can propose roadmap items through their account manager. iorta TechNXT reviews the roadmap with customers at least once a year [to confirm the forum, for example a customer advisory meeting].</w:t>
      </w:r>
    </w:p>
    <w:p w14:paraId="3A19A69C" w14:textId="77777777" w:rsidR="002B183A" w:rsidRPr="00465CAB" w:rsidRDefault="002B183A" w:rsidP="002B183A">
      <w:pPr>
        <w:pStyle w:val="Heading1"/>
        <w:pageBreakBefore/>
        <w:tabs>
          <w:tab w:val="num" w:pos="360"/>
        </w:tabs>
        <w:spacing w:line="360" w:lineRule="auto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233203395"/>
      <w:r>
        <w:rPr>
          <w:rStyle w:val="BookTitle"/>
          <w:bCs w:val="0"/>
          <w:i w:val="0"/>
          <w:iCs w:val="0"/>
          <w:spacing w:val="0"/>
        </w:rPr>
        <w:t>8.  Document Sign-Off</w:t>
      </w:r>
      <w:bookmarkEnd w:id="10"/>
    </w:p>
    <w:p w14:paraId="05198298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56"/>
        <w:gridCol w:w="3855"/>
        <w:gridCol w:w="1726"/>
        <w:gridCol w:w="1980"/>
      </w:tblGrid>
      <w:tr w:rsidR="002B183A" w14:paraId="0ABAE4AD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2137" w:type="pct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Description</w:t>
            </w:r>
          </w:p>
        </w:tc>
        <w:tc>
          <w:tcPr>
            <w:tcW w:w="957" w:type="pct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Owner</w:t>
            </w:r>
          </w:p>
        </w:tc>
        <w:tc>
          <w:tcPr>
            <w:tcW w:w="1098" w:type="pct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w="2137" w:type="pct"/>
            <w:vAlign w:val="center"/>
          </w:tcPr>
          <w:p w14:paraId="38D2703A" w14:textId="77777777" w:rsidR="002B183A" w:rsidRPr="009876A6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Release tag of the final 1.0 build to be confirmed; re-test of the data privacy cases after the release test; roadmap dates indicative</w:t>
            </w:r>
          </w:p>
        </w:tc>
        <w:tc>
          <w:tcPr>
            <w:tcW w:w="957" w:type="pct"/>
            <w:vAlign w:val="center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1098" w:type="pct"/>
            <w:vAlign w:val="center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Open</w:t>
            </w:r>
          </w:p>
        </w:tc>
      </w:tr>
      <w:tr w:rsidR="002B183A" w:rsidRPr="00BB346A" w14:paraId="441F796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D7E1F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6A7B9809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228473A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4E55941A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02D59BF1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0680EA44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1AA7ECA0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372D7943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6691CF9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B744F8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81C870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0974D0DE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617D866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3291"/>
        <w:gridCol w:w="1826"/>
        <w:gridCol w:w="2347"/>
      </w:tblGrid>
      <w:tr w:rsidR="002B183A" w14:paraId="731A77C7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1843" w:type="pct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Signature</w:t>
            </w:r>
          </w:p>
        </w:tc>
        <w:tc>
          <w:tcPr>
            <w:tcW w:w="1031" w:type="pct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</w:t>
            </w:r>
          </w:p>
        </w:tc>
        <w:tc>
          <w:tcPr>
            <w:tcW w:w="1319" w:type="pct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</w:p>
        </w:tc>
        <w:tc>
          <w:tcPr>
            <w:tcW w:w="1843" w:type="pct"/>
            <w:vAlign w:val="center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319" w:type="pct"/>
            <w:vAlign w:val="center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3552213A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</w:tr>
      <w:tr w:rsidR="002B183A" w:rsidRPr="00BB346A" w14:paraId="7971AE3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4238544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0604EAC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05AE96E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5DEE20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291C11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4CA88E8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4B3D09B6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193512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240729FB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1E24FA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2216D93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6196FBA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7840064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350EB7E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FAA6F2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876CB16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059F38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843" w:type="pct"/>
            <w:vAlign w:val="center"/>
          </w:tcPr>
          <w:p w14:paraId="65DFF7B3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5C2E8BA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00B1838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0965EE19" w14:textId="77777777" w:rsidR="00EE516B" w:rsidRDefault="00EE516B">
      <w:r>
        <w:lastRenderedPageBreak/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–"/>
      <w:lvlJc w:val="left"/>
      <w:pPr>
        <w:ind w:left="1080" w:hanging="300"/>
      </w:pPr>
    </w:lvl>
    <w:lvl w:ilvl="2">
      <w:start w:val="1"/>
      <w:numFmt w:val="bullet"/>
      <w:lvlText w:val="◦"/>
      <w:lvlJc w:val="left"/>
      <w:pPr>
        <w:ind w:left="1440" w:hanging="30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."/>
      <w:lvlJc w:val="left"/>
      <w:pPr>
        <w:ind w:left="1080" w:hanging="300"/>
      </w:pPr>
    </w:lvl>
    <w:lvl w:ilvl="2">
      <w:start w:val="1"/>
      <w:numFmt w:val="lowerLetter"/>
      <w:lvlText w:val="%3."/>
      <w:lvlJc w:val="left"/>
      <w:pPr>
        <w:ind w:left="1440" w:hanging="300"/>
      </w:pPr>
    </w:lvl>
  </w:abstractNum>
  <w:num w:numId="1" w16cid:durableId="1413504409">
    <w:abstractNumId w:val="0"/>
  </w:num>
  <w:num w:numId="2" w16cid:durableId="1722510407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customStyle="1" w:styleId="Heading2">
    <w:name w:val="heading 2"/>
    <w:basedOn w:val="Normal"/>
    <w:pPr>
      <w:keepNext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customStyle="1" w:styleId="Heading3">
    <w:name w:val="heading 3"/>
    <w:basedOn w:val="Normal"/>
    <w:pPr>
      <w:keepNext/>
      <w:spacing w:before="240" w:after="80"/>
      <w:outlineLvl w:val="2"/>
    </w:pPr>
    <w:rPr>
      <w:rFonts w:ascii="Segoe UI" w:hAnsi="Segoe UI"/>
      <w:b/>
      <w:color w:val="0F4761"/>
      <w:sz w:val="23"/>
    </w:rPr>
  </w:style>
  <w:style w:type="paragraph" w:customStyle="1" w:styleId="toc2">
    <w:name w:val="toc 2"/>
    <w:basedOn w:val="TOC1"/>
    <w:pPr>
      <w:ind w:left="340"/>
    </w:pPr>
  </w:style>
  <w:style w:type="paragraph" w:customStyle="1" w:styleId="toc3">
    <w:name w:val="toc 3"/>
    <w:basedOn w:val="TOC1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812</Words>
  <Characters>4634</Characters>
  <Application>Microsoft Office Word</Application>
  <DocSecurity>0</DocSecurity>
  <Lines>38</Lines>
  <Paragraphs>10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</dc:creator>
  <cp:keywords/>
  <dc:description/>
  <cp:lastModifiedBy>Andrew R</cp:lastModifiedBy>
  <cp:revision>6</cp:revision>
  <dcterms:created xsi:type="dcterms:W3CDTF">2026-06-24T05:58:00Z</dcterms:created>
  <dcterms:modified xsi:type="dcterms:W3CDTF">2026-06-24T06:48:00Z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